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F6EBF" w14:textId="29C1D6F7" w:rsidR="003C6ED1" w:rsidRPr="008D16D3" w:rsidRDefault="003C6ED1" w:rsidP="00EA3E6D">
      <w:pPr>
        <w:tabs>
          <w:tab w:val="left" w:pos="720"/>
          <w:tab w:val="right" w:pos="8838"/>
        </w:tabs>
        <w:spacing w:after="0" w:line="360" w:lineRule="auto"/>
        <w:jc w:val="right"/>
        <w:rPr>
          <w:rFonts w:ascii="Arial" w:hAnsi="Arial" w:cs="Arial"/>
          <w:color w:val="000000" w:themeColor="text1"/>
          <w:sz w:val="32"/>
          <w:szCs w:val="32"/>
        </w:rPr>
      </w:pPr>
      <w:bookmarkStart w:id="0" w:name="_GoBack"/>
      <w:bookmarkEnd w:id="0"/>
      <w:r w:rsidRPr="008D16D3">
        <w:rPr>
          <w:rFonts w:ascii="Arial" w:hAnsi="Arial" w:cs="Arial"/>
          <w:color w:val="000000" w:themeColor="text1"/>
          <w:sz w:val="32"/>
          <w:szCs w:val="32"/>
        </w:rPr>
        <w:t>Toluca de Lerdo, México</w:t>
      </w:r>
      <w:r w:rsidR="00734C59" w:rsidRPr="008D16D3">
        <w:rPr>
          <w:rFonts w:ascii="Arial" w:hAnsi="Arial" w:cs="Arial"/>
          <w:color w:val="000000" w:themeColor="text1"/>
          <w:sz w:val="32"/>
          <w:szCs w:val="32"/>
        </w:rPr>
        <w:t>,</w:t>
      </w:r>
      <w:r w:rsidRPr="008D16D3">
        <w:rPr>
          <w:rFonts w:ascii="Arial" w:hAnsi="Arial" w:cs="Arial"/>
          <w:color w:val="000000" w:themeColor="text1"/>
          <w:sz w:val="32"/>
          <w:szCs w:val="32"/>
        </w:rPr>
        <w:t xml:space="preserve"> a </w:t>
      </w:r>
      <w:r w:rsidR="00B24554" w:rsidRPr="008D16D3">
        <w:rPr>
          <w:rFonts w:ascii="Arial" w:hAnsi="Arial" w:cs="Arial"/>
          <w:color w:val="000000" w:themeColor="text1"/>
          <w:sz w:val="32"/>
          <w:szCs w:val="32"/>
        </w:rPr>
        <w:t>___</w:t>
      </w:r>
      <w:r w:rsidR="00734C59" w:rsidRPr="008D16D3">
        <w:rPr>
          <w:rFonts w:ascii="Arial" w:hAnsi="Arial" w:cs="Arial"/>
          <w:color w:val="000000" w:themeColor="text1"/>
          <w:sz w:val="32"/>
          <w:szCs w:val="32"/>
        </w:rPr>
        <w:t xml:space="preserve"> </w:t>
      </w:r>
      <w:proofErr w:type="spellStart"/>
      <w:r w:rsidR="00734C59" w:rsidRPr="008D16D3">
        <w:rPr>
          <w:rFonts w:ascii="Arial" w:hAnsi="Arial" w:cs="Arial"/>
          <w:color w:val="000000" w:themeColor="text1"/>
          <w:sz w:val="32"/>
          <w:szCs w:val="32"/>
        </w:rPr>
        <w:t>de</w:t>
      </w:r>
      <w:proofErr w:type="spellEnd"/>
      <w:r w:rsidR="00734C59" w:rsidRPr="008D16D3">
        <w:rPr>
          <w:rFonts w:ascii="Arial" w:hAnsi="Arial" w:cs="Arial"/>
          <w:color w:val="000000" w:themeColor="text1"/>
          <w:sz w:val="32"/>
          <w:szCs w:val="32"/>
        </w:rPr>
        <w:t xml:space="preserve"> </w:t>
      </w:r>
      <w:r w:rsidR="00FE1235" w:rsidRPr="008D16D3">
        <w:rPr>
          <w:rFonts w:ascii="Arial" w:hAnsi="Arial" w:cs="Arial"/>
          <w:color w:val="000000" w:themeColor="text1"/>
          <w:sz w:val="32"/>
          <w:szCs w:val="32"/>
        </w:rPr>
        <w:t>___</w:t>
      </w:r>
      <w:r w:rsidR="00734C59" w:rsidRPr="008D16D3">
        <w:rPr>
          <w:rFonts w:ascii="Arial" w:hAnsi="Arial" w:cs="Arial"/>
          <w:color w:val="000000" w:themeColor="text1"/>
          <w:sz w:val="32"/>
          <w:szCs w:val="32"/>
        </w:rPr>
        <w:t xml:space="preserve"> </w:t>
      </w:r>
      <w:proofErr w:type="spellStart"/>
      <w:r w:rsidR="00734C59" w:rsidRPr="008D16D3">
        <w:rPr>
          <w:rFonts w:ascii="Arial" w:hAnsi="Arial" w:cs="Arial"/>
          <w:color w:val="000000" w:themeColor="text1"/>
          <w:sz w:val="32"/>
          <w:szCs w:val="32"/>
        </w:rPr>
        <w:t>de</w:t>
      </w:r>
      <w:proofErr w:type="spellEnd"/>
      <w:r w:rsidR="00734C59" w:rsidRPr="008D16D3">
        <w:rPr>
          <w:rFonts w:ascii="Arial" w:hAnsi="Arial" w:cs="Arial"/>
          <w:color w:val="000000" w:themeColor="text1"/>
          <w:sz w:val="32"/>
          <w:szCs w:val="32"/>
        </w:rPr>
        <w:t xml:space="preserve"> 202</w:t>
      </w:r>
      <w:r w:rsidR="00FA67EA" w:rsidRPr="008D16D3">
        <w:rPr>
          <w:rFonts w:ascii="Arial" w:hAnsi="Arial" w:cs="Arial"/>
          <w:color w:val="000000" w:themeColor="text1"/>
          <w:sz w:val="32"/>
          <w:szCs w:val="32"/>
        </w:rPr>
        <w:t>3</w:t>
      </w:r>
      <w:r w:rsidR="00FE1235" w:rsidRPr="008D16D3">
        <w:rPr>
          <w:rFonts w:ascii="Arial" w:hAnsi="Arial" w:cs="Arial"/>
          <w:color w:val="000000" w:themeColor="text1"/>
          <w:sz w:val="32"/>
          <w:szCs w:val="32"/>
        </w:rPr>
        <w:t>.</w:t>
      </w:r>
    </w:p>
    <w:p w14:paraId="7F5868B4" w14:textId="77777777" w:rsidR="003C6ED1" w:rsidRPr="008D16D3" w:rsidRDefault="003C6ED1" w:rsidP="00365EFE">
      <w:pPr>
        <w:spacing w:after="0" w:line="360" w:lineRule="auto"/>
        <w:jc w:val="both"/>
        <w:rPr>
          <w:rFonts w:ascii="Arial" w:hAnsi="Arial" w:cs="Arial"/>
          <w:color w:val="000000" w:themeColor="text1"/>
          <w:sz w:val="32"/>
          <w:szCs w:val="32"/>
        </w:rPr>
      </w:pPr>
    </w:p>
    <w:p w14:paraId="4CFC4C6C" w14:textId="6EF861A2" w:rsidR="00C060F4" w:rsidRPr="008D16D3" w:rsidRDefault="00C060F4" w:rsidP="001D4D5E">
      <w:pPr>
        <w:spacing w:after="0" w:line="240" w:lineRule="auto"/>
        <w:contextualSpacing/>
        <w:jc w:val="both"/>
        <w:rPr>
          <w:rFonts w:ascii="Arial" w:hAnsi="Arial" w:cs="Arial"/>
          <w:b/>
          <w:color w:val="000000" w:themeColor="text1"/>
          <w:sz w:val="32"/>
          <w:szCs w:val="32"/>
        </w:rPr>
      </w:pPr>
      <w:r w:rsidRPr="008D16D3">
        <w:rPr>
          <w:rFonts w:ascii="Arial" w:hAnsi="Arial" w:cs="Arial"/>
          <w:b/>
          <w:color w:val="000000" w:themeColor="text1"/>
          <w:sz w:val="32"/>
          <w:szCs w:val="32"/>
        </w:rPr>
        <w:t>DIP</w:t>
      </w:r>
      <w:r w:rsidR="00B642AC" w:rsidRPr="008D16D3">
        <w:rPr>
          <w:rFonts w:ascii="Arial" w:hAnsi="Arial" w:cs="Arial"/>
          <w:b/>
          <w:color w:val="000000" w:themeColor="text1"/>
          <w:sz w:val="32"/>
          <w:szCs w:val="32"/>
        </w:rPr>
        <w:t xml:space="preserve">. </w:t>
      </w:r>
      <w:r w:rsidR="00E24398" w:rsidRPr="008D16D3">
        <w:rPr>
          <w:rFonts w:ascii="Arial" w:hAnsi="Arial" w:cs="Arial"/>
          <w:b/>
          <w:color w:val="000000" w:themeColor="text1"/>
          <w:sz w:val="32"/>
          <w:szCs w:val="32"/>
        </w:rPr>
        <w:t xml:space="preserve">MARCO ANTONIO CRUZ </w:t>
      </w:r>
      <w:proofErr w:type="spellStart"/>
      <w:r w:rsidR="00E24398" w:rsidRPr="008D16D3">
        <w:rPr>
          <w:rFonts w:ascii="Arial" w:hAnsi="Arial" w:cs="Arial"/>
          <w:b/>
          <w:color w:val="000000" w:themeColor="text1"/>
          <w:sz w:val="32"/>
          <w:szCs w:val="32"/>
        </w:rPr>
        <w:t>CRUZ</w:t>
      </w:r>
      <w:proofErr w:type="spellEnd"/>
    </w:p>
    <w:p w14:paraId="6B162F37" w14:textId="3B770382" w:rsidR="00B642AC" w:rsidRPr="008D16D3" w:rsidRDefault="003C6ED1" w:rsidP="001D4D5E">
      <w:pPr>
        <w:spacing w:after="0" w:line="240" w:lineRule="auto"/>
        <w:contextualSpacing/>
        <w:jc w:val="both"/>
        <w:rPr>
          <w:rFonts w:ascii="Arial" w:hAnsi="Arial" w:cs="Arial"/>
          <w:b/>
          <w:color w:val="000000" w:themeColor="text1"/>
          <w:sz w:val="32"/>
          <w:szCs w:val="32"/>
        </w:rPr>
      </w:pPr>
      <w:r w:rsidRPr="008D16D3">
        <w:rPr>
          <w:rFonts w:ascii="Arial" w:hAnsi="Arial" w:cs="Arial"/>
          <w:b/>
          <w:color w:val="000000" w:themeColor="text1"/>
          <w:sz w:val="32"/>
          <w:szCs w:val="32"/>
        </w:rPr>
        <w:t>PRESIDENT</w:t>
      </w:r>
      <w:r w:rsidR="00E24398" w:rsidRPr="008D16D3">
        <w:rPr>
          <w:rFonts w:ascii="Arial" w:hAnsi="Arial" w:cs="Arial"/>
          <w:b/>
          <w:color w:val="000000" w:themeColor="text1"/>
          <w:sz w:val="32"/>
          <w:szCs w:val="32"/>
        </w:rPr>
        <w:t>E</w:t>
      </w:r>
      <w:r w:rsidRPr="008D16D3">
        <w:rPr>
          <w:rFonts w:ascii="Arial" w:hAnsi="Arial" w:cs="Arial"/>
          <w:b/>
          <w:color w:val="000000" w:themeColor="text1"/>
          <w:sz w:val="32"/>
          <w:szCs w:val="32"/>
        </w:rPr>
        <w:t xml:space="preserve"> DE LA </w:t>
      </w:r>
      <w:r w:rsidR="00B642AC" w:rsidRPr="008D16D3">
        <w:rPr>
          <w:rFonts w:ascii="Arial" w:hAnsi="Arial" w:cs="Arial"/>
          <w:b/>
          <w:color w:val="000000" w:themeColor="text1"/>
          <w:sz w:val="32"/>
          <w:szCs w:val="32"/>
        </w:rPr>
        <w:t>DIPUTACIÓN PERMANENTE</w:t>
      </w:r>
    </w:p>
    <w:p w14:paraId="2FAE560A" w14:textId="3CEAD8AA" w:rsidR="003C6ED1" w:rsidRPr="008D16D3" w:rsidRDefault="003C6ED1" w:rsidP="001D4D5E">
      <w:pPr>
        <w:spacing w:after="0" w:line="240" w:lineRule="auto"/>
        <w:contextualSpacing/>
        <w:jc w:val="both"/>
        <w:rPr>
          <w:rFonts w:ascii="Arial" w:hAnsi="Arial" w:cs="Arial"/>
          <w:b/>
          <w:color w:val="000000" w:themeColor="text1"/>
          <w:sz w:val="32"/>
          <w:szCs w:val="32"/>
        </w:rPr>
      </w:pPr>
      <w:r w:rsidRPr="008D16D3">
        <w:rPr>
          <w:rFonts w:ascii="Arial" w:hAnsi="Arial" w:cs="Arial"/>
          <w:b/>
          <w:color w:val="000000" w:themeColor="text1"/>
          <w:sz w:val="32"/>
          <w:szCs w:val="32"/>
        </w:rPr>
        <w:t>DE LA LX</w:t>
      </w:r>
      <w:r w:rsidR="00C76676" w:rsidRPr="008D16D3">
        <w:rPr>
          <w:rFonts w:ascii="Arial" w:hAnsi="Arial" w:cs="Arial"/>
          <w:b/>
          <w:color w:val="000000" w:themeColor="text1"/>
          <w:sz w:val="32"/>
          <w:szCs w:val="32"/>
        </w:rPr>
        <w:t>I</w:t>
      </w:r>
      <w:r w:rsidRPr="008D16D3">
        <w:rPr>
          <w:rFonts w:ascii="Arial" w:hAnsi="Arial" w:cs="Arial"/>
          <w:b/>
          <w:color w:val="000000" w:themeColor="text1"/>
          <w:sz w:val="32"/>
          <w:szCs w:val="32"/>
        </w:rPr>
        <w:t xml:space="preserve"> LEGISLATURA DEL ESTADO DE MÉXICO</w:t>
      </w:r>
    </w:p>
    <w:p w14:paraId="4E278BB5" w14:textId="1C5E98FD" w:rsidR="003C6ED1" w:rsidRPr="008D16D3" w:rsidRDefault="003C6ED1" w:rsidP="001D4D5E">
      <w:pPr>
        <w:tabs>
          <w:tab w:val="left" w:pos="6867"/>
        </w:tabs>
        <w:spacing w:after="0" w:line="240" w:lineRule="auto"/>
        <w:contextualSpacing/>
        <w:jc w:val="both"/>
        <w:rPr>
          <w:rFonts w:ascii="Arial" w:hAnsi="Arial" w:cs="Arial"/>
          <w:b/>
          <w:color w:val="000000" w:themeColor="text1"/>
          <w:sz w:val="32"/>
          <w:szCs w:val="32"/>
        </w:rPr>
      </w:pPr>
      <w:r w:rsidRPr="008D16D3">
        <w:rPr>
          <w:rFonts w:ascii="Arial" w:hAnsi="Arial" w:cs="Arial"/>
          <w:b/>
          <w:color w:val="000000" w:themeColor="text1"/>
          <w:sz w:val="32"/>
          <w:szCs w:val="32"/>
        </w:rPr>
        <w:t>P</w:t>
      </w:r>
      <w:r w:rsidR="000155BC" w:rsidRPr="008D16D3">
        <w:rPr>
          <w:rFonts w:ascii="Arial" w:hAnsi="Arial" w:cs="Arial"/>
          <w:b/>
          <w:color w:val="000000" w:themeColor="text1"/>
          <w:sz w:val="32"/>
          <w:szCs w:val="32"/>
        </w:rPr>
        <w:t xml:space="preserve"> </w:t>
      </w:r>
      <w:r w:rsidRPr="008D16D3">
        <w:rPr>
          <w:rFonts w:ascii="Arial" w:hAnsi="Arial" w:cs="Arial"/>
          <w:b/>
          <w:color w:val="000000" w:themeColor="text1"/>
          <w:sz w:val="32"/>
          <w:szCs w:val="32"/>
        </w:rPr>
        <w:t>R</w:t>
      </w:r>
      <w:r w:rsidR="000155BC" w:rsidRPr="008D16D3">
        <w:rPr>
          <w:rFonts w:ascii="Arial" w:hAnsi="Arial" w:cs="Arial"/>
          <w:b/>
          <w:color w:val="000000" w:themeColor="text1"/>
          <w:sz w:val="32"/>
          <w:szCs w:val="32"/>
        </w:rPr>
        <w:t xml:space="preserve"> </w:t>
      </w:r>
      <w:r w:rsidRPr="008D16D3">
        <w:rPr>
          <w:rFonts w:ascii="Arial" w:hAnsi="Arial" w:cs="Arial"/>
          <w:b/>
          <w:color w:val="000000" w:themeColor="text1"/>
          <w:sz w:val="32"/>
          <w:szCs w:val="32"/>
        </w:rPr>
        <w:t>E</w:t>
      </w:r>
      <w:r w:rsidR="000155BC" w:rsidRPr="008D16D3">
        <w:rPr>
          <w:rFonts w:ascii="Arial" w:hAnsi="Arial" w:cs="Arial"/>
          <w:b/>
          <w:color w:val="000000" w:themeColor="text1"/>
          <w:sz w:val="32"/>
          <w:szCs w:val="32"/>
        </w:rPr>
        <w:t xml:space="preserve"> </w:t>
      </w:r>
      <w:r w:rsidRPr="008D16D3">
        <w:rPr>
          <w:rFonts w:ascii="Arial" w:hAnsi="Arial" w:cs="Arial"/>
          <w:b/>
          <w:color w:val="000000" w:themeColor="text1"/>
          <w:sz w:val="32"/>
          <w:szCs w:val="32"/>
        </w:rPr>
        <w:t>S</w:t>
      </w:r>
      <w:r w:rsidR="000155BC" w:rsidRPr="008D16D3">
        <w:rPr>
          <w:rFonts w:ascii="Arial" w:hAnsi="Arial" w:cs="Arial"/>
          <w:b/>
          <w:color w:val="000000" w:themeColor="text1"/>
          <w:sz w:val="32"/>
          <w:szCs w:val="32"/>
        </w:rPr>
        <w:t xml:space="preserve"> </w:t>
      </w:r>
      <w:r w:rsidRPr="008D16D3">
        <w:rPr>
          <w:rFonts w:ascii="Arial" w:hAnsi="Arial" w:cs="Arial"/>
          <w:b/>
          <w:color w:val="000000" w:themeColor="text1"/>
          <w:sz w:val="32"/>
          <w:szCs w:val="32"/>
        </w:rPr>
        <w:t>E</w:t>
      </w:r>
      <w:r w:rsidR="000155BC" w:rsidRPr="008D16D3">
        <w:rPr>
          <w:rFonts w:ascii="Arial" w:hAnsi="Arial" w:cs="Arial"/>
          <w:b/>
          <w:color w:val="000000" w:themeColor="text1"/>
          <w:sz w:val="32"/>
          <w:szCs w:val="32"/>
        </w:rPr>
        <w:t xml:space="preserve"> </w:t>
      </w:r>
      <w:r w:rsidRPr="008D16D3">
        <w:rPr>
          <w:rFonts w:ascii="Arial" w:hAnsi="Arial" w:cs="Arial"/>
          <w:b/>
          <w:color w:val="000000" w:themeColor="text1"/>
          <w:sz w:val="32"/>
          <w:szCs w:val="32"/>
        </w:rPr>
        <w:t>N</w:t>
      </w:r>
      <w:r w:rsidR="000155BC" w:rsidRPr="008D16D3">
        <w:rPr>
          <w:rFonts w:ascii="Arial" w:hAnsi="Arial" w:cs="Arial"/>
          <w:b/>
          <w:color w:val="000000" w:themeColor="text1"/>
          <w:sz w:val="32"/>
          <w:szCs w:val="32"/>
        </w:rPr>
        <w:t xml:space="preserve"> </w:t>
      </w:r>
      <w:r w:rsidRPr="008D16D3">
        <w:rPr>
          <w:rFonts w:ascii="Arial" w:hAnsi="Arial" w:cs="Arial"/>
          <w:b/>
          <w:color w:val="000000" w:themeColor="text1"/>
          <w:sz w:val="32"/>
          <w:szCs w:val="32"/>
        </w:rPr>
        <w:t>T</w:t>
      </w:r>
      <w:r w:rsidR="000155BC" w:rsidRPr="008D16D3">
        <w:rPr>
          <w:rFonts w:ascii="Arial" w:hAnsi="Arial" w:cs="Arial"/>
          <w:b/>
          <w:color w:val="000000" w:themeColor="text1"/>
          <w:sz w:val="32"/>
          <w:szCs w:val="32"/>
        </w:rPr>
        <w:t xml:space="preserve"> </w:t>
      </w:r>
      <w:r w:rsidRPr="008D16D3">
        <w:rPr>
          <w:rFonts w:ascii="Arial" w:hAnsi="Arial" w:cs="Arial"/>
          <w:b/>
          <w:color w:val="000000" w:themeColor="text1"/>
          <w:sz w:val="32"/>
          <w:szCs w:val="32"/>
        </w:rPr>
        <w:t>E</w:t>
      </w:r>
      <w:r w:rsidR="000155BC" w:rsidRPr="008D16D3">
        <w:rPr>
          <w:rFonts w:ascii="Arial" w:hAnsi="Arial" w:cs="Arial"/>
          <w:b/>
          <w:color w:val="000000" w:themeColor="text1"/>
          <w:sz w:val="32"/>
          <w:szCs w:val="32"/>
        </w:rPr>
        <w:t>.</w:t>
      </w:r>
    </w:p>
    <w:p w14:paraId="5E2782EE" w14:textId="77777777" w:rsidR="003C6ED1" w:rsidRPr="008D16D3" w:rsidRDefault="003C6ED1" w:rsidP="00365EFE">
      <w:pPr>
        <w:spacing w:after="0" w:line="360" w:lineRule="auto"/>
        <w:jc w:val="both"/>
        <w:rPr>
          <w:rFonts w:ascii="Arial" w:hAnsi="Arial" w:cs="Arial"/>
          <w:b/>
          <w:color w:val="000000" w:themeColor="text1"/>
          <w:sz w:val="32"/>
          <w:szCs w:val="32"/>
        </w:rPr>
      </w:pPr>
    </w:p>
    <w:p w14:paraId="3BFA6D49" w14:textId="49CF5489" w:rsidR="006130DF" w:rsidRPr="008D16D3" w:rsidRDefault="00FF2BDF" w:rsidP="0055792A">
      <w:pPr>
        <w:spacing w:after="0" w:line="360" w:lineRule="auto"/>
        <w:jc w:val="both"/>
        <w:rPr>
          <w:rFonts w:ascii="Arial" w:hAnsi="Arial" w:cs="Arial"/>
          <w:sz w:val="32"/>
          <w:szCs w:val="32"/>
        </w:rPr>
      </w:pPr>
      <w:r w:rsidRPr="008D16D3">
        <w:rPr>
          <w:rFonts w:ascii="Arial" w:hAnsi="Arial" w:cs="Arial"/>
          <w:sz w:val="32"/>
          <w:szCs w:val="32"/>
        </w:rPr>
        <w:t xml:space="preserve">Los Diputados </w:t>
      </w:r>
      <w:r w:rsidR="0033526E" w:rsidRPr="008D16D3">
        <w:rPr>
          <w:rFonts w:ascii="Arial" w:hAnsi="Arial" w:cs="Arial"/>
          <w:b/>
          <w:bCs/>
          <w:sz w:val="32"/>
          <w:szCs w:val="32"/>
        </w:rPr>
        <w:t xml:space="preserve">Azucena Cisneros Coss, Daniel Andrés Sibaja González y Faustino de la Cruz Pérez </w:t>
      </w:r>
      <w:r w:rsidR="00FA67EA" w:rsidRPr="008D16D3">
        <w:rPr>
          <w:rFonts w:ascii="Arial" w:eastAsia="Calibri" w:hAnsi="Arial" w:cs="Arial"/>
          <w:color w:val="000000" w:themeColor="text1"/>
          <w:sz w:val="32"/>
          <w:szCs w:val="32"/>
        </w:rPr>
        <w:t xml:space="preserve"> </w:t>
      </w:r>
      <w:r w:rsidR="00C373B0" w:rsidRPr="008D16D3">
        <w:rPr>
          <w:rFonts w:ascii="Arial" w:eastAsia="Calibri" w:hAnsi="Arial" w:cs="Arial"/>
          <w:sz w:val="32"/>
          <w:szCs w:val="32"/>
        </w:rPr>
        <w:t>integrantes del Grupo Parlamentario de Morena y en su nombre</w:t>
      </w:r>
      <w:r w:rsidR="00C373B0" w:rsidRPr="008D16D3">
        <w:rPr>
          <w:rFonts w:ascii="Arial" w:eastAsia="Calibri" w:hAnsi="Arial" w:cs="Arial"/>
          <w:color w:val="000000" w:themeColor="text1"/>
          <w:sz w:val="32"/>
          <w:szCs w:val="32"/>
        </w:rPr>
        <w:t xml:space="preserve">, </w:t>
      </w:r>
      <w:r w:rsidR="00C373B0" w:rsidRPr="008D16D3">
        <w:rPr>
          <w:rFonts w:ascii="Arial" w:eastAsia="Calibri" w:hAnsi="Arial" w:cs="Arial"/>
          <w:sz w:val="32"/>
          <w:szCs w:val="32"/>
        </w:rPr>
        <w:t xml:space="preserve">en ejercicio de las facultades que nos confieren los artículos 55 y 57 de la Constitución Política del Estado Libre y Soberano de México; </w:t>
      </w:r>
      <w:r w:rsidR="008841AB" w:rsidRPr="008D16D3">
        <w:rPr>
          <w:rFonts w:ascii="Arial" w:eastAsia="Calibri" w:hAnsi="Arial" w:cs="Arial"/>
          <w:sz w:val="32"/>
          <w:szCs w:val="32"/>
        </w:rPr>
        <w:t xml:space="preserve">38 fracción IV y </w:t>
      </w:r>
      <w:r w:rsidR="00C373B0" w:rsidRPr="008D16D3">
        <w:rPr>
          <w:rFonts w:ascii="Arial" w:eastAsia="Calibri" w:hAnsi="Arial" w:cs="Arial"/>
          <w:sz w:val="32"/>
          <w:szCs w:val="32"/>
        </w:rPr>
        <w:t>83 de la Ley Orgánica del Poder Legislativo del Estado Libre y Soberano de México, y 74 del Reglamento del Poder Legislativo del Estado Libre y Soberano de México</w:t>
      </w:r>
      <w:r w:rsidR="00522123" w:rsidRPr="008D16D3">
        <w:rPr>
          <w:rFonts w:ascii="Arial" w:eastAsia="Calibri" w:hAnsi="Arial" w:cs="Arial"/>
          <w:sz w:val="32"/>
          <w:szCs w:val="32"/>
        </w:rPr>
        <w:t>, sometemos a consideración de esta H. Legislatura, la proposición con</w:t>
      </w:r>
      <w:r w:rsidR="0086169A" w:rsidRPr="008D16D3">
        <w:rPr>
          <w:rFonts w:ascii="Arial" w:eastAsia="Calibri" w:hAnsi="Arial" w:cs="Arial"/>
          <w:sz w:val="32"/>
          <w:szCs w:val="32"/>
        </w:rPr>
        <w:t xml:space="preserve"> </w:t>
      </w:r>
      <w:r w:rsidR="0086169A" w:rsidRPr="008D16D3">
        <w:rPr>
          <w:rFonts w:ascii="Arial" w:eastAsia="Calibri" w:hAnsi="Arial" w:cs="Arial"/>
          <w:b/>
          <w:bCs/>
          <w:color w:val="000000" w:themeColor="text1"/>
          <w:sz w:val="32"/>
          <w:szCs w:val="32"/>
        </w:rPr>
        <w:t>Punto de Acuerdo de Urgente y Obvia Resolución por el que se exhorta respetuosamente</w:t>
      </w:r>
      <w:r w:rsidR="0079344A" w:rsidRPr="008D16D3">
        <w:rPr>
          <w:rFonts w:ascii="Arial" w:eastAsia="Calibri" w:hAnsi="Arial" w:cs="Arial"/>
          <w:b/>
          <w:bCs/>
          <w:color w:val="000000" w:themeColor="text1"/>
          <w:sz w:val="32"/>
          <w:szCs w:val="32"/>
        </w:rPr>
        <w:t xml:space="preserve"> </w:t>
      </w:r>
      <w:r w:rsidR="0079344A" w:rsidRPr="008D16D3">
        <w:rPr>
          <w:rFonts w:ascii="Arial" w:hAnsi="Arial" w:cs="Arial"/>
          <w:b/>
          <w:bCs/>
          <w:sz w:val="32"/>
          <w:szCs w:val="32"/>
        </w:rPr>
        <w:t xml:space="preserve">al Sistema Estatal Anticorrupción, dentro de sus competencias, se pronuncie respecto a la denominada </w:t>
      </w:r>
      <w:r w:rsidR="0079344A" w:rsidRPr="008D16D3">
        <w:rPr>
          <w:rFonts w:ascii="Arial" w:hAnsi="Arial" w:cs="Arial"/>
          <w:b/>
          <w:bCs/>
          <w:sz w:val="32"/>
          <w:szCs w:val="32"/>
        </w:rPr>
        <w:lastRenderedPageBreak/>
        <w:t>“Estafa Maestra”, se estudie el caso y emita las recomendaciones respectivas; asimismo, se exhorta respetuosamente al Órgano Superior de Fiscalización del Estado de México (OSFEM) y al Titular del Órgano Interno de Control de la Universidad Autónoma del Estado de México (UAEM), informen los motivos por los cuales no han realizado ningún actuación para investigar y sancionar a los participantes de la llamada “Estafa Maestra”</w:t>
      </w:r>
      <w:r w:rsidR="006130DF" w:rsidRPr="008D16D3">
        <w:rPr>
          <w:rFonts w:ascii="Arial" w:eastAsia="Calibri" w:hAnsi="Arial" w:cs="Arial"/>
          <w:b/>
          <w:bCs/>
          <w:color w:val="000000" w:themeColor="text1"/>
          <w:sz w:val="32"/>
          <w:szCs w:val="32"/>
        </w:rPr>
        <w:t xml:space="preserve">, </w:t>
      </w:r>
      <w:r w:rsidR="006130DF" w:rsidRPr="008D16D3">
        <w:rPr>
          <w:rFonts w:ascii="Arial" w:eastAsia="Calibri" w:hAnsi="Arial" w:cs="Arial"/>
          <w:color w:val="000000" w:themeColor="text1"/>
          <w:sz w:val="32"/>
          <w:szCs w:val="32"/>
        </w:rPr>
        <w:t>conforme a la siguiente:</w:t>
      </w:r>
    </w:p>
    <w:p w14:paraId="01C66C63" w14:textId="77777777" w:rsidR="006130DF" w:rsidRPr="008D16D3" w:rsidRDefault="006130DF" w:rsidP="0055792A">
      <w:pPr>
        <w:spacing w:after="0" w:line="360" w:lineRule="auto"/>
        <w:jc w:val="both"/>
        <w:rPr>
          <w:rFonts w:ascii="Arial" w:eastAsia="Calibri" w:hAnsi="Arial" w:cs="Arial"/>
          <w:color w:val="000000" w:themeColor="text1"/>
          <w:sz w:val="32"/>
          <w:szCs w:val="32"/>
        </w:rPr>
      </w:pPr>
    </w:p>
    <w:p w14:paraId="113F4A7C" w14:textId="77777777" w:rsidR="006130DF" w:rsidRPr="008D16D3" w:rsidRDefault="006130DF" w:rsidP="0055792A">
      <w:pPr>
        <w:tabs>
          <w:tab w:val="left" w:pos="2694"/>
        </w:tabs>
        <w:spacing w:after="0" w:line="360" w:lineRule="auto"/>
        <w:jc w:val="center"/>
        <w:rPr>
          <w:rFonts w:ascii="Arial" w:hAnsi="Arial" w:cs="Arial"/>
          <w:b/>
          <w:bCs/>
          <w:color w:val="000000" w:themeColor="text1"/>
          <w:sz w:val="32"/>
          <w:szCs w:val="32"/>
          <w:shd w:val="clear" w:color="auto" w:fill="FFFFFF"/>
        </w:rPr>
      </w:pPr>
      <w:r w:rsidRPr="008D16D3">
        <w:rPr>
          <w:rFonts w:ascii="Arial" w:hAnsi="Arial" w:cs="Arial"/>
          <w:b/>
          <w:bCs/>
          <w:color w:val="000000" w:themeColor="text1"/>
          <w:sz w:val="32"/>
          <w:szCs w:val="32"/>
          <w:shd w:val="clear" w:color="auto" w:fill="FFFFFF"/>
        </w:rPr>
        <w:t>EXPOSICIÓN DE MOTIVOS</w:t>
      </w:r>
    </w:p>
    <w:p w14:paraId="44193D08" w14:textId="77777777" w:rsidR="006130DF" w:rsidRPr="008D16D3" w:rsidRDefault="006130DF" w:rsidP="0055792A">
      <w:pPr>
        <w:spacing w:after="0" w:line="360" w:lineRule="auto"/>
        <w:jc w:val="both"/>
        <w:rPr>
          <w:rFonts w:ascii="Arial" w:hAnsi="Arial" w:cs="Arial"/>
          <w:color w:val="000000" w:themeColor="text1"/>
          <w:sz w:val="32"/>
          <w:szCs w:val="32"/>
          <w:shd w:val="clear" w:color="auto" w:fill="FFFFFF"/>
        </w:rPr>
      </w:pPr>
    </w:p>
    <w:p w14:paraId="4849410F" w14:textId="36F2B990" w:rsidR="006A0314" w:rsidRPr="008D16D3" w:rsidRDefault="006A0314" w:rsidP="0055792A">
      <w:pPr>
        <w:spacing w:after="0" w:line="360" w:lineRule="auto"/>
        <w:jc w:val="both"/>
        <w:rPr>
          <w:rFonts w:ascii="Arial" w:hAnsi="Arial" w:cs="Arial"/>
          <w:i/>
          <w:iCs/>
          <w:sz w:val="32"/>
          <w:szCs w:val="32"/>
        </w:rPr>
      </w:pPr>
      <w:r w:rsidRPr="008D16D3">
        <w:rPr>
          <w:rFonts w:ascii="Arial" w:hAnsi="Arial" w:cs="Arial"/>
          <w:sz w:val="32"/>
          <w:szCs w:val="32"/>
        </w:rPr>
        <w:t xml:space="preserve">Considerando que el artículo 5º, capítulo 2 de la Ley del Sistema Anticorrupción del Estado de México y Municipios, señala que </w:t>
      </w:r>
      <w:r w:rsidRPr="008D16D3">
        <w:rPr>
          <w:rFonts w:ascii="Arial" w:hAnsi="Arial" w:cs="Arial"/>
          <w:i/>
          <w:iCs/>
          <w:sz w:val="32"/>
          <w:szCs w:val="32"/>
        </w:rPr>
        <w:t>“son principios rectores del servicio público: la legalidad, objetividad, profesionalismo, HONRADEZ, lealtad, imparcialidad, eficiencia, eficacia, equidad, transparencia, economía, INTEGRIDAD, competencia por mérito y rendición de cuentas…</w:t>
      </w:r>
      <w:r w:rsidR="0055792A" w:rsidRPr="008D16D3">
        <w:rPr>
          <w:rFonts w:ascii="Arial" w:hAnsi="Arial" w:cs="Arial"/>
          <w:sz w:val="32"/>
          <w:szCs w:val="32"/>
        </w:rPr>
        <w:t>”</w:t>
      </w:r>
      <w:r w:rsidRPr="008D16D3">
        <w:rPr>
          <w:rFonts w:ascii="Arial" w:hAnsi="Arial" w:cs="Arial"/>
          <w:sz w:val="32"/>
          <w:szCs w:val="32"/>
        </w:rPr>
        <w:t xml:space="preserve"> y que </w:t>
      </w:r>
      <w:r w:rsidRPr="008D16D3">
        <w:rPr>
          <w:rFonts w:ascii="Arial" w:hAnsi="Arial" w:cs="Arial"/>
          <w:i/>
          <w:iCs/>
          <w:sz w:val="32"/>
          <w:szCs w:val="32"/>
        </w:rPr>
        <w:t xml:space="preserve">“los entes públicos están obligados a crear </w:t>
      </w:r>
      <w:r w:rsidRPr="008D16D3">
        <w:rPr>
          <w:rFonts w:ascii="Arial" w:hAnsi="Arial" w:cs="Arial"/>
          <w:i/>
          <w:iCs/>
          <w:sz w:val="32"/>
          <w:szCs w:val="32"/>
        </w:rPr>
        <w:lastRenderedPageBreak/>
        <w:t>y mantener condiciones estructurales y normativas que permitan el adecuado funcionamiento del Estado en su conjunto y la ACTUACIÓN ÉTICA y responsable de cada servidor público.</w:t>
      </w:r>
      <w:r w:rsidR="0055792A" w:rsidRPr="008D16D3">
        <w:rPr>
          <w:rFonts w:ascii="Arial" w:hAnsi="Arial" w:cs="Arial"/>
          <w:i/>
          <w:iCs/>
          <w:sz w:val="32"/>
          <w:szCs w:val="32"/>
        </w:rPr>
        <w:t>”</w:t>
      </w:r>
      <w:r w:rsidRPr="008D16D3">
        <w:rPr>
          <w:rFonts w:ascii="Arial" w:hAnsi="Arial" w:cs="Arial"/>
          <w:i/>
          <w:iCs/>
          <w:sz w:val="32"/>
          <w:szCs w:val="32"/>
        </w:rPr>
        <w:t xml:space="preserve"> </w:t>
      </w:r>
    </w:p>
    <w:p w14:paraId="3D51BE15" w14:textId="77777777" w:rsidR="006A0314" w:rsidRPr="008D16D3" w:rsidRDefault="006A0314" w:rsidP="0055792A">
      <w:pPr>
        <w:spacing w:after="0" w:line="360" w:lineRule="auto"/>
        <w:jc w:val="both"/>
        <w:rPr>
          <w:rFonts w:ascii="Arial" w:hAnsi="Arial" w:cs="Arial"/>
          <w:sz w:val="32"/>
          <w:szCs w:val="32"/>
        </w:rPr>
      </w:pPr>
    </w:p>
    <w:p w14:paraId="03F5F91C"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Y considerando también que la fracción III del artículo 42, Capítulo Segundo de la Ley de Responsabilidades de los Servidores Públicos del Estado de México y Municipios señala como “obligación” de los servidores públicos de la entidad, </w:t>
      </w:r>
      <w:r w:rsidRPr="008D16D3">
        <w:rPr>
          <w:rFonts w:ascii="Arial" w:hAnsi="Arial" w:cs="Arial"/>
          <w:i/>
          <w:iCs/>
          <w:sz w:val="32"/>
          <w:szCs w:val="32"/>
        </w:rPr>
        <w:t>“abstenerse de causar daños o perjuicios a la Hacienda Pública Estatal o Municipal, sea por el manejo irregular de fondos y valores estatales o municipales o por irregularidades en el ejercicio o pago de recursos presupuestales del Estado y Municipios o de los contratos o convenios por el Estado con la Federación o sus Municipios”</w:t>
      </w:r>
      <w:r w:rsidRPr="008D16D3">
        <w:rPr>
          <w:rFonts w:ascii="Arial" w:hAnsi="Arial" w:cs="Arial"/>
          <w:sz w:val="32"/>
          <w:szCs w:val="32"/>
        </w:rPr>
        <w:t>, es que a continuación expongo lo siguiente:</w:t>
      </w:r>
    </w:p>
    <w:p w14:paraId="0E62539C" w14:textId="77777777" w:rsidR="006A0314" w:rsidRPr="001D4D5E" w:rsidRDefault="006A0314" w:rsidP="0055792A">
      <w:pPr>
        <w:spacing w:after="0" w:line="360" w:lineRule="auto"/>
        <w:jc w:val="both"/>
        <w:rPr>
          <w:rFonts w:ascii="Arial" w:hAnsi="Arial" w:cs="Arial"/>
          <w:sz w:val="16"/>
          <w:szCs w:val="16"/>
        </w:rPr>
      </w:pPr>
    </w:p>
    <w:p w14:paraId="6D2E3021"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El libro “Estafa Maestra” fue publicado en 2018 y da el nombre genérico a un esquema fraudulento documentado por la </w:t>
      </w:r>
      <w:r w:rsidRPr="008D16D3">
        <w:rPr>
          <w:rFonts w:ascii="Arial" w:hAnsi="Arial" w:cs="Arial"/>
          <w:sz w:val="32"/>
          <w:szCs w:val="32"/>
        </w:rPr>
        <w:lastRenderedPageBreak/>
        <w:t>Auditoria Superior de la Federación desde el 2011 a través de auditorías forenses.</w:t>
      </w:r>
    </w:p>
    <w:p w14:paraId="1FF9657D" w14:textId="77777777" w:rsidR="006A0314" w:rsidRPr="008D16D3" w:rsidRDefault="006A0314" w:rsidP="0055792A">
      <w:pPr>
        <w:spacing w:after="0" w:line="360" w:lineRule="auto"/>
        <w:jc w:val="both"/>
        <w:rPr>
          <w:rFonts w:ascii="Arial" w:hAnsi="Arial" w:cs="Arial"/>
          <w:sz w:val="32"/>
          <w:szCs w:val="32"/>
        </w:rPr>
      </w:pPr>
    </w:p>
    <w:p w14:paraId="3DB73DDC" w14:textId="6D454C8D"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El “modus operandi” de este sistema fraudulento para succionar y desviar recursos federales, consistió en la adjudicación directa de contratos para ejecutar obras o servicios a ocho universidades públicas del país, por parte de dependencias del gobierno federal desde finales del gobierno de Felipe Calderón Hinojosa y con mayor intensidad en el gobierno de Enrique Peña Nieto, en el que se exacerbó el saqueo bajo este mecanismo.</w:t>
      </w:r>
    </w:p>
    <w:p w14:paraId="39CCE568" w14:textId="77777777" w:rsidR="006A0314" w:rsidRPr="008D16D3" w:rsidRDefault="006A0314" w:rsidP="0055792A">
      <w:pPr>
        <w:spacing w:after="0" w:line="360" w:lineRule="auto"/>
        <w:jc w:val="both"/>
        <w:rPr>
          <w:rFonts w:ascii="Arial" w:hAnsi="Arial" w:cs="Arial"/>
          <w:sz w:val="32"/>
          <w:szCs w:val="32"/>
        </w:rPr>
      </w:pPr>
    </w:p>
    <w:p w14:paraId="0489A160" w14:textId="18C589D4"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Aun sin tener atribuciones legales y violando la Ley Federal de Adquisiciones, Arrendamientos y Servicios del Sector Público, que prohíbe a las dependencias del sector público subcontratar más del 49% de los contratos que reciben, las universidades aceptaban y firmaban los contratos, pero para cumplirlos subcontrataban a su vez a empresas irregulares, </w:t>
      </w:r>
      <w:proofErr w:type="spellStart"/>
      <w:r w:rsidRPr="008D16D3">
        <w:rPr>
          <w:rFonts w:ascii="Arial" w:hAnsi="Arial" w:cs="Arial"/>
          <w:sz w:val="32"/>
          <w:szCs w:val="32"/>
        </w:rPr>
        <w:t>factureras</w:t>
      </w:r>
      <w:proofErr w:type="spellEnd"/>
      <w:r w:rsidRPr="008D16D3">
        <w:rPr>
          <w:rFonts w:ascii="Arial" w:hAnsi="Arial" w:cs="Arial"/>
          <w:sz w:val="32"/>
          <w:szCs w:val="32"/>
        </w:rPr>
        <w:t xml:space="preserve"> o “empresas fantasma”, las cuales triangulaban entre sí los </w:t>
      </w:r>
      <w:r w:rsidRPr="008D16D3">
        <w:rPr>
          <w:rFonts w:ascii="Arial" w:hAnsi="Arial" w:cs="Arial"/>
          <w:sz w:val="32"/>
          <w:szCs w:val="32"/>
        </w:rPr>
        <w:lastRenderedPageBreak/>
        <w:t xml:space="preserve">fondos o a su vez subcontrataban a más empresas o personas físicas, creando así intrincadas redes detrás de las cuales desaparecían los fondos públicos. </w:t>
      </w:r>
    </w:p>
    <w:p w14:paraId="2F008424" w14:textId="77777777" w:rsidR="006A0314" w:rsidRPr="008D16D3" w:rsidRDefault="006A0314" w:rsidP="0055792A">
      <w:pPr>
        <w:spacing w:after="0" w:line="360" w:lineRule="auto"/>
        <w:jc w:val="both"/>
        <w:rPr>
          <w:rFonts w:ascii="Arial" w:hAnsi="Arial" w:cs="Arial"/>
          <w:sz w:val="32"/>
          <w:szCs w:val="32"/>
        </w:rPr>
      </w:pPr>
    </w:p>
    <w:p w14:paraId="41DA2F9F"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El esquema fraudulento fue detectado por Auditoria Superior de la Federación (ASF) desde el 2011 y el libro la “Estafa Maestra”, sistematizó un total de 73 contratos adjudicados a ocho universidades públicas por 11 dependencias federales entre 2013 y 2014. Esta red desvió en conjunto más de 7 mil millones de pesos en ese periodo, con apoyo de 186 empresas fantasma o irregulares. De esos 73 contratos fraudulentos documentados por la ASF y citados en el libro, un total de 14 correspondieron a la Universidad Autónoma del Estado de México (UAEM), la cual los operó a través del Fondo de Fomento y Desarrollo de la Investigación Científica y Tecnológica (FONDICT). </w:t>
      </w:r>
    </w:p>
    <w:p w14:paraId="6A61B8BB" w14:textId="11A6824E" w:rsidR="006A0314" w:rsidRDefault="006A0314" w:rsidP="0055792A">
      <w:pPr>
        <w:spacing w:after="0" w:line="360" w:lineRule="auto"/>
        <w:jc w:val="both"/>
        <w:rPr>
          <w:rFonts w:ascii="Arial" w:hAnsi="Arial" w:cs="Arial"/>
          <w:sz w:val="32"/>
          <w:szCs w:val="32"/>
        </w:rPr>
      </w:pPr>
    </w:p>
    <w:p w14:paraId="3BE195F2" w14:textId="77777777" w:rsidR="001D4D5E" w:rsidRPr="008D16D3" w:rsidRDefault="001D4D5E" w:rsidP="0055792A">
      <w:pPr>
        <w:spacing w:after="0" w:line="360" w:lineRule="auto"/>
        <w:jc w:val="both"/>
        <w:rPr>
          <w:rFonts w:ascii="Arial" w:hAnsi="Arial" w:cs="Arial"/>
          <w:sz w:val="32"/>
          <w:szCs w:val="32"/>
        </w:rPr>
      </w:pPr>
    </w:p>
    <w:p w14:paraId="41F8D332"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lastRenderedPageBreak/>
        <w:t xml:space="preserve">Es necesario recordar que de esos 14 contratos operados por el FONDICT, tres fueron adjudicados de manera directa por BANOBRAS cuando su titular era el actual gobernador del Estado de México, Alfredo del Mazo Maza; tres más por la Secretaría de Educación Pública (SEP) al frente de Emilio </w:t>
      </w:r>
      <w:proofErr w:type="spellStart"/>
      <w:r w:rsidRPr="008D16D3">
        <w:rPr>
          <w:rFonts w:ascii="Arial" w:hAnsi="Arial" w:cs="Arial"/>
          <w:sz w:val="32"/>
          <w:szCs w:val="32"/>
        </w:rPr>
        <w:t>Chuayffett</w:t>
      </w:r>
      <w:proofErr w:type="spellEnd"/>
      <w:r w:rsidRPr="008D16D3">
        <w:rPr>
          <w:rFonts w:ascii="Arial" w:hAnsi="Arial" w:cs="Arial"/>
          <w:sz w:val="32"/>
          <w:szCs w:val="32"/>
        </w:rPr>
        <w:t xml:space="preserve"> Chemor, dos más os adjudicó el Registro Agrario Nacional (RAN), cuyo titular era el </w:t>
      </w:r>
      <w:proofErr w:type="spellStart"/>
      <w:r w:rsidRPr="008D16D3">
        <w:rPr>
          <w:rFonts w:ascii="Arial" w:hAnsi="Arial" w:cs="Arial"/>
          <w:sz w:val="32"/>
          <w:szCs w:val="32"/>
        </w:rPr>
        <w:t>priísta</w:t>
      </w:r>
      <w:proofErr w:type="spellEnd"/>
      <w:r w:rsidRPr="008D16D3">
        <w:rPr>
          <w:rFonts w:ascii="Arial" w:hAnsi="Arial" w:cs="Arial"/>
          <w:sz w:val="32"/>
          <w:szCs w:val="32"/>
        </w:rPr>
        <w:t xml:space="preserve"> Manuel Ignacio Acosta Gutiérrez; cinco más los adjudicó la Secretaría de Comunicaciones y Transportes (SCT), cuando Gerardo Ruiz Esparza, estaba al frente de esa institución y uno lo adjudicó el Servicio Nacional de Sanidad, Inocuidad y Calidad Agroalimentaria (SENASICA), al frente del panista Enrique Sánchez Cruz quien duró en el cargo tres sexenios. </w:t>
      </w:r>
    </w:p>
    <w:p w14:paraId="01CB0946" w14:textId="77777777" w:rsidR="006A0314" w:rsidRPr="008D16D3" w:rsidRDefault="006A0314" w:rsidP="0055792A">
      <w:pPr>
        <w:spacing w:after="0" w:line="360" w:lineRule="auto"/>
        <w:jc w:val="both"/>
        <w:rPr>
          <w:rFonts w:ascii="Arial" w:hAnsi="Arial" w:cs="Arial"/>
          <w:sz w:val="32"/>
          <w:szCs w:val="32"/>
        </w:rPr>
      </w:pPr>
    </w:p>
    <w:p w14:paraId="652F6951"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De esta manera la llamada "Estafa Maestra" en su versión Estado de México, fue operada por una red de no menos de 30 políticos, altos funcionarios y rectores corruptos de la Universidad Autónoma del Estado de México ligados al PRI y al Grupo Atlacomulco, que en conjunto habrían desaparecido </w:t>
      </w:r>
      <w:r w:rsidRPr="008D16D3">
        <w:rPr>
          <w:rFonts w:ascii="Arial" w:hAnsi="Arial" w:cs="Arial"/>
          <w:sz w:val="32"/>
          <w:szCs w:val="32"/>
        </w:rPr>
        <w:lastRenderedPageBreak/>
        <w:t xml:space="preserve">alrededor de 3 mil millones de pesos solo entre 2011 y 2014, incluyendo los 14 contratos citados en el libro. </w:t>
      </w:r>
    </w:p>
    <w:p w14:paraId="66E82CAE" w14:textId="77777777" w:rsidR="006A0314" w:rsidRPr="008D16D3" w:rsidRDefault="006A0314" w:rsidP="0055792A">
      <w:pPr>
        <w:spacing w:after="0" w:line="360" w:lineRule="auto"/>
        <w:jc w:val="both"/>
        <w:rPr>
          <w:rFonts w:ascii="Arial" w:hAnsi="Arial" w:cs="Arial"/>
          <w:sz w:val="32"/>
          <w:szCs w:val="32"/>
        </w:rPr>
      </w:pPr>
    </w:p>
    <w:p w14:paraId="74070166" w14:textId="1696A274"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Sin embargo</w:t>
      </w:r>
      <w:r w:rsidR="0055792A" w:rsidRPr="008D16D3">
        <w:rPr>
          <w:rFonts w:ascii="Arial" w:hAnsi="Arial" w:cs="Arial"/>
          <w:sz w:val="32"/>
          <w:szCs w:val="32"/>
        </w:rPr>
        <w:t>,</w:t>
      </w:r>
      <w:r w:rsidRPr="008D16D3">
        <w:rPr>
          <w:rFonts w:ascii="Arial" w:hAnsi="Arial" w:cs="Arial"/>
          <w:sz w:val="32"/>
          <w:szCs w:val="32"/>
        </w:rPr>
        <w:t xml:space="preserve"> esos contratos no fueron los únicos. Existen al menos 10 auditorías forenses en las cuales se da constancia de un saqueo prolongado en el tiempo a partir a partir de este esquema fraudulento instrumentado entre el FONDICT y dependencias del gobierno federal, cuando Enrique Peña era presidente de la República y Eruviel Ávila gobernador del Estado de México. </w:t>
      </w:r>
    </w:p>
    <w:p w14:paraId="4BCD9F5D" w14:textId="77777777" w:rsidR="006A0314" w:rsidRPr="008D16D3" w:rsidRDefault="006A0314" w:rsidP="0055792A">
      <w:pPr>
        <w:spacing w:after="0" w:line="360" w:lineRule="auto"/>
        <w:jc w:val="both"/>
        <w:rPr>
          <w:rFonts w:ascii="Arial" w:hAnsi="Arial" w:cs="Arial"/>
          <w:sz w:val="32"/>
          <w:szCs w:val="32"/>
        </w:rPr>
      </w:pPr>
    </w:p>
    <w:p w14:paraId="2A678F9F"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Esas auditorias de la ASF revelan cómo el rector de la UAEM Jorge Gasca Pliego firmó los primeros convenios de colaboración con la Secretaria de Desarrollo Social (SEDESOL) al frente de Rosario Robles, y cómo el rector Jorge Olvera García, los ratificó, firmó otros nuevos e incorporó más y más contratos a través de FONDICT con docenas de nuevas dependencias incluida la Secretaría de Agricultura y Desarrollo Rural (SAGARPA) o la Secretaría de Economía, donde </w:t>
      </w:r>
      <w:r w:rsidRPr="008D16D3">
        <w:rPr>
          <w:rFonts w:ascii="Arial" w:hAnsi="Arial" w:cs="Arial"/>
          <w:sz w:val="32"/>
          <w:szCs w:val="32"/>
        </w:rPr>
        <w:lastRenderedPageBreak/>
        <w:t xml:space="preserve">casualmente estaban insertados otros </w:t>
      </w:r>
      <w:proofErr w:type="spellStart"/>
      <w:r w:rsidRPr="008D16D3">
        <w:rPr>
          <w:rFonts w:ascii="Arial" w:hAnsi="Arial" w:cs="Arial"/>
          <w:sz w:val="32"/>
          <w:szCs w:val="32"/>
        </w:rPr>
        <w:t>priístas</w:t>
      </w:r>
      <w:proofErr w:type="spellEnd"/>
      <w:r w:rsidRPr="008D16D3">
        <w:rPr>
          <w:rFonts w:ascii="Arial" w:hAnsi="Arial" w:cs="Arial"/>
          <w:sz w:val="32"/>
          <w:szCs w:val="32"/>
        </w:rPr>
        <w:t xml:space="preserve"> mexiquenses del Grupo Atlacomulco, como Ernesto Nemer Álvarez y Luis Miranda Nava en SEDESOL, o Enrique Jacob Rocha, en la Secretaría de Economía; o Ricardo Aguilar en la propia SAGARPA, algunos incluso citados en el propio libro debido a su peso político, los montos desviados y cercanía con el actual gobernador. </w:t>
      </w:r>
    </w:p>
    <w:p w14:paraId="61FDA29F" w14:textId="77777777" w:rsidR="006A0314" w:rsidRPr="008D16D3" w:rsidRDefault="006A0314" w:rsidP="0055792A">
      <w:pPr>
        <w:spacing w:after="0" w:line="360" w:lineRule="auto"/>
        <w:jc w:val="both"/>
        <w:rPr>
          <w:rFonts w:ascii="Arial" w:hAnsi="Arial" w:cs="Arial"/>
          <w:sz w:val="32"/>
          <w:szCs w:val="32"/>
        </w:rPr>
      </w:pPr>
    </w:p>
    <w:p w14:paraId="5A54A220" w14:textId="10821BEA"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Los saqueos de recursos federales a través del FONDICT de la Universidad Autónoma del Estado de México, provocaron docenas de pliegos de observaciones y de probables daños por parte de la ASF entre 2012 y 2017, además de recomendaciones para detener este mecanismo fraudulento y hasta denuncias del organismo auditor ante la Fiscalía General de la República (</w:t>
      </w:r>
      <w:r w:rsidR="00E51DA3" w:rsidRPr="008D16D3">
        <w:rPr>
          <w:rFonts w:ascii="Arial" w:hAnsi="Arial" w:cs="Arial"/>
          <w:sz w:val="32"/>
          <w:szCs w:val="32"/>
        </w:rPr>
        <w:t>F</w:t>
      </w:r>
      <w:r w:rsidRPr="008D16D3">
        <w:rPr>
          <w:rFonts w:ascii="Arial" w:hAnsi="Arial" w:cs="Arial"/>
          <w:sz w:val="32"/>
          <w:szCs w:val="32"/>
        </w:rPr>
        <w:t xml:space="preserve">GR). </w:t>
      </w:r>
    </w:p>
    <w:p w14:paraId="7BDC82D5" w14:textId="77777777" w:rsidR="006A0314" w:rsidRPr="008D16D3" w:rsidRDefault="006A0314" w:rsidP="0055792A">
      <w:pPr>
        <w:spacing w:after="0" w:line="360" w:lineRule="auto"/>
        <w:jc w:val="both"/>
        <w:rPr>
          <w:rFonts w:ascii="Arial" w:hAnsi="Arial" w:cs="Arial"/>
          <w:sz w:val="32"/>
          <w:szCs w:val="32"/>
        </w:rPr>
      </w:pPr>
    </w:p>
    <w:p w14:paraId="55942415" w14:textId="77E3E2AA"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Sin embargo</w:t>
      </w:r>
      <w:r w:rsidR="00577DB9" w:rsidRPr="008D16D3">
        <w:rPr>
          <w:rFonts w:ascii="Arial" w:hAnsi="Arial" w:cs="Arial"/>
          <w:sz w:val="32"/>
          <w:szCs w:val="32"/>
        </w:rPr>
        <w:t>,</w:t>
      </w:r>
      <w:r w:rsidRPr="008D16D3">
        <w:rPr>
          <w:rFonts w:ascii="Arial" w:hAnsi="Arial" w:cs="Arial"/>
          <w:sz w:val="32"/>
          <w:szCs w:val="32"/>
        </w:rPr>
        <w:t xml:space="preserve"> en todos los casos las observaciones y recomendaciones, incluso las multas, fueron desatendidas por altos funcionarios de la UAEM, sus rectores y gabinetes, </w:t>
      </w:r>
      <w:r w:rsidRPr="008D16D3">
        <w:rPr>
          <w:rFonts w:ascii="Arial" w:hAnsi="Arial" w:cs="Arial"/>
          <w:sz w:val="32"/>
          <w:szCs w:val="32"/>
        </w:rPr>
        <w:lastRenderedPageBreak/>
        <w:t>quienes actuaron como “muro”, junto con altos funcionarios del gobierno estatal de los últimos dos sexenios, para encubrir los desvíos y parar las denuncias y ocultarlas, evitando así que llegará la justicia.</w:t>
      </w:r>
    </w:p>
    <w:p w14:paraId="2F391977" w14:textId="77777777" w:rsidR="006A0314" w:rsidRPr="008D16D3" w:rsidRDefault="006A0314" w:rsidP="0055792A">
      <w:pPr>
        <w:spacing w:after="0" w:line="360" w:lineRule="auto"/>
        <w:jc w:val="both"/>
        <w:rPr>
          <w:rFonts w:ascii="Arial" w:hAnsi="Arial" w:cs="Arial"/>
          <w:sz w:val="32"/>
          <w:szCs w:val="32"/>
        </w:rPr>
      </w:pPr>
    </w:p>
    <w:p w14:paraId="3C92A9EC"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Los cálculos más conservadores nos colocan ante desfalcos y saqueos mediante el FONDICT y una red de alrededor de 200 empresas, que podrían rondar los 5 mil millones de pesos, ya que la firma de contratos se prolongó hasta el 2017, cuando el rector Alfredo Barrera, no solo firmó el último contrato fraudulento con DICONSA, sino que sigo encubriendo las operaciones del FONDICT y los delitos y desvíos de su antecesor –Jorge Olvera- y este de su antecesor.</w:t>
      </w:r>
    </w:p>
    <w:p w14:paraId="618D8558" w14:textId="77777777" w:rsidR="006A0314" w:rsidRPr="008D16D3" w:rsidRDefault="006A0314" w:rsidP="0055792A">
      <w:pPr>
        <w:spacing w:after="0" w:line="360" w:lineRule="auto"/>
        <w:jc w:val="both"/>
        <w:rPr>
          <w:rFonts w:ascii="Arial" w:hAnsi="Arial" w:cs="Arial"/>
          <w:sz w:val="32"/>
          <w:szCs w:val="32"/>
        </w:rPr>
      </w:pPr>
    </w:p>
    <w:p w14:paraId="0D416D2B" w14:textId="1EC2E065"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Tan solo en el caso de SEDESOL, las observaciones por probables daños al erario público producto de once convenios firmados con el FONDICT entre 2012 Y 2014 ascendieron a 334 millones 477 mil 338 pesos de acuerdo con un informe interno de la 64 Legislatura de la Cámara de Diputados federal </w:t>
      </w:r>
      <w:r w:rsidRPr="008D16D3">
        <w:rPr>
          <w:rFonts w:ascii="Arial" w:hAnsi="Arial" w:cs="Arial"/>
          <w:sz w:val="32"/>
          <w:szCs w:val="32"/>
        </w:rPr>
        <w:lastRenderedPageBreak/>
        <w:t>y de esos convenios con SEDESOL</w:t>
      </w:r>
      <w:r w:rsidR="00577DB9" w:rsidRPr="008D16D3">
        <w:rPr>
          <w:rFonts w:ascii="Arial" w:hAnsi="Arial" w:cs="Arial"/>
          <w:sz w:val="32"/>
          <w:szCs w:val="32"/>
        </w:rPr>
        <w:t>,</w:t>
      </w:r>
      <w:r w:rsidRPr="008D16D3">
        <w:rPr>
          <w:rFonts w:ascii="Arial" w:hAnsi="Arial" w:cs="Arial"/>
          <w:sz w:val="32"/>
          <w:szCs w:val="32"/>
        </w:rPr>
        <w:t xml:space="preserve"> la UAEM recibió y operó mal, desvío y distribuyó entre empresas fantasma y particulares un total de mil 431 millones 825 mil 200 pesos, recursos que tendrían que haberse destinado a la inclusión de adultos mayores a esquemas de pensión; a la cruzada nacional contra el hambre para favorecer a los mexicanos y mexicanas más pobres del país o para subsidios para la producción. Pero, no el FONDICT de la máxima casa de estudios, los desvió casi en su totalidad a cuentas privadas y de empresas irregulares. </w:t>
      </w:r>
    </w:p>
    <w:p w14:paraId="2205C930" w14:textId="77777777" w:rsidR="006A0314" w:rsidRPr="008D16D3" w:rsidRDefault="006A0314" w:rsidP="0055792A">
      <w:pPr>
        <w:spacing w:after="0" w:line="360" w:lineRule="auto"/>
        <w:jc w:val="both"/>
        <w:rPr>
          <w:rFonts w:ascii="Arial" w:hAnsi="Arial" w:cs="Arial"/>
          <w:sz w:val="32"/>
          <w:szCs w:val="32"/>
        </w:rPr>
      </w:pPr>
    </w:p>
    <w:p w14:paraId="5304039D"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Por estos 11 convenios signados con SEDESOL, Rosario Robles estuvo en la cárcel tres años, pero ninguno de sus probables cómplices en Edomex, incluidos rectores, exgobernadores, gobernadores y altos funcionarios de la UAEM y del gobierno mexiquense de dos sexenios fueron investigados, porque además contaron con otras redes de funcionarios mafiosos que los encubrieron. </w:t>
      </w:r>
    </w:p>
    <w:p w14:paraId="5C0B7B52" w14:textId="77777777" w:rsidR="006A0314" w:rsidRPr="008D16D3" w:rsidRDefault="006A0314" w:rsidP="0055792A">
      <w:pPr>
        <w:spacing w:after="0" w:line="360" w:lineRule="auto"/>
        <w:jc w:val="both"/>
        <w:rPr>
          <w:rFonts w:ascii="Arial" w:hAnsi="Arial" w:cs="Arial"/>
          <w:sz w:val="32"/>
          <w:szCs w:val="32"/>
        </w:rPr>
      </w:pPr>
    </w:p>
    <w:p w14:paraId="3F86D819"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lastRenderedPageBreak/>
        <w:t xml:space="preserve">Una investigación complementaria del portal </w:t>
      </w:r>
      <w:proofErr w:type="spellStart"/>
      <w:r w:rsidRPr="008D16D3">
        <w:rPr>
          <w:rFonts w:ascii="Arial" w:hAnsi="Arial" w:cs="Arial"/>
          <w:sz w:val="32"/>
          <w:szCs w:val="32"/>
        </w:rPr>
        <w:t>The</w:t>
      </w:r>
      <w:proofErr w:type="spellEnd"/>
      <w:r w:rsidRPr="008D16D3">
        <w:rPr>
          <w:rFonts w:ascii="Arial" w:hAnsi="Arial" w:cs="Arial"/>
          <w:sz w:val="32"/>
          <w:szCs w:val="32"/>
        </w:rPr>
        <w:t xml:space="preserve"> </w:t>
      </w:r>
      <w:proofErr w:type="spellStart"/>
      <w:r w:rsidRPr="008D16D3">
        <w:rPr>
          <w:rFonts w:ascii="Arial" w:hAnsi="Arial" w:cs="Arial"/>
          <w:sz w:val="32"/>
          <w:szCs w:val="32"/>
        </w:rPr>
        <w:t>Observer</w:t>
      </w:r>
      <w:proofErr w:type="spellEnd"/>
      <w:r w:rsidRPr="008D16D3">
        <w:rPr>
          <w:rFonts w:ascii="Arial" w:hAnsi="Arial" w:cs="Arial"/>
          <w:sz w:val="32"/>
          <w:szCs w:val="32"/>
        </w:rPr>
        <w:t xml:space="preserve">, periodismo y verificador, realizada a partir de las auditorias forenses y la red de empresas fantasma utilizadas por la UAEM y el FONDICT, así como de los contratos y hallazgos de la ASF, permite actualizar que al menos una red de 30 políticos y funcionarios del PRI ligados al Grupo Atlacomulco habrían participado directa, indirecta y tangencialmente en la Estafa Maestra en su versión mexiquense, no solo para desviar los fondos federales, también para encubrir las operaciones fraudulentas del FONDICT, prolongarlas hasta el 2017 y para blindarlas en la impunidad más absoluta hasta nuestros días. </w:t>
      </w:r>
    </w:p>
    <w:p w14:paraId="331D12B8" w14:textId="77777777" w:rsidR="006A0314" w:rsidRPr="008D16D3" w:rsidRDefault="006A0314" w:rsidP="0055792A">
      <w:pPr>
        <w:spacing w:after="0" w:line="360" w:lineRule="auto"/>
        <w:jc w:val="both"/>
        <w:rPr>
          <w:rFonts w:ascii="Arial" w:hAnsi="Arial" w:cs="Arial"/>
          <w:sz w:val="32"/>
          <w:szCs w:val="32"/>
        </w:rPr>
      </w:pPr>
    </w:p>
    <w:p w14:paraId="7D63FC4D"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Esta investigación documentó que existen no menos de cien contratos fraudulentos similares a los 14 que se describieron en el libro la Estafa Maestra signados por el FONDICT y documentados en diversas auditorías forenses, con la participación de alrededor de docenas de empresas fantasma. </w:t>
      </w:r>
    </w:p>
    <w:p w14:paraId="7FD2FF8B" w14:textId="77777777" w:rsidR="006A0314" w:rsidRPr="008D16D3" w:rsidRDefault="006A0314" w:rsidP="0055792A">
      <w:pPr>
        <w:spacing w:after="0" w:line="360" w:lineRule="auto"/>
        <w:jc w:val="both"/>
        <w:rPr>
          <w:rFonts w:ascii="Arial" w:hAnsi="Arial" w:cs="Arial"/>
          <w:b/>
          <w:bCs/>
          <w:sz w:val="32"/>
          <w:szCs w:val="32"/>
        </w:rPr>
      </w:pPr>
    </w:p>
    <w:p w14:paraId="5CA27526" w14:textId="13E98606" w:rsidR="006A0314" w:rsidRPr="008D16D3" w:rsidRDefault="006A0314" w:rsidP="0055792A">
      <w:pPr>
        <w:spacing w:after="0" w:line="360" w:lineRule="auto"/>
        <w:jc w:val="both"/>
        <w:rPr>
          <w:rFonts w:ascii="Arial" w:hAnsi="Arial" w:cs="Arial"/>
          <w:sz w:val="32"/>
          <w:szCs w:val="32"/>
        </w:rPr>
      </w:pPr>
      <w:r w:rsidRPr="008D16D3">
        <w:rPr>
          <w:rFonts w:ascii="Arial" w:hAnsi="Arial" w:cs="Arial"/>
          <w:b/>
          <w:bCs/>
          <w:sz w:val="32"/>
          <w:szCs w:val="32"/>
        </w:rPr>
        <w:lastRenderedPageBreak/>
        <w:t>Esto sin contar que no todos los contratos fueron auditados por la ASF y que durante años completos prácticamente no hubo auditorias, como en 2015 y 2016</w:t>
      </w:r>
      <w:r w:rsidRPr="008D16D3">
        <w:rPr>
          <w:rFonts w:ascii="Arial" w:hAnsi="Arial" w:cs="Arial"/>
          <w:sz w:val="32"/>
          <w:szCs w:val="32"/>
        </w:rPr>
        <w:t xml:space="preserve">, por lo que el monto desviado realmente por los gobiernos del PRI en Edomex en colusión con funcionarios UAEM, jamás podrá conocerse, pues la </w:t>
      </w:r>
      <w:r w:rsidR="00BA518F" w:rsidRPr="008D16D3">
        <w:rPr>
          <w:rFonts w:ascii="Arial" w:hAnsi="Arial" w:cs="Arial"/>
          <w:sz w:val="32"/>
          <w:szCs w:val="32"/>
        </w:rPr>
        <w:t>universidad,</w:t>
      </w:r>
      <w:r w:rsidRPr="008D16D3">
        <w:rPr>
          <w:rFonts w:ascii="Arial" w:hAnsi="Arial" w:cs="Arial"/>
          <w:sz w:val="32"/>
          <w:szCs w:val="32"/>
        </w:rPr>
        <w:t xml:space="preserve"> además, declaró reservados los contratos signados por el FONDICT. </w:t>
      </w:r>
    </w:p>
    <w:p w14:paraId="5F75242B" w14:textId="77777777" w:rsidR="006A0314" w:rsidRPr="008D16D3" w:rsidRDefault="006A0314" w:rsidP="0055792A">
      <w:pPr>
        <w:spacing w:after="0" w:line="360" w:lineRule="auto"/>
        <w:jc w:val="both"/>
        <w:rPr>
          <w:rFonts w:ascii="Arial" w:hAnsi="Arial" w:cs="Arial"/>
          <w:sz w:val="32"/>
          <w:szCs w:val="32"/>
        </w:rPr>
      </w:pPr>
    </w:p>
    <w:p w14:paraId="2BF97F02"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Cabe resaltar además que algunos otros connotados políticos </w:t>
      </w:r>
      <w:proofErr w:type="spellStart"/>
      <w:r w:rsidRPr="008D16D3">
        <w:rPr>
          <w:rFonts w:ascii="Arial" w:hAnsi="Arial" w:cs="Arial"/>
          <w:sz w:val="32"/>
          <w:szCs w:val="32"/>
        </w:rPr>
        <w:t>priístas</w:t>
      </w:r>
      <w:proofErr w:type="spellEnd"/>
      <w:r w:rsidRPr="008D16D3">
        <w:rPr>
          <w:rFonts w:ascii="Arial" w:hAnsi="Arial" w:cs="Arial"/>
          <w:sz w:val="32"/>
          <w:szCs w:val="32"/>
        </w:rPr>
        <w:t xml:space="preserve"> ligados a Enrique Peña Nieto y surgidos de los gobiernos del Edomex, son citados en el libro La Estafa Maestra, como Luis </w:t>
      </w:r>
      <w:proofErr w:type="spellStart"/>
      <w:r w:rsidRPr="008D16D3">
        <w:rPr>
          <w:rFonts w:ascii="Arial" w:hAnsi="Arial" w:cs="Arial"/>
          <w:sz w:val="32"/>
          <w:szCs w:val="32"/>
        </w:rPr>
        <w:t>Videragay</w:t>
      </w:r>
      <w:proofErr w:type="spellEnd"/>
      <w:r w:rsidRPr="008D16D3">
        <w:rPr>
          <w:rFonts w:ascii="Arial" w:hAnsi="Arial" w:cs="Arial"/>
          <w:sz w:val="32"/>
          <w:szCs w:val="32"/>
        </w:rPr>
        <w:t xml:space="preserve"> Caso, quien inicialmente ocupó la Secretaría de Hacienda (SHCP); Osvaldo </w:t>
      </w:r>
      <w:proofErr w:type="spellStart"/>
      <w:r w:rsidRPr="008D16D3">
        <w:rPr>
          <w:rFonts w:ascii="Arial" w:hAnsi="Arial" w:cs="Arial"/>
          <w:sz w:val="32"/>
          <w:szCs w:val="32"/>
        </w:rPr>
        <w:t>Sántín</w:t>
      </w:r>
      <w:proofErr w:type="spellEnd"/>
      <w:r w:rsidRPr="008D16D3">
        <w:rPr>
          <w:rFonts w:ascii="Arial" w:hAnsi="Arial" w:cs="Arial"/>
          <w:sz w:val="32"/>
          <w:szCs w:val="32"/>
        </w:rPr>
        <w:t xml:space="preserve"> Quiroz, en el SAT (a quien la ASF pidió docenas de solicitudes para investigar particulares y empresas que desaparecieron con recursos que les entregó el FONDICT y que nunca atendió); Rodrigo Jarque Lira, actual secretario de finanzas y ex director general de finanzas en Banobras; además de Aurora Sosa Oblea, ex titular de órgano de control interno de BANOBRAS y </w:t>
      </w:r>
      <w:r w:rsidRPr="008D16D3">
        <w:rPr>
          <w:rFonts w:ascii="Arial" w:hAnsi="Arial" w:cs="Arial"/>
          <w:sz w:val="32"/>
          <w:szCs w:val="32"/>
        </w:rPr>
        <w:lastRenderedPageBreak/>
        <w:t xml:space="preserve">quienes en compensación a su silencio y complicidad, fueron premiados con cargos públicos en la actual administración. </w:t>
      </w:r>
    </w:p>
    <w:p w14:paraId="1D8A2D18"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Los autores de la Estafa Maestra estiman que los saqueos pudieron rondar los 31 mil millones de pesos y que las dependencias donde ocurrieron los mayores desfalcos, fueron precisamente donde figuraban políticos mexiquenses del PRI como BANOBRAS.</w:t>
      </w:r>
    </w:p>
    <w:p w14:paraId="58F0C27E" w14:textId="77777777" w:rsidR="006A0314" w:rsidRPr="008D16D3" w:rsidRDefault="006A0314" w:rsidP="0055792A">
      <w:pPr>
        <w:spacing w:after="0" w:line="360" w:lineRule="auto"/>
        <w:jc w:val="both"/>
        <w:rPr>
          <w:rFonts w:ascii="Arial" w:hAnsi="Arial" w:cs="Arial"/>
          <w:sz w:val="32"/>
          <w:szCs w:val="32"/>
        </w:rPr>
      </w:pPr>
    </w:p>
    <w:p w14:paraId="27622E45"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Por su parte los rectores Eduardo Gasca Pliego, Jorge Olvera García, Alfredo Barrera Baca y Carlos Eduardo Barrera, entrelazados por sus propios gabinetes, operaron en coordinación con altos funcionarios mexiquenses para desviar los fondos a cambio de supuestas comisiones que cobraban por cada contrato fraudulento adjudicado desde el gobierno peñista; contratos que además de ser irregulares al asignarse a una universidad –cuyo objeto no es empresarial- en el 95% de los casos violaban el tope del 49% por ciento en subcontrataciones que dispone la ley. </w:t>
      </w:r>
    </w:p>
    <w:p w14:paraId="7C95E661" w14:textId="77777777" w:rsidR="006A0314" w:rsidRPr="008D16D3" w:rsidRDefault="006A0314" w:rsidP="0055792A">
      <w:pPr>
        <w:spacing w:after="0" w:line="360" w:lineRule="auto"/>
        <w:jc w:val="both"/>
        <w:rPr>
          <w:rFonts w:ascii="Arial" w:hAnsi="Arial" w:cs="Arial"/>
          <w:sz w:val="32"/>
          <w:szCs w:val="32"/>
        </w:rPr>
      </w:pPr>
    </w:p>
    <w:p w14:paraId="1DB404DC" w14:textId="31456946"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lastRenderedPageBreak/>
        <w:t>Por su parte Jorge Olvera en 2014 intentó blindar los saqueos firmando convenios ilegales con cada una de las empresas fantasma con las cuales triangulo y desapareció los fondos federales, pues pese a las alertas y pliegos de observaciones, nunca paro, como se da constancia en la auditor</w:t>
      </w:r>
      <w:r w:rsidR="00A00845" w:rsidRPr="008D16D3">
        <w:rPr>
          <w:rFonts w:ascii="Arial" w:hAnsi="Arial" w:cs="Arial"/>
          <w:sz w:val="32"/>
          <w:szCs w:val="32"/>
        </w:rPr>
        <w:t>í</w:t>
      </w:r>
      <w:r w:rsidRPr="008D16D3">
        <w:rPr>
          <w:rFonts w:ascii="Arial" w:hAnsi="Arial" w:cs="Arial"/>
          <w:sz w:val="32"/>
          <w:szCs w:val="32"/>
        </w:rPr>
        <w:t>a número 0208.</w:t>
      </w:r>
    </w:p>
    <w:p w14:paraId="1E2B3BDF" w14:textId="77777777" w:rsidR="006A0314" w:rsidRPr="008D16D3" w:rsidRDefault="006A0314" w:rsidP="0055792A">
      <w:pPr>
        <w:spacing w:after="0" w:line="360" w:lineRule="auto"/>
        <w:jc w:val="both"/>
        <w:rPr>
          <w:rFonts w:ascii="Arial" w:hAnsi="Arial" w:cs="Arial"/>
          <w:sz w:val="32"/>
          <w:szCs w:val="32"/>
        </w:rPr>
      </w:pPr>
    </w:p>
    <w:p w14:paraId="7BA4AC94" w14:textId="2CCB4866"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Todas las observaciones y pliegos de responsabilidades que ordeno iniciar la ASF a los entonces contralores de la universidad, fueron desatendidas, no hubo sanciones para nadie, ni tampoco dieron vista a la Fiscalía General de Justicia del Estado o a la Fiscalía General de la </w:t>
      </w:r>
      <w:r w:rsidR="00A00845" w:rsidRPr="008D16D3">
        <w:rPr>
          <w:rFonts w:ascii="Arial" w:hAnsi="Arial" w:cs="Arial"/>
          <w:sz w:val="32"/>
          <w:szCs w:val="32"/>
        </w:rPr>
        <w:t>República</w:t>
      </w:r>
      <w:r w:rsidRPr="008D16D3">
        <w:rPr>
          <w:rFonts w:ascii="Arial" w:hAnsi="Arial" w:cs="Arial"/>
          <w:sz w:val="32"/>
          <w:szCs w:val="32"/>
        </w:rPr>
        <w:t xml:space="preserve"> (PGR), ante la probable comisión de delitos para cumplir adecuadamente con su responsabilidad fiscalizadora; mientras que secretarios de contraloría y de finanzas del gobierno estatal también fueron omisos.</w:t>
      </w:r>
    </w:p>
    <w:p w14:paraId="777DB069" w14:textId="77777777" w:rsidR="006A0314" w:rsidRPr="008D16D3" w:rsidRDefault="006A0314" w:rsidP="0055792A">
      <w:pPr>
        <w:spacing w:after="0" w:line="360" w:lineRule="auto"/>
        <w:jc w:val="both"/>
        <w:rPr>
          <w:rFonts w:ascii="Arial" w:hAnsi="Arial" w:cs="Arial"/>
          <w:sz w:val="32"/>
          <w:szCs w:val="32"/>
        </w:rPr>
      </w:pPr>
    </w:p>
    <w:p w14:paraId="2BE595B8"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Emilio </w:t>
      </w:r>
      <w:proofErr w:type="spellStart"/>
      <w:r w:rsidRPr="008D16D3">
        <w:rPr>
          <w:rFonts w:ascii="Arial" w:hAnsi="Arial" w:cs="Arial"/>
          <w:sz w:val="32"/>
          <w:szCs w:val="32"/>
        </w:rPr>
        <w:t>Zebadua</w:t>
      </w:r>
      <w:proofErr w:type="spellEnd"/>
      <w:r w:rsidRPr="008D16D3">
        <w:rPr>
          <w:rFonts w:ascii="Arial" w:hAnsi="Arial" w:cs="Arial"/>
          <w:sz w:val="32"/>
          <w:szCs w:val="32"/>
        </w:rPr>
        <w:t xml:space="preserve">, ex oficial mayor de la SEDESOL, declaró en 2021 ante un juez, que “Los fondos –desviados- de la Estafa </w:t>
      </w:r>
      <w:r w:rsidRPr="008D16D3">
        <w:rPr>
          <w:rFonts w:ascii="Arial" w:hAnsi="Arial" w:cs="Arial"/>
          <w:sz w:val="32"/>
          <w:szCs w:val="32"/>
        </w:rPr>
        <w:lastRenderedPageBreak/>
        <w:t xml:space="preserve">Maestra, se utilizaron para propaganda de Osorio, Rosario y Peña Nieto, pero también en las elecciones del 2017 del Estado de México y para propaganda de Osorio, Rosario y Peña”. </w:t>
      </w:r>
    </w:p>
    <w:p w14:paraId="21AD8B23" w14:textId="77777777" w:rsidR="006A0314" w:rsidRPr="008D16D3" w:rsidRDefault="006A0314" w:rsidP="0055792A">
      <w:pPr>
        <w:spacing w:after="0" w:line="360" w:lineRule="auto"/>
        <w:jc w:val="both"/>
        <w:rPr>
          <w:rFonts w:ascii="Arial" w:hAnsi="Arial" w:cs="Arial"/>
          <w:sz w:val="32"/>
          <w:szCs w:val="32"/>
        </w:rPr>
      </w:pPr>
    </w:p>
    <w:p w14:paraId="19BF88A5"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Esto significa que la dirigencia del PRI del 2017 en el Estado de México, fue la responsable de operar los recursos ilegalmente obtenidos de la Estafa Maestra, para inyectarlos al proceso electoral de ese año. </w:t>
      </w:r>
    </w:p>
    <w:p w14:paraId="63E9EDFE" w14:textId="77777777" w:rsidR="006A0314" w:rsidRPr="008D16D3" w:rsidRDefault="006A0314" w:rsidP="0055792A">
      <w:pPr>
        <w:spacing w:after="0" w:line="360" w:lineRule="auto"/>
        <w:jc w:val="both"/>
        <w:rPr>
          <w:rFonts w:ascii="Arial" w:hAnsi="Arial" w:cs="Arial"/>
          <w:sz w:val="32"/>
          <w:szCs w:val="32"/>
        </w:rPr>
      </w:pPr>
    </w:p>
    <w:p w14:paraId="205C1120"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Pese todo este entramado mafioso y de saqueo y desvío de fondos federales, a la fecha no hay un solo responsable, operador o encubridor de la Estafa Mexiquense sancionado, salvo un procedimiento abierto contra el exdirector del </w:t>
      </w:r>
      <w:proofErr w:type="spellStart"/>
      <w:r w:rsidRPr="008D16D3">
        <w:rPr>
          <w:rFonts w:ascii="Arial" w:hAnsi="Arial" w:cs="Arial"/>
          <w:sz w:val="32"/>
          <w:szCs w:val="32"/>
        </w:rPr>
        <w:t>FONDICT</w:t>
      </w:r>
      <w:proofErr w:type="spellEnd"/>
      <w:r w:rsidRPr="008D16D3">
        <w:rPr>
          <w:rFonts w:ascii="Arial" w:hAnsi="Arial" w:cs="Arial"/>
          <w:sz w:val="32"/>
          <w:szCs w:val="32"/>
        </w:rPr>
        <w:t xml:space="preserve">, Erick </w:t>
      </w:r>
      <w:proofErr w:type="spellStart"/>
      <w:r w:rsidRPr="008D16D3">
        <w:rPr>
          <w:rFonts w:ascii="Arial" w:hAnsi="Arial" w:cs="Arial"/>
          <w:sz w:val="32"/>
          <w:szCs w:val="32"/>
        </w:rPr>
        <w:t>Herzaín</w:t>
      </w:r>
      <w:proofErr w:type="spellEnd"/>
      <w:r w:rsidRPr="008D16D3">
        <w:rPr>
          <w:rFonts w:ascii="Arial" w:hAnsi="Arial" w:cs="Arial"/>
          <w:sz w:val="32"/>
          <w:szCs w:val="32"/>
        </w:rPr>
        <w:t xml:space="preserve">, iniciado recientemente ante un juzgado administrativo por un órgano de control interno de BANOBRAS, pero solo por uno de los contratos fraudulentos signados en la gestión de Alfredo del Mazo, sin embargo en la </w:t>
      </w:r>
      <w:r w:rsidRPr="008D16D3">
        <w:rPr>
          <w:rFonts w:ascii="Arial" w:hAnsi="Arial" w:cs="Arial"/>
          <w:sz w:val="32"/>
          <w:szCs w:val="32"/>
        </w:rPr>
        <w:lastRenderedPageBreak/>
        <w:t xml:space="preserve">UAEM no se le fincó ningún procedimiento ni investigación de los solicitados por la ASF. </w:t>
      </w:r>
    </w:p>
    <w:p w14:paraId="0709C907" w14:textId="77777777" w:rsidR="006A0314" w:rsidRPr="008D16D3" w:rsidRDefault="006A0314" w:rsidP="0055792A">
      <w:pPr>
        <w:spacing w:after="0" w:line="360" w:lineRule="auto"/>
        <w:jc w:val="both"/>
        <w:rPr>
          <w:rFonts w:ascii="Arial" w:hAnsi="Arial" w:cs="Arial"/>
          <w:sz w:val="32"/>
          <w:szCs w:val="32"/>
        </w:rPr>
      </w:pPr>
    </w:p>
    <w:p w14:paraId="1D71C133" w14:textId="77777777"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Todos los responsables están impunes e incluso fueron premiados con altos cargos en las estructuras de gobierno, el caso más patético es el del propio Jorge Olvera García, a quien Eruviel Ávila intento lavar su pasado mafioso nombrándolo titular de la Comisión de Derechos Humanos del Estado de México (CODHEM), mientras que esta administración nombró a Alfredo Barrera Baca, como director del programa editorial.</w:t>
      </w:r>
    </w:p>
    <w:p w14:paraId="300D8916" w14:textId="77777777" w:rsidR="006A0314" w:rsidRPr="008D16D3" w:rsidRDefault="006A0314" w:rsidP="0055792A">
      <w:pPr>
        <w:spacing w:after="0" w:line="360" w:lineRule="auto"/>
        <w:jc w:val="both"/>
        <w:rPr>
          <w:rFonts w:ascii="Arial" w:hAnsi="Arial" w:cs="Arial"/>
          <w:sz w:val="32"/>
          <w:szCs w:val="32"/>
        </w:rPr>
      </w:pPr>
    </w:p>
    <w:p w14:paraId="1250D661" w14:textId="7AAD922D" w:rsidR="006A0314" w:rsidRPr="008D16D3" w:rsidRDefault="006A0314" w:rsidP="0055792A">
      <w:pPr>
        <w:spacing w:after="0" w:line="360" w:lineRule="auto"/>
        <w:jc w:val="both"/>
        <w:rPr>
          <w:rFonts w:ascii="Arial" w:hAnsi="Arial" w:cs="Arial"/>
          <w:sz w:val="32"/>
          <w:szCs w:val="32"/>
        </w:rPr>
      </w:pPr>
      <w:r w:rsidRPr="008D16D3">
        <w:rPr>
          <w:rFonts w:ascii="Arial" w:hAnsi="Arial" w:cs="Arial"/>
          <w:sz w:val="32"/>
          <w:szCs w:val="32"/>
        </w:rPr>
        <w:t xml:space="preserve">Jorge Olvera está hoy, además, vergonzosamente, cobrando un sueldo como investigador en la Facultad de Derecho por haber defraudado al Estado mexicano; Eruviel es senador de la República y toda la red completa de implicados sigue intacta y cobrando altos sueldos; lo mismo que el ex contralor interno de la UAEM, como el secretario de finanzas y abogados de la universidad, como Hiram Piña o María de la Luz Zarza, y otros altos funcionarios de gabinete que encubrieron la estafa. </w:t>
      </w:r>
    </w:p>
    <w:p w14:paraId="6FCDC926" w14:textId="44AA99EF" w:rsidR="00A00845" w:rsidRPr="008D16D3" w:rsidRDefault="00A00845" w:rsidP="0055792A">
      <w:pPr>
        <w:spacing w:after="0" w:line="360" w:lineRule="auto"/>
        <w:jc w:val="both"/>
        <w:rPr>
          <w:rFonts w:ascii="Arial" w:hAnsi="Arial" w:cs="Arial"/>
          <w:sz w:val="32"/>
          <w:szCs w:val="32"/>
        </w:rPr>
      </w:pPr>
    </w:p>
    <w:p w14:paraId="3AC319BD" w14:textId="77777777" w:rsidR="00A00845" w:rsidRPr="008D16D3" w:rsidRDefault="00A00845" w:rsidP="00A00845">
      <w:pPr>
        <w:spacing w:after="0" w:line="360" w:lineRule="auto"/>
        <w:jc w:val="both"/>
        <w:rPr>
          <w:rFonts w:ascii="Arial" w:hAnsi="Arial" w:cs="Arial"/>
          <w:sz w:val="32"/>
          <w:szCs w:val="32"/>
        </w:rPr>
      </w:pPr>
      <w:r w:rsidRPr="008D16D3">
        <w:rPr>
          <w:rFonts w:ascii="Arial" w:hAnsi="Arial" w:cs="Arial"/>
          <w:sz w:val="32"/>
          <w:szCs w:val="32"/>
        </w:rPr>
        <w:t xml:space="preserve">Cabe recordar que el artículo 2º de la Ley de Responsabilidades de los Servidores Públicos del Estado y Municipios, señala claramente que son </w:t>
      </w:r>
      <w:r w:rsidRPr="008D16D3">
        <w:rPr>
          <w:rFonts w:ascii="Arial" w:hAnsi="Arial" w:cs="Arial"/>
          <w:i/>
          <w:iCs/>
          <w:sz w:val="32"/>
          <w:szCs w:val="32"/>
        </w:rPr>
        <w:t>“sujetos de la ley de responsabilidades, aquellas personas que manejen o administren recursos económicos estatales, municipales, concertados o convenios por el Estado con la Federación o con sus municipios, y aquellas que en los términos del artículo 73, se beneficien con adquisiciones, enajenaciones, arrendamientos, mantenimientos y construcción de obras públicas, así como de prestación de servicios relacionados que deriven de actos o contratos que se realicen con cargo a dichos recursos”.</w:t>
      </w:r>
      <w:r w:rsidRPr="008D16D3">
        <w:rPr>
          <w:rFonts w:ascii="Arial" w:hAnsi="Arial" w:cs="Arial"/>
          <w:sz w:val="32"/>
          <w:szCs w:val="32"/>
        </w:rPr>
        <w:t xml:space="preserve"> </w:t>
      </w:r>
    </w:p>
    <w:p w14:paraId="69BF39DB" w14:textId="77777777" w:rsidR="00A00845" w:rsidRPr="008D16D3" w:rsidRDefault="00A00845" w:rsidP="00A00845">
      <w:pPr>
        <w:spacing w:after="0" w:line="360" w:lineRule="auto"/>
        <w:jc w:val="both"/>
        <w:rPr>
          <w:rFonts w:ascii="Arial" w:hAnsi="Arial" w:cs="Arial"/>
          <w:sz w:val="32"/>
          <w:szCs w:val="32"/>
        </w:rPr>
      </w:pPr>
    </w:p>
    <w:p w14:paraId="5FE04BA6" w14:textId="681B6A5C" w:rsidR="00A00845" w:rsidRPr="008D16D3" w:rsidRDefault="00A00845" w:rsidP="00A00845">
      <w:pPr>
        <w:spacing w:after="0" w:line="360" w:lineRule="auto"/>
        <w:jc w:val="both"/>
        <w:rPr>
          <w:rFonts w:ascii="Arial" w:hAnsi="Arial" w:cs="Arial"/>
          <w:sz w:val="32"/>
          <w:szCs w:val="32"/>
        </w:rPr>
      </w:pPr>
      <w:r w:rsidRPr="008D16D3">
        <w:rPr>
          <w:rFonts w:ascii="Arial" w:hAnsi="Arial" w:cs="Arial"/>
          <w:sz w:val="32"/>
          <w:szCs w:val="32"/>
        </w:rPr>
        <w:t xml:space="preserve">Se conmina además a las autoridades competentes del Sistema Estatal Anticorrupción, al OSFEM, a la Secretaría de la Contraloría y al Órgano de Control Interno de la Universidad Autónoma del Estado de México (UAEM), a dar vista a la Fiscalía Anticorrupción de la Fiscalía General de Justicia del </w:t>
      </w:r>
      <w:r w:rsidRPr="008D16D3">
        <w:rPr>
          <w:rFonts w:ascii="Arial" w:hAnsi="Arial" w:cs="Arial"/>
          <w:sz w:val="32"/>
          <w:szCs w:val="32"/>
        </w:rPr>
        <w:lastRenderedPageBreak/>
        <w:t>Estado de México, para que ante la evidencia reunida por la Auditoria Superior de la Federación (ASF) en más de 10 auditorías, se abra una investigación por probables delitos relacionados con evidentes hechos de corrupción en que habrían participado autoridades que siguen actualmente operando en diversos cargos de la administración pública estatal.</w:t>
      </w:r>
    </w:p>
    <w:p w14:paraId="423D025B" w14:textId="77777777" w:rsidR="006A0314" w:rsidRPr="008D16D3" w:rsidRDefault="006A0314" w:rsidP="0055792A">
      <w:pPr>
        <w:spacing w:after="0" w:line="360" w:lineRule="auto"/>
        <w:jc w:val="both"/>
        <w:rPr>
          <w:rFonts w:ascii="Arial" w:hAnsi="Arial" w:cs="Arial"/>
          <w:sz w:val="32"/>
          <w:szCs w:val="32"/>
        </w:rPr>
      </w:pPr>
    </w:p>
    <w:p w14:paraId="31A955B3" w14:textId="69BB5E80" w:rsidR="00A00845" w:rsidRPr="008D16D3" w:rsidRDefault="006A0314" w:rsidP="00A00845">
      <w:pPr>
        <w:spacing w:after="0" w:line="360" w:lineRule="auto"/>
        <w:jc w:val="both"/>
        <w:rPr>
          <w:rFonts w:ascii="Arial" w:eastAsia="Calibri" w:hAnsi="Arial" w:cs="Arial"/>
          <w:bCs/>
          <w:color w:val="000000" w:themeColor="text1"/>
          <w:sz w:val="32"/>
          <w:szCs w:val="32"/>
        </w:rPr>
      </w:pPr>
      <w:r w:rsidRPr="008D16D3">
        <w:rPr>
          <w:rFonts w:ascii="Arial" w:hAnsi="Arial" w:cs="Arial"/>
          <w:sz w:val="32"/>
          <w:szCs w:val="32"/>
        </w:rPr>
        <w:t>Por lo anterior y considerando la enorme deuda que tiene esta representación popular con el pueblo mexiquense, se propone este punto de acuerdo para dar luz sobre el más grande y escandaloso caso de corrupción extrema que se ha documentado en México y que tiene su epicentro mayor en el Estado de México</w:t>
      </w:r>
      <w:r w:rsidR="00A00845" w:rsidRPr="008D16D3">
        <w:rPr>
          <w:rFonts w:ascii="Arial" w:hAnsi="Arial" w:cs="Arial"/>
          <w:sz w:val="32"/>
          <w:szCs w:val="32"/>
        </w:rPr>
        <w:t xml:space="preserve">, se somete a la consideración de este H. Poder Legislativo del Estado de México, para su análisis, discusión y en su caso aprobación en sus términos, </w:t>
      </w:r>
      <w:bookmarkStart w:id="1" w:name="_Hlk112613879"/>
      <w:r w:rsidR="00A00845" w:rsidRPr="008D16D3">
        <w:rPr>
          <w:rFonts w:ascii="Arial" w:hAnsi="Arial" w:cs="Arial"/>
          <w:sz w:val="32"/>
          <w:szCs w:val="32"/>
        </w:rPr>
        <w:t>el presente.</w:t>
      </w:r>
    </w:p>
    <w:bookmarkEnd w:id="1"/>
    <w:p w14:paraId="092078EE" w14:textId="6120C68E" w:rsidR="00E37029" w:rsidRPr="008D16D3" w:rsidRDefault="006A0314" w:rsidP="000B14DF">
      <w:pPr>
        <w:spacing w:after="0" w:line="360" w:lineRule="auto"/>
        <w:jc w:val="both"/>
        <w:rPr>
          <w:rFonts w:ascii="Arial" w:hAnsi="Arial" w:cs="Arial"/>
          <w:sz w:val="32"/>
          <w:szCs w:val="32"/>
        </w:rPr>
      </w:pPr>
      <w:r w:rsidRPr="008D16D3">
        <w:rPr>
          <w:rFonts w:ascii="Arial" w:hAnsi="Arial" w:cs="Arial"/>
          <w:sz w:val="32"/>
          <w:szCs w:val="32"/>
        </w:rPr>
        <w:t xml:space="preserve"> </w:t>
      </w:r>
    </w:p>
    <w:p w14:paraId="740123A3" w14:textId="6FA2FB25" w:rsidR="008A2F91" w:rsidRPr="008D16D3" w:rsidRDefault="008A2F91" w:rsidP="0033526E">
      <w:pPr>
        <w:spacing w:after="0" w:line="360" w:lineRule="auto"/>
        <w:jc w:val="center"/>
        <w:rPr>
          <w:rFonts w:ascii="Arial" w:eastAsia="Calibri" w:hAnsi="Arial" w:cs="Arial"/>
          <w:b/>
          <w:color w:val="000000" w:themeColor="text1"/>
          <w:sz w:val="32"/>
          <w:szCs w:val="32"/>
        </w:rPr>
      </w:pPr>
      <w:r w:rsidRPr="008D16D3">
        <w:rPr>
          <w:rFonts w:ascii="Arial" w:eastAsia="Calibri" w:hAnsi="Arial" w:cs="Arial"/>
          <w:b/>
          <w:color w:val="000000" w:themeColor="text1"/>
          <w:sz w:val="32"/>
          <w:szCs w:val="32"/>
        </w:rPr>
        <w:t>P R E S E N T A N T E S</w:t>
      </w:r>
    </w:p>
    <w:p w14:paraId="6AC127CA" w14:textId="1AB7B58D" w:rsidR="008A2F91" w:rsidRPr="008D16D3" w:rsidRDefault="008A2F91" w:rsidP="008A2F91">
      <w:pPr>
        <w:spacing w:after="0" w:line="360" w:lineRule="auto"/>
        <w:jc w:val="center"/>
        <w:rPr>
          <w:rFonts w:ascii="Arial" w:eastAsia="Calibri" w:hAnsi="Arial" w:cs="Arial"/>
          <w:b/>
          <w:color w:val="000000" w:themeColor="text1"/>
          <w:sz w:val="32"/>
          <w:szCs w:val="32"/>
        </w:rPr>
      </w:pPr>
    </w:p>
    <w:tbl>
      <w:tblPr>
        <w:tblStyle w:val="Tablaconcuadrcula"/>
        <w:tblpPr w:leftFromText="141" w:rightFromText="141" w:vertAnchor="text" w:horzAnchor="margin" w:tblpY="5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308"/>
      </w:tblGrid>
      <w:tr w:rsidR="0033526E" w:rsidRPr="008D16D3" w14:paraId="4AB8369A" w14:textId="77777777" w:rsidTr="0033526E">
        <w:tc>
          <w:tcPr>
            <w:tcW w:w="4520" w:type="dxa"/>
          </w:tcPr>
          <w:p w14:paraId="003D6531" w14:textId="641B9E67" w:rsidR="0033526E" w:rsidRPr="008D16D3" w:rsidRDefault="0033526E" w:rsidP="0033526E">
            <w:pPr>
              <w:spacing w:line="360" w:lineRule="auto"/>
              <w:rPr>
                <w:rFonts w:ascii="Arial" w:eastAsia="Calibri" w:hAnsi="Arial" w:cs="Arial"/>
                <w:b/>
                <w:color w:val="000000" w:themeColor="text1"/>
                <w:sz w:val="32"/>
                <w:szCs w:val="32"/>
              </w:rPr>
            </w:pPr>
            <w:r w:rsidRPr="008D16D3">
              <w:rPr>
                <w:rFonts w:ascii="Arial" w:eastAsia="Calibri" w:hAnsi="Arial" w:cs="Arial"/>
                <w:b/>
                <w:color w:val="000000" w:themeColor="text1"/>
                <w:sz w:val="32"/>
                <w:szCs w:val="32"/>
              </w:rPr>
              <w:t>DIP. DANIEL ANDRÉS SIBAJA        GONZÁLEZ</w:t>
            </w:r>
          </w:p>
        </w:tc>
        <w:tc>
          <w:tcPr>
            <w:tcW w:w="4308" w:type="dxa"/>
          </w:tcPr>
          <w:p w14:paraId="4E5FC292" w14:textId="77777777" w:rsidR="0033526E" w:rsidRPr="008D16D3" w:rsidRDefault="0033526E" w:rsidP="0033526E">
            <w:pPr>
              <w:spacing w:line="360" w:lineRule="auto"/>
              <w:jc w:val="center"/>
              <w:rPr>
                <w:rFonts w:ascii="Arial" w:eastAsia="Calibri" w:hAnsi="Arial" w:cs="Arial"/>
                <w:b/>
                <w:color w:val="000000" w:themeColor="text1"/>
                <w:sz w:val="32"/>
                <w:szCs w:val="32"/>
              </w:rPr>
            </w:pPr>
            <w:r w:rsidRPr="008D16D3">
              <w:rPr>
                <w:rFonts w:ascii="Arial" w:eastAsia="Calibri" w:hAnsi="Arial" w:cs="Arial"/>
                <w:b/>
                <w:color w:val="000000" w:themeColor="text1"/>
                <w:sz w:val="32"/>
                <w:szCs w:val="32"/>
              </w:rPr>
              <w:t>DIP. AZUCENA CISNEROS COSS</w:t>
            </w:r>
          </w:p>
        </w:tc>
      </w:tr>
      <w:tr w:rsidR="0033526E" w:rsidRPr="008D16D3" w14:paraId="5733ABAA" w14:textId="77777777" w:rsidTr="0033526E">
        <w:tc>
          <w:tcPr>
            <w:tcW w:w="4520" w:type="dxa"/>
          </w:tcPr>
          <w:p w14:paraId="181398D3" w14:textId="77777777" w:rsidR="0033526E" w:rsidRPr="008D16D3" w:rsidRDefault="0033526E" w:rsidP="0033526E">
            <w:pPr>
              <w:spacing w:line="360" w:lineRule="auto"/>
              <w:rPr>
                <w:rFonts w:ascii="Arial" w:eastAsia="Calibri" w:hAnsi="Arial" w:cs="Arial"/>
                <w:b/>
                <w:color w:val="000000" w:themeColor="text1"/>
                <w:sz w:val="32"/>
                <w:szCs w:val="32"/>
              </w:rPr>
            </w:pPr>
          </w:p>
        </w:tc>
        <w:tc>
          <w:tcPr>
            <w:tcW w:w="4308" w:type="dxa"/>
          </w:tcPr>
          <w:p w14:paraId="42DA9930" w14:textId="77777777" w:rsidR="0033526E" w:rsidRPr="008D16D3" w:rsidRDefault="0033526E" w:rsidP="0033526E">
            <w:pPr>
              <w:spacing w:line="360" w:lineRule="auto"/>
              <w:jc w:val="center"/>
              <w:rPr>
                <w:rFonts w:ascii="Arial" w:eastAsia="Calibri" w:hAnsi="Arial" w:cs="Arial"/>
                <w:b/>
                <w:color w:val="000000" w:themeColor="text1"/>
                <w:sz w:val="32"/>
                <w:szCs w:val="32"/>
              </w:rPr>
            </w:pPr>
          </w:p>
        </w:tc>
      </w:tr>
    </w:tbl>
    <w:p w14:paraId="476B16A8" w14:textId="725112F4" w:rsidR="000B14DF" w:rsidRPr="008D16D3" w:rsidRDefault="000B14DF" w:rsidP="00B33BE7">
      <w:pPr>
        <w:spacing w:after="0" w:line="360" w:lineRule="auto"/>
        <w:rPr>
          <w:rFonts w:ascii="Arial" w:eastAsia="Calibri" w:hAnsi="Arial" w:cs="Arial"/>
          <w:b/>
          <w:color w:val="000000" w:themeColor="text1"/>
          <w:sz w:val="32"/>
          <w:szCs w:val="32"/>
        </w:rPr>
      </w:pPr>
    </w:p>
    <w:p w14:paraId="2B51185F" w14:textId="77777777" w:rsidR="000B14DF" w:rsidRPr="008D16D3" w:rsidRDefault="000B14DF" w:rsidP="008A2F91">
      <w:pPr>
        <w:spacing w:after="0" w:line="360" w:lineRule="auto"/>
        <w:jc w:val="center"/>
        <w:rPr>
          <w:rFonts w:ascii="Arial" w:eastAsia="Calibri" w:hAnsi="Arial" w:cs="Arial"/>
          <w:b/>
          <w:color w:val="000000" w:themeColor="text1"/>
          <w:sz w:val="32"/>
          <w:szCs w:val="32"/>
        </w:rPr>
      </w:pPr>
    </w:p>
    <w:p w14:paraId="435D55FA" w14:textId="1298C6DD" w:rsidR="008A2F91" w:rsidRPr="008D16D3" w:rsidRDefault="0033526E" w:rsidP="008A2F91">
      <w:pPr>
        <w:spacing w:after="0" w:line="360" w:lineRule="auto"/>
        <w:rPr>
          <w:rFonts w:ascii="Arial" w:eastAsia="Calibri" w:hAnsi="Arial" w:cs="Arial"/>
          <w:b/>
          <w:color w:val="000000" w:themeColor="text1"/>
          <w:sz w:val="32"/>
          <w:szCs w:val="32"/>
        </w:rPr>
      </w:pPr>
      <w:r w:rsidRPr="008D16D3">
        <w:rPr>
          <w:rFonts w:ascii="Arial" w:eastAsia="Calibri" w:hAnsi="Arial" w:cs="Arial"/>
          <w:b/>
          <w:color w:val="000000" w:themeColor="text1"/>
          <w:sz w:val="32"/>
          <w:szCs w:val="32"/>
        </w:rPr>
        <w:t xml:space="preserve">                                 DIP. FAUSTINO DE LA </w:t>
      </w:r>
      <w:proofErr w:type="gramStart"/>
      <w:r w:rsidRPr="008D16D3">
        <w:rPr>
          <w:rFonts w:ascii="Arial" w:eastAsia="Calibri" w:hAnsi="Arial" w:cs="Arial"/>
          <w:b/>
          <w:color w:val="000000" w:themeColor="text1"/>
          <w:sz w:val="32"/>
          <w:szCs w:val="32"/>
        </w:rPr>
        <w:t>CRUZ  PEREZ</w:t>
      </w:r>
      <w:proofErr w:type="gramEnd"/>
    </w:p>
    <w:p w14:paraId="040FFBFD" w14:textId="7D6ECF88" w:rsidR="00D15564" w:rsidRPr="008D16D3" w:rsidRDefault="00D15564" w:rsidP="00D15564">
      <w:pPr>
        <w:spacing w:after="0" w:line="340" w:lineRule="exact"/>
        <w:jc w:val="center"/>
        <w:rPr>
          <w:rFonts w:ascii="Arial" w:eastAsia="Times New Roman" w:hAnsi="Arial" w:cs="Arial"/>
          <w:b/>
          <w:sz w:val="32"/>
          <w:szCs w:val="32"/>
          <w:lang w:val="es-ES" w:eastAsia="es-ES"/>
        </w:rPr>
      </w:pPr>
      <w:r w:rsidRPr="008D16D3">
        <w:rPr>
          <w:rFonts w:ascii="Arial" w:eastAsia="Times New Roman" w:hAnsi="Arial" w:cs="Arial"/>
          <w:b/>
          <w:bCs/>
          <w:sz w:val="32"/>
          <w:szCs w:val="32"/>
          <w:lang w:val="es-ES" w:eastAsia="es-ES"/>
        </w:rPr>
        <w:t>PUNTO DE ACUERDO</w:t>
      </w:r>
    </w:p>
    <w:p w14:paraId="7442B89A" w14:textId="77777777" w:rsidR="00D15564" w:rsidRPr="008D16D3" w:rsidRDefault="00D15564" w:rsidP="00D15564">
      <w:pPr>
        <w:spacing w:after="0" w:line="340" w:lineRule="exact"/>
        <w:jc w:val="both"/>
        <w:rPr>
          <w:rFonts w:ascii="Arial" w:eastAsia="Times New Roman" w:hAnsi="Arial" w:cs="Arial"/>
          <w:b/>
          <w:sz w:val="32"/>
          <w:szCs w:val="32"/>
          <w:lang w:val="es-ES" w:eastAsia="es-ES"/>
        </w:rPr>
      </w:pPr>
    </w:p>
    <w:p w14:paraId="3EB0E5C7" w14:textId="77777777" w:rsidR="00D15564" w:rsidRPr="008D16D3" w:rsidRDefault="00D15564" w:rsidP="00D15564">
      <w:pPr>
        <w:spacing w:after="0" w:line="340" w:lineRule="exact"/>
        <w:jc w:val="both"/>
        <w:rPr>
          <w:rFonts w:ascii="Arial" w:eastAsia="Times New Roman" w:hAnsi="Arial" w:cs="Arial"/>
          <w:b/>
          <w:sz w:val="32"/>
          <w:szCs w:val="32"/>
          <w:lang w:val="es-ES" w:eastAsia="es-ES"/>
        </w:rPr>
      </w:pPr>
      <w:r w:rsidRPr="008D16D3">
        <w:rPr>
          <w:rFonts w:ascii="Arial" w:eastAsia="Times New Roman" w:hAnsi="Arial" w:cs="Arial"/>
          <w:b/>
          <w:sz w:val="32"/>
          <w:szCs w:val="32"/>
          <w:lang w:val="es-ES" w:eastAsia="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236BEA9F" w14:textId="77777777" w:rsidR="00D15564" w:rsidRPr="008D16D3" w:rsidRDefault="00D15564" w:rsidP="00D15564">
      <w:pPr>
        <w:spacing w:after="0" w:line="340" w:lineRule="exact"/>
        <w:jc w:val="center"/>
        <w:rPr>
          <w:rFonts w:ascii="Arial" w:eastAsia="Times New Roman" w:hAnsi="Arial" w:cs="Arial"/>
          <w:b/>
          <w:sz w:val="32"/>
          <w:szCs w:val="32"/>
          <w:lang w:val="es-ES" w:eastAsia="es-ES"/>
        </w:rPr>
      </w:pPr>
    </w:p>
    <w:p w14:paraId="7E149BBE" w14:textId="77777777" w:rsidR="00D15564" w:rsidRPr="008D16D3" w:rsidRDefault="00D15564" w:rsidP="00D15564">
      <w:pPr>
        <w:spacing w:after="0" w:line="340" w:lineRule="exact"/>
        <w:jc w:val="center"/>
        <w:rPr>
          <w:rFonts w:ascii="Arial" w:eastAsia="Times New Roman" w:hAnsi="Arial" w:cs="Arial"/>
          <w:b/>
          <w:bCs/>
          <w:sz w:val="32"/>
          <w:szCs w:val="32"/>
          <w:lang w:val="es-ES" w:eastAsia="es-ES"/>
        </w:rPr>
      </w:pPr>
      <w:r w:rsidRPr="008D16D3">
        <w:rPr>
          <w:rFonts w:ascii="Arial" w:eastAsia="Times New Roman" w:hAnsi="Arial" w:cs="Arial"/>
          <w:b/>
          <w:bCs/>
          <w:sz w:val="32"/>
          <w:szCs w:val="32"/>
          <w:lang w:val="es-ES" w:eastAsia="es-ES"/>
        </w:rPr>
        <w:t>ACUERDO</w:t>
      </w:r>
    </w:p>
    <w:p w14:paraId="60D046AD" w14:textId="470254BA" w:rsidR="004C105D" w:rsidRPr="008D16D3" w:rsidRDefault="006130DF" w:rsidP="004C105D">
      <w:pPr>
        <w:spacing w:after="0" w:line="360" w:lineRule="auto"/>
        <w:jc w:val="both"/>
        <w:rPr>
          <w:rFonts w:ascii="Arial" w:hAnsi="Arial" w:cs="Arial"/>
          <w:sz w:val="32"/>
          <w:szCs w:val="32"/>
        </w:rPr>
      </w:pPr>
      <w:r w:rsidRPr="008D16D3">
        <w:rPr>
          <w:rFonts w:ascii="Arial" w:hAnsi="Arial" w:cs="Arial"/>
          <w:bCs/>
          <w:sz w:val="32"/>
          <w:szCs w:val="32"/>
        </w:rPr>
        <w:cr/>
      </w:r>
      <w:r w:rsidR="004C105D" w:rsidRPr="008D16D3">
        <w:rPr>
          <w:rFonts w:ascii="Arial" w:hAnsi="Arial" w:cs="Arial"/>
          <w:b/>
          <w:sz w:val="32"/>
          <w:szCs w:val="32"/>
        </w:rPr>
        <w:t>Primero</w:t>
      </w:r>
      <w:r w:rsidRPr="008D16D3">
        <w:rPr>
          <w:rFonts w:ascii="Arial" w:hAnsi="Arial" w:cs="Arial"/>
          <w:b/>
          <w:sz w:val="32"/>
          <w:szCs w:val="32"/>
        </w:rPr>
        <w:t>.</w:t>
      </w:r>
      <w:r w:rsidR="004C105D" w:rsidRPr="008D16D3">
        <w:rPr>
          <w:rFonts w:ascii="Arial" w:hAnsi="Arial" w:cs="Arial"/>
          <w:sz w:val="32"/>
          <w:szCs w:val="32"/>
        </w:rPr>
        <w:t xml:space="preserve"> </w:t>
      </w:r>
      <w:r w:rsidR="00E0308A" w:rsidRPr="008D16D3">
        <w:rPr>
          <w:rFonts w:ascii="Arial" w:hAnsi="Arial" w:cs="Arial"/>
          <w:sz w:val="32"/>
          <w:szCs w:val="32"/>
        </w:rPr>
        <w:t>Se exhorta respetuosamente al Sistema Estatal Anticorrupción, dentro de sus competencias, se pronuncie respecto a la denominada “Estafa Maestra”</w:t>
      </w:r>
      <w:r w:rsidR="004C105D" w:rsidRPr="008D16D3">
        <w:rPr>
          <w:rFonts w:ascii="Arial" w:hAnsi="Arial" w:cs="Arial"/>
          <w:sz w:val="32"/>
          <w:szCs w:val="32"/>
        </w:rPr>
        <w:t>, estudie el caso y emit</w:t>
      </w:r>
      <w:r w:rsidR="00E0308A" w:rsidRPr="008D16D3">
        <w:rPr>
          <w:rFonts w:ascii="Arial" w:hAnsi="Arial" w:cs="Arial"/>
          <w:sz w:val="32"/>
          <w:szCs w:val="32"/>
        </w:rPr>
        <w:t>a</w:t>
      </w:r>
      <w:r w:rsidR="004C105D" w:rsidRPr="008D16D3">
        <w:rPr>
          <w:rFonts w:ascii="Arial" w:hAnsi="Arial" w:cs="Arial"/>
          <w:sz w:val="32"/>
          <w:szCs w:val="32"/>
        </w:rPr>
        <w:t xml:space="preserve"> las recomendaciones respectivas, en términos de los </w:t>
      </w:r>
      <w:r w:rsidR="004C105D" w:rsidRPr="008D16D3">
        <w:rPr>
          <w:rFonts w:ascii="Arial" w:hAnsi="Arial" w:cs="Arial"/>
          <w:sz w:val="32"/>
          <w:szCs w:val="32"/>
        </w:rPr>
        <w:lastRenderedPageBreak/>
        <w:t xml:space="preserve">artículos 53, 57 y 58 de la propia Ley del Sistema Anticorrupción del Estado de México y Municipios. </w:t>
      </w:r>
    </w:p>
    <w:p w14:paraId="31343FB4" w14:textId="77777777" w:rsidR="004C105D" w:rsidRPr="008D16D3" w:rsidRDefault="004C105D" w:rsidP="004C105D">
      <w:pPr>
        <w:spacing w:after="0" w:line="360" w:lineRule="auto"/>
        <w:jc w:val="both"/>
        <w:rPr>
          <w:rFonts w:ascii="Arial" w:hAnsi="Arial" w:cs="Arial"/>
          <w:sz w:val="32"/>
          <w:szCs w:val="32"/>
        </w:rPr>
      </w:pPr>
    </w:p>
    <w:p w14:paraId="7CAFEB17" w14:textId="7A6C5DC3" w:rsidR="0001400F" w:rsidRPr="008D16D3" w:rsidRDefault="00966975" w:rsidP="00E37029">
      <w:pPr>
        <w:spacing w:after="0" w:line="360" w:lineRule="auto"/>
        <w:jc w:val="both"/>
        <w:rPr>
          <w:rFonts w:ascii="Arial" w:hAnsi="Arial" w:cs="Arial"/>
          <w:b/>
          <w:sz w:val="32"/>
          <w:szCs w:val="32"/>
        </w:rPr>
      </w:pPr>
      <w:r w:rsidRPr="008D16D3">
        <w:rPr>
          <w:rFonts w:ascii="Arial" w:hAnsi="Arial" w:cs="Arial"/>
          <w:b/>
          <w:bCs/>
          <w:sz w:val="32"/>
          <w:szCs w:val="32"/>
        </w:rPr>
        <w:t>Segundo.</w:t>
      </w:r>
      <w:r w:rsidRPr="008D16D3">
        <w:rPr>
          <w:rFonts w:ascii="Arial" w:hAnsi="Arial" w:cs="Arial"/>
          <w:sz w:val="32"/>
          <w:szCs w:val="32"/>
        </w:rPr>
        <w:t xml:space="preserve"> </w:t>
      </w:r>
      <w:r w:rsidR="00D14914" w:rsidRPr="008D16D3">
        <w:rPr>
          <w:rFonts w:ascii="Arial" w:hAnsi="Arial" w:cs="Arial"/>
          <w:sz w:val="32"/>
          <w:szCs w:val="32"/>
        </w:rPr>
        <w:t>Se exhorta respetuosamente al Órgano Superior de Fiscalización del Estado de México (OSFEM) y al Titular del Órgano Interno de Control de la Universidad Autónoma del Estado de México (UAEM), informen los motivos por los cuales no han realizado ning</w:t>
      </w:r>
      <w:r w:rsidR="004B75B2" w:rsidRPr="008D16D3">
        <w:rPr>
          <w:rFonts w:ascii="Arial" w:hAnsi="Arial" w:cs="Arial"/>
          <w:sz w:val="32"/>
          <w:szCs w:val="32"/>
        </w:rPr>
        <w:t>una</w:t>
      </w:r>
      <w:r w:rsidR="00D14914" w:rsidRPr="008D16D3">
        <w:rPr>
          <w:rFonts w:ascii="Arial" w:hAnsi="Arial" w:cs="Arial"/>
          <w:sz w:val="32"/>
          <w:szCs w:val="32"/>
        </w:rPr>
        <w:t xml:space="preserve"> actuación para investigar y sancionar a los participantes de la llamada “Estafa Maestra”</w:t>
      </w:r>
      <w:r w:rsidR="004C105D" w:rsidRPr="008D16D3">
        <w:rPr>
          <w:rFonts w:ascii="Arial" w:hAnsi="Arial" w:cs="Arial"/>
          <w:sz w:val="32"/>
          <w:szCs w:val="32"/>
        </w:rPr>
        <w:t>, en términos de la Ley de Responsabilidades de los Servidores Púbicos del Estado y Municipios, en su capítulo cuarto</w:t>
      </w:r>
      <w:r w:rsidR="0011542C" w:rsidRPr="008D16D3">
        <w:rPr>
          <w:rFonts w:ascii="Arial" w:hAnsi="Arial" w:cs="Arial"/>
          <w:sz w:val="32"/>
          <w:szCs w:val="32"/>
        </w:rPr>
        <w:t>.</w:t>
      </w:r>
    </w:p>
    <w:p w14:paraId="260C6262" w14:textId="77777777" w:rsidR="00E37029" w:rsidRPr="008D16D3" w:rsidRDefault="00E37029" w:rsidP="00E37029">
      <w:pPr>
        <w:spacing w:after="0" w:line="360" w:lineRule="auto"/>
        <w:jc w:val="both"/>
        <w:rPr>
          <w:rFonts w:ascii="Arial" w:hAnsi="Arial" w:cs="Arial"/>
          <w:b/>
          <w:sz w:val="32"/>
          <w:szCs w:val="32"/>
        </w:rPr>
      </w:pPr>
    </w:p>
    <w:p w14:paraId="0072E588" w14:textId="26B4AF25" w:rsidR="006130DF" w:rsidRPr="008D16D3" w:rsidRDefault="006130DF" w:rsidP="006130DF">
      <w:pPr>
        <w:spacing w:after="0" w:line="360" w:lineRule="auto"/>
        <w:jc w:val="center"/>
        <w:rPr>
          <w:rFonts w:ascii="Arial" w:hAnsi="Arial" w:cs="Arial"/>
          <w:b/>
          <w:sz w:val="32"/>
          <w:szCs w:val="32"/>
        </w:rPr>
      </w:pPr>
      <w:r w:rsidRPr="008D16D3">
        <w:rPr>
          <w:rFonts w:ascii="Arial" w:hAnsi="Arial" w:cs="Arial"/>
          <w:b/>
          <w:sz w:val="32"/>
          <w:szCs w:val="32"/>
        </w:rPr>
        <w:t>TRANSITORIOS</w:t>
      </w:r>
    </w:p>
    <w:p w14:paraId="52DC3133" w14:textId="77777777" w:rsidR="006130DF" w:rsidRPr="008D16D3" w:rsidRDefault="006130DF" w:rsidP="006130DF">
      <w:pPr>
        <w:spacing w:after="0" w:line="360" w:lineRule="auto"/>
        <w:jc w:val="center"/>
        <w:rPr>
          <w:rFonts w:ascii="Arial" w:hAnsi="Arial" w:cs="Arial"/>
          <w:b/>
          <w:sz w:val="32"/>
          <w:szCs w:val="32"/>
        </w:rPr>
      </w:pPr>
    </w:p>
    <w:p w14:paraId="419F62E7" w14:textId="77777777" w:rsidR="00C47D6F" w:rsidRPr="008D16D3" w:rsidRDefault="00C47D6F" w:rsidP="00C47D6F">
      <w:pPr>
        <w:spacing w:after="0" w:line="360" w:lineRule="auto"/>
        <w:jc w:val="both"/>
        <w:rPr>
          <w:rFonts w:ascii="Arial" w:hAnsi="Arial" w:cs="Arial"/>
          <w:bCs/>
          <w:sz w:val="32"/>
          <w:szCs w:val="32"/>
        </w:rPr>
      </w:pPr>
      <w:r w:rsidRPr="008D16D3">
        <w:rPr>
          <w:rFonts w:ascii="Arial" w:hAnsi="Arial" w:cs="Arial"/>
          <w:b/>
          <w:bCs/>
          <w:sz w:val="32"/>
          <w:szCs w:val="32"/>
        </w:rPr>
        <w:t xml:space="preserve">ARTÍCULO PRIMERO. - </w:t>
      </w:r>
      <w:r w:rsidRPr="008D16D3">
        <w:rPr>
          <w:rFonts w:ascii="Arial" w:hAnsi="Arial" w:cs="Arial"/>
          <w:bCs/>
          <w:sz w:val="32"/>
          <w:szCs w:val="32"/>
        </w:rPr>
        <w:t>Publíquese el presente Acuerdo en el periódico oficial “Gaceta del Gobierno” del Estado de México.</w:t>
      </w:r>
    </w:p>
    <w:p w14:paraId="1AA21E59" w14:textId="7CA782BF" w:rsidR="00C47D6F" w:rsidRDefault="00C47D6F" w:rsidP="00C47D6F">
      <w:pPr>
        <w:spacing w:after="0" w:line="360" w:lineRule="auto"/>
        <w:jc w:val="both"/>
        <w:rPr>
          <w:rFonts w:ascii="Arial" w:hAnsi="Arial" w:cs="Arial"/>
          <w:b/>
          <w:sz w:val="32"/>
          <w:szCs w:val="32"/>
        </w:rPr>
      </w:pPr>
    </w:p>
    <w:p w14:paraId="414FDAF0" w14:textId="77777777" w:rsidR="00665E6B" w:rsidRPr="008D16D3" w:rsidRDefault="00665E6B" w:rsidP="00C47D6F">
      <w:pPr>
        <w:spacing w:after="0" w:line="360" w:lineRule="auto"/>
        <w:jc w:val="both"/>
        <w:rPr>
          <w:rFonts w:ascii="Arial" w:hAnsi="Arial" w:cs="Arial"/>
          <w:b/>
          <w:sz w:val="32"/>
          <w:szCs w:val="32"/>
        </w:rPr>
      </w:pPr>
    </w:p>
    <w:p w14:paraId="5872FB6C" w14:textId="77777777" w:rsidR="00C47D6F" w:rsidRPr="008D16D3" w:rsidRDefault="00C47D6F" w:rsidP="00C47D6F">
      <w:pPr>
        <w:spacing w:after="0" w:line="360" w:lineRule="auto"/>
        <w:jc w:val="both"/>
        <w:rPr>
          <w:rFonts w:ascii="Arial" w:hAnsi="Arial" w:cs="Arial"/>
          <w:b/>
          <w:sz w:val="32"/>
          <w:szCs w:val="32"/>
        </w:rPr>
      </w:pPr>
      <w:r w:rsidRPr="008D16D3">
        <w:rPr>
          <w:rFonts w:ascii="Arial" w:hAnsi="Arial" w:cs="Arial"/>
          <w:b/>
          <w:sz w:val="32"/>
          <w:szCs w:val="32"/>
        </w:rPr>
        <w:lastRenderedPageBreak/>
        <w:t xml:space="preserve">ARTÍCULO SEGUNDO. - </w:t>
      </w:r>
      <w:r w:rsidRPr="008D16D3">
        <w:rPr>
          <w:rFonts w:ascii="Arial" w:hAnsi="Arial" w:cs="Arial"/>
          <w:sz w:val="32"/>
          <w:szCs w:val="32"/>
        </w:rPr>
        <w:t>Comuníquese a las autoridades correspondientes.</w:t>
      </w:r>
    </w:p>
    <w:p w14:paraId="66490824" w14:textId="77777777" w:rsidR="006130DF" w:rsidRPr="008D16D3" w:rsidRDefault="006130DF" w:rsidP="006130DF">
      <w:pPr>
        <w:spacing w:after="0" w:line="360" w:lineRule="auto"/>
        <w:jc w:val="both"/>
        <w:rPr>
          <w:rFonts w:ascii="Arial" w:eastAsia="Times New Roman" w:hAnsi="Arial" w:cs="Arial"/>
          <w:color w:val="000000" w:themeColor="text1"/>
          <w:sz w:val="32"/>
          <w:szCs w:val="32"/>
        </w:rPr>
      </w:pPr>
    </w:p>
    <w:p w14:paraId="52953DD1" w14:textId="3CD3C5CD" w:rsidR="00120942" w:rsidRPr="008D16D3" w:rsidRDefault="006130DF" w:rsidP="006130DF">
      <w:pPr>
        <w:spacing w:after="0" w:line="360" w:lineRule="auto"/>
        <w:jc w:val="both"/>
        <w:textAlignment w:val="baseline"/>
        <w:rPr>
          <w:rFonts w:ascii="Arial" w:eastAsia="Calibri" w:hAnsi="Arial" w:cs="Arial"/>
          <w:bCs/>
          <w:color w:val="000000" w:themeColor="text1"/>
          <w:sz w:val="32"/>
          <w:szCs w:val="32"/>
        </w:rPr>
      </w:pPr>
      <w:r w:rsidRPr="008D16D3">
        <w:rPr>
          <w:rFonts w:ascii="Arial" w:eastAsia="Times New Roman" w:hAnsi="Arial" w:cs="Arial"/>
          <w:color w:val="000000" w:themeColor="text1"/>
          <w:sz w:val="32"/>
          <w:szCs w:val="32"/>
        </w:rPr>
        <w:t xml:space="preserve">Dado en el Palacio del Poder Legislativo en la Ciudad de Toluca, Capital del Estado de México, a los días __ del mes de ___ </w:t>
      </w:r>
      <w:proofErr w:type="spellStart"/>
      <w:r w:rsidRPr="008D16D3">
        <w:rPr>
          <w:rFonts w:ascii="Arial" w:eastAsia="Times New Roman" w:hAnsi="Arial" w:cs="Arial"/>
          <w:color w:val="000000" w:themeColor="text1"/>
          <w:sz w:val="32"/>
          <w:szCs w:val="32"/>
        </w:rPr>
        <w:t>de</w:t>
      </w:r>
      <w:proofErr w:type="spellEnd"/>
      <w:r w:rsidRPr="008D16D3">
        <w:rPr>
          <w:rFonts w:ascii="Arial" w:eastAsia="Times New Roman" w:hAnsi="Arial" w:cs="Arial"/>
          <w:color w:val="000000" w:themeColor="text1"/>
          <w:sz w:val="32"/>
          <w:szCs w:val="32"/>
        </w:rPr>
        <w:t xml:space="preserve"> dos mil veintitrés</w:t>
      </w:r>
      <w:r w:rsidRPr="008D16D3">
        <w:rPr>
          <w:rFonts w:ascii="Arial" w:eastAsia="Calibri" w:hAnsi="Arial" w:cs="Arial"/>
          <w:color w:val="000000" w:themeColor="text1"/>
          <w:sz w:val="32"/>
          <w:szCs w:val="32"/>
        </w:rPr>
        <w:t>.</w:t>
      </w:r>
    </w:p>
    <w:sectPr w:rsidR="00120942" w:rsidRPr="008D16D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8B5F6" w14:textId="77777777" w:rsidR="00934997" w:rsidRDefault="00934997" w:rsidP="003C6ED1">
      <w:pPr>
        <w:spacing w:after="0" w:line="240" w:lineRule="auto"/>
      </w:pPr>
      <w:r>
        <w:separator/>
      </w:r>
    </w:p>
  </w:endnote>
  <w:endnote w:type="continuationSeparator" w:id="0">
    <w:p w14:paraId="415ABF65" w14:textId="77777777" w:rsidR="00934997" w:rsidRDefault="00934997" w:rsidP="003C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A5915" w14:textId="77777777" w:rsidR="00B110F3" w:rsidRDefault="00B110F3" w:rsidP="00B110F3">
    <w:pPr>
      <w:tabs>
        <w:tab w:val="center" w:pos="4419"/>
        <w:tab w:val="right" w:pos="8838"/>
      </w:tabs>
      <w:spacing w:after="0" w:line="240" w:lineRule="auto"/>
      <w:rPr>
        <w:rFonts w:ascii="Lato" w:eastAsia="Calibri" w:hAnsi="Lato" w:cs="Times New Roman"/>
        <w:noProof/>
        <w:color w:val="692044"/>
        <w:sz w:val="18"/>
        <w:lang w:eastAsia="es-MX"/>
      </w:rPr>
    </w:pPr>
  </w:p>
  <w:p w14:paraId="2C844D04" w14:textId="416FC0F5" w:rsidR="00B110F3" w:rsidRPr="00B110F3" w:rsidRDefault="00B110F3"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2336" behindDoc="0" locked="0" layoutInCell="1" allowOverlap="1" wp14:anchorId="11A6222E" wp14:editId="73667CEF">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61312" behindDoc="0" locked="0" layoutInCell="1" allowOverlap="1" wp14:anchorId="3AF970DA" wp14:editId="0E6B3227">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6A8B633A" w14:textId="77777777" w:rsidR="00B110F3" w:rsidRPr="00B110F3" w:rsidRDefault="00B110F3" w:rsidP="00B110F3">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p w14:paraId="006A8612" w14:textId="77777777" w:rsidR="00B110F3" w:rsidRPr="00B110F3" w:rsidRDefault="00B110F3" w:rsidP="00B110F3">
    <w:pPr>
      <w:tabs>
        <w:tab w:val="center" w:pos="4419"/>
        <w:tab w:val="right" w:pos="8838"/>
      </w:tabs>
      <w:spacing w:after="0" w:line="240" w:lineRule="auto"/>
      <w:rPr>
        <w:rFonts w:ascii="Calibri" w:eastAsia="Calibri" w:hAnsi="Calibri" w:cs="Times New Roman"/>
      </w:rPr>
    </w:pPr>
  </w:p>
  <w:p w14:paraId="3F0AD7A7" w14:textId="0D44F6D6" w:rsidR="00654CD6" w:rsidRPr="00654CD6" w:rsidRDefault="00934997" w:rsidP="00654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A6670" w14:textId="77777777" w:rsidR="00934997" w:rsidRDefault="00934997" w:rsidP="003C6ED1">
      <w:pPr>
        <w:spacing w:after="0" w:line="240" w:lineRule="auto"/>
      </w:pPr>
      <w:r>
        <w:separator/>
      </w:r>
    </w:p>
  </w:footnote>
  <w:footnote w:type="continuationSeparator" w:id="0">
    <w:p w14:paraId="25D49728" w14:textId="77777777" w:rsidR="00934997" w:rsidRDefault="00934997" w:rsidP="003C6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0447" w14:textId="5061B1F3" w:rsidR="00E15B46" w:rsidRDefault="009E1C30"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6432" behindDoc="0" locked="0" layoutInCell="1" allowOverlap="1" wp14:anchorId="1C1B659F" wp14:editId="39D73873">
              <wp:simplePos x="0" y="0"/>
              <wp:positionH relativeFrom="margin">
                <wp:align>left</wp:align>
              </wp:positionH>
              <wp:positionV relativeFrom="paragraph">
                <wp:posOffset>664845</wp:posOffset>
              </wp:positionV>
              <wp:extent cx="5819775" cy="82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28000"/>
                      </a:xfrm>
                      <a:prstGeom prst="rect">
                        <a:avLst/>
                      </a:prstGeom>
                      <a:noFill/>
                      <a:ln w="9525">
                        <a:noFill/>
                        <a:miter lim="800000"/>
                        <a:headEnd/>
                        <a:tailEnd/>
                      </a:ln>
                    </wps:spPr>
                    <wps:txbx>
                      <w:txbxContent>
                        <w:p w14:paraId="49E32B5F" w14:textId="57BE6D59"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Grupo Parlamentario morena</w:t>
                          </w:r>
                        </w:p>
                        <w:p w14:paraId="2B03A731" w14:textId="78540034" w:rsidR="009E1C30" w:rsidRPr="00C47D6F" w:rsidRDefault="004477A5" w:rsidP="009E1C30">
                          <w:pPr>
                            <w:jc w:val="center"/>
                            <w:rPr>
                              <w:rFonts w:ascii="Lato" w:eastAsia="Calibri" w:hAnsi="Lato" w:cs="Times New Roman"/>
                              <w:b/>
                              <w:color w:val="97184B"/>
                              <w:sz w:val="14"/>
                              <w:szCs w:val="14"/>
                            </w:rPr>
                          </w:pPr>
                          <w:r w:rsidRPr="00C47D6F">
                            <w:rPr>
                              <w:rFonts w:ascii="Lato" w:eastAsia="Calibri" w:hAnsi="Lato" w:cs="Times New Roman"/>
                              <w:b/>
                              <w:color w:val="97184B"/>
                              <w:sz w:val="16"/>
                            </w:rPr>
                            <w:t>“202</w:t>
                          </w:r>
                          <w:r w:rsidR="00A836DC" w:rsidRPr="00C47D6F">
                            <w:rPr>
                              <w:rFonts w:ascii="Lato" w:eastAsia="Calibri" w:hAnsi="Lato" w:cs="Times New Roman"/>
                              <w:b/>
                              <w:color w:val="97184B"/>
                              <w:sz w:val="16"/>
                            </w:rPr>
                            <w:t>3. Año del Septuagésimo Aniversario del Reconocimiento del Derecho al Voto de las Mujeres en México</w:t>
                          </w:r>
                          <w:r w:rsidRPr="00C47D6F">
                            <w:rPr>
                              <w:rFonts w:ascii="Lato" w:eastAsia="Calibri" w:hAnsi="Lato" w:cs="Times New Roman"/>
                              <w:b/>
                              <w:color w:val="97184B"/>
                              <w:sz w:val="16"/>
                            </w:rPr>
                            <w:t>”</w:t>
                          </w:r>
                        </w:p>
                        <w:p w14:paraId="4631C7CF" w14:textId="3392870A"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w:t>
                          </w:r>
                          <w:r w:rsidR="00A80FD6">
                            <w:rPr>
                              <w:rFonts w:ascii="Lato" w:eastAsia="Calibri" w:hAnsi="Lato" w:cs="Times New Roman"/>
                              <w:b/>
                              <w:color w:val="97184B"/>
                              <w:sz w:val="26"/>
                            </w:rPr>
                            <w:t>Azucena Cisneros Coss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1B659F" id="_x0000_t202" coordsize="21600,21600" o:spt="202" path="m,l,21600r21600,l21600,xe">
              <v:stroke joinstyle="miter"/>
              <v:path gradientshapeok="t" o:connecttype="rect"/>
            </v:shapetype>
            <v:shape id="Cuadro de texto 2" o:spid="_x0000_s1026" type="#_x0000_t202" style="position:absolute;left:0;text-align:left;margin-left:0;margin-top:52.35pt;width:458.25pt;height:65.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" filled="f" stroked="f">
              <v:textbox>
                <w:txbxContent>
                  <w:p w14:paraId="49E32B5F" w14:textId="57BE6D59"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Grupo Parlamentario morena</w:t>
                    </w:r>
                  </w:p>
                  <w:p w14:paraId="2B03A731" w14:textId="78540034" w:rsidR="009E1C30" w:rsidRPr="00C47D6F" w:rsidRDefault="004477A5" w:rsidP="009E1C30">
                    <w:pPr>
                      <w:jc w:val="center"/>
                      <w:rPr>
                        <w:rFonts w:ascii="Lato" w:eastAsia="Calibri" w:hAnsi="Lato" w:cs="Times New Roman"/>
                        <w:b/>
                        <w:color w:val="97184B"/>
                        <w:sz w:val="14"/>
                        <w:szCs w:val="14"/>
                      </w:rPr>
                    </w:pPr>
                    <w:r w:rsidRPr="00C47D6F">
                      <w:rPr>
                        <w:rFonts w:ascii="Lato" w:eastAsia="Calibri" w:hAnsi="Lato" w:cs="Times New Roman"/>
                        <w:b/>
                        <w:color w:val="97184B"/>
                        <w:sz w:val="16"/>
                      </w:rPr>
                      <w:t>“202</w:t>
                    </w:r>
                    <w:r w:rsidR="00A836DC" w:rsidRPr="00C47D6F">
                      <w:rPr>
                        <w:rFonts w:ascii="Lato" w:eastAsia="Calibri" w:hAnsi="Lato" w:cs="Times New Roman"/>
                        <w:b/>
                        <w:color w:val="97184B"/>
                        <w:sz w:val="16"/>
                      </w:rPr>
                      <w:t>3. Año del Septuagésimo Aniversario del Reconocimiento del Derecho al Voto de las Mujeres en México</w:t>
                    </w:r>
                    <w:r w:rsidRPr="00C47D6F">
                      <w:rPr>
                        <w:rFonts w:ascii="Lato" w:eastAsia="Calibri" w:hAnsi="Lato" w:cs="Times New Roman"/>
                        <w:b/>
                        <w:color w:val="97184B"/>
                        <w:sz w:val="16"/>
                      </w:rPr>
                      <w:t>”</w:t>
                    </w:r>
                  </w:p>
                  <w:p w14:paraId="4631C7CF" w14:textId="3392870A"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w:t>
                    </w:r>
                    <w:r w:rsidR="00A80FD6">
                      <w:rPr>
                        <w:rFonts w:ascii="Lato" w:eastAsia="Calibri" w:hAnsi="Lato" w:cs="Times New Roman"/>
                        <w:b/>
                        <w:color w:val="97184B"/>
                        <w:sz w:val="26"/>
                      </w:rPr>
                      <w:t>Azucena Cisneros Coss</w:t>
                    </w:r>
                  </w:p>
                </w:txbxContent>
              </v:textbox>
              <w10:wrap anchorx="margin"/>
            </v:shape>
          </w:pict>
        </mc:Fallback>
      </mc:AlternateContent>
    </w:r>
    <w:r w:rsidR="00C44AF2">
      <w:rPr>
        <w:noProof/>
        <w:lang w:eastAsia="es-MX"/>
      </w:rPr>
      <w:drawing>
        <wp:inline distT="0" distB="0" distL="0" distR="0" wp14:anchorId="1C5E32EB" wp14:editId="7CA8F2C4">
          <wp:extent cx="2526665" cy="7689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381FC7D3" w14:textId="773892B9" w:rsidR="00E15B46" w:rsidRDefault="00934997" w:rsidP="00E15B46">
    <w:pPr>
      <w:pStyle w:val="Encabezado"/>
      <w:jc w:val="center"/>
    </w:pPr>
  </w:p>
  <w:p w14:paraId="3641ADB0" w14:textId="6CCB9E1C" w:rsidR="00E15B46" w:rsidRDefault="00934997" w:rsidP="00E15B46">
    <w:pPr>
      <w:pStyle w:val="Encabezado"/>
    </w:pPr>
  </w:p>
  <w:p w14:paraId="10B11015" w14:textId="77777777" w:rsidR="00F539E3" w:rsidRDefault="00934997" w:rsidP="00E15B46">
    <w:pPr>
      <w:pStyle w:val="Encabezado"/>
    </w:pPr>
  </w:p>
  <w:p w14:paraId="1CF58174" w14:textId="77777777" w:rsidR="00FA67EA" w:rsidRDefault="00FA67EA">
    <w:pPr>
      <w:pStyle w:val="Encabezado"/>
    </w:pPr>
  </w:p>
  <w:p w14:paraId="5797CA43" w14:textId="7DED8ADF" w:rsidR="00F539E3" w:rsidRDefault="00B110F3">
    <w:pPr>
      <w:pStyle w:val="Encabezado"/>
    </w:pPr>
    <w:r>
      <w:rPr>
        <w:noProof/>
        <w:lang w:eastAsia="es-MX"/>
      </w:rPr>
      <mc:AlternateContent>
        <mc:Choice Requires="wps">
          <w:drawing>
            <wp:anchor distT="0" distB="0" distL="114300" distR="114300" simplePos="0" relativeHeight="251664384" behindDoc="0" locked="0" layoutInCell="0" allowOverlap="1" wp14:anchorId="6C254D69" wp14:editId="5C602C8B">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61FBE081"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381EDB" w:rsidRPr="00381EDB">
                                <w:rPr>
                                  <w:rFonts w:asciiTheme="majorHAnsi" w:eastAsiaTheme="majorEastAsia" w:hAnsiTheme="majorHAnsi" w:cstheme="majorBidi"/>
                                  <w:noProof/>
                                  <w:szCs w:val="48"/>
                                  <w:lang w:val="es-ES"/>
                                </w:rPr>
                                <w:t>2</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54D69" id="Rectángulo 4" o:spid="_x0000_s1027" style="position:absolute;margin-left:55.8pt;margin-top:360.75pt;width:15.4pt;height:21.7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61FBE081"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381EDB" w:rsidRPr="00381EDB">
                          <w:rPr>
                            <w:rFonts w:asciiTheme="majorHAnsi" w:eastAsiaTheme="majorEastAsia" w:hAnsiTheme="majorHAnsi" w:cstheme="majorBidi"/>
                            <w:noProof/>
                            <w:szCs w:val="48"/>
                            <w:lang w:val="es-ES"/>
                          </w:rPr>
                          <w:t>2</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57CD"/>
    <w:multiLevelType w:val="hybridMultilevel"/>
    <w:tmpl w:val="414EDE28"/>
    <w:lvl w:ilvl="0" w:tplc="69A43C68">
      <w:start w:val="1"/>
      <w:numFmt w:val="upperRoman"/>
      <w:lvlText w:val="%1."/>
      <w:lvlJc w:val="right"/>
      <w:pPr>
        <w:ind w:left="107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B7484A"/>
    <w:multiLevelType w:val="hybridMultilevel"/>
    <w:tmpl w:val="FE387646"/>
    <w:lvl w:ilvl="0" w:tplc="34202CC8">
      <w:start w:val="1"/>
      <w:numFmt w:val="upperRoman"/>
      <w:lvlText w:val="%1."/>
      <w:lvlJc w:val="left"/>
      <w:pPr>
        <w:ind w:left="1500" w:hanging="720"/>
      </w:pPr>
      <w:rPr>
        <w:rFonts w:hint="default"/>
        <w:b/>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2" w15:restartNumberingAfterBreak="0">
    <w:nsid w:val="0BAA2BB6"/>
    <w:multiLevelType w:val="hybridMultilevel"/>
    <w:tmpl w:val="39C220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48174B"/>
    <w:multiLevelType w:val="hybridMultilevel"/>
    <w:tmpl w:val="818A24D2"/>
    <w:lvl w:ilvl="0" w:tplc="0732518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3B4C62"/>
    <w:multiLevelType w:val="hybridMultilevel"/>
    <w:tmpl w:val="37BC90CE"/>
    <w:lvl w:ilvl="0" w:tplc="737A8C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470BE3"/>
    <w:multiLevelType w:val="hybridMultilevel"/>
    <w:tmpl w:val="751E8650"/>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7970C85"/>
    <w:multiLevelType w:val="hybridMultilevel"/>
    <w:tmpl w:val="A60815D6"/>
    <w:lvl w:ilvl="0" w:tplc="8BE082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DD6FF0"/>
    <w:multiLevelType w:val="hybridMultilevel"/>
    <w:tmpl w:val="996C35E8"/>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C072F5"/>
    <w:multiLevelType w:val="hybridMultilevel"/>
    <w:tmpl w:val="B11882C6"/>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C7A50"/>
    <w:multiLevelType w:val="hybridMultilevel"/>
    <w:tmpl w:val="B3B6EA7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CB5632"/>
    <w:multiLevelType w:val="hybridMultilevel"/>
    <w:tmpl w:val="F65CAD2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C7421F5"/>
    <w:multiLevelType w:val="hybridMultilevel"/>
    <w:tmpl w:val="35F8FD3A"/>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DF509A"/>
    <w:multiLevelType w:val="hybridMultilevel"/>
    <w:tmpl w:val="94E24F06"/>
    <w:lvl w:ilvl="0" w:tplc="6DA6183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3D0C44E9"/>
    <w:multiLevelType w:val="hybridMultilevel"/>
    <w:tmpl w:val="E1B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D300C19"/>
    <w:multiLevelType w:val="hybridMultilevel"/>
    <w:tmpl w:val="4EE8AEB0"/>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0CD2C5F"/>
    <w:multiLevelType w:val="hybridMultilevel"/>
    <w:tmpl w:val="0188097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1C14260"/>
    <w:multiLevelType w:val="hybridMultilevel"/>
    <w:tmpl w:val="2BC0E3B4"/>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2205D2"/>
    <w:multiLevelType w:val="hybridMultilevel"/>
    <w:tmpl w:val="4E30D622"/>
    <w:lvl w:ilvl="0" w:tplc="DC4831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5434E8E"/>
    <w:multiLevelType w:val="hybridMultilevel"/>
    <w:tmpl w:val="C186C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5F04037"/>
    <w:multiLevelType w:val="hybridMultilevel"/>
    <w:tmpl w:val="045A30C2"/>
    <w:lvl w:ilvl="0" w:tplc="D4A42E6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6733CF"/>
    <w:multiLevelType w:val="hybridMultilevel"/>
    <w:tmpl w:val="A3D246DE"/>
    <w:lvl w:ilvl="0" w:tplc="1DBE44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A77689D"/>
    <w:multiLevelType w:val="hybridMultilevel"/>
    <w:tmpl w:val="398C0A12"/>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A5B1296"/>
    <w:multiLevelType w:val="hybridMultilevel"/>
    <w:tmpl w:val="169CC5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42596E"/>
    <w:multiLevelType w:val="hybridMultilevel"/>
    <w:tmpl w:val="5C4A08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EC15652"/>
    <w:multiLevelType w:val="hybridMultilevel"/>
    <w:tmpl w:val="2F066CCE"/>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0D50479"/>
    <w:multiLevelType w:val="hybridMultilevel"/>
    <w:tmpl w:val="C10A572E"/>
    <w:lvl w:ilvl="0" w:tplc="24CAD0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E25F30"/>
    <w:multiLevelType w:val="hybridMultilevel"/>
    <w:tmpl w:val="A7E8E2B4"/>
    <w:lvl w:ilvl="0" w:tplc="080A0015">
      <w:start w:val="1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9E82E0C"/>
    <w:multiLevelType w:val="hybridMultilevel"/>
    <w:tmpl w:val="5D1EC5E6"/>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1F120C"/>
    <w:multiLevelType w:val="hybridMultilevel"/>
    <w:tmpl w:val="08227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6980129"/>
    <w:multiLevelType w:val="hybridMultilevel"/>
    <w:tmpl w:val="3EDE1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FB8040D"/>
    <w:multiLevelType w:val="hybridMultilevel"/>
    <w:tmpl w:val="BD366AC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9"/>
  </w:num>
  <w:num w:numId="3">
    <w:abstractNumId w:val="20"/>
  </w:num>
  <w:num w:numId="4">
    <w:abstractNumId w:val="17"/>
  </w:num>
  <w:num w:numId="5">
    <w:abstractNumId w:val="18"/>
  </w:num>
  <w:num w:numId="6">
    <w:abstractNumId w:val="28"/>
  </w:num>
  <w:num w:numId="7">
    <w:abstractNumId w:val="5"/>
  </w:num>
  <w:num w:numId="8">
    <w:abstractNumId w:val="2"/>
  </w:num>
  <w:num w:numId="9">
    <w:abstractNumId w:val="0"/>
  </w:num>
  <w:num w:numId="10">
    <w:abstractNumId w:val="25"/>
  </w:num>
  <w:num w:numId="11">
    <w:abstractNumId w:val="21"/>
  </w:num>
  <w:num w:numId="12">
    <w:abstractNumId w:val="6"/>
  </w:num>
  <w:num w:numId="13">
    <w:abstractNumId w:val="3"/>
  </w:num>
  <w:num w:numId="14">
    <w:abstractNumId w:val="4"/>
  </w:num>
  <w:num w:numId="15">
    <w:abstractNumId w:val="1"/>
  </w:num>
  <w:num w:numId="16">
    <w:abstractNumId w:val="11"/>
  </w:num>
  <w:num w:numId="17">
    <w:abstractNumId w:val="26"/>
  </w:num>
  <w:num w:numId="18">
    <w:abstractNumId w:val="14"/>
  </w:num>
  <w:num w:numId="19">
    <w:abstractNumId w:val="8"/>
  </w:num>
  <w:num w:numId="20">
    <w:abstractNumId w:val="24"/>
  </w:num>
  <w:num w:numId="21">
    <w:abstractNumId w:val="15"/>
  </w:num>
  <w:num w:numId="22">
    <w:abstractNumId w:val="27"/>
  </w:num>
  <w:num w:numId="23">
    <w:abstractNumId w:val="16"/>
  </w:num>
  <w:num w:numId="24">
    <w:abstractNumId w:val="10"/>
  </w:num>
  <w:num w:numId="25">
    <w:abstractNumId w:val="7"/>
  </w:num>
  <w:num w:numId="26">
    <w:abstractNumId w:val="13"/>
  </w:num>
  <w:num w:numId="27">
    <w:abstractNumId w:val="29"/>
  </w:num>
  <w:num w:numId="28">
    <w:abstractNumId w:val="19"/>
  </w:num>
  <w:num w:numId="29">
    <w:abstractNumId w:val="12"/>
  </w:num>
  <w:num w:numId="30">
    <w:abstractNumId w:val="30"/>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D1"/>
    <w:rsid w:val="000013E0"/>
    <w:rsid w:val="0000168A"/>
    <w:rsid w:val="00001B61"/>
    <w:rsid w:val="00003BF6"/>
    <w:rsid w:val="0000438C"/>
    <w:rsid w:val="00004B28"/>
    <w:rsid w:val="00004F52"/>
    <w:rsid w:val="00005767"/>
    <w:rsid w:val="00005D4E"/>
    <w:rsid w:val="00013F3A"/>
    <w:rsid w:val="0001400F"/>
    <w:rsid w:val="00014A99"/>
    <w:rsid w:val="000155BC"/>
    <w:rsid w:val="00015677"/>
    <w:rsid w:val="00017954"/>
    <w:rsid w:val="0002070D"/>
    <w:rsid w:val="00020ED2"/>
    <w:rsid w:val="000225D2"/>
    <w:rsid w:val="0002462E"/>
    <w:rsid w:val="00024D22"/>
    <w:rsid w:val="00025DA2"/>
    <w:rsid w:val="00027645"/>
    <w:rsid w:val="000355FA"/>
    <w:rsid w:val="00041CD7"/>
    <w:rsid w:val="00041EFE"/>
    <w:rsid w:val="00042139"/>
    <w:rsid w:val="00043D5E"/>
    <w:rsid w:val="000445EB"/>
    <w:rsid w:val="00045292"/>
    <w:rsid w:val="00045E43"/>
    <w:rsid w:val="00046837"/>
    <w:rsid w:val="00046E5C"/>
    <w:rsid w:val="00050487"/>
    <w:rsid w:val="00050991"/>
    <w:rsid w:val="000531DA"/>
    <w:rsid w:val="000544E6"/>
    <w:rsid w:val="00054722"/>
    <w:rsid w:val="000551BC"/>
    <w:rsid w:val="000553E3"/>
    <w:rsid w:val="00057236"/>
    <w:rsid w:val="00064AF2"/>
    <w:rsid w:val="00066ED7"/>
    <w:rsid w:val="0006774A"/>
    <w:rsid w:val="00071775"/>
    <w:rsid w:val="000725D8"/>
    <w:rsid w:val="000759E0"/>
    <w:rsid w:val="000764BD"/>
    <w:rsid w:val="000808B1"/>
    <w:rsid w:val="00082BA3"/>
    <w:rsid w:val="00084088"/>
    <w:rsid w:val="000842A9"/>
    <w:rsid w:val="000905C9"/>
    <w:rsid w:val="00090D16"/>
    <w:rsid w:val="00091F6F"/>
    <w:rsid w:val="000926C2"/>
    <w:rsid w:val="0009275B"/>
    <w:rsid w:val="00094C3B"/>
    <w:rsid w:val="00097A86"/>
    <w:rsid w:val="000A147F"/>
    <w:rsid w:val="000A1653"/>
    <w:rsid w:val="000B14DF"/>
    <w:rsid w:val="000B47A6"/>
    <w:rsid w:val="000B4ECA"/>
    <w:rsid w:val="000C0251"/>
    <w:rsid w:val="000C06B8"/>
    <w:rsid w:val="000C4AC9"/>
    <w:rsid w:val="000C6A43"/>
    <w:rsid w:val="000D0F8E"/>
    <w:rsid w:val="000D12E3"/>
    <w:rsid w:val="000D1A4F"/>
    <w:rsid w:val="000D1B1D"/>
    <w:rsid w:val="000D1B5F"/>
    <w:rsid w:val="000D3968"/>
    <w:rsid w:val="000D6095"/>
    <w:rsid w:val="000E03B0"/>
    <w:rsid w:val="000E2935"/>
    <w:rsid w:val="000E7CA7"/>
    <w:rsid w:val="000F11CB"/>
    <w:rsid w:val="000F4313"/>
    <w:rsid w:val="000F6404"/>
    <w:rsid w:val="000F7E3E"/>
    <w:rsid w:val="00101E8D"/>
    <w:rsid w:val="001021E0"/>
    <w:rsid w:val="00102D64"/>
    <w:rsid w:val="00104327"/>
    <w:rsid w:val="00105073"/>
    <w:rsid w:val="001100C4"/>
    <w:rsid w:val="0011542C"/>
    <w:rsid w:val="001156D4"/>
    <w:rsid w:val="00116BAA"/>
    <w:rsid w:val="00117162"/>
    <w:rsid w:val="00120598"/>
    <w:rsid w:val="00120942"/>
    <w:rsid w:val="00122020"/>
    <w:rsid w:val="00122EFE"/>
    <w:rsid w:val="00122FFD"/>
    <w:rsid w:val="00123597"/>
    <w:rsid w:val="0012371A"/>
    <w:rsid w:val="00124EF6"/>
    <w:rsid w:val="00126F19"/>
    <w:rsid w:val="001274F0"/>
    <w:rsid w:val="00130C1F"/>
    <w:rsid w:val="001326A6"/>
    <w:rsid w:val="00132854"/>
    <w:rsid w:val="001347C7"/>
    <w:rsid w:val="001378CD"/>
    <w:rsid w:val="001412BA"/>
    <w:rsid w:val="0014147B"/>
    <w:rsid w:val="00141593"/>
    <w:rsid w:val="00141FD2"/>
    <w:rsid w:val="00142472"/>
    <w:rsid w:val="00142998"/>
    <w:rsid w:val="00144731"/>
    <w:rsid w:val="001451EA"/>
    <w:rsid w:val="00147469"/>
    <w:rsid w:val="00152E88"/>
    <w:rsid w:val="001538C3"/>
    <w:rsid w:val="00154C6C"/>
    <w:rsid w:val="00155027"/>
    <w:rsid w:val="001559A4"/>
    <w:rsid w:val="0015632B"/>
    <w:rsid w:val="001565B0"/>
    <w:rsid w:val="00161437"/>
    <w:rsid w:val="0016296C"/>
    <w:rsid w:val="00162B01"/>
    <w:rsid w:val="00162F42"/>
    <w:rsid w:val="00163F7B"/>
    <w:rsid w:val="001642A1"/>
    <w:rsid w:val="001657E8"/>
    <w:rsid w:val="0017305B"/>
    <w:rsid w:val="0017348D"/>
    <w:rsid w:val="0017398D"/>
    <w:rsid w:val="0017464F"/>
    <w:rsid w:val="001756D2"/>
    <w:rsid w:val="00185593"/>
    <w:rsid w:val="0018664F"/>
    <w:rsid w:val="001879BD"/>
    <w:rsid w:val="00190E5A"/>
    <w:rsid w:val="001916DC"/>
    <w:rsid w:val="00191BFF"/>
    <w:rsid w:val="00191F35"/>
    <w:rsid w:val="001921AB"/>
    <w:rsid w:val="00192925"/>
    <w:rsid w:val="001936BD"/>
    <w:rsid w:val="00193F4F"/>
    <w:rsid w:val="001951AA"/>
    <w:rsid w:val="001A117C"/>
    <w:rsid w:val="001A5DDE"/>
    <w:rsid w:val="001A5DE2"/>
    <w:rsid w:val="001A7A77"/>
    <w:rsid w:val="001B1006"/>
    <w:rsid w:val="001B1181"/>
    <w:rsid w:val="001B1C78"/>
    <w:rsid w:val="001B60C8"/>
    <w:rsid w:val="001B666B"/>
    <w:rsid w:val="001C0AF9"/>
    <w:rsid w:val="001C0F02"/>
    <w:rsid w:val="001C3D60"/>
    <w:rsid w:val="001C5175"/>
    <w:rsid w:val="001D4D5E"/>
    <w:rsid w:val="001D5AF0"/>
    <w:rsid w:val="001D735D"/>
    <w:rsid w:val="001D7394"/>
    <w:rsid w:val="001E1A43"/>
    <w:rsid w:val="001E21AE"/>
    <w:rsid w:val="001E24DE"/>
    <w:rsid w:val="001E3C2E"/>
    <w:rsid w:val="001E4986"/>
    <w:rsid w:val="001E75E1"/>
    <w:rsid w:val="001F01D9"/>
    <w:rsid w:val="001F10DC"/>
    <w:rsid w:val="001F2AF8"/>
    <w:rsid w:val="001F2B15"/>
    <w:rsid w:val="001F45B0"/>
    <w:rsid w:val="001F553B"/>
    <w:rsid w:val="001F5653"/>
    <w:rsid w:val="001F5942"/>
    <w:rsid w:val="001F5C39"/>
    <w:rsid w:val="001F734D"/>
    <w:rsid w:val="001F74C5"/>
    <w:rsid w:val="001F7613"/>
    <w:rsid w:val="00200067"/>
    <w:rsid w:val="002041F4"/>
    <w:rsid w:val="002055F8"/>
    <w:rsid w:val="00205FA3"/>
    <w:rsid w:val="0020618D"/>
    <w:rsid w:val="002101A5"/>
    <w:rsid w:val="00210731"/>
    <w:rsid w:val="00211A2D"/>
    <w:rsid w:val="00212D2A"/>
    <w:rsid w:val="00212DE4"/>
    <w:rsid w:val="002145D3"/>
    <w:rsid w:val="0021572A"/>
    <w:rsid w:val="00217E43"/>
    <w:rsid w:val="00220953"/>
    <w:rsid w:val="00220EBE"/>
    <w:rsid w:val="002214D0"/>
    <w:rsid w:val="00222FB7"/>
    <w:rsid w:val="00223B70"/>
    <w:rsid w:val="00224F39"/>
    <w:rsid w:val="0022596A"/>
    <w:rsid w:val="00225B7B"/>
    <w:rsid w:val="0023195C"/>
    <w:rsid w:val="00234453"/>
    <w:rsid w:val="00235C9E"/>
    <w:rsid w:val="00235CAA"/>
    <w:rsid w:val="002360BA"/>
    <w:rsid w:val="00237A6A"/>
    <w:rsid w:val="00237B41"/>
    <w:rsid w:val="00245B09"/>
    <w:rsid w:val="00250955"/>
    <w:rsid w:val="00252223"/>
    <w:rsid w:val="002524C9"/>
    <w:rsid w:val="00253279"/>
    <w:rsid w:val="00253C8F"/>
    <w:rsid w:val="00254CD8"/>
    <w:rsid w:val="002573F5"/>
    <w:rsid w:val="00257D74"/>
    <w:rsid w:val="002608B1"/>
    <w:rsid w:val="00261018"/>
    <w:rsid w:val="00263F7A"/>
    <w:rsid w:val="0026740F"/>
    <w:rsid w:val="0026799A"/>
    <w:rsid w:val="00270955"/>
    <w:rsid w:val="00270CA9"/>
    <w:rsid w:val="00272A9A"/>
    <w:rsid w:val="002730C1"/>
    <w:rsid w:val="00273840"/>
    <w:rsid w:val="00273990"/>
    <w:rsid w:val="00274E67"/>
    <w:rsid w:val="00276E47"/>
    <w:rsid w:val="00280207"/>
    <w:rsid w:val="0028098B"/>
    <w:rsid w:val="0028100A"/>
    <w:rsid w:val="002812CF"/>
    <w:rsid w:val="00282FBD"/>
    <w:rsid w:val="00283927"/>
    <w:rsid w:val="00284172"/>
    <w:rsid w:val="002841C9"/>
    <w:rsid w:val="00286485"/>
    <w:rsid w:val="0028791A"/>
    <w:rsid w:val="00291FBB"/>
    <w:rsid w:val="00292742"/>
    <w:rsid w:val="00292986"/>
    <w:rsid w:val="00292F1E"/>
    <w:rsid w:val="002946BA"/>
    <w:rsid w:val="002951F7"/>
    <w:rsid w:val="0029585A"/>
    <w:rsid w:val="002A16F0"/>
    <w:rsid w:val="002A18B9"/>
    <w:rsid w:val="002A25C3"/>
    <w:rsid w:val="002A5F3A"/>
    <w:rsid w:val="002A6207"/>
    <w:rsid w:val="002A7668"/>
    <w:rsid w:val="002B0EC8"/>
    <w:rsid w:val="002B1D18"/>
    <w:rsid w:val="002B2578"/>
    <w:rsid w:val="002B25C8"/>
    <w:rsid w:val="002B2DFA"/>
    <w:rsid w:val="002B4FEA"/>
    <w:rsid w:val="002B5AD5"/>
    <w:rsid w:val="002C0076"/>
    <w:rsid w:val="002C0A81"/>
    <w:rsid w:val="002C1C56"/>
    <w:rsid w:val="002C310D"/>
    <w:rsid w:val="002C40AF"/>
    <w:rsid w:val="002C4618"/>
    <w:rsid w:val="002C479D"/>
    <w:rsid w:val="002C5A36"/>
    <w:rsid w:val="002D1181"/>
    <w:rsid w:val="002D25F1"/>
    <w:rsid w:val="002D2BCA"/>
    <w:rsid w:val="002D367B"/>
    <w:rsid w:val="002D567D"/>
    <w:rsid w:val="002D6512"/>
    <w:rsid w:val="002E1CBE"/>
    <w:rsid w:val="002E3056"/>
    <w:rsid w:val="002E30FC"/>
    <w:rsid w:val="002E62F8"/>
    <w:rsid w:val="002E6C7E"/>
    <w:rsid w:val="002E7100"/>
    <w:rsid w:val="002F3B6D"/>
    <w:rsid w:val="002F5073"/>
    <w:rsid w:val="002F6723"/>
    <w:rsid w:val="002F7362"/>
    <w:rsid w:val="0030027F"/>
    <w:rsid w:val="00301B72"/>
    <w:rsid w:val="00302362"/>
    <w:rsid w:val="0030238D"/>
    <w:rsid w:val="003025D4"/>
    <w:rsid w:val="00302930"/>
    <w:rsid w:val="00303507"/>
    <w:rsid w:val="003035EF"/>
    <w:rsid w:val="00304F7C"/>
    <w:rsid w:val="003055D0"/>
    <w:rsid w:val="00307FF0"/>
    <w:rsid w:val="00310525"/>
    <w:rsid w:val="00310886"/>
    <w:rsid w:val="00310ADC"/>
    <w:rsid w:val="00311D25"/>
    <w:rsid w:val="003125F1"/>
    <w:rsid w:val="00312C28"/>
    <w:rsid w:val="003136B0"/>
    <w:rsid w:val="003178D8"/>
    <w:rsid w:val="00320384"/>
    <w:rsid w:val="00320C43"/>
    <w:rsid w:val="00321B5E"/>
    <w:rsid w:val="00324315"/>
    <w:rsid w:val="003251F6"/>
    <w:rsid w:val="003259AB"/>
    <w:rsid w:val="00332BF3"/>
    <w:rsid w:val="00334426"/>
    <w:rsid w:val="0033471D"/>
    <w:rsid w:val="0033526E"/>
    <w:rsid w:val="00335CFF"/>
    <w:rsid w:val="00335D57"/>
    <w:rsid w:val="00337330"/>
    <w:rsid w:val="003414DA"/>
    <w:rsid w:val="00342BB0"/>
    <w:rsid w:val="0034305A"/>
    <w:rsid w:val="00345AED"/>
    <w:rsid w:val="003509D9"/>
    <w:rsid w:val="00355232"/>
    <w:rsid w:val="003559D3"/>
    <w:rsid w:val="00355A00"/>
    <w:rsid w:val="00356E0A"/>
    <w:rsid w:val="0036246B"/>
    <w:rsid w:val="0036387C"/>
    <w:rsid w:val="00365EEE"/>
    <w:rsid w:val="00365EFE"/>
    <w:rsid w:val="003663E3"/>
    <w:rsid w:val="003713A8"/>
    <w:rsid w:val="003727C3"/>
    <w:rsid w:val="00373062"/>
    <w:rsid w:val="003739CC"/>
    <w:rsid w:val="003777F3"/>
    <w:rsid w:val="00380178"/>
    <w:rsid w:val="00381EDB"/>
    <w:rsid w:val="003831D1"/>
    <w:rsid w:val="0038639E"/>
    <w:rsid w:val="003874D1"/>
    <w:rsid w:val="00387C27"/>
    <w:rsid w:val="0039016D"/>
    <w:rsid w:val="003905C9"/>
    <w:rsid w:val="003967C6"/>
    <w:rsid w:val="003967F2"/>
    <w:rsid w:val="00396D06"/>
    <w:rsid w:val="003A0B25"/>
    <w:rsid w:val="003A140D"/>
    <w:rsid w:val="003A21E2"/>
    <w:rsid w:val="003A24B4"/>
    <w:rsid w:val="003A3A2C"/>
    <w:rsid w:val="003A44BC"/>
    <w:rsid w:val="003A482B"/>
    <w:rsid w:val="003A5625"/>
    <w:rsid w:val="003A5B68"/>
    <w:rsid w:val="003A5EED"/>
    <w:rsid w:val="003A5F85"/>
    <w:rsid w:val="003B042A"/>
    <w:rsid w:val="003B176B"/>
    <w:rsid w:val="003B2A56"/>
    <w:rsid w:val="003B5C9A"/>
    <w:rsid w:val="003B6D3D"/>
    <w:rsid w:val="003B6FC2"/>
    <w:rsid w:val="003C10A7"/>
    <w:rsid w:val="003C2912"/>
    <w:rsid w:val="003C3482"/>
    <w:rsid w:val="003C3E03"/>
    <w:rsid w:val="003C5B3B"/>
    <w:rsid w:val="003C6ED1"/>
    <w:rsid w:val="003D08A4"/>
    <w:rsid w:val="003D2356"/>
    <w:rsid w:val="003D3C45"/>
    <w:rsid w:val="003D4E71"/>
    <w:rsid w:val="003D5B0E"/>
    <w:rsid w:val="003D5BD7"/>
    <w:rsid w:val="003D7C7D"/>
    <w:rsid w:val="003E1E23"/>
    <w:rsid w:val="003E521F"/>
    <w:rsid w:val="003E64D9"/>
    <w:rsid w:val="003F3CF8"/>
    <w:rsid w:val="003F7147"/>
    <w:rsid w:val="00403EA8"/>
    <w:rsid w:val="00403EFE"/>
    <w:rsid w:val="00405F2D"/>
    <w:rsid w:val="00407B0E"/>
    <w:rsid w:val="004115BB"/>
    <w:rsid w:val="00411B50"/>
    <w:rsid w:val="00412E24"/>
    <w:rsid w:val="00412EBC"/>
    <w:rsid w:val="004143F3"/>
    <w:rsid w:val="0041457A"/>
    <w:rsid w:val="004148F3"/>
    <w:rsid w:val="00414AE6"/>
    <w:rsid w:val="004163D8"/>
    <w:rsid w:val="00417B31"/>
    <w:rsid w:val="00420D29"/>
    <w:rsid w:val="0042123E"/>
    <w:rsid w:val="00421E09"/>
    <w:rsid w:val="004220A3"/>
    <w:rsid w:val="004229FA"/>
    <w:rsid w:val="00422D76"/>
    <w:rsid w:val="00425D87"/>
    <w:rsid w:val="004267CA"/>
    <w:rsid w:val="00427DF5"/>
    <w:rsid w:val="0043276D"/>
    <w:rsid w:val="00432E41"/>
    <w:rsid w:val="0043305E"/>
    <w:rsid w:val="00434139"/>
    <w:rsid w:val="00434BF9"/>
    <w:rsid w:val="00437049"/>
    <w:rsid w:val="0043781D"/>
    <w:rsid w:val="004402F8"/>
    <w:rsid w:val="00440F99"/>
    <w:rsid w:val="00441DD0"/>
    <w:rsid w:val="0044383E"/>
    <w:rsid w:val="00446D54"/>
    <w:rsid w:val="004477A5"/>
    <w:rsid w:val="00447C89"/>
    <w:rsid w:val="00450ED0"/>
    <w:rsid w:val="0045122E"/>
    <w:rsid w:val="004526A7"/>
    <w:rsid w:val="00454EC2"/>
    <w:rsid w:val="00455F12"/>
    <w:rsid w:val="00456BE4"/>
    <w:rsid w:val="00457111"/>
    <w:rsid w:val="00464257"/>
    <w:rsid w:val="00465B42"/>
    <w:rsid w:val="00466540"/>
    <w:rsid w:val="00474E20"/>
    <w:rsid w:val="00475A44"/>
    <w:rsid w:val="00477FAF"/>
    <w:rsid w:val="00482635"/>
    <w:rsid w:val="00483F9A"/>
    <w:rsid w:val="004844A2"/>
    <w:rsid w:val="0048486F"/>
    <w:rsid w:val="004857FB"/>
    <w:rsid w:val="00490F99"/>
    <w:rsid w:val="004942AC"/>
    <w:rsid w:val="004A16A4"/>
    <w:rsid w:val="004A18B0"/>
    <w:rsid w:val="004A3E8D"/>
    <w:rsid w:val="004B2029"/>
    <w:rsid w:val="004B3175"/>
    <w:rsid w:val="004B442D"/>
    <w:rsid w:val="004B488E"/>
    <w:rsid w:val="004B5B3A"/>
    <w:rsid w:val="004B5E76"/>
    <w:rsid w:val="004B6119"/>
    <w:rsid w:val="004B75B2"/>
    <w:rsid w:val="004B7914"/>
    <w:rsid w:val="004C105D"/>
    <w:rsid w:val="004C17D9"/>
    <w:rsid w:val="004C1B75"/>
    <w:rsid w:val="004C1C11"/>
    <w:rsid w:val="004C4A75"/>
    <w:rsid w:val="004C5C6C"/>
    <w:rsid w:val="004C6C62"/>
    <w:rsid w:val="004D068C"/>
    <w:rsid w:val="004D0CE4"/>
    <w:rsid w:val="004D1A1C"/>
    <w:rsid w:val="004D3D96"/>
    <w:rsid w:val="004E0CA9"/>
    <w:rsid w:val="004E3F4F"/>
    <w:rsid w:val="004E56DA"/>
    <w:rsid w:val="004E772E"/>
    <w:rsid w:val="004F42E1"/>
    <w:rsid w:val="004F59F9"/>
    <w:rsid w:val="004F75A0"/>
    <w:rsid w:val="00500C81"/>
    <w:rsid w:val="005025EB"/>
    <w:rsid w:val="00505B5A"/>
    <w:rsid w:val="00506235"/>
    <w:rsid w:val="005074FB"/>
    <w:rsid w:val="0050765A"/>
    <w:rsid w:val="00507CAE"/>
    <w:rsid w:val="00510E0E"/>
    <w:rsid w:val="00512B61"/>
    <w:rsid w:val="00512B7A"/>
    <w:rsid w:val="005136D5"/>
    <w:rsid w:val="005160E8"/>
    <w:rsid w:val="00516433"/>
    <w:rsid w:val="00516620"/>
    <w:rsid w:val="00517A00"/>
    <w:rsid w:val="005204F0"/>
    <w:rsid w:val="00520B32"/>
    <w:rsid w:val="00521EA9"/>
    <w:rsid w:val="00522123"/>
    <w:rsid w:val="00523775"/>
    <w:rsid w:val="0052604A"/>
    <w:rsid w:val="00530519"/>
    <w:rsid w:val="00530F40"/>
    <w:rsid w:val="0053198C"/>
    <w:rsid w:val="005349C1"/>
    <w:rsid w:val="00534AA3"/>
    <w:rsid w:val="0054132A"/>
    <w:rsid w:val="00543B9A"/>
    <w:rsid w:val="00545EC6"/>
    <w:rsid w:val="00547A11"/>
    <w:rsid w:val="00552960"/>
    <w:rsid w:val="00552E0C"/>
    <w:rsid w:val="005545BF"/>
    <w:rsid w:val="005552EE"/>
    <w:rsid w:val="00555C4D"/>
    <w:rsid w:val="005565D8"/>
    <w:rsid w:val="00556F04"/>
    <w:rsid w:val="00557473"/>
    <w:rsid w:val="0055792A"/>
    <w:rsid w:val="00562F0E"/>
    <w:rsid w:val="00563D63"/>
    <w:rsid w:val="0056465B"/>
    <w:rsid w:val="005662EA"/>
    <w:rsid w:val="005663D4"/>
    <w:rsid w:val="00567D10"/>
    <w:rsid w:val="00567D9A"/>
    <w:rsid w:val="00567DE6"/>
    <w:rsid w:val="0057093D"/>
    <w:rsid w:val="005723EB"/>
    <w:rsid w:val="00573D90"/>
    <w:rsid w:val="005748BC"/>
    <w:rsid w:val="00574E1F"/>
    <w:rsid w:val="005758B3"/>
    <w:rsid w:val="00575E4C"/>
    <w:rsid w:val="00577286"/>
    <w:rsid w:val="00577DB9"/>
    <w:rsid w:val="00580090"/>
    <w:rsid w:val="0058654D"/>
    <w:rsid w:val="00586559"/>
    <w:rsid w:val="00586902"/>
    <w:rsid w:val="005924BB"/>
    <w:rsid w:val="00592938"/>
    <w:rsid w:val="00592B9F"/>
    <w:rsid w:val="0059476B"/>
    <w:rsid w:val="005967C7"/>
    <w:rsid w:val="005A05C1"/>
    <w:rsid w:val="005A1E00"/>
    <w:rsid w:val="005A1EDC"/>
    <w:rsid w:val="005A20B5"/>
    <w:rsid w:val="005A38C6"/>
    <w:rsid w:val="005A5177"/>
    <w:rsid w:val="005A6B81"/>
    <w:rsid w:val="005A7940"/>
    <w:rsid w:val="005B0291"/>
    <w:rsid w:val="005B05F1"/>
    <w:rsid w:val="005B5152"/>
    <w:rsid w:val="005B5815"/>
    <w:rsid w:val="005B61F6"/>
    <w:rsid w:val="005B68AD"/>
    <w:rsid w:val="005B7181"/>
    <w:rsid w:val="005B72BA"/>
    <w:rsid w:val="005B75D1"/>
    <w:rsid w:val="005C0047"/>
    <w:rsid w:val="005C09B5"/>
    <w:rsid w:val="005C31DD"/>
    <w:rsid w:val="005C5041"/>
    <w:rsid w:val="005C56F3"/>
    <w:rsid w:val="005C5E5F"/>
    <w:rsid w:val="005C68A2"/>
    <w:rsid w:val="005C6FC5"/>
    <w:rsid w:val="005C74C4"/>
    <w:rsid w:val="005D0451"/>
    <w:rsid w:val="005D0677"/>
    <w:rsid w:val="005D165B"/>
    <w:rsid w:val="005D2BB7"/>
    <w:rsid w:val="005D3C5E"/>
    <w:rsid w:val="005D3E45"/>
    <w:rsid w:val="005D3FF3"/>
    <w:rsid w:val="005D56FF"/>
    <w:rsid w:val="005D6770"/>
    <w:rsid w:val="005D6946"/>
    <w:rsid w:val="005D6EB1"/>
    <w:rsid w:val="005D7241"/>
    <w:rsid w:val="005D7EA7"/>
    <w:rsid w:val="005E0070"/>
    <w:rsid w:val="005E0A19"/>
    <w:rsid w:val="005E327D"/>
    <w:rsid w:val="005E6158"/>
    <w:rsid w:val="005E647D"/>
    <w:rsid w:val="005E71EC"/>
    <w:rsid w:val="005E7306"/>
    <w:rsid w:val="005E7D27"/>
    <w:rsid w:val="005F1F2E"/>
    <w:rsid w:val="005F1FA3"/>
    <w:rsid w:val="005F288F"/>
    <w:rsid w:val="005F4658"/>
    <w:rsid w:val="00600C04"/>
    <w:rsid w:val="0060145D"/>
    <w:rsid w:val="00602624"/>
    <w:rsid w:val="0060310B"/>
    <w:rsid w:val="00603FBA"/>
    <w:rsid w:val="0060501B"/>
    <w:rsid w:val="00605A99"/>
    <w:rsid w:val="006060E5"/>
    <w:rsid w:val="0060634D"/>
    <w:rsid w:val="00606D18"/>
    <w:rsid w:val="00607B1C"/>
    <w:rsid w:val="00611293"/>
    <w:rsid w:val="006130DF"/>
    <w:rsid w:val="00616012"/>
    <w:rsid w:val="00616715"/>
    <w:rsid w:val="006179D8"/>
    <w:rsid w:val="0062105A"/>
    <w:rsid w:val="00622650"/>
    <w:rsid w:val="00622B8F"/>
    <w:rsid w:val="00626ECC"/>
    <w:rsid w:val="00627C7B"/>
    <w:rsid w:val="006306DB"/>
    <w:rsid w:val="00631ABA"/>
    <w:rsid w:val="006327FF"/>
    <w:rsid w:val="00634273"/>
    <w:rsid w:val="0063679D"/>
    <w:rsid w:val="00637B6A"/>
    <w:rsid w:val="006413B5"/>
    <w:rsid w:val="00642498"/>
    <w:rsid w:val="00644D14"/>
    <w:rsid w:val="0064685A"/>
    <w:rsid w:val="00647442"/>
    <w:rsid w:val="0065015B"/>
    <w:rsid w:val="00654B8B"/>
    <w:rsid w:val="00655EDA"/>
    <w:rsid w:val="00655FA6"/>
    <w:rsid w:val="00660CBB"/>
    <w:rsid w:val="00660F42"/>
    <w:rsid w:val="00663F03"/>
    <w:rsid w:val="0066515E"/>
    <w:rsid w:val="00665BBD"/>
    <w:rsid w:val="00665E6B"/>
    <w:rsid w:val="00674F12"/>
    <w:rsid w:val="00676019"/>
    <w:rsid w:val="006760C1"/>
    <w:rsid w:val="00677796"/>
    <w:rsid w:val="006809F1"/>
    <w:rsid w:val="0068198A"/>
    <w:rsid w:val="00681B99"/>
    <w:rsid w:val="0068249A"/>
    <w:rsid w:val="00683172"/>
    <w:rsid w:val="0068433A"/>
    <w:rsid w:val="00684F9A"/>
    <w:rsid w:val="00685B79"/>
    <w:rsid w:val="00686B95"/>
    <w:rsid w:val="00690B6C"/>
    <w:rsid w:val="006925BC"/>
    <w:rsid w:val="00693473"/>
    <w:rsid w:val="0069422F"/>
    <w:rsid w:val="00696FA6"/>
    <w:rsid w:val="006A0314"/>
    <w:rsid w:val="006A0FFF"/>
    <w:rsid w:val="006A12DC"/>
    <w:rsid w:val="006A12FD"/>
    <w:rsid w:val="006A19CA"/>
    <w:rsid w:val="006A2067"/>
    <w:rsid w:val="006A239C"/>
    <w:rsid w:val="006A24E0"/>
    <w:rsid w:val="006A2545"/>
    <w:rsid w:val="006A39BC"/>
    <w:rsid w:val="006A46DD"/>
    <w:rsid w:val="006A6550"/>
    <w:rsid w:val="006A7494"/>
    <w:rsid w:val="006B072A"/>
    <w:rsid w:val="006B23DD"/>
    <w:rsid w:val="006B3547"/>
    <w:rsid w:val="006B37D6"/>
    <w:rsid w:val="006B478B"/>
    <w:rsid w:val="006B4C6F"/>
    <w:rsid w:val="006B4E41"/>
    <w:rsid w:val="006B5184"/>
    <w:rsid w:val="006B546F"/>
    <w:rsid w:val="006B6BBE"/>
    <w:rsid w:val="006B6C2E"/>
    <w:rsid w:val="006C1333"/>
    <w:rsid w:val="006C2D09"/>
    <w:rsid w:val="006C347F"/>
    <w:rsid w:val="006C5F24"/>
    <w:rsid w:val="006C6D79"/>
    <w:rsid w:val="006D14DC"/>
    <w:rsid w:val="006D1BD1"/>
    <w:rsid w:val="006D20F2"/>
    <w:rsid w:val="006D6181"/>
    <w:rsid w:val="006E0317"/>
    <w:rsid w:val="006E2E2E"/>
    <w:rsid w:val="006E4282"/>
    <w:rsid w:val="006E4501"/>
    <w:rsid w:val="006E4520"/>
    <w:rsid w:val="006E4713"/>
    <w:rsid w:val="006E4D49"/>
    <w:rsid w:val="006F0B37"/>
    <w:rsid w:val="006F4F18"/>
    <w:rsid w:val="006F526A"/>
    <w:rsid w:val="006F587D"/>
    <w:rsid w:val="006F5B96"/>
    <w:rsid w:val="007002B1"/>
    <w:rsid w:val="0070046D"/>
    <w:rsid w:val="00701ED3"/>
    <w:rsid w:val="00702712"/>
    <w:rsid w:val="00704601"/>
    <w:rsid w:val="00706656"/>
    <w:rsid w:val="007078E1"/>
    <w:rsid w:val="00710D9F"/>
    <w:rsid w:val="00714D74"/>
    <w:rsid w:val="00714D7B"/>
    <w:rsid w:val="00715AFE"/>
    <w:rsid w:val="007176DC"/>
    <w:rsid w:val="00723227"/>
    <w:rsid w:val="0072397B"/>
    <w:rsid w:val="00726592"/>
    <w:rsid w:val="00726E05"/>
    <w:rsid w:val="00727CB3"/>
    <w:rsid w:val="00732019"/>
    <w:rsid w:val="007347E4"/>
    <w:rsid w:val="00734C59"/>
    <w:rsid w:val="00735A93"/>
    <w:rsid w:val="00735EE9"/>
    <w:rsid w:val="00736115"/>
    <w:rsid w:val="00737D8E"/>
    <w:rsid w:val="00741005"/>
    <w:rsid w:val="0074229E"/>
    <w:rsid w:val="00742C91"/>
    <w:rsid w:val="007476A1"/>
    <w:rsid w:val="007504F0"/>
    <w:rsid w:val="00752B08"/>
    <w:rsid w:val="00755614"/>
    <w:rsid w:val="0075785B"/>
    <w:rsid w:val="0076239A"/>
    <w:rsid w:val="0076368E"/>
    <w:rsid w:val="00763850"/>
    <w:rsid w:val="00765994"/>
    <w:rsid w:val="00767602"/>
    <w:rsid w:val="00770914"/>
    <w:rsid w:val="00771797"/>
    <w:rsid w:val="0077182E"/>
    <w:rsid w:val="00771FDC"/>
    <w:rsid w:val="00772022"/>
    <w:rsid w:val="007720F2"/>
    <w:rsid w:val="00774042"/>
    <w:rsid w:val="00774082"/>
    <w:rsid w:val="00775DFA"/>
    <w:rsid w:val="007769AF"/>
    <w:rsid w:val="007769D6"/>
    <w:rsid w:val="00776A6C"/>
    <w:rsid w:val="00776D30"/>
    <w:rsid w:val="00777E38"/>
    <w:rsid w:val="00781149"/>
    <w:rsid w:val="00781E64"/>
    <w:rsid w:val="007826DA"/>
    <w:rsid w:val="00782784"/>
    <w:rsid w:val="0078288E"/>
    <w:rsid w:val="00783F0D"/>
    <w:rsid w:val="0078737B"/>
    <w:rsid w:val="007875AF"/>
    <w:rsid w:val="00787826"/>
    <w:rsid w:val="00787DFC"/>
    <w:rsid w:val="0079344A"/>
    <w:rsid w:val="00794656"/>
    <w:rsid w:val="00794AE7"/>
    <w:rsid w:val="00795848"/>
    <w:rsid w:val="0079719F"/>
    <w:rsid w:val="00797AAF"/>
    <w:rsid w:val="007A06EE"/>
    <w:rsid w:val="007A581C"/>
    <w:rsid w:val="007A7243"/>
    <w:rsid w:val="007A769A"/>
    <w:rsid w:val="007B2584"/>
    <w:rsid w:val="007B3D30"/>
    <w:rsid w:val="007B4173"/>
    <w:rsid w:val="007B6E54"/>
    <w:rsid w:val="007B720A"/>
    <w:rsid w:val="007C0A17"/>
    <w:rsid w:val="007C0F88"/>
    <w:rsid w:val="007C3897"/>
    <w:rsid w:val="007C3E8A"/>
    <w:rsid w:val="007C4328"/>
    <w:rsid w:val="007C4426"/>
    <w:rsid w:val="007C7DBB"/>
    <w:rsid w:val="007D092C"/>
    <w:rsid w:val="007D0C33"/>
    <w:rsid w:val="007D0E38"/>
    <w:rsid w:val="007D2414"/>
    <w:rsid w:val="007D38CF"/>
    <w:rsid w:val="007D62E1"/>
    <w:rsid w:val="007D694F"/>
    <w:rsid w:val="007D6E38"/>
    <w:rsid w:val="007D7ED5"/>
    <w:rsid w:val="007E07D4"/>
    <w:rsid w:val="007E0C59"/>
    <w:rsid w:val="007E1C98"/>
    <w:rsid w:val="007E3749"/>
    <w:rsid w:val="007E4F05"/>
    <w:rsid w:val="007E5B07"/>
    <w:rsid w:val="007E5D6B"/>
    <w:rsid w:val="007E68BB"/>
    <w:rsid w:val="007E6E07"/>
    <w:rsid w:val="007E7602"/>
    <w:rsid w:val="007F072F"/>
    <w:rsid w:val="007F078A"/>
    <w:rsid w:val="00800848"/>
    <w:rsid w:val="00802BDA"/>
    <w:rsid w:val="00807F9E"/>
    <w:rsid w:val="00810192"/>
    <w:rsid w:val="00816258"/>
    <w:rsid w:val="00820F0F"/>
    <w:rsid w:val="008226E1"/>
    <w:rsid w:val="00825928"/>
    <w:rsid w:val="00825E78"/>
    <w:rsid w:val="008262C0"/>
    <w:rsid w:val="00827451"/>
    <w:rsid w:val="00830EE1"/>
    <w:rsid w:val="00831BE3"/>
    <w:rsid w:val="0083296B"/>
    <w:rsid w:val="00836035"/>
    <w:rsid w:val="008418E3"/>
    <w:rsid w:val="00841F54"/>
    <w:rsid w:val="008425BA"/>
    <w:rsid w:val="00843978"/>
    <w:rsid w:val="00845268"/>
    <w:rsid w:val="0084721C"/>
    <w:rsid w:val="0085085F"/>
    <w:rsid w:val="00850BDD"/>
    <w:rsid w:val="00852A04"/>
    <w:rsid w:val="00852DDF"/>
    <w:rsid w:val="00854BED"/>
    <w:rsid w:val="008610CE"/>
    <w:rsid w:val="0086169A"/>
    <w:rsid w:val="008625C6"/>
    <w:rsid w:val="00863CB8"/>
    <w:rsid w:val="00864E84"/>
    <w:rsid w:val="0086587A"/>
    <w:rsid w:val="00865D08"/>
    <w:rsid w:val="0086633A"/>
    <w:rsid w:val="00867BA0"/>
    <w:rsid w:val="008710B1"/>
    <w:rsid w:val="00874939"/>
    <w:rsid w:val="00875431"/>
    <w:rsid w:val="008765C7"/>
    <w:rsid w:val="0088117A"/>
    <w:rsid w:val="00881A6E"/>
    <w:rsid w:val="008830E1"/>
    <w:rsid w:val="00884028"/>
    <w:rsid w:val="008841AB"/>
    <w:rsid w:val="008851C7"/>
    <w:rsid w:val="0089002A"/>
    <w:rsid w:val="008901F6"/>
    <w:rsid w:val="00890E70"/>
    <w:rsid w:val="00892320"/>
    <w:rsid w:val="00892E8E"/>
    <w:rsid w:val="00897EFD"/>
    <w:rsid w:val="008A157C"/>
    <w:rsid w:val="008A2F91"/>
    <w:rsid w:val="008A3998"/>
    <w:rsid w:val="008A54C4"/>
    <w:rsid w:val="008A6478"/>
    <w:rsid w:val="008A69F7"/>
    <w:rsid w:val="008B1EFD"/>
    <w:rsid w:val="008B4507"/>
    <w:rsid w:val="008B56E4"/>
    <w:rsid w:val="008B6286"/>
    <w:rsid w:val="008C01AD"/>
    <w:rsid w:val="008C0971"/>
    <w:rsid w:val="008C1386"/>
    <w:rsid w:val="008D097D"/>
    <w:rsid w:val="008D0C22"/>
    <w:rsid w:val="008D16D3"/>
    <w:rsid w:val="008D5542"/>
    <w:rsid w:val="008D61CC"/>
    <w:rsid w:val="008E3EA9"/>
    <w:rsid w:val="008E6CDC"/>
    <w:rsid w:val="008E72ED"/>
    <w:rsid w:val="008E7934"/>
    <w:rsid w:val="008F0A11"/>
    <w:rsid w:val="008F315C"/>
    <w:rsid w:val="008F797F"/>
    <w:rsid w:val="00902CEB"/>
    <w:rsid w:val="0090525C"/>
    <w:rsid w:val="00905823"/>
    <w:rsid w:val="00907947"/>
    <w:rsid w:val="00907D44"/>
    <w:rsid w:val="009103F0"/>
    <w:rsid w:val="00912B6E"/>
    <w:rsid w:val="00914111"/>
    <w:rsid w:val="00914BAD"/>
    <w:rsid w:val="00915328"/>
    <w:rsid w:val="0091612D"/>
    <w:rsid w:val="009164AE"/>
    <w:rsid w:val="00916A3A"/>
    <w:rsid w:val="00916D19"/>
    <w:rsid w:val="009217E2"/>
    <w:rsid w:val="00921DD5"/>
    <w:rsid w:val="0092495B"/>
    <w:rsid w:val="00925DD5"/>
    <w:rsid w:val="00926261"/>
    <w:rsid w:val="00927A78"/>
    <w:rsid w:val="00927B3D"/>
    <w:rsid w:val="00931C43"/>
    <w:rsid w:val="00933FD0"/>
    <w:rsid w:val="009343E3"/>
    <w:rsid w:val="00934997"/>
    <w:rsid w:val="00935C40"/>
    <w:rsid w:val="00936EEF"/>
    <w:rsid w:val="00940495"/>
    <w:rsid w:val="009404EA"/>
    <w:rsid w:val="00940DC9"/>
    <w:rsid w:val="0094119D"/>
    <w:rsid w:val="009423E1"/>
    <w:rsid w:val="009430F4"/>
    <w:rsid w:val="00944ACF"/>
    <w:rsid w:val="00945AA3"/>
    <w:rsid w:val="0095112D"/>
    <w:rsid w:val="009515A6"/>
    <w:rsid w:val="009530F7"/>
    <w:rsid w:val="00956765"/>
    <w:rsid w:val="00960EA4"/>
    <w:rsid w:val="00965AA1"/>
    <w:rsid w:val="00966975"/>
    <w:rsid w:val="00966CE9"/>
    <w:rsid w:val="0097050F"/>
    <w:rsid w:val="00971413"/>
    <w:rsid w:val="0097380B"/>
    <w:rsid w:val="00975846"/>
    <w:rsid w:val="00975EE4"/>
    <w:rsid w:val="0097751E"/>
    <w:rsid w:val="00977B79"/>
    <w:rsid w:val="00982369"/>
    <w:rsid w:val="00983D9E"/>
    <w:rsid w:val="00985931"/>
    <w:rsid w:val="0098624C"/>
    <w:rsid w:val="009874B3"/>
    <w:rsid w:val="00987606"/>
    <w:rsid w:val="00987D44"/>
    <w:rsid w:val="00992183"/>
    <w:rsid w:val="009952DE"/>
    <w:rsid w:val="00995D35"/>
    <w:rsid w:val="00996ECB"/>
    <w:rsid w:val="009975EB"/>
    <w:rsid w:val="009A1BE4"/>
    <w:rsid w:val="009A6C37"/>
    <w:rsid w:val="009A7940"/>
    <w:rsid w:val="009B0BDB"/>
    <w:rsid w:val="009B1C86"/>
    <w:rsid w:val="009B62B9"/>
    <w:rsid w:val="009B6C7F"/>
    <w:rsid w:val="009B6D10"/>
    <w:rsid w:val="009C09DD"/>
    <w:rsid w:val="009C0B99"/>
    <w:rsid w:val="009C207A"/>
    <w:rsid w:val="009C6CE7"/>
    <w:rsid w:val="009C7401"/>
    <w:rsid w:val="009C7B07"/>
    <w:rsid w:val="009D1E76"/>
    <w:rsid w:val="009D22DB"/>
    <w:rsid w:val="009D774F"/>
    <w:rsid w:val="009D77DE"/>
    <w:rsid w:val="009E0B2A"/>
    <w:rsid w:val="009E0E3A"/>
    <w:rsid w:val="009E15BC"/>
    <w:rsid w:val="009E1C30"/>
    <w:rsid w:val="009E2921"/>
    <w:rsid w:val="009E32F6"/>
    <w:rsid w:val="009E5DD0"/>
    <w:rsid w:val="009E73AC"/>
    <w:rsid w:val="009E73D0"/>
    <w:rsid w:val="009E75A7"/>
    <w:rsid w:val="009F2CE8"/>
    <w:rsid w:val="009F41B5"/>
    <w:rsid w:val="009F41DB"/>
    <w:rsid w:val="009F47A7"/>
    <w:rsid w:val="00A00845"/>
    <w:rsid w:val="00A01950"/>
    <w:rsid w:val="00A03D77"/>
    <w:rsid w:val="00A04A4B"/>
    <w:rsid w:val="00A04C19"/>
    <w:rsid w:val="00A057A7"/>
    <w:rsid w:val="00A06D29"/>
    <w:rsid w:val="00A1002F"/>
    <w:rsid w:val="00A100C2"/>
    <w:rsid w:val="00A15001"/>
    <w:rsid w:val="00A15BB4"/>
    <w:rsid w:val="00A16690"/>
    <w:rsid w:val="00A204D4"/>
    <w:rsid w:val="00A22644"/>
    <w:rsid w:val="00A2295D"/>
    <w:rsid w:val="00A25E60"/>
    <w:rsid w:val="00A315DE"/>
    <w:rsid w:val="00A330E4"/>
    <w:rsid w:val="00A363FB"/>
    <w:rsid w:val="00A4103D"/>
    <w:rsid w:val="00A41047"/>
    <w:rsid w:val="00A4286C"/>
    <w:rsid w:val="00A42E5D"/>
    <w:rsid w:val="00A44E23"/>
    <w:rsid w:val="00A462CC"/>
    <w:rsid w:val="00A4772B"/>
    <w:rsid w:val="00A513C7"/>
    <w:rsid w:val="00A51670"/>
    <w:rsid w:val="00A52181"/>
    <w:rsid w:val="00A5378F"/>
    <w:rsid w:val="00A54FB1"/>
    <w:rsid w:val="00A5569F"/>
    <w:rsid w:val="00A55FB0"/>
    <w:rsid w:val="00A6075C"/>
    <w:rsid w:val="00A61E40"/>
    <w:rsid w:val="00A62654"/>
    <w:rsid w:val="00A627E2"/>
    <w:rsid w:val="00A628C2"/>
    <w:rsid w:val="00A63807"/>
    <w:rsid w:val="00A64777"/>
    <w:rsid w:val="00A64AC6"/>
    <w:rsid w:val="00A67BAE"/>
    <w:rsid w:val="00A67D27"/>
    <w:rsid w:val="00A70A76"/>
    <w:rsid w:val="00A71199"/>
    <w:rsid w:val="00A71EDF"/>
    <w:rsid w:val="00A7470D"/>
    <w:rsid w:val="00A753A0"/>
    <w:rsid w:val="00A7585E"/>
    <w:rsid w:val="00A766E4"/>
    <w:rsid w:val="00A77797"/>
    <w:rsid w:val="00A80FD6"/>
    <w:rsid w:val="00A81834"/>
    <w:rsid w:val="00A81BFF"/>
    <w:rsid w:val="00A82B84"/>
    <w:rsid w:val="00A831A0"/>
    <w:rsid w:val="00A836DC"/>
    <w:rsid w:val="00A84536"/>
    <w:rsid w:val="00A84C84"/>
    <w:rsid w:val="00A84CA9"/>
    <w:rsid w:val="00A868CC"/>
    <w:rsid w:val="00A86CF5"/>
    <w:rsid w:val="00A90FD3"/>
    <w:rsid w:val="00A92618"/>
    <w:rsid w:val="00A93EFB"/>
    <w:rsid w:val="00A93F02"/>
    <w:rsid w:val="00A9494B"/>
    <w:rsid w:val="00A951F4"/>
    <w:rsid w:val="00A951FC"/>
    <w:rsid w:val="00AA03DC"/>
    <w:rsid w:val="00AA0967"/>
    <w:rsid w:val="00AA189E"/>
    <w:rsid w:val="00AA1F54"/>
    <w:rsid w:val="00AA2C20"/>
    <w:rsid w:val="00AA59ED"/>
    <w:rsid w:val="00AA5E76"/>
    <w:rsid w:val="00AA6C6A"/>
    <w:rsid w:val="00AB5C87"/>
    <w:rsid w:val="00AB6A08"/>
    <w:rsid w:val="00AC1BF8"/>
    <w:rsid w:val="00AC4075"/>
    <w:rsid w:val="00AC4564"/>
    <w:rsid w:val="00AC6864"/>
    <w:rsid w:val="00AC7533"/>
    <w:rsid w:val="00AD2934"/>
    <w:rsid w:val="00AD4122"/>
    <w:rsid w:val="00AD6E38"/>
    <w:rsid w:val="00AD7A7B"/>
    <w:rsid w:val="00AD7FA6"/>
    <w:rsid w:val="00AE0381"/>
    <w:rsid w:val="00AE087C"/>
    <w:rsid w:val="00AE0B48"/>
    <w:rsid w:val="00AE3019"/>
    <w:rsid w:val="00AE613A"/>
    <w:rsid w:val="00AF03AE"/>
    <w:rsid w:val="00AF1EF6"/>
    <w:rsid w:val="00AF2BEC"/>
    <w:rsid w:val="00B02497"/>
    <w:rsid w:val="00B06A5A"/>
    <w:rsid w:val="00B10977"/>
    <w:rsid w:val="00B110F3"/>
    <w:rsid w:val="00B12614"/>
    <w:rsid w:val="00B1455B"/>
    <w:rsid w:val="00B14961"/>
    <w:rsid w:val="00B15805"/>
    <w:rsid w:val="00B17560"/>
    <w:rsid w:val="00B24198"/>
    <w:rsid w:val="00B24554"/>
    <w:rsid w:val="00B246A4"/>
    <w:rsid w:val="00B24753"/>
    <w:rsid w:val="00B24EA1"/>
    <w:rsid w:val="00B2623F"/>
    <w:rsid w:val="00B26B99"/>
    <w:rsid w:val="00B273E8"/>
    <w:rsid w:val="00B3048D"/>
    <w:rsid w:val="00B30A43"/>
    <w:rsid w:val="00B30CAB"/>
    <w:rsid w:val="00B33BE7"/>
    <w:rsid w:val="00B3554F"/>
    <w:rsid w:val="00B360F3"/>
    <w:rsid w:val="00B41DBC"/>
    <w:rsid w:val="00B428CA"/>
    <w:rsid w:val="00B43F62"/>
    <w:rsid w:val="00B44522"/>
    <w:rsid w:val="00B446DA"/>
    <w:rsid w:val="00B507C1"/>
    <w:rsid w:val="00B52AD3"/>
    <w:rsid w:val="00B53BE4"/>
    <w:rsid w:val="00B540EA"/>
    <w:rsid w:val="00B54700"/>
    <w:rsid w:val="00B60171"/>
    <w:rsid w:val="00B6017D"/>
    <w:rsid w:val="00B60438"/>
    <w:rsid w:val="00B605B7"/>
    <w:rsid w:val="00B63487"/>
    <w:rsid w:val="00B63997"/>
    <w:rsid w:val="00B63EC4"/>
    <w:rsid w:val="00B642AC"/>
    <w:rsid w:val="00B66D94"/>
    <w:rsid w:val="00B70CB9"/>
    <w:rsid w:val="00B72073"/>
    <w:rsid w:val="00B72F45"/>
    <w:rsid w:val="00B75558"/>
    <w:rsid w:val="00B820A6"/>
    <w:rsid w:val="00B903DD"/>
    <w:rsid w:val="00B90AD5"/>
    <w:rsid w:val="00B91011"/>
    <w:rsid w:val="00B924F5"/>
    <w:rsid w:val="00B93049"/>
    <w:rsid w:val="00B935F7"/>
    <w:rsid w:val="00B93D34"/>
    <w:rsid w:val="00B94587"/>
    <w:rsid w:val="00B957F3"/>
    <w:rsid w:val="00B96C06"/>
    <w:rsid w:val="00BA0479"/>
    <w:rsid w:val="00BA049F"/>
    <w:rsid w:val="00BA092F"/>
    <w:rsid w:val="00BA2084"/>
    <w:rsid w:val="00BA3C47"/>
    <w:rsid w:val="00BA4412"/>
    <w:rsid w:val="00BA518F"/>
    <w:rsid w:val="00BA56E1"/>
    <w:rsid w:val="00BB0102"/>
    <w:rsid w:val="00BB0291"/>
    <w:rsid w:val="00BB2D7C"/>
    <w:rsid w:val="00BC06F8"/>
    <w:rsid w:val="00BC4610"/>
    <w:rsid w:val="00BC496C"/>
    <w:rsid w:val="00BC5C86"/>
    <w:rsid w:val="00BC6DE4"/>
    <w:rsid w:val="00BC70E2"/>
    <w:rsid w:val="00BC7372"/>
    <w:rsid w:val="00BC7921"/>
    <w:rsid w:val="00BD071C"/>
    <w:rsid w:val="00BD131B"/>
    <w:rsid w:val="00BD257B"/>
    <w:rsid w:val="00BD51FA"/>
    <w:rsid w:val="00BD6679"/>
    <w:rsid w:val="00BD7CC5"/>
    <w:rsid w:val="00BE05CA"/>
    <w:rsid w:val="00BE28C7"/>
    <w:rsid w:val="00BE364B"/>
    <w:rsid w:val="00BE39CB"/>
    <w:rsid w:val="00BE41D1"/>
    <w:rsid w:val="00BE569F"/>
    <w:rsid w:val="00BE5763"/>
    <w:rsid w:val="00BE714A"/>
    <w:rsid w:val="00BE77E3"/>
    <w:rsid w:val="00BF3B70"/>
    <w:rsid w:val="00BF3F59"/>
    <w:rsid w:val="00BF559C"/>
    <w:rsid w:val="00BF5F30"/>
    <w:rsid w:val="00BF691E"/>
    <w:rsid w:val="00C009FA"/>
    <w:rsid w:val="00C01411"/>
    <w:rsid w:val="00C01AB2"/>
    <w:rsid w:val="00C05481"/>
    <w:rsid w:val="00C05E65"/>
    <w:rsid w:val="00C060F4"/>
    <w:rsid w:val="00C063E2"/>
    <w:rsid w:val="00C078F7"/>
    <w:rsid w:val="00C10598"/>
    <w:rsid w:val="00C1550C"/>
    <w:rsid w:val="00C2180F"/>
    <w:rsid w:val="00C21BA4"/>
    <w:rsid w:val="00C31FE3"/>
    <w:rsid w:val="00C32577"/>
    <w:rsid w:val="00C328C8"/>
    <w:rsid w:val="00C32CD2"/>
    <w:rsid w:val="00C35004"/>
    <w:rsid w:val="00C3680F"/>
    <w:rsid w:val="00C36C4B"/>
    <w:rsid w:val="00C373B0"/>
    <w:rsid w:val="00C4085E"/>
    <w:rsid w:val="00C42D05"/>
    <w:rsid w:val="00C42EC9"/>
    <w:rsid w:val="00C43B10"/>
    <w:rsid w:val="00C44683"/>
    <w:rsid w:val="00C44AF2"/>
    <w:rsid w:val="00C44D45"/>
    <w:rsid w:val="00C44EDC"/>
    <w:rsid w:val="00C45602"/>
    <w:rsid w:val="00C46FE4"/>
    <w:rsid w:val="00C47D6F"/>
    <w:rsid w:val="00C50BAB"/>
    <w:rsid w:val="00C53245"/>
    <w:rsid w:val="00C537E6"/>
    <w:rsid w:val="00C55BC3"/>
    <w:rsid w:val="00C568A8"/>
    <w:rsid w:val="00C56B24"/>
    <w:rsid w:val="00C5741E"/>
    <w:rsid w:val="00C63838"/>
    <w:rsid w:val="00C649BD"/>
    <w:rsid w:val="00C64BD3"/>
    <w:rsid w:val="00C64F2B"/>
    <w:rsid w:val="00C66517"/>
    <w:rsid w:val="00C73A9C"/>
    <w:rsid w:val="00C7401A"/>
    <w:rsid w:val="00C75D3C"/>
    <w:rsid w:val="00C75D55"/>
    <w:rsid w:val="00C75DC4"/>
    <w:rsid w:val="00C76676"/>
    <w:rsid w:val="00C76AEC"/>
    <w:rsid w:val="00C76D62"/>
    <w:rsid w:val="00C809FD"/>
    <w:rsid w:val="00C81172"/>
    <w:rsid w:val="00C82174"/>
    <w:rsid w:val="00C83830"/>
    <w:rsid w:val="00C843C7"/>
    <w:rsid w:val="00C845A0"/>
    <w:rsid w:val="00C8569F"/>
    <w:rsid w:val="00C85F76"/>
    <w:rsid w:val="00C87D1C"/>
    <w:rsid w:val="00C90366"/>
    <w:rsid w:val="00C91EBF"/>
    <w:rsid w:val="00C929AE"/>
    <w:rsid w:val="00C93104"/>
    <w:rsid w:val="00C93903"/>
    <w:rsid w:val="00C96312"/>
    <w:rsid w:val="00CA290B"/>
    <w:rsid w:val="00CA6E55"/>
    <w:rsid w:val="00CB1639"/>
    <w:rsid w:val="00CB217A"/>
    <w:rsid w:val="00CB2563"/>
    <w:rsid w:val="00CB25B3"/>
    <w:rsid w:val="00CB3C09"/>
    <w:rsid w:val="00CB5299"/>
    <w:rsid w:val="00CC1230"/>
    <w:rsid w:val="00CC60AE"/>
    <w:rsid w:val="00CC60C1"/>
    <w:rsid w:val="00CC7837"/>
    <w:rsid w:val="00CD2C63"/>
    <w:rsid w:val="00CD337C"/>
    <w:rsid w:val="00CD4F1F"/>
    <w:rsid w:val="00CD519B"/>
    <w:rsid w:val="00CD5DA4"/>
    <w:rsid w:val="00CD678E"/>
    <w:rsid w:val="00CD7DCA"/>
    <w:rsid w:val="00CE0BA3"/>
    <w:rsid w:val="00CE0BEC"/>
    <w:rsid w:val="00CE37CD"/>
    <w:rsid w:val="00CE4499"/>
    <w:rsid w:val="00CE4BAE"/>
    <w:rsid w:val="00CE5803"/>
    <w:rsid w:val="00CE6311"/>
    <w:rsid w:val="00CF021D"/>
    <w:rsid w:val="00CF0E81"/>
    <w:rsid w:val="00CF1619"/>
    <w:rsid w:val="00CF4A08"/>
    <w:rsid w:val="00CF5336"/>
    <w:rsid w:val="00CF6316"/>
    <w:rsid w:val="00CF6593"/>
    <w:rsid w:val="00CF6AF0"/>
    <w:rsid w:val="00D00C12"/>
    <w:rsid w:val="00D01934"/>
    <w:rsid w:val="00D02ECA"/>
    <w:rsid w:val="00D05384"/>
    <w:rsid w:val="00D10E59"/>
    <w:rsid w:val="00D12304"/>
    <w:rsid w:val="00D13A93"/>
    <w:rsid w:val="00D14914"/>
    <w:rsid w:val="00D15564"/>
    <w:rsid w:val="00D15B96"/>
    <w:rsid w:val="00D15D4B"/>
    <w:rsid w:val="00D17758"/>
    <w:rsid w:val="00D20980"/>
    <w:rsid w:val="00D24400"/>
    <w:rsid w:val="00D275EA"/>
    <w:rsid w:val="00D335CB"/>
    <w:rsid w:val="00D33C6A"/>
    <w:rsid w:val="00D34F8C"/>
    <w:rsid w:val="00D355C3"/>
    <w:rsid w:val="00D3588D"/>
    <w:rsid w:val="00D3607C"/>
    <w:rsid w:val="00D36E54"/>
    <w:rsid w:val="00D4396D"/>
    <w:rsid w:val="00D43F07"/>
    <w:rsid w:val="00D44D1C"/>
    <w:rsid w:val="00D45DE8"/>
    <w:rsid w:val="00D4629C"/>
    <w:rsid w:val="00D46A5C"/>
    <w:rsid w:val="00D54FA1"/>
    <w:rsid w:val="00D550ED"/>
    <w:rsid w:val="00D55D42"/>
    <w:rsid w:val="00D57147"/>
    <w:rsid w:val="00D577A1"/>
    <w:rsid w:val="00D631A9"/>
    <w:rsid w:val="00D633F9"/>
    <w:rsid w:val="00D653E7"/>
    <w:rsid w:val="00D664AE"/>
    <w:rsid w:val="00D66D38"/>
    <w:rsid w:val="00D67064"/>
    <w:rsid w:val="00D67E8F"/>
    <w:rsid w:val="00D712CE"/>
    <w:rsid w:val="00D73B2A"/>
    <w:rsid w:val="00D74D85"/>
    <w:rsid w:val="00D76A0B"/>
    <w:rsid w:val="00D77A45"/>
    <w:rsid w:val="00D77EA8"/>
    <w:rsid w:val="00D81818"/>
    <w:rsid w:val="00D81A6D"/>
    <w:rsid w:val="00D826C0"/>
    <w:rsid w:val="00D839CF"/>
    <w:rsid w:val="00D87CBA"/>
    <w:rsid w:val="00D906C8"/>
    <w:rsid w:val="00D90D87"/>
    <w:rsid w:val="00D919C5"/>
    <w:rsid w:val="00D91A40"/>
    <w:rsid w:val="00D94300"/>
    <w:rsid w:val="00D94532"/>
    <w:rsid w:val="00D950B9"/>
    <w:rsid w:val="00D9513E"/>
    <w:rsid w:val="00D97157"/>
    <w:rsid w:val="00DA0868"/>
    <w:rsid w:val="00DA559B"/>
    <w:rsid w:val="00DA77F3"/>
    <w:rsid w:val="00DB0A3D"/>
    <w:rsid w:val="00DB2592"/>
    <w:rsid w:val="00DB2F84"/>
    <w:rsid w:val="00DB30A4"/>
    <w:rsid w:val="00DB514A"/>
    <w:rsid w:val="00DB76E5"/>
    <w:rsid w:val="00DB7ABC"/>
    <w:rsid w:val="00DC2A56"/>
    <w:rsid w:val="00DC36AD"/>
    <w:rsid w:val="00DC44F0"/>
    <w:rsid w:val="00DC506F"/>
    <w:rsid w:val="00DC6679"/>
    <w:rsid w:val="00DC6C28"/>
    <w:rsid w:val="00DC75EA"/>
    <w:rsid w:val="00DC77B2"/>
    <w:rsid w:val="00DC7FCF"/>
    <w:rsid w:val="00DD13AB"/>
    <w:rsid w:val="00DD1CAB"/>
    <w:rsid w:val="00DD303E"/>
    <w:rsid w:val="00DD5D55"/>
    <w:rsid w:val="00DD79A1"/>
    <w:rsid w:val="00DD7EEE"/>
    <w:rsid w:val="00DE153F"/>
    <w:rsid w:val="00DE1D0B"/>
    <w:rsid w:val="00DE6116"/>
    <w:rsid w:val="00DE6877"/>
    <w:rsid w:val="00DF1534"/>
    <w:rsid w:val="00DF1784"/>
    <w:rsid w:val="00DF4E24"/>
    <w:rsid w:val="00DF6C71"/>
    <w:rsid w:val="00DF77AE"/>
    <w:rsid w:val="00E01063"/>
    <w:rsid w:val="00E01AF3"/>
    <w:rsid w:val="00E02544"/>
    <w:rsid w:val="00E02778"/>
    <w:rsid w:val="00E02E96"/>
    <w:rsid w:val="00E0308A"/>
    <w:rsid w:val="00E03565"/>
    <w:rsid w:val="00E050D1"/>
    <w:rsid w:val="00E05E96"/>
    <w:rsid w:val="00E0767B"/>
    <w:rsid w:val="00E07A09"/>
    <w:rsid w:val="00E07AF1"/>
    <w:rsid w:val="00E12692"/>
    <w:rsid w:val="00E15C06"/>
    <w:rsid w:val="00E16108"/>
    <w:rsid w:val="00E16928"/>
    <w:rsid w:val="00E20392"/>
    <w:rsid w:val="00E20618"/>
    <w:rsid w:val="00E20928"/>
    <w:rsid w:val="00E21016"/>
    <w:rsid w:val="00E234AD"/>
    <w:rsid w:val="00E240B5"/>
    <w:rsid w:val="00E24398"/>
    <w:rsid w:val="00E2645F"/>
    <w:rsid w:val="00E27135"/>
    <w:rsid w:val="00E30918"/>
    <w:rsid w:val="00E3474D"/>
    <w:rsid w:val="00E36691"/>
    <w:rsid w:val="00E36D3B"/>
    <w:rsid w:val="00E36FCC"/>
    <w:rsid w:val="00E37029"/>
    <w:rsid w:val="00E376CB"/>
    <w:rsid w:val="00E37B64"/>
    <w:rsid w:val="00E423EB"/>
    <w:rsid w:val="00E451A7"/>
    <w:rsid w:val="00E46F2C"/>
    <w:rsid w:val="00E47253"/>
    <w:rsid w:val="00E478C1"/>
    <w:rsid w:val="00E50E72"/>
    <w:rsid w:val="00E51DA3"/>
    <w:rsid w:val="00E51F76"/>
    <w:rsid w:val="00E54030"/>
    <w:rsid w:val="00E548DA"/>
    <w:rsid w:val="00E55149"/>
    <w:rsid w:val="00E5517C"/>
    <w:rsid w:val="00E5610F"/>
    <w:rsid w:val="00E60475"/>
    <w:rsid w:val="00E60CF7"/>
    <w:rsid w:val="00E62AB7"/>
    <w:rsid w:val="00E62EB7"/>
    <w:rsid w:val="00E65D99"/>
    <w:rsid w:val="00E67690"/>
    <w:rsid w:val="00E700BB"/>
    <w:rsid w:val="00E71BE5"/>
    <w:rsid w:val="00E74851"/>
    <w:rsid w:val="00E74E3A"/>
    <w:rsid w:val="00E757C9"/>
    <w:rsid w:val="00E75989"/>
    <w:rsid w:val="00E826E0"/>
    <w:rsid w:val="00E91B61"/>
    <w:rsid w:val="00E92996"/>
    <w:rsid w:val="00E93765"/>
    <w:rsid w:val="00E954C2"/>
    <w:rsid w:val="00E9600F"/>
    <w:rsid w:val="00EA03F8"/>
    <w:rsid w:val="00EA0416"/>
    <w:rsid w:val="00EA3E6D"/>
    <w:rsid w:val="00EA3F33"/>
    <w:rsid w:val="00EA588C"/>
    <w:rsid w:val="00EA6DD6"/>
    <w:rsid w:val="00EB10B8"/>
    <w:rsid w:val="00EB34C6"/>
    <w:rsid w:val="00EB572B"/>
    <w:rsid w:val="00EB61F9"/>
    <w:rsid w:val="00EB651D"/>
    <w:rsid w:val="00EC0057"/>
    <w:rsid w:val="00EC08FD"/>
    <w:rsid w:val="00EC0999"/>
    <w:rsid w:val="00EC0C03"/>
    <w:rsid w:val="00EC5CDE"/>
    <w:rsid w:val="00EC652A"/>
    <w:rsid w:val="00EC6E05"/>
    <w:rsid w:val="00EC72D5"/>
    <w:rsid w:val="00ED03EC"/>
    <w:rsid w:val="00ED3886"/>
    <w:rsid w:val="00ED5779"/>
    <w:rsid w:val="00ED5D4F"/>
    <w:rsid w:val="00ED5F6D"/>
    <w:rsid w:val="00EE1A7D"/>
    <w:rsid w:val="00EE2597"/>
    <w:rsid w:val="00EE2E02"/>
    <w:rsid w:val="00EE3494"/>
    <w:rsid w:val="00EE74AC"/>
    <w:rsid w:val="00EF1482"/>
    <w:rsid w:val="00EF1EE4"/>
    <w:rsid w:val="00EF26A2"/>
    <w:rsid w:val="00EF3F70"/>
    <w:rsid w:val="00EF60C4"/>
    <w:rsid w:val="00F02319"/>
    <w:rsid w:val="00F0233E"/>
    <w:rsid w:val="00F03A96"/>
    <w:rsid w:val="00F118F7"/>
    <w:rsid w:val="00F130A2"/>
    <w:rsid w:val="00F15DDE"/>
    <w:rsid w:val="00F16312"/>
    <w:rsid w:val="00F17663"/>
    <w:rsid w:val="00F2048A"/>
    <w:rsid w:val="00F20FE1"/>
    <w:rsid w:val="00F2144B"/>
    <w:rsid w:val="00F2196D"/>
    <w:rsid w:val="00F230C5"/>
    <w:rsid w:val="00F23291"/>
    <w:rsid w:val="00F2405F"/>
    <w:rsid w:val="00F25A4C"/>
    <w:rsid w:val="00F26EF2"/>
    <w:rsid w:val="00F311B1"/>
    <w:rsid w:val="00F32FC3"/>
    <w:rsid w:val="00F3381F"/>
    <w:rsid w:val="00F33BC4"/>
    <w:rsid w:val="00F34369"/>
    <w:rsid w:val="00F356F4"/>
    <w:rsid w:val="00F35F4C"/>
    <w:rsid w:val="00F3705E"/>
    <w:rsid w:val="00F37098"/>
    <w:rsid w:val="00F401EE"/>
    <w:rsid w:val="00F403AD"/>
    <w:rsid w:val="00F42D2E"/>
    <w:rsid w:val="00F44F52"/>
    <w:rsid w:val="00F511B3"/>
    <w:rsid w:val="00F51658"/>
    <w:rsid w:val="00F5409D"/>
    <w:rsid w:val="00F54538"/>
    <w:rsid w:val="00F5522A"/>
    <w:rsid w:val="00F56CB1"/>
    <w:rsid w:val="00F60C8E"/>
    <w:rsid w:val="00F61423"/>
    <w:rsid w:val="00F6176E"/>
    <w:rsid w:val="00F632B1"/>
    <w:rsid w:val="00F63EC7"/>
    <w:rsid w:val="00F650D8"/>
    <w:rsid w:val="00F66F2D"/>
    <w:rsid w:val="00F7309F"/>
    <w:rsid w:val="00F740A1"/>
    <w:rsid w:val="00F74304"/>
    <w:rsid w:val="00F74C6E"/>
    <w:rsid w:val="00F778D4"/>
    <w:rsid w:val="00F77AD9"/>
    <w:rsid w:val="00F8034E"/>
    <w:rsid w:val="00F816DD"/>
    <w:rsid w:val="00F81743"/>
    <w:rsid w:val="00F8222E"/>
    <w:rsid w:val="00F839C0"/>
    <w:rsid w:val="00F83D0A"/>
    <w:rsid w:val="00F853D0"/>
    <w:rsid w:val="00F86682"/>
    <w:rsid w:val="00F86DAE"/>
    <w:rsid w:val="00F92867"/>
    <w:rsid w:val="00F94D8E"/>
    <w:rsid w:val="00FA056F"/>
    <w:rsid w:val="00FA32D1"/>
    <w:rsid w:val="00FA33E7"/>
    <w:rsid w:val="00FA3772"/>
    <w:rsid w:val="00FA40EA"/>
    <w:rsid w:val="00FA67EA"/>
    <w:rsid w:val="00FA6FCA"/>
    <w:rsid w:val="00FB0794"/>
    <w:rsid w:val="00FB094B"/>
    <w:rsid w:val="00FB115A"/>
    <w:rsid w:val="00FB2DEF"/>
    <w:rsid w:val="00FB329A"/>
    <w:rsid w:val="00FB6C47"/>
    <w:rsid w:val="00FC01B3"/>
    <w:rsid w:val="00FC1FDC"/>
    <w:rsid w:val="00FC25F5"/>
    <w:rsid w:val="00FC28B4"/>
    <w:rsid w:val="00FC3D88"/>
    <w:rsid w:val="00FC5F4A"/>
    <w:rsid w:val="00FC5FDB"/>
    <w:rsid w:val="00FC60D1"/>
    <w:rsid w:val="00FC79C4"/>
    <w:rsid w:val="00FD063C"/>
    <w:rsid w:val="00FD0B71"/>
    <w:rsid w:val="00FD3212"/>
    <w:rsid w:val="00FE05C9"/>
    <w:rsid w:val="00FE0CFB"/>
    <w:rsid w:val="00FE1235"/>
    <w:rsid w:val="00FE2D04"/>
    <w:rsid w:val="00FE5220"/>
    <w:rsid w:val="00FE533D"/>
    <w:rsid w:val="00FE5D43"/>
    <w:rsid w:val="00FE69E7"/>
    <w:rsid w:val="00FE7648"/>
    <w:rsid w:val="00FE7FC1"/>
    <w:rsid w:val="00FF2BDF"/>
    <w:rsid w:val="00FF35AB"/>
    <w:rsid w:val="00FF47F3"/>
    <w:rsid w:val="00FF4F82"/>
    <w:rsid w:val="00FF58E5"/>
    <w:rsid w:val="00FF5F04"/>
    <w:rsid w:val="00FF689B"/>
    <w:rsid w:val="00FF7109"/>
    <w:rsid w:val="00FF77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C6DD"/>
  <w15:chartTrackingRefBased/>
  <w15:docId w15:val="{4EBD37CF-0375-4A86-BB90-05FBB95B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ED1"/>
  </w:style>
  <w:style w:type="paragraph" w:styleId="Ttulo1">
    <w:name w:val="heading 1"/>
    <w:basedOn w:val="Normal"/>
    <w:next w:val="Normal"/>
    <w:link w:val="Ttulo1Car"/>
    <w:uiPriority w:val="9"/>
    <w:qFormat/>
    <w:rsid w:val="000D1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E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ED1"/>
  </w:style>
  <w:style w:type="paragraph" w:styleId="Piedepgina">
    <w:name w:val="footer"/>
    <w:basedOn w:val="Normal"/>
    <w:link w:val="PiedepginaCar"/>
    <w:uiPriority w:val="99"/>
    <w:unhideWhenUsed/>
    <w:rsid w:val="003C6E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ED1"/>
  </w:style>
  <w:style w:type="paragraph" w:styleId="Prrafodelista">
    <w:name w:val="List Paragraph"/>
    <w:basedOn w:val="Normal"/>
    <w:uiPriority w:val="34"/>
    <w:qFormat/>
    <w:rsid w:val="003C6ED1"/>
    <w:pPr>
      <w:ind w:left="720"/>
      <w:contextualSpacing/>
    </w:pPr>
  </w:style>
  <w:style w:type="paragraph" w:styleId="Textonotapie">
    <w:name w:val="footnote text"/>
    <w:basedOn w:val="Normal"/>
    <w:link w:val="TextonotapieCar"/>
    <w:uiPriority w:val="99"/>
    <w:unhideWhenUsed/>
    <w:rsid w:val="003C6ED1"/>
    <w:pPr>
      <w:spacing w:after="0" w:line="240" w:lineRule="auto"/>
    </w:pPr>
    <w:rPr>
      <w:sz w:val="20"/>
      <w:szCs w:val="20"/>
    </w:rPr>
  </w:style>
  <w:style w:type="character" w:customStyle="1" w:styleId="TextonotapieCar">
    <w:name w:val="Texto nota pie Car"/>
    <w:basedOn w:val="Fuentedeprrafopredeter"/>
    <w:link w:val="Textonotapie"/>
    <w:uiPriority w:val="99"/>
    <w:rsid w:val="003C6ED1"/>
    <w:rPr>
      <w:sz w:val="20"/>
      <w:szCs w:val="20"/>
    </w:rPr>
  </w:style>
  <w:style w:type="character" w:styleId="Refdenotaalpie">
    <w:name w:val="footnote reference"/>
    <w:basedOn w:val="Fuentedeprrafopredeter"/>
    <w:uiPriority w:val="99"/>
    <w:unhideWhenUsed/>
    <w:rsid w:val="003C6ED1"/>
    <w:rPr>
      <w:vertAlign w:val="superscript"/>
    </w:rPr>
  </w:style>
  <w:style w:type="character" w:styleId="Hipervnculo">
    <w:name w:val="Hyperlink"/>
    <w:basedOn w:val="Fuentedeprrafopredeter"/>
    <w:uiPriority w:val="99"/>
    <w:unhideWhenUsed/>
    <w:rsid w:val="00057236"/>
    <w:rPr>
      <w:color w:val="0563C1" w:themeColor="hyperlink"/>
      <w:u w:val="single"/>
    </w:rPr>
  </w:style>
  <w:style w:type="paragraph" w:styleId="NormalWeb">
    <w:name w:val="Normal (Web)"/>
    <w:basedOn w:val="Normal"/>
    <w:uiPriority w:val="99"/>
    <w:semiHidden/>
    <w:unhideWhenUsed/>
    <w:rsid w:val="00237A6A"/>
    <w:pPr>
      <w:spacing w:before="100" w:beforeAutospacing="1" w:after="100" w:afterAutospacing="1" w:line="240" w:lineRule="auto"/>
    </w:pPr>
    <w:rPr>
      <w:rFonts w:ascii="Times New Roman" w:eastAsiaTheme="minorEastAsia" w:hAnsi="Times New Roman" w:cs="Times New Roman"/>
      <w:sz w:val="20"/>
      <w:szCs w:val="20"/>
      <w:lang w:val="es-ES_tradnl" w:eastAsia="es-ES"/>
    </w:rPr>
  </w:style>
  <w:style w:type="table" w:styleId="Tablaconcuadrcula">
    <w:name w:val="Table Grid"/>
    <w:basedOn w:val="Tablanormal"/>
    <w:uiPriority w:val="59"/>
    <w:rsid w:val="0053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1E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E00"/>
    <w:rPr>
      <w:rFonts w:ascii="Segoe UI" w:hAnsi="Segoe UI" w:cs="Segoe UI"/>
      <w:sz w:val="18"/>
      <w:szCs w:val="18"/>
    </w:rPr>
  </w:style>
  <w:style w:type="character" w:customStyle="1" w:styleId="Ttulo1Car">
    <w:name w:val="Título 1 Car"/>
    <w:basedOn w:val="Fuentedeprrafopredeter"/>
    <w:link w:val="Ttulo1"/>
    <w:uiPriority w:val="9"/>
    <w:rsid w:val="000D1B5F"/>
    <w:rPr>
      <w:rFonts w:asciiTheme="majorHAnsi" w:eastAsiaTheme="majorEastAsia" w:hAnsiTheme="majorHAnsi" w:cstheme="majorBidi"/>
      <w:color w:val="2F5496" w:themeColor="accent1" w:themeShade="BF"/>
      <w:sz w:val="32"/>
      <w:szCs w:val="32"/>
    </w:rPr>
  </w:style>
  <w:style w:type="character" w:styleId="Textoennegrita">
    <w:name w:val="Strong"/>
    <w:basedOn w:val="Fuentedeprrafopredeter"/>
    <w:uiPriority w:val="22"/>
    <w:qFormat/>
    <w:rsid w:val="00DB2F84"/>
    <w:rPr>
      <w:b/>
      <w:bCs/>
    </w:rPr>
  </w:style>
  <w:style w:type="character" w:customStyle="1" w:styleId="Mencinsinresolver1">
    <w:name w:val="Mención sin resolver1"/>
    <w:basedOn w:val="Fuentedeprrafopredeter"/>
    <w:uiPriority w:val="99"/>
    <w:semiHidden/>
    <w:unhideWhenUsed/>
    <w:rsid w:val="002D2BCA"/>
    <w:rPr>
      <w:color w:val="605E5C"/>
      <w:shd w:val="clear" w:color="auto" w:fill="E1DFDD"/>
    </w:rPr>
  </w:style>
  <w:style w:type="character" w:customStyle="1" w:styleId="Mencinsinresolver2">
    <w:name w:val="Mención sin resolver2"/>
    <w:basedOn w:val="Fuentedeprrafopredeter"/>
    <w:uiPriority w:val="99"/>
    <w:semiHidden/>
    <w:unhideWhenUsed/>
    <w:rsid w:val="00D90D87"/>
    <w:rPr>
      <w:color w:val="605E5C"/>
      <w:shd w:val="clear" w:color="auto" w:fill="E1DFDD"/>
    </w:rPr>
  </w:style>
  <w:style w:type="character" w:customStyle="1" w:styleId="Mencinsinresolver3">
    <w:name w:val="Mención sin resolver3"/>
    <w:basedOn w:val="Fuentedeprrafopredeter"/>
    <w:uiPriority w:val="99"/>
    <w:semiHidden/>
    <w:unhideWhenUsed/>
    <w:rsid w:val="000759E0"/>
    <w:rPr>
      <w:color w:val="605E5C"/>
      <w:shd w:val="clear" w:color="auto" w:fill="E1DFDD"/>
    </w:rPr>
  </w:style>
  <w:style w:type="character" w:styleId="Refdecomentario">
    <w:name w:val="annotation reference"/>
    <w:basedOn w:val="Fuentedeprrafopredeter"/>
    <w:uiPriority w:val="99"/>
    <w:semiHidden/>
    <w:unhideWhenUsed/>
    <w:rsid w:val="00FC28B4"/>
    <w:rPr>
      <w:sz w:val="16"/>
      <w:szCs w:val="16"/>
    </w:rPr>
  </w:style>
  <w:style w:type="paragraph" w:styleId="Textocomentario">
    <w:name w:val="annotation text"/>
    <w:basedOn w:val="Normal"/>
    <w:link w:val="TextocomentarioCar"/>
    <w:uiPriority w:val="99"/>
    <w:semiHidden/>
    <w:unhideWhenUsed/>
    <w:rsid w:val="00FC28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C28B4"/>
    <w:rPr>
      <w:sz w:val="20"/>
      <w:szCs w:val="20"/>
    </w:rPr>
  </w:style>
  <w:style w:type="paragraph" w:styleId="Asuntodelcomentario">
    <w:name w:val="annotation subject"/>
    <w:basedOn w:val="Textocomentario"/>
    <w:next w:val="Textocomentario"/>
    <w:link w:val="AsuntodelcomentarioCar"/>
    <w:uiPriority w:val="99"/>
    <w:semiHidden/>
    <w:unhideWhenUsed/>
    <w:rsid w:val="00FC28B4"/>
    <w:rPr>
      <w:b/>
      <w:bCs/>
    </w:rPr>
  </w:style>
  <w:style w:type="character" w:customStyle="1" w:styleId="AsuntodelcomentarioCar">
    <w:name w:val="Asunto del comentario Car"/>
    <w:basedOn w:val="TextocomentarioCar"/>
    <w:link w:val="Asuntodelcomentario"/>
    <w:uiPriority w:val="99"/>
    <w:semiHidden/>
    <w:rsid w:val="00FC28B4"/>
    <w:rPr>
      <w:b/>
      <w:bCs/>
      <w:sz w:val="20"/>
      <w:szCs w:val="20"/>
    </w:rPr>
  </w:style>
  <w:style w:type="character" w:customStyle="1" w:styleId="Mencinsinresolver4">
    <w:name w:val="Mención sin resolver4"/>
    <w:basedOn w:val="Fuentedeprrafopredeter"/>
    <w:uiPriority w:val="99"/>
    <w:semiHidden/>
    <w:unhideWhenUsed/>
    <w:rsid w:val="00D02ECA"/>
    <w:rPr>
      <w:color w:val="605E5C"/>
      <w:shd w:val="clear" w:color="auto" w:fill="E1DFDD"/>
    </w:rPr>
  </w:style>
  <w:style w:type="character" w:customStyle="1" w:styleId="Mencinsinresolver5">
    <w:name w:val="Mención sin resolver5"/>
    <w:basedOn w:val="Fuentedeprrafopredeter"/>
    <w:uiPriority w:val="99"/>
    <w:semiHidden/>
    <w:unhideWhenUsed/>
    <w:rsid w:val="007C3E8A"/>
    <w:rPr>
      <w:color w:val="605E5C"/>
      <w:shd w:val="clear" w:color="auto" w:fill="E1DFDD"/>
    </w:rPr>
  </w:style>
  <w:style w:type="character" w:customStyle="1" w:styleId="Mencinsinresolver6">
    <w:name w:val="Mención sin resolver6"/>
    <w:basedOn w:val="Fuentedeprrafopredeter"/>
    <w:uiPriority w:val="99"/>
    <w:semiHidden/>
    <w:unhideWhenUsed/>
    <w:rsid w:val="00586559"/>
    <w:rPr>
      <w:color w:val="605E5C"/>
      <w:shd w:val="clear" w:color="auto" w:fill="E1DFDD"/>
    </w:rPr>
  </w:style>
  <w:style w:type="character" w:styleId="Hipervnculovisitado">
    <w:name w:val="FollowedHyperlink"/>
    <w:basedOn w:val="Fuentedeprrafopredeter"/>
    <w:uiPriority w:val="99"/>
    <w:semiHidden/>
    <w:unhideWhenUsed/>
    <w:rsid w:val="00C009FA"/>
    <w:rPr>
      <w:color w:val="954F72" w:themeColor="followedHyperlink"/>
      <w:u w:val="single"/>
    </w:rPr>
  </w:style>
  <w:style w:type="character" w:customStyle="1" w:styleId="Mencinsinresolver7">
    <w:name w:val="Mención sin resolver7"/>
    <w:basedOn w:val="Fuentedeprrafopredeter"/>
    <w:uiPriority w:val="99"/>
    <w:semiHidden/>
    <w:unhideWhenUsed/>
    <w:rsid w:val="00655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512725">
      <w:bodyDiv w:val="1"/>
      <w:marLeft w:val="0"/>
      <w:marRight w:val="0"/>
      <w:marTop w:val="0"/>
      <w:marBottom w:val="0"/>
      <w:divBdr>
        <w:top w:val="none" w:sz="0" w:space="0" w:color="auto"/>
        <w:left w:val="none" w:sz="0" w:space="0" w:color="auto"/>
        <w:bottom w:val="none" w:sz="0" w:space="0" w:color="auto"/>
        <w:right w:val="none" w:sz="0" w:space="0" w:color="auto"/>
      </w:divBdr>
    </w:div>
    <w:div w:id="890073072">
      <w:bodyDiv w:val="1"/>
      <w:marLeft w:val="0"/>
      <w:marRight w:val="0"/>
      <w:marTop w:val="0"/>
      <w:marBottom w:val="0"/>
      <w:divBdr>
        <w:top w:val="none" w:sz="0" w:space="0" w:color="auto"/>
        <w:left w:val="none" w:sz="0" w:space="0" w:color="auto"/>
        <w:bottom w:val="none" w:sz="0" w:space="0" w:color="auto"/>
        <w:right w:val="none" w:sz="0" w:space="0" w:color="auto"/>
      </w:divBdr>
    </w:div>
    <w:div w:id="925262847">
      <w:bodyDiv w:val="1"/>
      <w:marLeft w:val="0"/>
      <w:marRight w:val="0"/>
      <w:marTop w:val="0"/>
      <w:marBottom w:val="0"/>
      <w:divBdr>
        <w:top w:val="none" w:sz="0" w:space="0" w:color="auto"/>
        <w:left w:val="none" w:sz="0" w:space="0" w:color="auto"/>
        <w:bottom w:val="none" w:sz="0" w:space="0" w:color="auto"/>
        <w:right w:val="none" w:sz="0" w:space="0" w:color="auto"/>
      </w:divBdr>
    </w:div>
    <w:div w:id="195220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27383-6011-4B96-AEAA-FDDB9468F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2816</Words>
  <Characters>15494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 Elizalde</dc:creator>
  <cp:keywords/>
  <dc:description/>
  <cp:lastModifiedBy>PRODESK HP</cp:lastModifiedBy>
  <cp:revision>2</cp:revision>
  <cp:lastPrinted>2022-02-12T21:28:00Z</cp:lastPrinted>
  <dcterms:created xsi:type="dcterms:W3CDTF">2023-05-04T17:41:00Z</dcterms:created>
  <dcterms:modified xsi:type="dcterms:W3CDTF">2023-05-04T17:41:00Z</dcterms:modified>
</cp:coreProperties>
</file>