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D1BD8" w14:textId="77777777" w:rsidR="00180580" w:rsidRPr="00E91FC9" w:rsidRDefault="00180580" w:rsidP="004C37ED">
      <w:pPr>
        <w:pStyle w:val="Sinespaciado"/>
        <w:spacing w:line="360" w:lineRule="auto"/>
        <w:jc w:val="right"/>
        <w:rPr>
          <w:rFonts w:ascii="Arial" w:hAnsi="Arial" w:cs="Arial"/>
          <w:b/>
        </w:rPr>
      </w:pPr>
      <w:r w:rsidRPr="00E91FC9">
        <w:rPr>
          <w:rFonts w:ascii="Arial" w:hAnsi="Arial" w:cs="Arial"/>
          <w:b/>
        </w:rPr>
        <w:t xml:space="preserve">Toluca de Lerdo, Capital del Estado de México, </w:t>
      </w:r>
    </w:p>
    <w:p w14:paraId="77221AF0" w14:textId="036F0171" w:rsidR="00180580" w:rsidRPr="00E91FC9" w:rsidRDefault="00180580" w:rsidP="004C37ED">
      <w:pPr>
        <w:pStyle w:val="Sinespaciado"/>
        <w:spacing w:line="360" w:lineRule="auto"/>
        <w:jc w:val="right"/>
        <w:rPr>
          <w:rFonts w:ascii="Arial" w:hAnsi="Arial" w:cs="Arial"/>
          <w:b/>
        </w:rPr>
      </w:pPr>
      <w:r w:rsidRPr="00E91FC9">
        <w:rPr>
          <w:rFonts w:ascii="Arial" w:hAnsi="Arial" w:cs="Arial"/>
          <w:b/>
        </w:rPr>
        <w:t xml:space="preserve">__ de </w:t>
      </w:r>
      <w:r w:rsidR="00A458E7" w:rsidRPr="00E91FC9">
        <w:rPr>
          <w:rFonts w:ascii="Arial" w:hAnsi="Arial" w:cs="Arial"/>
          <w:b/>
        </w:rPr>
        <w:t xml:space="preserve">____________ </w:t>
      </w:r>
      <w:r w:rsidR="009E02B5" w:rsidRPr="00E91FC9">
        <w:rPr>
          <w:rFonts w:ascii="Arial" w:hAnsi="Arial" w:cs="Arial"/>
          <w:b/>
        </w:rPr>
        <w:t>del 202</w:t>
      </w:r>
      <w:r w:rsidR="005C7F68" w:rsidRPr="00E91FC9">
        <w:rPr>
          <w:rFonts w:ascii="Arial" w:hAnsi="Arial" w:cs="Arial"/>
          <w:b/>
        </w:rPr>
        <w:t>6</w:t>
      </w:r>
      <w:r w:rsidRPr="00E91FC9">
        <w:rPr>
          <w:rFonts w:ascii="Arial" w:hAnsi="Arial" w:cs="Arial"/>
          <w:b/>
        </w:rPr>
        <w:t>.</w:t>
      </w:r>
    </w:p>
    <w:p w14:paraId="59F2FC41" w14:textId="77777777" w:rsidR="00180580" w:rsidRPr="00E91FC9" w:rsidRDefault="00180580" w:rsidP="004C37ED">
      <w:pPr>
        <w:spacing w:after="0" w:line="360" w:lineRule="auto"/>
        <w:jc w:val="both"/>
        <w:rPr>
          <w:rFonts w:ascii="Arial" w:hAnsi="Arial" w:cs="Arial"/>
          <w:b/>
          <w:bCs/>
          <w:sz w:val="24"/>
          <w:szCs w:val="24"/>
        </w:rPr>
      </w:pPr>
    </w:p>
    <w:p w14:paraId="59C42D57" w14:textId="470A22D4" w:rsidR="00180580" w:rsidRPr="00E91FC9" w:rsidRDefault="00180580" w:rsidP="004C37ED">
      <w:pPr>
        <w:pStyle w:val="Sinespaciado"/>
        <w:spacing w:line="360" w:lineRule="auto"/>
        <w:jc w:val="both"/>
        <w:rPr>
          <w:rFonts w:ascii="Arial" w:hAnsi="Arial" w:cs="Arial"/>
          <w:b/>
          <w:sz w:val="24"/>
          <w:szCs w:val="24"/>
        </w:rPr>
      </w:pPr>
      <w:r w:rsidRPr="00E91FC9">
        <w:rPr>
          <w:rFonts w:ascii="Arial" w:hAnsi="Arial" w:cs="Arial"/>
          <w:b/>
          <w:sz w:val="24"/>
          <w:szCs w:val="24"/>
        </w:rPr>
        <w:t>DIPUTAD</w:t>
      </w:r>
      <w:r w:rsidR="00AF0B85" w:rsidRPr="00E91FC9">
        <w:rPr>
          <w:rFonts w:ascii="Arial" w:hAnsi="Arial" w:cs="Arial"/>
          <w:b/>
          <w:sz w:val="24"/>
          <w:szCs w:val="24"/>
        </w:rPr>
        <w:t xml:space="preserve">O VLADIMIR HERNÁNDEZ VILLEGAS </w:t>
      </w:r>
    </w:p>
    <w:p w14:paraId="560C59BE" w14:textId="3A1C58C6" w:rsidR="00180580" w:rsidRPr="00E91FC9" w:rsidRDefault="00180580" w:rsidP="004C37ED">
      <w:pPr>
        <w:pStyle w:val="Sinespaciado"/>
        <w:spacing w:line="360" w:lineRule="auto"/>
        <w:jc w:val="both"/>
        <w:rPr>
          <w:rFonts w:ascii="Arial" w:hAnsi="Arial" w:cs="Arial"/>
          <w:b/>
          <w:sz w:val="24"/>
          <w:szCs w:val="24"/>
        </w:rPr>
      </w:pPr>
      <w:r w:rsidRPr="00E91FC9">
        <w:rPr>
          <w:rFonts w:ascii="Arial" w:hAnsi="Arial" w:cs="Arial"/>
          <w:b/>
          <w:sz w:val="24"/>
          <w:szCs w:val="24"/>
        </w:rPr>
        <w:t>PRESIDENT</w:t>
      </w:r>
      <w:r w:rsidR="00AF0B85" w:rsidRPr="00E91FC9">
        <w:rPr>
          <w:rFonts w:ascii="Arial" w:hAnsi="Arial" w:cs="Arial"/>
          <w:b/>
          <w:sz w:val="24"/>
          <w:szCs w:val="24"/>
        </w:rPr>
        <w:t>E</w:t>
      </w:r>
      <w:r w:rsidRPr="00E91FC9">
        <w:rPr>
          <w:rFonts w:ascii="Arial" w:hAnsi="Arial" w:cs="Arial"/>
          <w:b/>
          <w:sz w:val="24"/>
          <w:szCs w:val="24"/>
        </w:rPr>
        <w:t xml:space="preserve"> DE LA MESA DIRECTIVA DE LA</w:t>
      </w:r>
    </w:p>
    <w:p w14:paraId="32DBA085" w14:textId="77777777" w:rsidR="00180580" w:rsidRPr="00E91FC9" w:rsidRDefault="00180580" w:rsidP="004C37ED">
      <w:pPr>
        <w:pStyle w:val="Sinespaciado"/>
        <w:spacing w:line="360" w:lineRule="auto"/>
        <w:jc w:val="both"/>
        <w:rPr>
          <w:rFonts w:ascii="Arial" w:hAnsi="Arial" w:cs="Arial"/>
          <w:b/>
          <w:sz w:val="24"/>
          <w:szCs w:val="24"/>
        </w:rPr>
      </w:pPr>
      <w:r w:rsidRPr="00E91FC9">
        <w:rPr>
          <w:rFonts w:ascii="Arial" w:hAnsi="Arial" w:cs="Arial"/>
          <w:b/>
          <w:sz w:val="24"/>
          <w:szCs w:val="24"/>
        </w:rPr>
        <w:t xml:space="preserve">LXII LEGISLATURA DEL ESTADO LIBRE Y </w:t>
      </w:r>
    </w:p>
    <w:p w14:paraId="2EA9E7A2" w14:textId="77777777" w:rsidR="00180580" w:rsidRPr="00E91FC9" w:rsidRDefault="00180580" w:rsidP="004C37ED">
      <w:pPr>
        <w:pStyle w:val="Sinespaciado"/>
        <w:spacing w:line="360" w:lineRule="auto"/>
        <w:jc w:val="both"/>
        <w:rPr>
          <w:rFonts w:ascii="Arial" w:hAnsi="Arial" w:cs="Arial"/>
          <w:b/>
          <w:sz w:val="24"/>
          <w:szCs w:val="24"/>
        </w:rPr>
      </w:pPr>
      <w:r w:rsidRPr="00E91FC9">
        <w:rPr>
          <w:rFonts w:ascii="Arial" w:hAnsi="Arial" w:cs="Arial"/>
          <w:b/>
          <w:sz w:val="24"/>
          <w:szCs w:val="24"/>
        </w:rPr>
        <w:t>SOBERANO DE MÉXICO</w:t>
      </w:r>
    </w:p>
    <w:p w14:paraId="4727F91C" w14:textId="77777777" w:rsidR="00180580" w:rsidRPr="00E91FC9" w:rsidRDefault="00180580" w:rsidP="004C37ED">
      <w:pPr>
        <w:pStyle w:val="Sinespaciado"/>
        <w:spacing w:line="360" w:lineRule="auto"/>
        <w:jc w:val="both"/>
        <w:rPr>
          <w:rFonts w:ascii="Arial" w:hAnsi="Arial" w:cs="Arial"/>
          <w:b/>
          <w:sz w:val="24"/>
          <w:szCs w:val="24"/>
        </w:rPr>
      </w:pPr>
      <w:r w:rsidRPr="00E91FC9">
        <w:rPr>
          <w:rFonts w:ascii="Arial" w:hAnsi="Arial" w:cs="Arial"/>
          <w:b/>
          <w:sz w:val="24"/>
          <w:szCs w:val="24"/>
        </w:rPr>
        <w:t>P R E S E N T E.</w:t>
      </w:r>
    </w:p>
    <w:p w14:paraId="2E2B792A" w14:textId="4C45F50E" w:rsidR="00B2331F" w:rsidRPr="00E91FC9" w:rsidRDefault="00180580" w:rsidP="00B2331F">
      <w:pPr>
        <w:spacing w:after="240"/>
        <w:jc w:val="both"/>
        <w:rPr>
          <w:rFonts w:ascii="Arial" w:hAnsi="Arial" w:cs="Arial"/>
          <w:sz w:val="24"/>
          <w:szCs w:val="24"/>
        </w:rPr>
      </w:pPr>
      <w:r w:rsidRPr="00E91FC9">
        <w:rPr>
          <w:rFonts w:ascii="Arial" w:hAnsi="Arial" w:cs="Arial"/>
          <w:sz w:val="24"/>
          <w:szCs w:val="24"/>
        </w:rPr>
        <w:t xml:space="preserve">Los que suscriben </w:t>
      </w:r>
      <w:r w:rsidRPr="00E91FC9">
        <w:rPr>
          <w:rFonts w:ascii="Arial" w:hAnsi="Arial" w:cs="Arial"/>
          <w:b/>
          <w:bCs/>
          <w:sz w:val="24"/>
          <w:szCs w:val="24"/>
        </w:rPr>
        <w:t>Rocío Alexia Dávil</w:t>
      </w:r>
      <w:r w:rsidR="00D00600" w:rsidRPr="00E91FC9">
        <w:rPr>
          <w:rFonts w:ascii="Arial" w:hAnsi="Arial" w:cs="Arial"/>
          <w:b/>
          <w:bCs/>
          <w:sz w:val="24"/>
          <w:szCs w:val="24"/>
        </w:rPr>
        <w:t>a Sánchez y Pablo Fernández d</w:t>
      </w:r>
      <w:r w:rsidRPr="00E91FC9">
        <w:rPr>
          <w:rFonts w:ascii="Arial" w:hAnsi="Arial" w:cs="Arial"/>
          <w:b/>
          <w:bCs/>
          <w:sz w:val="24"/>
          <w:szCs w:val="24"/>
        </w:rPr>
        <w:t>e Cevallos González</w:t>
      </w:r>
      <w:r w:rsidRPr="00E91FC9">
        <w:rPr>
          <w:rFonts w:ascii="Arial" w:hAnsi="Arial" w:cs="Arial"/>
          <w:sz w:val="24"/>
          <w:szCs w:val="24"/>
        </w:rPr>
        <w:t>, a nombre del Grupo Parlamentario del Partido Acción Nacional en el H. Congreso del Estado Libre y Soberano de México con fundamento en los artículos 116 de la Constitución Política de los Estados Unidos Mexicanos; 51 fracción II, 55, 57y 61 fracción I de la Constitución Política del Estado Libre y Soberano de México; 38, 78 de la Ley Orgánica del Poder Legislativo del Estado Libre y Soberano de México, así como su Reglamento someto a la consideración de esta Honorable Legislatura,</w:t>
      </w:r>
      <w:r w:rsidR="00D52173" w:rsidRPr="00E91FC9">
        <w:rPr>
          <w:rFonts w:ascii="Arial" w:hAnsi="Arial" w:cs="Arial"/>
          <w:sz w:val="24"/>
          <w:szCs w:val="24"/>
        </w:rPr>
        <w:t xml:space="preserve"> </w:t>
      </w:r>
      <w:r w:rsidR="00AF0B85" w:rsidRPr="00E91FC9">
        <w:rPr>
          <w:rFonts w:ascii="Arial" w:hAnsi="Arial" w:cs="Arial"/>
          <w:b/>
          <w:sz w:val="24"/>
          <w:szCs w:val="24"/>
        </w:rPr>
        <w:t>INICIATIVA CON PROYECTO DE DECRETO POR EL QUE SE REFORMAN LAS FRACCIONES VI Y VII DEL ARTÍCULO 147</w:t>
      </w:r>
      <w:r w:rsidR="00B2331F">
        <w:rPr>
          <w:rFonts w:ascii="Arial" w:hAnsi="Arial" w:cs="Arial"/>
          <w:b/>
          <w:sz w:val="24"/>
          <w:szCs w:val="24"/>
        </w:rPr>
        <w:t xml:space="preserve"> DEL CAPITULO IX</w:t>
      </w:r>
      <w:r w:rsidR="00AF0B85" w:rsidRPr="00E91FC9">
        <w:rPr>
          <w:rFonts w:ascii="Arial" w:hAnsi="Arial" w:cs="Arial"/>
          <w:b/>
          <w:sz w:val="24"/>
          <w:szCs w:val="24"/>
        </w:rPr>
        <w:t xml:space="preserve"> DE LA LEY DE SALUD DEL ESTADO DE MÉXICO</w:t>
      </w:r>
      <w:r w:rsidR="00AF0B85" w:rsidRPr="00E91FC9">
        <w:rPr>
          <w:rFonts w:ascii="Arial" w:hAnsi="Arial" w:cs="Arial"/>
          <w:sz w:val="24"/>
          <w:szCs w:val="24"/>
        </w:rPr>
        <w:t xml:space="preserve"> conforme a la siguiente:</w:t>
      </w:r>
      <w:r w:rsidR="00B2331F" w:rsidRPr="00B2331F">
        <w:rPr>
          <w:rFonts w:ascii="Arial" w:hAnsi="Arial" w:cs="Arial"/>
          <w:sz w:val="24"/>
          <w:szCs w:val="24"/>
        </w:rPr>
        <w:t xml:space="preserve"> </w:t>
      </w:r>
    </w:p>
    <w:p w14:paraId="1EBFD2F7" w14:textId="2D4D38D1" w:rsidR="00180580" w:rsidRPr="00E91FC9" w:rsidRDefault="00180580" w:rsidP="004C37ED">
      <w:pPr>
        <w:pStyle w:val="NormalWeb"/>
        <w:shd w:val="clear" w:color="auto" w:fill="FFFFFF"/>
        <w:spacing w:line="360" w:lineRule="auto"/>
        <w:jc w:val="both"/>
        <w:rPr>
          <w:rFonts w:ascii="Arial" w:hAnsi="Arial" w:cs="Arial"/>
        </w:rPr>
      </w:pPr>
    </w:p>
    <w:p w14:paraId="38EC7D7A" w14:textId="5A56E448" w:rsidR="00A458E7" w:rsidRPr="00E91FC9" w:rsidRDefault="00966424" w:rsidP="004C37ED">
      <w:pPr>
        <w:pStyle w:val="Sinespaciado"/>
        <w:spacing w:line="360" w:lineRule="auto"/>
        <w:jc w:val="center"/>
        <w:rPr>
          <w:rFonts w:ascii="Arial" w:hAnsi="Arial" w:cs="Arial"/>
          <w:b/>
          <w:sz w:val="24"/>
          <w:szCs w:val="24"/>
        </w:rPr>
      </w:pPr>
      <w:r w:rsidRPr="00E91FC9">
        <w:rPr>
          <w:rFonts w:ascii="Arial" w:hAnsi="Arial" w:cs="Arial"/>
          <w:b/>
          <w:sz w:val="24"/>
          <w:szCs w:val="24"/>
        </w:rPr>
        <w:t>EXPOSICIÓN</w:t>
      </w:r>
      <w:r w:rsidR="004061EC" w:rsidRPr="00E91FC9">
        <w:rPr>
          <w:rFonts w:ascii="Arial" w:hAnsi="Arial" w:cs="Arial"/>
          <w:b/>
          <w:sz w:val="24"/>
          <w:szCs w:val="24"/>
        </w:rPr>
        <w:t xml:space="preserve"> DE MOTIVOS</w:t>
      </w:r>
    </w:p>
    <w:p w14:paraId="52D4BC1B" w14:textId="62DBDAC9" w:rsidR="00492589" w:rsidRPr="00E91FC9" w:rsidRDefault="00492589" w:rsidP="00492589">
      <w:pPr>
        <w:spacing w:after="120"/>
        <w:jc w:val="both"/>
        <w:rPr>
          <w:rFonts w:ascii="Arial" w:hAnsi="Arial" w:cs="Arial"/>
          <w:sz w:val="24"/>
          <w:szCs w:val="24"/>
        </w:rPr>
      </w:pPr>
      <w:r w:rsidRPr="00E91FC9">
        <w:rPr>
          <w:rFonts w:ascii="Arial" w:hAnsi="Arial" w:cs="Arial"/>
          <w:sz w:val="24"/>
          <w:szCs w:val="24"/>
        </w:rPr>
        <w:t>E</w:t>
      </w:r>
      <w:r w:rsidRPr="00E91FC9">
        <w:rPr>
          <w:rFonts w:ascii="Arial" w:hAnsi="Arial" w:cs="Arial"/>
          <w:sz w:val="24"/>
          <w:szCs w:val="24"/>
        </w:rPr>
        <w:t>l artículo 4° de la Constitución Política de los Estados Unidos Mexicanos,</w:t>
      </w:r>
      <w:r w:rsidRPr="00E91FC9">
        <w:rPr>
          <w:rFonts w:ascii="Arial" w:hAnsi="Arial" w:cs="Arial"/>
          <w:sz w:val="24"/>
          <w:szCs w:val="24"/>
        </w:rPr>
        <w:t xml:space="preserve"> consagra e</w:t>
      </w:r>
      <w:r w:rsidRPr="00E91FC9">
        <w:rPr>
          <w:rFonts w:ascii="Arial" w:hAnsi="Arial" w:cs="Arial"/>
          <w:sz w:val="24"/>
          <w:szCs w:val="24"/>
        </w:rPr>
        <w:t>l derecho a la prote</w:t>
      </w:r>
      <w:r w:rsidRPr="00E91FC9">
        <w:rPr>
          <w:rFonts w:ascii="Arial" w:hAnsi="Arial" w:cs="Arial"/>
          <w:sz w:val="24"/>
          <w:szCs w:val="24"/>
        </w:rPr>
        <w:t xml:space="preserve">cción de la salud, </w:t>
      </w:r>
      <w:r w:rsidRPr="00E91FC9">
        <w:rPr>
          <w:rFonts w:ascii="Arial" w:hAnsi="Arial" w:cs="Arial"/>
          <w:sz w:val="24"/>
          <w:szCs w:val="24"/>
        </w:rPr>
        <w:t xml:space="preserve"> obliga</w:t>
      </w:r>
      <w:r w:rsidRPr="00E91FC9">
        <w:rPr>
          <w:rFonts w:ascii="Arial" w:hAnsi="Arial" w:cs="Arial"/>
          <w:sz w:val="24"/>
          <w:szCs w:val="24"/>
        </w:rPr>
        <w:t>ndo</w:t>
      </w:r>
      <w:r w:rsidRPr="00E91FC9">
        <w:rPr>
          <w:rFonts w:ascii="Arial" w:hAnsi="Arial" w:cs="Arial"/>
          <w:sz w:val="24"/>
          <w:szCs w:val="24"/>
        </w:rPr>
        <w:t xml:space="preserve"> al Estado a garantizar mecanismos de atención oportunos, eficaces y con un sentido profundamente humano. No obstante, en la realidad operativa, las enfermedades oncológicas representan uno de los </w:t>
      </w:r>
      <w:r w:rsidRPr="00E91FC9">
        <w:rPr>
          <w:rFonts w:ascii="Arial" w:hAnsi="Arial" w:cs="Arial"/>
          <w:sz w:val="24"/>
          <w:szCs w:val="24"/>
        </w:rPr>
        <w:t>más grandes desafíos</w:t>
      </w:r>
      <w:r w:rsidRPr="00E91FC9">
        <w:rPr>
          <w:rFonts w:ascii="Arial" w:hAnsi="Arial" w:cs="Arial"/>
          <w:sz w:val="24"/>
          <w:szCs w:val="24"/>
        </w:rPr>
        <w:t xml:space="preserve"> de salud pública debido a su alta prevalencia y letalidad.</w:t>
      </w:r>
    </w:p>
    <w:p w14:paraId="46413A57" w14:textId="77777777" w:rsidR="00492589" w:rsidRPr="00E91FC9" w:rsidRDefault="00492589" w:rsidP="00492589">
      <w:pPr>
        <w:spacing w:after="120"/>
        <w:jc w:val="both"/>
        <w:rPr>
          <w:rFonts w:ascii="Arial" w:hAnsi="Arial" w:cs="Arial"/>
          <w:sz w:val="24"/>
          <w:szCs w:val="24"/>
        </w:rPr>
      </w:pPr>
      <w:r w:rsidRPr="00E91FC9">
        <w:rPr>
          <w:rFonts w:ascii="Arial" w:hAnsi="Arial" w:cs="Arial"/>
          <w:sz w:val="24"/>
          <w:szCs w:val="24"/>
        </w:rPr>
        <w:t>A nivel nacional, de acuerdo con datos del Instituto Nacional de Estadística y Geografía (INEGI), el cáncer de mama se consolidó como la principal causa de muerte por tumores malignos en la población femenina, registrando una alarmante tasa de mortalidad de 18.7 defunciones por cada 100 mil mujeres de 20 años o más. En el plano global, mientras que en países de altos ingresos la mortalidad ha disminuido drásticamente gracias a la detección temprana, en México la letalidad se duplica. La razón médica es clara: mientras que en el extranjero el 80% de los casos se detecta en la primera etapa, en nuestro territorio el 80% de las pacientes se diagnostica en etapas 3 o 4, cuando el tumor ya avanzó y las opciones de tratamiento se reducen significativamente.</w:t>
      </w:r>
    </w:p>
    <w:p w14:paraId="4F67EFF9" w14:textId="7AD2F1DF" w:rsidR="00492589" w:rsidRPr="00E91FC9" w:rsidRDefault="00492589" w:rsidP="00492589">
      <w:pPr>
        <w:spacing w:after="120"/>
        <w:jc w:val="both"/>
        <w:rPr>
          <w:rFonts w:ascii="Arial" w:hAnsi="Arial" w:cs="Arial"/>
          <w:sz w:val="24"/>
          <w:szCs w:val="24"/>
        </w:rPr>
      </w:pPr>
      <w:r w:rsidRPr="00E91FC9">
        <w:rPr>
          <w:rFonts w:ascii="Arial" w:hAnsi="Arial" w:cs="Arial"/>
          <w:sz w:val="24"/>
          <w:szCs w:val="24"/>
        </w:rPr>
        <w:lastRenderedPageBreak/>
        <w:t xml:space="preserve">A este escenario se suma el cáncer cérvico uterino, que permanece de forma persistente como </w:t>
      </w:r>
      <w:r w:rsidR="00113ACC" w:rsidRPr="00E91FC9">
        <w:rPr>
          <w:rFonts w:ascii="Arial" w:hAnsi="Arial" w:cs="Arial"/>
          <w:sz w:val="24"/>
          <w:szCs w:val="24"/>
        </w:rPr>
        <w:t>la segunda causa de muerte  en mujeres mexicanas.</w:t>
      </w:r>
    </w:p>
    <w:p w14:paraId="0EBC62E9" w14:textId="77777777" w:rsidR="00320B13" w:rsidRPr="00E91FC9" w:rsidRDefault="00320B13" w:rsidP="00492589">
      <w:pPr>
        <w:spacing w:after="120"/>
        <w:jc w:val="both"/>
        <w:rPr>
          <w:rFonts w:ascii="Arial" w:hAnsi="Arial" w:cs="Arial"/>
          <w:sz w:val="24"/>
          <w:szCs w:val="24"/>
        </w:rPr>
      </w:pPr>
    </w:p>
    <w:p w14:paraId="53E36E9A" w14:textId="030C3C8F" w:rsidR="00320B13" w:rsidRPr="00E91FC9" w:rsidRDefault="00320B13" w:rsidP="00320B13">
      <w:pPr>
        <w:spacing w:after="120"/>
        <w:jc w:val="both"/>
        <w:rPr>
          <w:rFonts w:ascii="Arial" w:hAnsi="Arial" w:cs="Arial"/>
          <w:sz w:val="24"/>
          <w:szCs w:val="24"/>
        </w:rPr>
      </w:pPr>
      <w:r w:rsidRPr="00E91FC9">
        <w:rPr>
          <w:rFonts w:ascii="Arial" w:hAnsi="Arial" w:cs="Arial"/>
          <w:sz w:val="24"/>
          <w:szCs w:val="24"/>
        </w:rPr>
        <w:t xml:space="preserve"> E</w:t>
      </w:r>
      <w:r w:rsidRPr="00E91FC9">
        <w:rPr>
          <w:rFonts w:ascii="Arial" w:hAnsi="Arial" w:cs="Arial"/>
          <w:sz w:val="24"/>
          <w:szCs w:val="24"/>
        </w:rPr>
        <w:t>l Estado de México, al ser la</w:t>
      </w:r>
      <w:r w:rsidRPr="00E91FC9">
        <w:rPr>
          <w:rFonts w:ascii="Arial" w:hAnsi="Arial" w:cs="Arial"/>
          <w:sz w:val="24"/>
          <w:szCs w:val="24"/>
        </w:rPr>
        <w:t xml:space="preserve"> Entidad</w:t>
      </w:r>
      <w:r w:rsidRPr="00E91FC9">
        <w:rPr>
          <w:rFonts w:ascii="Arial" w:hAnsi="Arial" w:cs="Arial"/>
          <w:sz w:val="24"/>
          <w:szCs w:val="24"/>
        </w:rPr>
        <w:t xml:space="preserve"> más poblada del país, concentra en números absolutos una carga epidemiológica masiva. El Portal Ciudadano del Estado de México advierte de manera oficial que el cáncer de mama cobra un promedio de 10 decesos al día en el país, manifestándose además de forma más temprana en la mujer mexicana (antes de los 50 años) en comparación con el promedio global (60 años).</w:t>
      </w:r>
    </w:p>
    <w:p w14:paraId="5716E8E1" w14:textId="763A0A4B" w:rsidR="00320B13" w:rsidRPr="00E91FC9" w:rsidRDefault="00320B13" w:rsidP="00320B13">
      <w:pPr>
        <w:spacing w:after="120"/>
        <w:jc w:val="both"/>
        <w:rPr>
          <w:rFonts w:ascii="Arial" w:hAnsi="Arial" w:cs="Arial"/>
          <w:sz w:val="24"/>
          <w:szCs w:val="24"/>
        </w:rPr>
      </w:pPr>
      <w:r w:rsidRPr="00E91FC9">
        <w:rPr>
          <w:rFonts w:ascii="Arial" w:hAnsi="Arial" w:cs="Arial"/>
          <w:sz w:val="24"/>
          <w:szCs w:val="24"/>
        </w:rPr>
        <w:t xml:space="preserve">El problema central no radica únicamente en la falta de detección, sino en lo que la comunidad científica denomina 'el tiempo de espera para el inicio de tratamiento'. </w:t>
      </w:r>
      <w:r w:rsidRPr="00E91FC9">
        <w:rPr>
          <w:rFonts w:ascii="Arial" w:hAnsi="Arial" w:cs="Arial"/>
          <w:sz w:val="24"/>
          <w:szCs w:val="24"/>
        </w:rPr>
        <w:t xml:space="preserve"> De fecha 11 de mayo de 2026 el Periódico REFORMA dio a conocer </w:t>
      </w:r>
      <w:r w:rsidRPr="00E91FC9">
        <w:rPr>
          <w:rFonts w:ascii="Arial" w:hAnsi="Arial" w:cs="Arial"/>
          <w:sz w:val="24"/>
          <w:szCs w:val="24"/>
        </w:rPr>
        <w:t>Investigaciones realizadas por el Instituto Nacional de Salud Pública (INSP) revelan</w:t>
      </w:r>
      <w:r w:rsidRPr="00E91FC9">
        <w:rPr>
          <w:rFonts w:ascii="Arial" w:hAnsi="Arial" w:cs="Arial"/>
          <w:sz w:val="24"/>
          <w:szCs w:val="24"/>
        </w:rPr>
        <w:t>do</w:t>
      </w:r>
      <w:r w:rsidRPr="00E91FC9">
        <w:rPr>
          <w:rFonts w:ascii="Arial" w:hAnsi="Arial" w:cs="Arial"/>
          <w:sz w:val="24"/>
          <w:szCs w:val="24"/>
        </w:rPr>
        <w:t xml:space="preserve"> una dolorosa realidad burocrática: en México, el 47.8% de las pacientes diagnosticadas con cáncer de mama inicia su tratamiento más de 105 días (tres meses y medio) después de su diagnóstico clínico. Otros </w:t>
      </w:r>
      <w:r w:rsidRPr="00E91FC9">
        <w:rPr>
          <w:rFonts w:ascii="Arial" w:hAnsi="Arial" w:cs="Arial"/>
          <w:sz w:val="24"/>
          <w:szCs w:val="24"/>
        </w:rPr>
        <w:t>monitoreos</w:t>
      </w:r>
      <w:r w:rsidRPr="00E91FC9">
        <w:rPr>
          <w:rFonts w:ascii="Arial" w:hAnsi="Arial" w:cs="Arial"/>
          <w:sz w:val="24"/>
          <w:szCs w:val="24"/>
        </w:rPr>
        <w:t xml:space="preserve"> de institutos nacionales confirman que los retrasos en las filas de espera rebasan los 3 meses en el 90% de los casos generales.</w:t>
      </w:r>
    </w:p>
    <w:p w14:paraId="24F0DEE6" w14:textId="77777777" w:rsidR="00320B13" w:rsidRPr="00E91FC9" w:rsidRDefault="00320B13" w:rsidP="00320B13">
      <w:pPr>
        <w:spacing w:after="120"/>
        <w:jc w:val="both"/>
        <w:rPr>
          <w:rFonts w:ascii="Arial" w:hAnsi="Arial" w:cs="Arial"/>
          <w:sz w:val="24"/>
          <w:szCs w:val="24"/>
        </w:rPr>
      </w:pPr>
      <w:r w:rsidRPr="00E91FC9">
        <w:rPr>
          <w:rFonts w:ascii="Arial" w:hAnsi="Arial" w:cs="Arial"/>
          <w:sz w:val="24"/>
          <w:szCs w:val="24"/>
        </w:rPr>
        <w:t>Médicamente, un retraso de más de 30 días en el inicio de la terapia oncológica (cirugía, quimioterapia o radioterapia) tras la sospecha o confirmación diagnóstica correlaciona directamente con la progresión del tumor, metástasis y un incremento drástico en la tasa de mortalidad. Por ello, elevar a rango de ley un plazo máximo perentorio de 30 días naturales para transitar desde la presunción clínica hasta la atención médica integral no es una meta administrativa; es la diferencia legal entre la vida y la muerte para miles de mexiquenses.</w:t>
      </w:r>
    </w:p>
    <w:p w14:paraId="05EF9DAE" w14:textId="77777777" w:rsidR="00483B8E" w:rsidRPr="00E91FC9" w:rsidRDefault="00483B8E" w:rsidP="00320B13">
      <w:pPr>
        <w:spacing w:after="120"/>
        <w:jc w:val="both"/>
        <w:rPr>
          <w:rFonts w:ascii="Arial" w:hAnsi="Arial" w:cs="Arial"/>
          <w:sz w:val="24"/>
          <w:szCs w:val="24"/>
        </w:rPr>
      </w:pPr>
    </w:p>
    <w:p w14:paraId="6D3C1E24" w14:textId="0D0CF43A" w:rsidR="00483B8E" w:rsidRPr="00E91FC9" w:rsidRDefault="00483B8E" w:rsidP="00483B8E">
      <w:pPr>
        <w:spacing w:after="120"/>
        <w:jc w:val="both"/>
        <w:rPr>
          <w:rFonts w:ascii="Arial" w:hAnsi="Arial" w:cs="Arial"/>
          <w:sz w:val="24"/>
          <w:szCs w:val="24"/>
        </w:rPr>
      </w:pPr>
      <w:r w:rsidRPr="00E91FC9">
        <w:rPr>
          <w:rFonts w:ascii="Arial" w:hAnsi="Arial" w:cs="Arial"/>
          <w:sz w:val="24"/>
          <w:szCs w:val="24"/>
        </w:rPr>
        <w:t>En ese orden de ideas, es importante resaltar que e</w:t>
      </w:r>
      <w:r w:rsidRPr="00E91FC9">
        <w:rPr>
          <w:rFonts w:ascii="Arial" w:hAnsi="Arial" w:cs="Arial"/>
          <w:sz w:val="24"/>
          <w:szCs w:val="24"/>
        </w:rPr>
        <w:t>l cáncer no lo padece únicamente el cuerpo de la persona enferma; desestructura por completo su entorno familiar. El artículo 147 vigente en su fracción VII contempla la 'Rehabilitación y acompañamiento psicosocial de sobrevivientes de cáncer', lo cual resulta restrictivo e incompleto por dos razones fundamentales:</w:t>
      </w:r>
    </w:p>
    <w:p w14:paraId="365D3C98" w14:textId="77777777" w:rsidR="00483B8E" w:rsidRPr="00E91FC9" w:rsidRDefault="00483B8E" w:rsidP="00483B8E">
      <w:pPr>
        <w:pStyle w:val="Listaconvietas"/>
        <w:spacing w:after="80"/>
        <w:jc w:val="both"/>
        <w:rPr>
          <w:rFonts w:cs="Arial"/>
          <w:sz w:val="24"/>
          <w:szCs w:val="24"/>
          <w:lang w:val="es-MX"/>
        </w:rPr>
      </w:pPr>
      <w:r w:rsidRPr="00E91FC9">
        <w:rPr>
          <w:rFonts w:cs="Arial"/>
          <w:b/>
          <w:sz w:val="24"/>
          <w:szCs w:val="24"/>
          <w:lang w:val="es-MX"/>
        </w:rPr>
        <w:t xml:space="preserve">Atención tardía: </w:t>
      </w:r>
      <w:r w:rsidRPr="00E91FC9">
        <w:rPr>
          <w:rFonts w:cs="Arial"/>
          <w:sz w:val="24"/>
          <w:szCs w:val="24"/>
          <w:lang w:val="es-MX"/>
        </w:rPr>
        <w:t>Condicionar el apoyo psicológico a que la persona sea 'sobreviviente' ignora que el peor impacto emocional, los cuadros de ansiedad severa, la depresión clínica y el estrés postraumático ocurren durante el diagnóstico y el tratamiento activo.</w:t>
      </w:r>
    </w:p>
    <w:p w14:paraId="31EA7441" w14:textId="7B942059" w:rsidR="00483B8E" w:rsidRPr="00E91FC9" w:rsidRDefault="00483B8E" w:rsidP="00483B8E">
      <w:pPr>
        <w:pStyle w:val="Listaconvietas"/>
        <w:spacing w:after="120"/>
        <w:jc w:val="both"/>
        <w:rPr>
          <w:rFonts w:cs="Arial"/>
          <w:sz w:val="24"/>
          <w:szCs w:val="24"/>
          <w:lang w:val="es-MX"/>
        </w:rPr>
      </w:pPr>
      <w:r w:rsidRPr="00E91FC9">
        <w:rPr>
          <w:rFonts w:cs="Arial"/>
          <w:b/>
          <w:sz w:val="24"/>
          <w:szCs w:val="24"/>
          <w:lang w:val="es-MX"/>
        </w:rPr>
        <w:t xml:space="preserve">Exclusión del cuidador: </w:t>
      </w:r>
      <w:r w:rsidRPr="00E91FC9">
        <w:rPr>
          <w:rFonts w:cs="Arial"/>
          <w:sz w:val="24"/>
          <w:szCs w:val="24"/>
          <w:lang w:val="es-MX"/>
        </w:rPr>
        <w:t>En el Estado de México, la carga del cuidado recae casi siempre en un familiar direc</w:t>
      </w:r>
      <w:r w:rsidR="005304CE" w:rsidRPr="00E91FC9">
        <w:rPr>
          <w:rFonts w:cs="Arial"/>
          <w:sz w:val="24"/>
          <w:szCs w:val="24"/>
          <w:lang w:val="es-MX"/>
        </w:rPr>
        <w:t>to (generalmente madres, hijas,</w:t>
      </w:r>
      <w:r w:rsidRPr="00E91FC9">
        <w:rPr>
          <w:rFonts w:cs="Arial"/>
          <w:sz w:val="24"/>
          <w:szCs w:val="24"/>
          <w:lang w:val="es-MX"/>
        </w:rPr>
        <w:t xml:space="preserve"> esposas</w:t>
      </w:r>
      <w:r w:rsidR="005304CE" w:rsidRPr="00E91FC9">
        <w:rPr>
          <w:rFonts w:cs="Arial"/>
          <w:sz w:val="24"/>
          <w:szCs w:val="24"/>
          <w:lang w:val="es-MX"/>
        </w:rPr>
        <w:t xml:space="preserve"> o cualquier otro familiar</w:t>
      </w:r>
      <w:r w:rsidRPr="00E91FC9">
        <w:rPr>
          <w:rFonts w:cs="Arial"/>
          <w:sz w:val="24"/>
          <w:szCs w:val="24"/>
          <w:lang w:val="es-MX"/>
        </w:rPr>
        <w:t>), quienes sufren el 'síndrome del cuidador quemado'</w:t>
      </w:r>
      <w:r w:rsidR="00E5416D" w:rsidRPr="00E91FC9">
        <w:rPr>
          <w:rFonts w:cs="Arial"/>
          <w:sz w:val="24"/>
          <w:szCs w:val="24"/>
          <w:lang w:val="es-MX"/>
        </w:rPr>
        <w:t xml:space="preserve"> (o </w:t>
      </w:r>
      <w:r w:rsidR="00E5416D" w:rsidRPr="00E91FC9">
        <w:rPr>
          <w:rFonts w:cs="Arial"/>
          <w:sz w:val="24"/>
          <w:szCs w:val="24"/>
          <w:lang w:val="es-MX"/>
        </w:rPr>
        <w:lastRenderedPageBreak/>
        <w:t xml:space="preserve">burnout del cuidador) es un estado de agotamiento </w:t>
      </w:r>
      <w:r w:rsidR="00E91FC9" w:rsidRPr="00E91FC9">
        <w:rPr>
          <w:rFonts w:cs="Arial"/>
          <w:sz w:val="24"/>
          <w:szCs w:val="24"/>
          <w:lang w:val="es-MX"/>
        </w:rPr>
        <w:t>físico</w:t>
      </w:r>
      <w:r w:rsidR="00E5416D" w:rsidRPr="00E91FC9">
        <w:rPr>
          <w:rFonts w:cs="Arial"/>
          <w:sz w:val="24"/>
          <w:szCs w:val="24"/>
          <w:lang w:val="es-MX"/>
        </w:rPr>
        <w:t>, mental y emocional profundo que sufren las personas que atienden de forma continua a un familiar</w:t>
      </w:r>
      <w:r w:rsidR="005304CE" w:rsidRPr="00E91FC9">
        <w:rPr>
          <w:rFonts w:cs="Arial"/>
          <w:sz w:val="24"/>
          <w:szCs w:val="24"/>
          <w:lang w:val="es-MX"/>
        </w:rPr>
        <w:t xml:space="preserve"> o a una paciente dependiente durante un periodo</w:t>
      </w:r>
      <w:r w:rsidRPr="00E91FC9">
        <w:rPr>
          <w:rFonts w:cs="Arial"/>
          <w:sz w:val="24"/>
          <w:szCs w:val="24"/>
          <w:lang w:val="es-MX"/>
        </w:rPr>
        <w:t>, afectando su propia salud física y mental, lo que a su vez debilita la red de soporte de la paciente.</w:t>
      </w:r>
    </w:p>
    <w:p w14:paraId="4A39F568" w14:textId="77777777" w:rsidR="005304CE" w:rsidRPr="00E91FC9" w:rsidRDefault="005304CE" w:rsidP="005304CE">
      <w:pPr>
        <w:pStyle w:val="Listaconvietas"/>
        <w:numPr>
          <w:ilvl w:val="0"/>
          <w:numId w:val="0"/>
        </w:numPr>
        <w:spacing w:after="120"/>
        <w:ind w:left="360"/>
        <w:jc w:val="both"/>
        <w:rPr>
          <w:rFonts w:cs="Arial"/>
          <w:sz w:val="24"/>
          <w:szCs w:val="24"/>
          <w:lang w:val="es-MX"/>
        </w:rPr>
      </w:pPr>
    </w:p>
    <w:p w14:paraId="0A7A9DB6" w14:textId="77777777" w:rsidR="00483B8E" w:rsidRPr="00E91FC9" w:rsidRDefault="00483B8E" w:rsidP="00483B8E">
      <w:pPr>
        <w:spacing w:after="120"/>
        <w:jc w:val="both"/>
        <w:rPr>
          <w:rFonts w:ascii="Arial" w:hAnsi="Arial" w:cs="Arial"/>
          <w:sz w:val="24"/>
          <w:szCs w:val="24"/>
        </w:rPr>
      </w:pPr>
      <w:r w:rsidRPr="00E91FC9">
        <w:rPr>
          <w:rFonts w:ascii="Arial" w:hAnsi="Arial" w:cs="Arial"/>
          <w:sz w:val="24"/>
          <w:szCs w:val="24"/>
        </w:rPr>
        <w:t>Diversas organizaciones dedicadas al acompañamiento oncológico han demostrado que el apoyo psicológico inmediato y constante mejora la adherencia terapéutica de la paciente en más de un 30%. Si el núcleo familiar y la paciente reciben guía desde el primer día, el abandono de tratamientos disminuye.</w:t>
      </w:r>
    </w:p>
    <w:p w14:paraId="1D00F628" w14:textId="77777777" w:rsidR="00483B8E" w:rsidRPr="00E91FC9" w:rsidRDefault="00483B8E" w:rsidP="00483B8E">
      <w:pPr>
        <w:spacing w:after="120"/>
        <w:jc w:val="both"/>
        <w:rPr>
          <w:rFonts w:ascii="Arial" w:hAnsi="Arial" w:cs="Arial"/>
          <w:sz w:val="24"/>
          <w:szCs w:val="24"/>
        </w:rPr>
      </w:pPr>
      <w:r w:rsidRPr="00E91FC9">
        <w:rPr>
          <w:rFonts w:ascii="Arial" w:hAnsi="Arial" w:cs="Arial"/>
          <w:sz w:val="24"/>
          <w:szCs w:val="24"/>
        </w:rPr>
        <w:t>Por las razones antes expuestas, es urgente reformar la Ley de Salud de nuestra entidad para obligar a las instituciones públicas de salud a cumplir de forma irrestricta con tiempos de respuesta dignos (máximo 30 días) y a extender un brazo de protección de salud mental de forma inmediata tanto al enfermo como a sus cuidadores directos.</w:t>
      </w:r>
    </w:p>
    <w:p w14:paraId="5480D36F" w14:textId="77777777" w:rsidR="00483B8E" w:rsidRPr="00E91FC9" w:rsidRDefault="00483B8E" w:rsidP="00320B13">
      <w:pPr>
        <w:spacing w:after="120"/>
        <w:jc w:val="both"/>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67"/>
        <w:gridCol w:w="4155"/>
      </w:tblGrid>
      <w:tr w:rsidR="00E91FC9" w:rsidRPr="00E91FC9" w14:paraId="1457B273" w14:textId="77777777" w:rsidTr="000A564E">
        <w:tc>
          <w:tcPr>
            <w:tcW w:w="8828" w:type="dxa"/>
            <w:gridSpan w:val="3"/>
          </w:tcPr>
          <w:p w14:paraId="6C29A2CE" w14:textId="77777777" w:rsidR="00E91FC9" w:rsidRPr="00E91FC9" w:rsidRDefault="00E91FC9" w:rsidP="000A564E">
            <w:pPr>
              <w:pStyle w:val="Sinespaciado"/>
              <w:spacing w:line="360" w:lineRule="auto"/>
              <w:jc w:val="center"/>
              <w:rPr>
                <w:rFonts w:ascii="Arial" w:hAnsi="Arial" w:cs="Arial"/>
                <w:bCs/>
                <w:sz w:val="24"/>
                <w:szCs w:val="24"/>
              </w:rPr>
            </w:pPr>
            <w:r w:rsidRPr="00E91FC9">
              <w:rPr>
                <w:rFonts w:ascii="Arial" w:hAnsi="Arial" w:cs="Arial"/>
                <w:b/>
                <w:bCs/>
                <w:sz w:val="24"/>
                <w:szCs w:val="24"/>
              </w:rPr>
              <w:t>ATENTAMENTE</w:t>
            </w:r>
          </w:p>
        </w:tc>
      </w:tr>
      <w:tr w:rsidR="00E91FC9" w:rsidRPr="00E91FC9" w14:paraId="59A7AD97" w14:textId="77777777" w:rsidTr="000A564E">
        <w:tc>
          <w:tcPr>
            <w:tcW w:w="4106" w:type="dxa"/>
          </w:tcPr>
          <w:p w14:paraId="036591C4" w14:textId="77777777" w:rsidR="00E91FC9" w:rsidRPr="00E91FC9" w:rsidRDefault="00E91FC9" w:rsidP="000A564E">
            <w:pPr>
              <w:pStyle w:val="Sinespaciado"/>
              <w:spacing w:line="360" w:lineRule="auto"/>
              <w:jc w:val="both"/>
              <w:rPr>
                <w:rFonts w:ascii="Arial" w:hAnsi="Arial" w:cs="Arial"/>
                <w:bCs/>
                <w:sz w:val="24"/>
                <w:szCs w:val="24"/>
              </w:rPr>
            </w:pPr>
          </w:p>
        </w:tc>
        <w:tc>
          <w:tcPr>
            <w:tcW w:w="567" w:type="dxa"/>
          </w:tcPr>
          <w:p w14:paraId="6A95B137"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0BBC80D9" w14:textId="77777777" w:rsidR="00E91FC9" w:rsidRPr="00E91FC9" w:rsidRDefault="00E91FC9" w:rsidP="000A564E">
            <w:pPr>
              <w:pStyle w:val="Sinespaciado"/>
              <w:spacing w:line="360" w:lineRule="auto"/>
              <w:jc w:val="both"/>
              <w:rPr>
                <w:rFonts w:ascii="Arial" w:hAnsi="Arial" w:cs="Arial"/>
                <w:bCs/>
                <w:sz w:val="24"/>
                <w:szCs w:val="24"/>
              </w:rPr>
            </w:pPr>
          </w:p>
        </w:tc>
      </w:tr>
      <w:tr w:rsidR="00E91FC9" w:rsidRPr="00E91FC9" w14:paraId="32F1426E" w14:textId="77777777" w:rsidTr="000A564E">
        <w:tc>
          <w:tcPr>
            <w:tcW w:w="4106" w:type="dxa"/>
          </w:tcPr>
          <w:p w14:paraId="10BB72DE" w14:textId="77777777" w:rsidR="00E91FC9" w:rsidRPr="00E91FC9" w:rsidRDefault="00E91FC9" w:rsidP="000A564E">
            <w:pPr>
              <w:pStyle w:val="Sinespaciado"/>
              <w:spacing w:line="360" w:lineRule="auto"/>
              <w:jc w:val="both"/>
              <w:rPr>
                <w:rFonts w:ascii="Arial" w:hAnsi="Arial" w:cs="Arial"/>
                <w:bCs/>
                <w:sz w:val="24"/>
                <w:szCs w:val="24"/>
              </w:rPr>
            </w:pPr>
          </w:p>
        </w:tc>
        <w:tc>
          <w:tcPr>
            <w:tcW w:w="567" w:type="dxa"/>
          </w:tcPr>
          <w:p w14:paraId="02326F8A"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63EDC025" w14:textId="77777777" w:rsidR="00E91FC9" w:rsidRPr="00E91FC9" w:rsidRDefault="00E91FC9" w:rsidP="000A564E">
            <w:pPr>
              <w:pStyle w:val="Sinespaciado"/>
              <w:spacing w:line="360" w:lineRule="auto"/>
              <w:jc w:val="both"/>
              <w:rPr>
                <w:rFonts w:ascii="Arial" w:hAnsi="Arial" w:cs="Arial"/>
                <w:bCs/>
                <w:sz w:val="24"/>
                <w:szCs w:val="24"/>
              </w:rPr>
            </w:pPr>
          </w:p>
        </w:tc>
      </w:tr>
      <w:tr w:rsidR="00E91FC9" w:rsidRPr="00E91FC9" w14:paraId="51220723" w14:textId="77777777" w:rsidTr="000A564E">
        <w:tc>
          <w:tcPr>
            <w:tcW w:w="4106" w:type="dxa"/>
          </w:tcPr>
          <w:p w14:paraId="6C8E5185" w14:textId="77777777" w:rsidR="00E91FC9" w:rsidRPr="00E91FC9" w:rsidRDefault="00E91FC9" w:rsidP="000A564E">
            <w:pPr>
              <w:pStyle w:val="Sinespaciado"/>
              <w:spacing w:line="360" w:lineRule="auto"/>
              <w:jc w:val="both"/>
              <w:rPr>
                <w:rFonts w:ascii="Arial" w:hAnsi="Arial" w:cs="Arial"/>
                <w:bCs/>
                <w:sz w:val="24"/>
                <w:szCs w:val="24"/>
              </w:rPr>
            </w:pPr>
          </w:p>
        </w:tc>
        <w:tc>
          <w:tcPr>
            <w:tcW w:w="567" w:type="dxa"/>
          </w:tcPr>
          <w:p w14:paraId="2ADA5A2C"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15C21165" w14:textId="77777777" w:rsidR="00E91FC9" w:rsidRPr="00E91FC9" w:rsidRDefault="00E91FC9" w:rsidP="000A564E">
            <w:pPr>
              <w:pStyle w:val="Sinespaciado"/>
              <w:spacing w:line="360" w:lineRule="auto"/>
              <w:jc w:val="both"/>
              <w:rPr>
                <w:rFonts w:ascii="Arial" w:hAnsi="Arial" w:cs="Arial"/>
                <w:bCs/>
                <w:sz w:val="24"/>
                <w:szCs w:val="24"/>
              </w:rPr>
            </w:pPr>
          </w:p>
        </w:tc>
      </w:tr>
      <w:tr w:rsidR="00E91FC9" w:rsidRPr="00E91FC9" w14:paraId="6E8BC85C" w14:textId="77777777" w:rsidTr="000A564E">
        <w:tc>
          <w:tcPr>
            <w:tcW w:w="4106" w:type="dxa"/>
          </w:tcPr>
          <w:p w14:paraId="2178B371" w14:textId="77777777" w:rsidR="00E91FC9" w:rsidRPr="00E91FC9" w:rsidRDefault="00E91FC9" w:rsidP="000A564E">
            <w:pPr>
              <w:pStyle w:val="Sinespaciado"/>
              <w:spacing w:line="360" w:lineRule="auto"/>
              <w:jc w:val="center"/>
              <w:rPr>
                <w:rFonts w:ascii="Arial" w:hAnsi="Arial" w:cs="Arial"/>
                <w:b/>
                <w:bCs/>
                <w:sz w:val="24"/>
                <w:szCs w:val="24"/>
              </w:rPr>
            </w:pPr>
            <w:r w:rsidRPr="00E91FC9">
              <w:rPr>
                <w:rFonts w:ascii="Arial" w:hAnsi="Arial" w:cs="Arial"/>
                <w:b/>
                <w:bCs/>
                <w:sz w:val="24"/>
                <w:szCs w:val="24"/>
              </w:rPr>
              <w:t>DIP. ROCÍO ALEXIA DÁVILA SÁNCHEZ</w:t>
            </w:r>
          </w:p>
        </w:tc>
        <w:tc>
          <w:tcPr>
            <w:tcW w:w="567" w:type="dxa"/>
          </w:tcPr>
          <w:p w14:paraId="2E88B4D8"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4D8E7E30" w14:textId="77777777" w:rsidR="00E91FC9" w:rsidRPr="00E91FC9" w:rsidRDefault="00E91FC9" w:rsidP="000A564E">
            <w:pPr>
              <w:pStyle w:val="Sinespaciado"/>
              <w:spacing w:line="360" w:lineRule="auto"/>
              <w:jc w:val="center"/>
              <w:rPr>
                <w:rFonts w:ascii="Arial" w:hAnsi="Arial" w:cs="Arial"/>
                <w:b/>
                <w:bCs/>
                <w:sz w:val="24"/>
                <w:szCs w:val="24"/>
              </w:rPr>
            </w:pPr>
            <w:r w:rsidRPr="00E91FC9">
              <w:rPr>
                <w:rFonts w:ascii="Arial" w:hAnsi="Arial" w:cs="Arial"/>
                <w:b/>
                <w:bCs/>
                <w:sz w:val="24"/>
                <w:szCs w:val="24"/>
              </w:rPr>
              <w:t>DIP. PABLO FERNÁNDEZ DE CEVALLOS GONZÁLEZ</w:t>
            </w:r>
          </w:p>
        </w:tc>
      </w:tr>
      <w:tr w:rsidR="00E91FC9" w:rsidRPr="00E91FC9" w14:paraId="6F9007A4" w14:textId="77777777" w:rsidTr="000A564E">
        <w:tc>
          <w:tcPr>
            <w:tcW w:w="4106" w:type="dxa"/>
          </w:tcPr>
          <w:p w14:paraId="039251DC" w14:textId="77777777" w:rsidR="00E91FC9" w:rsidRPr="00E91FC9" w:rsidRDefault="00E91FC9" w:rsidP="000A564E">
            <w:pPr>
              <w:pStyle w:val="Sinespaciado"/>
              <w:spacing w:line="360" w:lineRule="auto"/>
              <w:jc w:val="both"/>
              <w:rPr>
                <w:rFonts w:ascii="Arial" w:hAnsi="Arial" w:cs="Arial"/>
                <w:bCs/>
                <w:sz w:val="24"/>
                <w:szCs w:val="24"/>
              </w:rPr>
            </w:pPr>
          </w:p>
        </w:tc>
        <w:tc>
          <w:tcPr>
            <w:tcW w:w="567" w:type="dxa"/>
          </w:tcPr>
          <w:p w14:paraId="1F5B0FB5"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037661BB" w14:textId="77777777" w:rsidR="00E91FC9" w:rsidRPr="00E91FC9" w:rsidRDefault="00E91FC9" w:rsidP="000A564E">
            <w:pPr>
              <w:pStyle w:val="Sinespaciado"/>
              <w:spacing w:line="360" w:lineRule="auto"/>
              <w:jc w:val="both"/>
              <w:rPr>
                <w:rFonts w:ascii="Arial" w:hAnsi="Arial" w:cs="Arial"/>
                <w:bCs/>
                <w:sz w:val="24"/>
                <w:szCs w:val="24"/>
              </w:rPr>
            </w:pPr>
          </w:p>
        </w:tc>
      </w:tr>
      <w:tr w:rsidR="00E91FC9" w:rsidRPr="00E91FC9" w14:paraId="6F223849" w14:textId="77777777" w:rsidTr="000A564E">
        <w:tc>
          <w:tcPr>
            <w:tcW w:w="4106" w:type="dxa"/>
          </w:tcPr>
          <w:p w14:paraId="03820E13" w14:textId="77777777" w:rsidR="00E91FC9" w:rsidRPr="00E91FC9" w:rsidRDefault="00E91FC9" w:rsidP="000A564E">
            <w:pPr>
              <w:pStyle w:val="Sinespaciado"/>
              <w:spacing w:line="360" w:lineRule="auto"/>
              <w:jc w:val="both"/>
              <w:rPr>
                <w:rFonts w:ascii="Arial" w:hAnsi="Arial" w:cs="Arial"/>
                <w:bCs/>
                <w:sz w:val="24"/>
                <w:szCs w:val="24"/>
              </w:rPr>
            </w:pPr>
          </w:p>
        </w:tc>
        <w:tc>
          <w:tcPr>
            <w:tcW w:w="567" w:type="dxa"/>
          </w:tcPr>
          <w:p w14:paraId="2F62AD2B" w14:textId="77777777" w:rsidR="00E91FC9" w:rsidRPr="00E91FC9" w:rsidRDefault="00E91FC9" w:rsidP="000A564E">
            <w:pPr>
              <w:pStyle w:val="Sinespaciado"/>
              <w:spacing w:line="360" w:lineRule="auto"/>
              <w:jc w:val="both"/>
              <w:rPr>
                <w:rFonts w:ascii="Arial" w:hAnsi="Arial" w:cs="Arial"/>
                <w:bCs/>
                <w:sz w:val="24"/>
                <w:szCs w:val="24"/>
              </w:rPr>
            </w:pPr>
          </w:p>
        </w:tc>
        <w:tc>
          <w:tcPr>
            <w:tcW w:w="4155" w:type="dxa"/>
          </w:tcPr>
          <w:p w14:paraId="779A2249" w14:textId="77777777" w:rsidR="00E91FC9" w:rsidRPr="00E91FC9" w:rsidRDefault="00E91FC9" w:rsidP="000A564E">
            <w:pPr>
              <w:pStyle w:val="Sinespaciado"/>
              <w:spacing w:line="360" w:lineRule="auto"/>
              <w:jc w:val="both"/>
              <w:rPr>
                <w:rFonts w:ascii="Arial" w:hAnsi="Arial" w:cs="Arial"/>
                <w:bCs/>
                <w:sz w:val="24"/>
                <w:szCs w:val="24"/>
              </w:rPr>
            </w:pPr>
          </w:p>
        </w:tc>
      </w:tr>
      <w:tr w:rsidR="00E91FC9" w:rsidRPr="00E91FC9" w14:paraId="4E4BEBF8" w14:textId="77777777" w:rsidTr="000A564E">
        <w:tc>
          <w:tcPr>
            <w:tcW w:w="8828" w:type="dxa"/>
            <w:gridSpan w:val="3"/>
          </w:tcPr>
          <w:p w14:paraId="0ED64CC5" w14:textId="77777777" w:rsidR="00E91FC9" w:rsidRPr="00E91FC9" w:rsidRDefault="00E91FC9" w:rsidP="000A564E">
            <w:pPr>
              <w:pStyle w:val="Sinespaciado"/>
              <w:spacing w:line="360" w:lineRule="auto"/>
              <w:jc w:val="center"/>
              <w:rPr>
                <w:rFonts w:ascii="Arial" w:hAnsi="Arial" w:cs="Arial"/>
                <w:bCs/>
                <w:sz w:val="24"/>
                <w:szCs w:val="24"/>
              </w:rPr>
            </w:pPr>
            <w:r w:rsidRPr="00E91FC9">
              <w:rPr>
                <w:rFonts w:ascii="Arial" w:hAnsi="Arial" w:cs="Arial"/>
                <w:b/>
                <w:bCs/>
                <w:color w:val="000000"/>
                <w:sz w:val="24"/>
                <w:szCs w:val="24"/>
              </w:rPr>
              <w:t>Grupo Parlamentario del Partido Acción Nacional</w:t>
            </w:r>
          </w:p>
        </w:tc>
      </w:tr>
    </w:tbl>
    <w:p w14:paraId="51A87118" w14:textId="77777777" w:rsidR="00E91FC9" w:rsidRPr="00E91FC9" w:rsidRDefault="00E91FC9" w:rsidP="00E91FC9">
      <w:pPr>
        <w:pStyle w:val="Sinespaciado"/>
        <w:spacing w:line="360" w:lineRule="auto"/>
        <w:rPr>
          <w:rFonts w:ascii="Arial" w:hAnsi="Arial" w:cs="Arial"/>
          <w:b/>
          <w:bCs/>
          <w:sz w:val="24"/>
          <w:szCs w:val="24"/>
        </w:rPr>
      </w:pPr>
    </w:p>
    <w:p w14:paraId="667330F2" w14:textId="77777777" w:rsidR="00E91FC9" w:rsidRPr="00E91FC9" w:rsidRDefault="00E91FC9" w:rsidP="00320B13">
      <w:pPr>
        <w:spacing w:after="120"/>
        <w:jc w:val="both"/>
        <w:rPr>
          <w:rFonts w:ascii="Arial" w:hAnsi="Arial" w:cs="Arial"/>
          <w:sz w:val="24"/>
          <w:szCs w:val="24"/>
        </w:rPr>
      </w:pPr>
    </w:p>
    <w:p w14:paraId="4607840E" w14:textId="77777777" w:rsidR="00E91FC9" w:rsidRPr="00E91FC9" w:rsidRDefault="00E91FC9" w:rsidP="00320B13">
      <w:pPr>
        <w:spacing w:after="120"/>
        <w:jc w:val="both"/>
        <w:rPr>
          <w:rFonts w:ascii="Arial" w:hAnsi="Arial" w:cs="Arial"/>
          <w:sz w:val="24"/>
          <w:szCs w:val="24"/>
        </w:rPr>
      </w:pPr>
    </w:p>
    <w:p w14:paraId="2961DADD" w14:textId="77777777" w:rsidR="00E91FC9" w:rsidRPr="00E91FC9" w:rsidRDefault="00E91FC9" w:rsidP="00320B13">
      <w:pPr>
        <w:spacing w:after="120"/>
        <w:jc w:val="both"/>
        <w:rPr>
          <w:rFonts w:ascii="Arial" w:hAnsi="Arial" w:cs="Arial"/>
          <w:sz w:val="24"/>
          <w:szCs w:val="24"/>
        </w:rPr>
      </w:pPr>
    </w:p>
    <w:p w14:paraId="2A161898" w14:textId="77777777" w:rsidR="00E91FC9" w:rsidRDefault="00E91FC9" w:rsidP="00320B13">
      <w:pPr>
        <w:spacing w:after="120"/>
        <w:jc w:val="both"/>
        <w:rPr>
          <w:rFonts w:ascii="Arial" w:hAnsi="Arial" w:cs="Arial"/>
          <w:sz w:val="24"/>
          <w:szCs w:val="24"/>
        </w:rPr>
      </w:pPr>
    </w:p>
    <w:p w14:paraId="7696FC3D" w14:textId="77777777" w:rsidR="003A431D" w:rsidRDefault="003A431D" w:rsidP="00320B13">
      <w:pPr>
        <w:spacing w:after="120"/>
        <w:jc w:val="both"/>
        <w:rPr>
          <w:rFonts w:ascii="Arial" w:hAnsi="Arial" w:cs="Arial"/>
          <w:sz w:val="24"/>
          <w:szCs w:val="24"/>
        </w:rPr>
      </w:pPr>
    </w:p>
    <w:p w14:paraId="1957988A" w14:textId="77777777" w:rsidR="003A431D" w:rsidRDefault="003A431D" w:rsidP="00320B13">
      <w:pPr>
        <w:spacing w:after="120"/>
        <w:jc w:val="both"/>
        <w:rPr>
          <w:rFonts w:ascii="Arial" w:hAnsi="Arial" w:cs="Arial"/>
          <w:sz w:val="24"/>
          <w:szCs w:val="24"/>
        </w:rPr>
      </w:pPr>
    </w:p>
    <w:p w14:paraId="50839AA8" w14:textId="77777777" w:rsidR="003A431D" w:rsidRPr="00E91FC9" w:rsidRDefault="003A431D" w:rsidP="00320B13">
      <w:pPr>
        <w:spacing w:after="120"/>
        <w:jc w:val="both"/>
        <w:rPr>
          <w:rFonts w:ascii="Arial" w:hAnsi="Arial" w:cs="Arial"/>
          <w:sz w:val="24"/>
          <w:szCs w:val="24"/>
        </w:rPr>
      </w:pPr>
    </w:p>
    <w:p w14:paraId="2CBA3D90" w14:textId="77777777" w:rsidR="00E91FC9" w:rsidRPr="00E91FC9" w:rsidRDefault="00E91FC9" w:rsidP="00320B13">
      <w:pPr>
        <w:spacing w:after="120"/>
        <w:jc w:val="both"/>
        <w:rPr>
          <w:rFonts w:ascii="Arial" w:hAnsi="Arial" w:cs="Arial"/>
          <w:sz w:val="24"/>
          <w:szCs w:val="24"/>
        </w:rPr>
      </w:pPr>
    </w:p>
    <w:p w14:paraId="4740D4AB" w14:textId="77777777" w:rsidR="005304CE" w:rsidRPr="00E91FC9" w:rsidRDefault="005304CE" w:rsidP="005304CE">
      <w:pPr>
        <w:pStyle w:val="Sinespaciado"/>
        <w:spacing w:line="360" w:lineRule="auto"/>
        <w:rPr>
          <w:rFonts w:ascii="Arial" w:hAnsi="Arial" w:cs="Arial"/>
          <w:b/>
          <w:bCs/>
          <w:sz w:val="24"/>
          <w:szCs w:val="24"/>
        </w:rPr>
      </w:pPr>
    </w:p>
    <w:p w14:paraId="1D2B75A5" w14:textId="77777777" w:rsidR="005304CE" w:rsidRPr="00E91FC9" w:rsidRDefault="005304CE" w:rsidP="005304CE">
      <w:pPr>
        <w:pStyle w:val="Sinespaciado"/>
        <w:spacing w:line="360" w:lineRule="auto"/>
        <w:jc w:val="center"/>
        <w:rPr>
          <w:rFonts w:ascii="Arial" w:hAnsi="Arial" w:cs="Arial"/>
          <w:b/>
          <w:bCs/>
          <w:sz w:val="24"/>
          <w:szCs w:val="24"/>
        </w:rPr>
      </w:pPr>
      <w:r w:rsidRPr="00E91FC9">
        <w:rPr>
          <w:rFonts w:ascii="Arial" w:hAnsi="Arial" w:cs="Arial"/>
          <w:b/>
          <w:bCs/>
          <w:sz w:val="24"/>
          <w:szCs w:val="24"/>
        </w:rPr>
        <w:t>PROYECTO DE DECRETO:</w:t>
      </w:r>
    </w:p>
    <w:p w14:paraId="274D0665" w14:textId="77777777" w:rsidR="005304CE" w:rsidRPr="00E91FC9" w:rsidRDefault="005304CE" w:rsidP="005304CE">
      <w:pPr>
        <w:pStyle w:val="Sinespaciado"/>
        <w:spacing w:line="360" w:lineRule="auto"/>
        <w:jc w:val="both"/>
        <w:rPr>
          <w:rFonts w:ascii="Arial" w:hAnsi="Arial" w:cs="Arial"/>
          <w:bCs/>
          <w:sz w:val="24"/>
          <w:szCs w:val="24"/>
        </w:rPr>
      </w:pPr>
    </w:p>
    <w:p w14:paraId="50FB2728" w14:textId="77777777" w:rsidR="005304CE" w:rsidRPr="00E91FC9" w:rsidRDefault="005304CE" w:rsidP="005304CE">
      <w:pPr>
        <w:pStyle w:val="Sinespaciado"/>
        <w:spacing w:line="360" w:lineRule="auto"/>
        <w:jc w:val="both"/>
        <w:rPr>
          <w:rFonts w:ascii="Arial" w:hAnsi="Arial" w:cs="Arial"/>
          <w:bCs/>
          <w:sz w:val="24"/>
          <w:szCs w:val="24"/>
        </w:rPr>
      </w:pPr>
      <w:r w:rsidRPr="00E91FC9">
        <w:rPr>
          <w:rFonts w:ascii="Arial" w:hAnsi="Arial" w:cs="Arial"/>
          <w:bCs/>
          <w:sz w:val="24"/>
          <w:szCs w:val="24"/>
        </w:rPr>
        <w:t>DECRETO NÚMERO ____</w:t>
      </w:r>
    </w:p>
    <w:p w14:paraId="4E1A1AE6" w14:textId="77777777" w:rsidR="005304CE" w:rsidRPr="00E91FC9" w:rsidRDefault="005304CE" w:rsidP="005304CE">
      <w:pPr>
        <w:pStyle w:val="Sinespaciado"/>
        <w:spacing w:line="360" w:lineRule="auto"/>
        <w:jc w:val="both"/>
        <w:rPr>
          <w:rFonts w:ascii="Arial" w:hAnsi="Arial" w:cs="Arial"/>
          <w:bCs/>
          <w:sz w:val="24"/>
          <w:szCs w:val="24"/>
        </w:rPr>
      </w:pPr>
      <w:r w:rsidRPr="00E91FC9">
        <w:rPr>
          <w:rFonts w:ascii="Arial" w:hAnsi="Arial" w:cs="Arial"/>
          <w:bCs/>
          <w:sz w:val="24"/>
          <w:szCs w:val="24"/>
        </w:rPr>
        <w:t>LA H. “LXII” LEGISLATURA</w:t>
      </w:r>
    </w:p>
    <w:p w14:paraId="5A86BC93" w14:textId="77777777" w:rsidR="005304CE" w:rsidRPr="00E91FC9" w:rsidRDefault="005304CE" w:rsidP="005304CE">
      <w:pPr>
        <w:pStyle w:val="Sinespaciado"/>
        <w:spacing w:line="360" w:lineRule="auto"/>
        <w:jc w:val="both"/>
        <w:rPr>
          <w:rFonts w:ascii="Arial" w:hAnsi="Arial" w:cs="Arial"/>
          <w:bCs/>
          <w:sz w:val="24"/>
          <w:szCs w:val="24"/>
        </w:rPr>
      </w:pPr>
      <w:r w:rsidRPr="00E91FC9">
        <w:rPr>
          <w:rFonts w:ascii="Arial" w:hAnsi="Arial" w:cs="Arial"/>
          <w:bCs/>
          <w:sz w:val="24"/>
          <w:szCs w:val="24"/>
        </w:rPr>
        <w:t xml:space="preserve">DEL ESTADO DE MÉXICO </w:t>
      </w:r>
    </w:p>
    <w:p w14:paraId="7DFD3721" w14:textId="77777777" w:rsidR="005304CE" w:rsidRPr="00E91FC9" w:rsidRDefault="005304CE" w:rsidP="005304CE">
      <w:pPr>
        <w:pStyle w:val="Sinespaciado"/>
        <w:spacing w:line="360" w:lineRule="auto"/>
        <w:jc w:val="both"/>
        <w:rPr>
          <w:rFonts w:ascii="Arial" w:hAnsi="Arial" w:cs="Arial"/>
          <w:bCs/>
          <w:sz w:val="24"/>
          <w:szCs w:val="24"/>
        </w:rPr>
      </w:pPr>
      <w:r w:rsidRPr="00E91FC9">
        <w:rPr>
          <w:rFonts w:ascii="Arial" w:hAnsi="Arial" w:cs="Arial"/>
          <w:bCs/>
          <w:sz w:val="24"/>
          <w:szCs w:val="24"/>
        </w:rPr>
        <w:t>DECRETA:</w:t>
      </w:r>
    </w:p>
    <w:p w14:paraId="7638E41F" w14:textId="77777777" w:rsidR="005304CE" w:rsidRPr="00E91FC9" w:rsidRDefault="005304CE" w:rsidP="00B8700A">
      <w:pPr>
        <w:pStyle w:val="Sinespaciado"/>
        <w:spacing w:line="360" w:lineRule="auto"/>
        <w:jc w:val="both"/>
        <w:rPr>
          <w:rFonts w:ascii="Arial" w:hAnsi="Arial" w:cs="Arial"/>
          <w:bCs/>
          <w:sz w:val="24"/>
          <w:szCs w:val="24"/>
        </w:rPr>
      </w:pPr>
    </w:p>
    <w:p w14:paraId="2806449E" w14:textId="77777777" w:rsidR="00B8700A" w:rsidRPr="00E91FC9" w:rsidRDefault="00B8700A" w:rsidP="00B8700A">
      <w:pPr>
        <w:spacing w:after="240"/>
        <w:jc w:val="both"/>
        <w:rPr>
          <w:rFonts w:ascii="Arial" w:hAnsi="Arial" w:cs="Arial"/>
          <w:sz w:val="24"/>
          <w:szCs w:val="24"/>
        </w:rPr>
      </w:pPr>
      <w:r w:rsidRPr="00E91FC9">
        <w:rPr>
          <w:rFonts w:ascii="Arial" w:hAnsi="Arial" w:cs="Arial"/>
          <w:b/>
          <w:sz w:val="24"/>
          <w:szCs w:val="24"/>
        </w:rPr>
        <w:t xml:space="preserve">ARTÍCULO ÚNICO. </w:t>
      </w:r>
      <w:r w:rsidRPr="00E91FC9">
        <w:rPr>
          <w:rFonts w:ascii="Arial" w:hAnsi="Arial" w:cs="Arial"/>
          <w:sz w:val="24"/>
          <w:szCs w:val="24"/>
        </w:rPr>
        <w:t xml:space="preserve">Se </w:t>
      </w:r>
      <w:r w:rsidRPr="00E91FC9">
        <w:rPr>
          <w:rFonts w:ascii="Arial" w:hAnsi="Arial" w:cs="Arial"/>
          <w:b/>
          <w:sz w:val="24"/>
          <w:szCs w:val="24"/>
        </w:rPr>
        <w:t xml:space="preserve">reforman </w:t>
      </w:r>
      <w:r w:rsidRPr="00E91FC9">
        <w:rPr>
          <w:rFonts w:ascii="Arial" w:hAnsi="Arial" w:cs="Arial"/>
          <w:sz w:val="24"/>
          <w:szCs w:val="24"/>
        </w:rPr>
        <w:t>las fracciones VI y VII del Artículo 147 del Capítulo IX de la Ley de Salud del Estado de México, para quedar de la siguiente manera:</w:t>
      </w:r>
    </w:p>
    <w:p w14:paraId="149607A5" w14:textId="77777777" w:rsidR="00B8700A" w:rsidRPr="00E91FC9" w:rsidRDefault="00B8700A" w:rsidP="00B8700A">
      <w:pPr>
        <w:spacing w:after="120"/>
        <w:jc w:val="both"/>
        <w:rPr>
          <w:rFonts w:ascii="Arial" w:hAnsi="Arial" w:cs="Arial"/>
          <w:sz w:val="24"/>
          <w:szCs w:val="24"/>
        </w:rPr>
      </w:pPr>
      <w:r w:rsidRPr="00E91FC9">
        <w:rPr>
          <w:rFonts w:ascii="Arial" w:hAnsi="Arial" w:cs="Arial"/>
          <w:b/>
          <w:sz w:val="24"/>
          <w:szCs w:val="24"/>
        </w:rPr>
        <w:t xml:space="preserve">Artículo 147. </w:t>
      </w:r>
      <w:r w:rsidRPr="00E91FC9">
        <w:rPr>
          <w:rFonts w:ascii="Arial" w:hAnsi="Arial" w:cs="Arial"/>
          <w:sz w:val="24"/>
          <w:szCs w:val="24"/>
        </w:rPr>
        <w:t>Para la atención oportuna de cáncer de mama y cérvico uterino, se realizarán las siguientes acciones de promoción, prevención y tratamiento:</w:t>
      </w:r>
    </w:p>
    <w:p w14:paraId="6A2AF7B0" w14:textId="77777777" w:rsidR="00B8700A" w:rsidRPr="00E91FC9" w:rsidRDefault="00B8700A" w:rsidP="00B8700A">
      <w:pPr>
        <w:spacing w:after="120"/>
        <w:rPr>
          <w:rFonts w:ascii="Arial" w:hAnsi="Arial" w:cs="Arial"/>
          <w:b/>
          <w:sz w:val="24"/>
          <w:szCs w:val="24"/>
        </w:rPr>
      </w:pPr>
      <w:r w:rsidRPr="00E91FC9">
        <w:rPr>
          <w:rFonts w:ascii="Arial" w:hAnsi="Arial" w:cs="Arial"/>
          <w:sz w:val="24"/>
          <w:szCs w:val="24"/>
        </w:rPr>
        <w:br/>
      </w:r>
      <w:r w:rsidRPr="00E91FC9">
        <w:rPr>
          <w:rFonts w:ascii="Arial" w:hAnsi="Arial" w:cs="Arial"/>
          <w:sz w:val="24"/>
          <w:szCs w:val="24"/>
        </w:rPr>
        <w:br/>
      </w:r>
      <w:r w:rsidRPr="00E91FC9">
        <w:rPr>
          <w:rFonts w:ascii="Arial" w:hAnsi="Arial" w:cs="Arial"/>
          <w:b/>
          <w:sz w:val="24"/>
          <w:szCs w:val="24"/>
        </w:rPr>
        <w:t xml:space="preserve">I. a V. </w:t>
      </w:r>
      <w:r w:rsidRPr="00E91FC9">
        <w:rPr>
          <w:rFonts w:ascii="Arial" w:hAnsi="Arial" w:cs="Arial"/>
          <w:sz w:val="24"/>
          <w:szCs w:val="24"/>
        </w:rPr>
        <w:t>... *(</w:t>
      </w:r>
      <w:r w:rsidRPr="00E91FC9">
        <w:rPr>
          <w:rFonts w:ascii="Arial" w:hAnsi="Arial" w:cs="Arial"/>
          <w:sz w:val="24"/>
          <w:szCs w:val="24"/>
        </w:rPr>
        <w:t xml:space="preserve"> sin cambios)*</w:t>
      </w:r>
      <w:r w:rsidRPr="00E91FC9">
        <w:rPr>
          <w:rFonts w:ascii="Arial" w:hAnsi="Arial" w:cs="Arial"/>
          <w:sz w:val="24"/>
          <w:szCs w:val="24"/>
        </w:rPr>
        <w:br/>
      </w:r>
      <w:r w:rsidRPr="00E91FC9">
        <w:rPr>
          <w:rFonts w:ascii="Arial" w:hAnsi="Arial" w:cs="Arial"/>
          <w:sz w:val="24"/>
          <w:szCs w:val="24"/>
        </w:rPr>
        <w:br/>
      </w:r>
      <w:r w:rsidRPr="00E91FC9">
        <w:rPr>
          <w:rFonts w:ascii="Arial" w:hAnsi="Arial" w:cs="Arial"/>
          <w:b/>
          <w:sz w:val="24"/>
          <w:szCs w:val="24"/>
        </w:rPr>
        <w:t xml:space="preserve">VI. </w:t>
      </w:r>
      <w:r w:rsidRPr="00E91FC9">
        <w:rPr>
          <w:rFonts w:ascii="Arial" w:hAnsi="Arial" w:cs="Arial"/>
          <w:sz w:val="24"/>
          <w:szCs w:val="24"/>
        </w:rPr>
        <w:t xml:space="preserve">Tratamiento oportuno e integral en unidades de segundo y tercer nivel: cirugía, radioterapia, quimioterapia y cuidados paliativos. </w:t>
      </w:r>
      <w:r w:rsidRPr="00E91FC9">
        <w:rPr>
          <w:rFonts w:ascii="Arial" w:hAnsi="Arial" w:cs="Arial"/>
          <w:b/>
          <w:sz w:val="24"/>
          <w:szCs w:val="24"/>
        </w:rPr>
        <w:t>Este tratamiento deberá garantizarse e iniciarse en un plazo máximo de 30 días naturales contados a partir del día en que se genere el diagnóstico presuntivo o sospecha clínica de la enfermedad;</w:t>
      </w:r>
    </w:p>
    <w:p w14:paraId="05017775" w14:textId="0D6D002B" w:rsidR="00113ACC" w:rsidRPr="00E91FC9" w:rsidRDefault="00B8700A" w:rsidP="00B8700A">
      <w:pPr>
        <w:spacing w:after="120"/>
        <w:jc w:val="both"/>
        <w:rPr>
          <w:rFonts w:ascii="Arial" w:hAnsi="Arial" w:cs="Arial"/>
          <w:sz w:val="24"/>
          <w:szCs w:val="24"/>
        </w:rPr>
      </w:pPr>
      <w:r w:rsidRPr="00E91FC9">
        <w:rPr>
          <w:rFonts w:ascii="Arial" w:hAnsi="Arial" w:cs="Arial"/>
          <w:b/>
          <w:sz w:val="24"/>
          <w:szCs w:val="24"/>
        </w:rPr>
        <w:br/>
      </w:r>
      <w:r w:rsidRPr="00E91FC9">
        <w:rPr>
          <w:rFonts w:ascii="Arial" w:hAnsi="Arial" w:cs="Arial"/>
          <w:b/>
          <w:sz w:val="24"/>
          <w:szCs w:val="24"/>
        </w:rPr>
        <w:br/>
        <w:t xml:space="preserve">VII. </w:t>
      </w:r>
      <w:r w:rsidRPr="00E91FC9">
        <w:rPr>
          <w:rFonts w:ascii="Arial" w:hAnsi="Arial" w:cs="Arial"/>
          <w:sz w:val="24"/>
          <w:szCs w:val="24"/>
        </w:rPr>
        <w:t xml:space="preserve">Rehabilitación y </w:t>
      </w:r>
      <w:r w:rsidRPr="00E91FC9">
        <w:rPr>
          <w:rFonts w:ascii="Arial" w:hAnsi="Arial" w:cs="Arial"/>
          <w:b/>
          <w:sz w:val="24"/>
          <w:szCs w:val="24"/>
        </w:rPr>
        <w:t>acompañamiento psicológico inmediato, constante y continuo tanto para las personas enfermas de cáncer como para los familiares que funjan como sus cuidadores primarios, el cual deberá otorgarse de manera ininterrumpida durante y después de la enfermedad;</w:t>
      </w:r>
    </w:p>
    <w:p w14:paraId="28B5BEB6" w14:textId="77777777" w:rsidR="00D80244" w:rsidRPr="00E91FC9" w:rsidRDefault="00D80244" w:rsidP="004C37ED">
      <w:pPr>
        <w:pStyle w:val="Sinespaciado"/>
        <w:spacing w:line="360" w:lineRule="auto"/>
        <w:jc w:val="center"/>
        <w:rPr>
          <w:rFonts w:ascii="Arial" w:hAnsi="Arial" w:cs="Arial"/>
          <w:b/>
          <w:sz w:val="24"/>
          <w:szCs w:val="24"/>
        </w:rPr>
      </w:pPr>
      <w:bookmarkStart w:id="0" w:name="_GoBack"/>
      <w:bookmarkEnd w:id="0"/>
    </w:p>
    <w:tbl>
      <w:tblPr>
        <w:tblStyle w:val="Tablaconcuadrcula"/>
        <w:tblW w:w="0" w:type="auto"/>
        <w:tblLook w:val="04A0" w:firstRow="1" w:lastRow="0" w:firstColumn="1" w:lastColumn="0" w:noHBand="0" w:noVBand="1"/>
      </w:tblPr>
      <w:tblGrid>
        <w:gridCol w:w="4407"/>
        <w:gridCol w:w="4421"/>
      </w:tblGrid>
      <w:tr w:rsidR="00B8700A" w:rsidRPr="00E91FC9" w14:paraId="04308DAE" w14:textId="77777777" w:rsidTr="003A431D">
        <w:tc>
          <w:tcPr>
            <w:tcW w:w="4680" w:type="dxa"/>
            <w:shd w:val="clear" w:color="auto" w:fill="BFBFBF" w:themeFill="background1" w:themeFillShade="BF"/>
            <w:tcMar>
              <w:top w:w="140" w:type="dxa"/>
              <w:left w:w="150" w:type="dxa"/>
              <w:bottom w:w="140" w:type="dxa"/>
              <w:right w:w="150" w:type="dxa"/>
            </w:tcMar>
          </w:tcPr>
          <w:p w14:paraId="436E8A8D" w14:textId="77777777" w:rsidR="00B8700A" w:rsidRPr="003A431D" w:rsidRDefault="00B8700A" w:rsidP="000A564E">
            <w:pPr>
              <w:jc w:val="center"/>
              <w:rPr>
                <w:rFonts w:ascii="Arial" w:hAnsi="Arial" w:cs="Arial"/>
                <w:sz w:val="24"/>
                <w:szCs w:val="24"/>
              </w:rPr>
            </w:pPr>
            <w:r w:rsidRPr="003A431D">
              <w:rPr>
                <w:rFonts w:ascii="Arial" w:hAnsi="Arial" w:cs="Arial"/>
                <w:b/>
                <w:sz w:val="24"/>
                <w:szCs w:val="24"/>
              </w:rPr>
              <w:t>Texto Vigente</w:t>
            </w:r>
          </w:p>
        </w:tc>
        <w:tc>
          <w:tcPr>
            <w:tcW w:w="4680" w:type="dxa"/>
            <w:shd w:val="clear" w:color="auto" w:fill="BFBFBF" w:themeFill="background1" w:themeFillShade="BF"/>
            <w:tcMar>
              <w:top w:w="140" w:type="dxa"/>
              <w:left w:w="150" w:type="dxa"/>
              <w:bottom w:w="140" w:type="dxa"/>
              <w:right w:w="150" w:type="dxa"/>
            </w:tcMar>
          </w:tcPr>
          <w:p w14:paraId="02C6156C" w14:textId="77777777" w:rsidR="00B8700A" w:rsidRPr="003A431D" w:rsidRDefault="00B8700A" w:rsidP="000A564E">
            <w:pPr>
              <w:jc w:val="center"/>
              <w:rPr>
                <w:rFonts w:ascii="Arial" w:hAnsi="Arial" w:cs="Arial"/>
                <w:sz w:val="24"/>
                <w:szCs w:val="24"/>
              </w:rPr>
            </w:pPr>
            <w:r w:rsidRPr="003A431D">
              <w:rPr>
                <w:rFonts w:ascii="Arial" w:hAnsi="Arial" w:cs="Arial"/>
                <w:b/>
                <w:sz w:val="24"/>
                <w:szCs w:val="24"/>
              </w:rPr>
              <w:t>Propuesta de Reforma</w:t>
            </w:r>
          </w:p>
        </w:tc>
      </w:tr>
      <w:tr w:rsidR="00B8700A" w:rsidRPr="00E91FC9" w14:paraId="231FC569" w14:textId="77777777" w:rsidTr="000A564E">
        <w:tc>
          <w:tcPr>
            <w:tcW w:w="4680" w:type="dxa"/>
            <w:tcMar>
              <w:top w:w="100" w:type="dxa"/>
              <w:left w:w="150" w:type="dxa"/>
              <w:bottom w:w="100" w:type="dxa"/>
              <w:right w:w="150" w:type="dxa"/>
            </w:tcMar>
          </w:tcPr>
          <w:p w14:paraId="55B7FD97" w14:textId="77777777" w:rsidR="00B8700A" w:rsidRPr="00E91FC9" w:rsidRDefault="00B8700A" w:rsidP="000A564E">
            <w:pPr>
              <w:jc w:val="both"/>
              <w:rPr>
                <w:rFonts w:ascii="Arial" w:hAnsi="Arial" w:cs="Arial"/>
                <w:sz w:val="24"/>
                <w:szCs w:val="24"/>
              </w:rPr>
            </w:pPr>
            <w:r w:rsidRPr="00E91FC9">
              <w:rPr>
                <w:rFonts w:ascii="Arial" w:hAnsi="Arial" w:cs="Arial"/>
                <w:b/>
                <w:sz w:val="24"/>
                <w:szCs w:val="24"/>
              </w:rPr>
              <w:t>Artículo 147. ...</w:t>
            </w:r>
            <w:r w:rsidRPr="00E91FC9">
              <w:rPr>
                <w:rFonts w:ascii="Arial" w:hAnsi="Arial" w:cs="Arial"/>
                <w:b/>
                <w:sz w:val="24"/>
                <w:szCs w:val="24"/>
              </w:rPr>
              <w:br/>
            </w:r>
            <w:r w:rsidRPr="00E91FC9">
              <w:rPr>
                <w:rFonts w:ascii="Arial" w:hAnsi="Arial" w:cs="Arial"/>
                <w:b/>
                <w:sz w:val="24"/>
                <w:szCs w:val="24"/>
              </w:rPr>
              <w:br/>
            </w:r>
            <w:r w:rsidRPr="00E91FC9">
              <w:rPr>
                <w:rFonts w:ascii="Arial" w:hAnsi="Arial" w:cs="Arial"/>
                <w:sz w:val="24"/>
                <w:szCs w:val="24"/>
              </w:rPr>
              <w:t xml:space="preserve">VI. Tratamiento oportuno e integral en unidades de segundo y tercer nivel: </w:t>
            </w:r>
            <w:r w:rsidRPr="00E91FC9">
              <w:rPr>
                <w:rFonts w:ascii="Arial" w:hAnsi="Arial" w:cs="Arial"/>
                <w:sz w:val="24"/>
                <w:szCs w:val="24"/>
              </w:rPr>
              <w:lastRenderedPageBreak/>
              <w:t>cirugía, radioterapia, quimioterapia y cuidados paliativos;</w:t>
            </w:r>
          </w:p>
        </w:tc>
        <w:tc>
          <w:tcPr>
            <w:tcW w:w="4680" w:type="dxa"/>
            <w:tcMar>
              <w:top w:w="100" w:type="dxa"/>
              <w:left w:w="150" w:type="dxa"/>
              <w:bottom w:w="100" w:type="dxa"/>
              <w:right w:w="150" w:type="dxa"/>
            </w:tcMar>
          </w:tcPr>
          <w:p w14:paraId="0E886F3A" w14:textId="77777777" w:rsidR="00B8700A" w:rsidRPr="00E91FC9" w:rsidRDefault="00B8700A" w:rsidP="000A564E">
            <w:pPr>
              <w:jc w:val="both"/>
              <w:rPr>
                <w:rFonts w:ascii="Arial" w:hAnsi="Arial" w:cs="Arial"/>
                <w:sz w:val="24"/>
                <w:szCs w:val="24"/>
              </w:rPr>
            </w:pPr>
            <w:r w:rsidRPr="00E91FC9">
              <w:rPr>
                <w:rFonts w:ascii="Arial" w:hAnsi="Arial" w:cs="Arial"/>
                <w:b/>
                <w:sz w:val="24"/>
                <w:szCs w:val="24"/>
              </w:rPr>
              <w:lastRenderedPageBreak/>
              <w:t>Artículo 147. ...</w:t>
            </w:r>
            <w:r w:rsidRPr="00E91FC9">
              <w:rPr>
                <w:rFonts w:ascii="Arial" w:hAnsi="Arial" w:cs="Arial"/>
                <w:b/>
                <w:sz w:val="24"/>
                <w:szCs w:val="24"/>
              </w:rPr>
              <w:br/>
            </w:r>
            <w:r w:rsidRPr="00E91FC9">
              <w:rPr>
                <w:rFonts w:ascii="Arial" w:hAnsi="Arial" w:cs="Arial"/>
                <w:b/>
                <w:sz w:val="24"/>
                <w:szCs w:val="24"/>
              </w:rPr>
              <w:br/>
            </w:r>
            <w:r w:rsidRPr="00E91FC9">
              <w:rPr>
                <w:rFonts w:ascii="Arial" w:hAnsi="Arial" w:cs="Arial"/>
                <w:sz w:val="24"/>
                <w:szCs w:val="24"/>
              </w:rPr>
              <w:t xml:space="preserve">VI. Tratamiento oportuno e integral en unidades de segundo y tercer nivel: </w:t>
            </w:r>
            <w:r w:rsidRPr="00E91FC9">
              <w:rPr>
                <w:rFonts w:ascii="Arial" w:hAnsi="Arial" w:cs="Arial"/>
                <w:sz w:val="24"/>
                <w:szCs w:val="24"/>
              </w:rPr>
              <w:lastRenderedPageBreak/>
              <w:t xml:space="preserve">cirugía, radioterapia, quimioterapia y cuidados paliativos. </w:t>
            </w:r>
            <w:r w:rsidRPr="00E91FC9">
              <w:rPr>
                <w:rFonts w:ascii="Arial" w:hAnsi="Arial" w:cs="Arial"/>
                <w:b/>
                <w:sz w:val="24"/>
                <w:szCs w:val="24"/>
              </w:rPr>
              <w:t>Este tratamiento deberá iniciarse en un plazo máximo de 30 días naturales a partir de la fecha en que se presuma clínicamente la existencia de la enfermedad;</w:t>
            </w:r>
          </w:p>
        </w:tc>
      </w:tr>
      <w:tr w:rsidR="00B8700A" w:rsidRPr="00E91FC9" w14:paraId="07BB26DA" w14:textId="77777777" w:rsidTr="000A564E">
        <w:tc>
          <w:tcPr>
            <w:tcW w:w="4680" w:type="dxa"/>
            <w:tcMar>
              <w:top w:w="100" w:type="dxa"/>
              <w:left w:w="150" w:type="dxa"/>
              <w:bottom w:w="100" w:type="dxa"/>
              <w:right w:w="150" w:type="dxa"/>
            </w:tcMar>
          </w:tcPr>
          <w:p w14:paraId="14E50F9C" w14:textId="77777777" w:rsidR="00B8700A" w:rsidRPr="00E91FC9" w:rsidRDefault="00B8700A" w:rsidP="000A564E">
            <w:pPr>
              <w:jc w:val="both"/>
              <w:rPr>
                <w:rFonts w:ascii="Arial" w:hAnsi="Arial" w:cs="Arial"/>
                <w:sz w:val="24"/>
                <w:szCs w:val="24"/>
              </w:rPr>
            </w:pPr>
            <w:r w:rsidRPr="00E91FC9">
              <w:rPr>
                <w:rFonts w:ascii="Arial" w:hAnsi="Arial" w:cs="Arial"/>
                <w:sz w:val="24"/>
                <w:szCs w:val="24"/>
              </w:rPr>
              <w:lastRenderedPageBreak/>
              <w:t>VII. Rehabilitación y acompañamiento psicosocial de sobrevivientes de cáncer;</w:t>
            </w:r>
          </w:p>
        </w:tc>
        <w:tc>
          <w:tcPr>
            <w:tcW w:w="4680" w:type="dxa"/>
            <w:tcMar>
              <w:top w:w="100" w:type="dxa"/>
              <w:left w:w="150" w:type="dxa"/>
              <w:bottom w:w="100" w:type="dxa"/>
              <w:right w:w="150" w:type="dxa"/>
            </w:tcMar>
          </w:tcPr>
          <w:p w14:paraId="32948B92" w14:textId="77777777" w:rsidR="00B8700A" w:rsidRPr="00E91FC9" w:rsidRDefault="00B8700A" w:rsidP="000A564E">
            <w:pPr>
              <w:jc w:val="both"/>
              <w:rPr>
                <w:rFonts w:ascii="Arial" w:hAnsi="Arial" w:cs="Arial"/>
                <w:sz w:val="24"/>
                <w:szCs w:val="24"/>
              </w:rPr>
            </w:pPr>
            <w:r w:rsidRPr="00E91FC9">
              <w:rPr>
                <w:rFonts w:ascii="Arial" w:hAnsi="Arial" w:cs="Arial"/>
                <w:sz w:val="24"/>
                <w:szCs w:val="24"/>
              </w:rPr>
              <w:t xml:space="preserve">VII. Rehabilitación y </w:t>
            </w:r>
            <w:r w:rsidRPr="00E91FC9">
              <w:rPr>
                <w:rFonts w:ascii="Arial" w:hAnsi="Arial" w:cs="Arial"/>
                <w:b/>
                <w:sz w:val="24"/>
                <w:szCs w:val="24"/>
              </w:rPr>
              <w:t>acompañamiento psicológico inmediato, constante y continuo para las personas enfermas de cáncer, así como para los familiares que ejerzan su cuidado directo, el cual se brindará durante y después del desarrollo de la enfermedad;</w:t>
            </w:r>
          </w:p>
        </w:tc>
      </w:tr>
    </w:tbl>
    <w:p w14:paraId="0ED2AC40" w14:textId="77777777" w:rsidR="00B8700A" w:rsidRPr="00E91FC9" w:rsidRDefault="00B8700A" w:rsidP="004C37ED">
      <w:pPr>
        <w:pStyle w:val="Sinespaciado"/>
        <w:spacing w:line="360" w:lineRule="auto"/>
        <w:jc w:val="center"/>
        <w:rPr>
          <w:rFonts w:ascii="Arial" w:hAnsi="Arial" w:cs="Arial"/>
          <w:b/>
          <w:sz w:val="24"/>
          <w:szCs w:val="24"/>
        </w:rPr>
      </w:pPr>
    </w:p>
    <w:p w14:paraId="4326D2B7" w14:textId="77777777" w:rsidR="00B8700A" w:rsidRPr="00E91FC9" w:rsidRDefault="00B8700A" w:rsidP="004C37ED">
      <w:pPr>
        <w:pStyle w:val="Sinespaciado"/>
        <w:spacing w:line="360" w:lineRule="auto"/>
        <w:jc w:val="center"/>
        <w:rPr>
          <w:rFonts w:ascii="Arial" w:hAnsi="Arial" w:cs="Arial"/>
          <w:b/>
          <w:sz w:val="24"/>
          <w:szCs w:val="24"/>
        </w:rPr>
      </w:pPr>
    </w:p>
    <w:p w14:paraId="47C4FFAC" w14:textId="77777777" w:rsidR="00C92662" w:rsidRPr="00E91FC9" w:rsidRDefault="00C92662" w:rsidP="004C37ED">
      <w:pPr>
        <w:pStyle w:val="Sinespaciado"/>
        <w:spacing w:line="360" w:lineRule="auto"/>
        <w:rPr>
          <w:rFonts w:ascii="Arial" w:hAnsi="Arial" w:cs="Arial"/>
          <w:b/>
          <w:bCs/>
          <w:sz w:val="24"/>
          <w:szCs w:val="24"/>
        </w:rPr>
      </w:pPr>
    </w:p>
    <w:p w14:paraId="042A7B3D" w14:textId="77777777" w:rsidR="00CB1D4D" w:rsidRPr="00E91FC9" w:rsidRDefault="00CB1D4D" w:rsidP="004C37ED">
      <w:pPr>
        <w:pStyle w:val="Sinespaciado"/>
        <w:spacing w:line="360" w:lineRule="auto"/>
        <w:rPr>
          <w:rFonts w:ascii="Arial" w:hAnsi="Arial" w:cs="Arial"/>
          <w:b/>
          <w:bCs/>
          <w:sz w:val="24"/>
          <w:szCs w:val="24"/>
        </w:rPr>
      </w:pPr>
    </w:p>
    <w:p w14:paraId="49D4FB5C" w14:textId="77777777" w:rsidR="00155E0D" w:rsidRPr="00E91FC9" w:rsidRDefault="00155E0D" w:rsidP="004C37ED">
      <w:pPr>
        <w:pStyle w:val="Sinespaciado"/>
        <w:spacing w:line="360" w:lineRule="auto"/>
        <w:jc w:val="both"/>
        <w:rPr>
          <w:rFonts w:ascii="Arial" w:hAnsi="Arial" w:cs="Arial"/>
          <w:bCs/>
          <w:sz w:val="24"/>
          <w:szCs w:val="24"/>
        </w:rPr>
      </w:pPr>
    </w:p>
    <w:p w14:paraId="25B9A1E5" w14:textId="5E2BBF55" w:rsidR="00AA2E55" w:rsidRPr="00E91FC9" w:rsidRDefault="00AA2E55" w:rsidP="004C37ED">
      <w:pPr>
        <w:spacing w:after="0" w:line="360" w:lineRule="auto"/>
        <w:jc w:val="center"/>
        <w:rPr>
          <w:rFonts w:ascii="Arial" w:eastAsiaTheme="minorHAnsi" w:hAnsi="Arial" w:cs="Arial"/>
          <w:b/>
          <w:sz w:val="24"/>
          <w:szCs w:val="24"/>
          <w:lang w:eastAsia="en-US"/>
        </w:rPr>
      </w:pPr>
      <w:r w:rsidRPr="00E91FC9">
        <w:rPr>
          <w:rFonts w:ascii="Arial" w:eastAsiaTheme="minorHAnsi" w:hAnsi="Arial" w:cs="Arial"/>
          <w:b/>
          <w:sz w:val="24"/>
          <w:szCs w:val="24"/>
          <w:lang w:eastAsia="en-US"/>
        </w:rPr>
        <w:t>TRANSITORIOS</w:t>
      </w:r>
    </w:p>
    <w:p w14:paraId="780F8A7F" w14:textId="77777777" w:rsidR="00AA2E55" w:rsidRPr="00E91FC9" w:rsidRDefault="00AA2E55" w:rsidP="004C37ED">
      <w:pPr>
        <w:spacing w:after="0" w:line="360" w:lineRule="auto"/>
        <w:jc w:val="center"/>
        <w:rPr>
          <w:rFonts w:ascii="Arial" w:eastAsiaTheme="minorHAnsi" w:hAnsi="Arial" w:cs="Arial"/>
          <w:b/>
          <w:sz w:val="24"/>
          <w:szCs w:val="24"/>
          <w:lang w:eastAsia="en-US"/>
        </w:rPr>
      </w:pPr>
    </w:p>
    <w:p w14:paraId="5D8495F9" w14:textId="77777777" w:rsidR="00AA2E55" w:rsidRPr="00E91FC9" w:rsidRDefault="00AA2E55" w:rsidP="004C37ED">
      <w:pPr>
        <w:spacing w:after="0" w:line="360" w:lineRule="auto"/>
        <w:rPr>
          <w:rFonts w:ascii="Arial" w:eastAsiaTheme="minorHAnsi" w:hAnsi="Arial" w:cs="Arial"/>
          <w:bCs/>
          <w:sz w:val="24"/>
          <w:szCs w:val="24"/>
          <w:lang w:eastAsia="en-US"/>
        </w:rPr>
      </w:pPr>
    </w:p>
    <w:p w14:paraId="758266A9" w14:textId="77777777" w:rsidR="00B8700A" w:rsidRPr="00E91FC9" w:rsidRDefault="00B8700A" w:rsidP="00B8700A">
      <w:pPr>
        <w:spacing w:after="120"/>
        <w:jc w:val="both"/>
        <w:rPr>
          <w:rFonts w:ascii="Arial" w:hAnsi="Arial" w:cs="Arial"/>
          <w:sz w:val="24"/>
          <w:szCs w:val="24"/>
        </w:rPr>
      </w:pPr>
      <w:r w:rsidRPr="00E91FC9">
        <w:rPr>
          <w:rFonts w:ascii="Arial" w:hAnsi="Arial" w:cs="Arial"/>
          <w:b/>
          <w:sz w:val="24"/>
          <w:szCs w:val="24"/>
        </w:rPr>
        <w:t xml:space="preserve">PRIMERO. </w:t>
      </w:r>
      <w:r w:rsidRPr="00E91FC9">
        <w:rPr>
          <w:rFonts w:ascii="Arial" w:hAnsi="Arial" w:cs="Arial"/>
          <w:sz w:val="24"/>
          <w:szCs w:val="24"/>
        </w:rPr>
        <w:t>El presente Decreto entrará en vigor al día siguiente de su publicación en el Periódico Oficial 'Gaceta del Gobierno del Estado de México'.</w:t>
      </w:r>
    </w:p>
    <w:p w14:paraId="26A96412" w14:textId="77777777" w:rsidR="00B8700A" w:rsidRPr="00E91FC9" w:rsidRDefault="00B8700A" w:rsidP="00B8700A">
      <w:pPr>
        <w:spacing w:after="360"/>
        <w:jc w:val="both"/>
        <w:rPr>
          <w:rFonts w:ascii="Arial" w:hAnsi="Arial" w:cs="Arial"/>
          <w:sz w:val="24"/>
          <w:szCs w:val="24"/>
        </w:rPr>
      </w:pPr>
      <w:r w:rsidRPr="00E91FC9">
        <w:rPr>
          <w:rFonts w:ascii="Arial" w:hAnsi="Arial" w:cs="Arial"/>
          <w:b/>
          <w:sz w:val="24"/>
          <w:szCs w:val="24"/>
        </w:rPr>
        <w:t xml:space="preserve">SEGUNDO. </w:t>
      </w:r>
      <w:r w:rsidRPr="00E91FC9">
        <w:rPr>
          <w:rFonts w:ascii="Arial" w:hAnsi="Arial" w:cs="Arial"/>
          <w:sz w:val="24"/>
          <w:szCs w:val="24"/>
        </w:rPr>
        <w:t>El Ejecutivo del Estado, por conducto de la Secretaría de Salud, contará con un plazo de 90 días hábiles a partir de la entrada en vigor del presente decreto para adecuar los reglamentos y protocolos médicos correspondientes a fin de dar cumplimiento a los plazos y coberturas aquí previstos.</w:t>
      </w:r>
    </w:p>
    <w:p w14:paraId="29A0C6CC" w14:textId="47C493D3" w:rsidR="00431CD6" w:rsidRDefault="00431CD6" w:rsidP="00431CD6">
      <w:pPr>
        <w:spacing w:after="0" w:line="360" w:lineRule="auto"/>
        <w:jc w:val="both"/>
        <w:rPr>
          <w:rFonts w:ascii="Arial" w:eastAsiaTheme="minorHAnsi" w:hAnsi="Arial" w:cs="Arial"/>
          <w:b/>
          <w:sz w:val="24"/>
          <w:szCs w:val="24"/>
          <w:lang w:eastAsia="en-US"/>
        </w:rPr>
      </w:pPr>
    </w:p>
    <w:p w14:paraId="63D10588" w14:textId="77777777" w:rsidR="003A431D" w:rsidRDefault="003A431D" w:rsidP="00431CD6">
      <w:pPr>
        <w:spacing w:after="0" w:line="360" w:lineRule="auto"/>
        <w:jc w:val="both"/>
        <w:rPr>
          <w:rFonts w:ascii="Arial" w:eastAsiaTheme="minorHAnsi" w:hAnsi="Arial" w:cs="Arial"/>
          <w:b/>
          <w:sz w:val="24"/>
          <w:szCs w:val="24"/>
          <w:lang w:eastAsia="en-US"/>
        </w:rPr>
      </w:pPr>
    </w:p>
    <w:p w14:paraId="64CE1ED3" w14:textId="77777777" w:rsidR="003A431D" w:rsidRDefault="003A431D" w:rsidP="00431CD6">
      <w:pPr>
        <w:spacing w:after="0" w:line="360" w:lineRule="auto"/>
        <w:jc w:val="both"/>
        <w:rPr>
          <w:rFonts w:ascii="Arial" w:eastAsiaTheme="minorHAnsi" w:hAnsi="Arial" w:cs="Arial"/>
          <w:b/>
          <w:sz w:val="24"/>
          <w:szCs w:val="24"/>
          <w:lang w:eastAsia="en-US"/>
        </w:rPr>
      </w:pPr>
    </w:p>
    <w:p w14:paraId="52817E7C" w14:textId="77777777" w:rsidR="003A431D" w:rsidRPr="00E91FC9" w:rsidRDefault="003A431D" w:rsidP="00431CD6">
      <w:pPr>
        <w:spacing w:after="0" w:line="360" w:lineRule="auto"/>
        <w:jc w:val="both"/>
        <w:rPr>
          <w:rFonts w:ascii="Arial" w:eastAsiaTheme="minorHAnsi" w:hAnsi="Arial" w:cs="Arial"/>
          <w:b/>
          <w:sz w:val="24"/>
          <w:szCs w:val="24"/>
          <w:lang w:eastAsia="en-US"/>
        </w:rPr>
      </w:pPr>
    </w:p>
    <w:p w14:paraId="2362101A" w14:textId="56E327A8" w:rsidR="00A458E7" w:rsidRPr="00E91FC9" w:rsidRDefault="00D80244" w:rsidP="004C37ED">
      <w:pPr>
        <w:spacing w:after="0" w:line="360" w:lineRule="auto"/>
        <w:jc w:val="both"/>
        <w:rPr>
          <w:rFonts w:ascii="Arial" w:eastAsia="Times New Roman" w:hAnsi="Arial" w:cs="Arial"/>
          <w:color w:val="000000"/>
          <w:sz w:val="24"/>
          <w:szCs w:val="24"/>
        </w:rPr>
      </w:pPr>
      <w:r w:rsidRPr="00E91FC9">
        <w:rPr>
          <w:rFonts w:ascii="Arial" w:eastAsia="Times New Roman" w:hAnsi="Arial" w:cs="Arial"/>
          <w:color w:val="000000"/>
          <w:sz w:val="24"/>
          <w:szCs w:val="24"/>
        </w:rPr>
        <w:lastRenderedPageBreak/>
        <w:t>Dado en el Palacio del Poder Legislativo, en la ciudad de Toluca de Lerdo, capital del Estado de México, a los ____ días del mes de ____________ del año dos mil veinti</w:t>
      </w:r>
      <w:r w:rsidR="008F101D" w:rsidRPr="00E91FC9">
        <w:rPr>
          <w:rFonts w:ascii="Arial" w:eastAsia="Times New Roman" w:hAnsi="Arial" w:cs="Arial"/>
          <w:color w:val="000000"/>
          <w:sz w:val="24"/>
          <w:szCs w:val="24"/>
        </w:rPr>
        <w:t>seis</w:t>
      </w:r>
      <w:r w:rsidRPr="00E91FC9">
        <w:rPr>
          <w:rFonts w:ascii="Arial" w:eastAsia="Times New Roman" w:hAnsi="Arial" w:cs="Arial"/>
          <w:color w:val="000000"/>
          <w:sz w:val="24"/>
          <w:szCs w:val="24"/>
        </w:rPr>
        <w:t>.</w:t>
      </w:r>
    </w:p>
    <w:p w14:paraId="4AC1D28E" w14:textId="0701244A" w:rsidR="00515833" w:rsidRPr="00E91FC9" w:rsidRDefault="00306A1D" w:rsidP="00E91FC9">
      <w:pPr>
        <w:spacing w:after="0" w:line="360" w:lineRule="auto"/>
        <w:jc w:val="both"/>
        <w:rPr>
          <w:rFonts w:ascii="Arial" w:eastAsia="Times New Roman" w:hAnsi="Arial" w:cs="Arial"/>
          <w:color w:val="000000"/>
          <w:sz w:val="21"/>
          <w:szCs w:val="21"/>
        </w:rPr>
      </w:pPr>
      <w:r w:rsidRPr="00E91FC9">
        <w:rPr>
          <w:rFonts w:ascii="Arial" w:eastAsia="Times New Roman" w:hAnsi="Arial" w:cs="Arial"/>
          <w:color w:val="000000"/>
          <w:sz w:val="21"/>
          <w:szCs w:val="21"/>
        </w:rPr>
        <w:t xml:space="preserve"> </w:t>
      </w:r>
    </w:p>
    <w:sectPr w:rsidR="00515833" w:rsidRPr="00E91FC9" w:rsidSect="00180580">
      <w:headerReference w:type="default" r:id="rId8"/>
      <w:footerReference w:type="default" r:id="rId9"/>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CC4BC" w14:textId="77777777" w:rsidR="00510F53" w:rsidRDefault="00510F53" w:rsidP="00180580">
      <w:pPr>
        <w:spacing w:after="0" w:line="240" w:lineRule="auto"/>
      </w:pPr>
      <w:r>
        <w:separator/>
      </w:r>
    </w:p>
  </w:endnote>
  <w:endnote w:type="continuationSeparator" w:id="0">
    <w:p w14:paraId="41AA18F6" w14:textId="77777777" w:rsidR="00510F53" w:rsidRDefault="00510F53" w:rsidP="00180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Lato">
    <w:altName w:val="Calibri"/>
    <w:charset w:val="00"/>
    <w:family w:val="swiss"/>
    <w:pitch w:val="variable"/>
    <w:sig w:usb0="00000001" w:usb1="5000EC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BB2B0" w14:textId="77777777" w:rsidR="00DD2D75" w:rsidRDefault="00DD2D75" w:rsidP="00180580">
    <w:pPr>
      <w:pStyle w:val="Piedepgina"/>
      <w:rPr>
        <w:rFonts w:ascii="Lato" w:hAnsi="Lato"/>
        <w:noProof/>
        <w:color w:val="595959" w:themeColor="text1" w:themeTint="A6"/>
        <w:sz w:val="18"/>
      </w:rPr>
    </w:pPr>
    <w:bookmarkStart w:id="3" w:name="_Hlk177114220"/>
  </w:p>
  <w:p w14:paraId="3A5456EE" w14:textId="67078524" w:rsidR="00DD2D75" w:rsidRPr="001E44FA" w:rsidRDefault="00DD2D75" w:rsidP="00180580">
    <w:pPr>
      <w:pStyle w:val="Piedepgina"/>
      <w:rPr>
        <w:rFonts w:ascii="Lato" w:hAnsi="Lato"/>
        <w:noProof/>
        <w:color w:val="595959" w:themeColor="text1" w:themeTint="A6"/>
        <w:sz w:val="18"/>
      </w:rPr>
    </w:pPr>
    <w:r w:rsidRPr="001E44FA">
      <w:rPr>
        <w:rFonts w:ascii="Lato" w:hAnsi="Lato"/>
        <w:noProof/>
        <w:color w:val="595959" w:themeColor="text1" w:themeTint="A6"/>
        <w:sz w:val="18"/>
      </w:rPr>
      <w:drawing>
        <wp:anchor distT="0" distB="0" distL="114300" distR="114300" simplePos="0" relativeHeight="251660288" behindDoc="0" locked="0" layoutInCell="1" allowOverlap="1" wp14:anchorId="03964B7A" wp14:editId="37DA3C12">
          <wp:simplePos x="0" y="0"/>
          <wp:positionH relativeFrom="column">
            <wp:posOffset>2555326</wp:posOffset>
          </wp:positionH>
          <wp:positionV relativeFrom="paragraph">
            <wp:posOffset>8495</wp:posOffset>
          </wp:positionV>
          <wp:extent cx="615263" cy="560173"/>
          <wp:effectExtent l="19050" t="0" r="0" b="0"/>
          <wp:wrapNone/>
          <wp:docPr id="992995495" name="0 Imagen"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95495" name="0 Imagen"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5263" cy="560173"/>
                  </a:xfrm>
                  <a:prstGeom prst="rect">
                    <a:avLst/>
                  </a:prstGeom>
                </pic:spPr>
              </pic:pic>
            </a:graphicData>
          </a:graphic>
          <wp14:sizeRelH relativeFrom="margin">
            <wp14:pctWidth>0</wp14:pctWidth>
          </wp14:sizeRelH>
          <wp14:sizeRelV relativeFrom="margin">
            <wp14:pctHeight>0</wp14:pctHeight>
          </wp14:sizeRelV>
        </wp:anchor>
      </w:drawing>
    </w:r>
    <w:r w:rsidRPr="006D1D4A">
      <w:rPr>
        <w:rFonts w:ascii="Lato" w:hAnsi="Lato"/>
        <w:noProof/>
        <w:color w:val="595959" w:themeColor="text1" w:themeTint="A6"/>
        <w:sz w:val="18"/>
      </w:rPr>
      <w:drawing>
        <wp:anchor distT="0" distB="0" distL="114300" distR="114300" simplePos="0" relativeHeight="251659264" behindDoc="0" locked="0" layoutInCell="1" allowOverlap="1" wp14:anchorId="4A3F5395" wp14:editId="7A765B2F">
          <wp:simplePos x="0" y="0"/>
          <wp:positionH relativeFrom="column">
            <wp:posOffset>4019087</wp:posOffset>
          </wp:positionH>
          <wp:positionV relativeFrom="paragraph">
            <wp:posOffset>86155</wp:posOffset>
          </wp:positionV>
          <wp:extent cx="2054345" cy="345989"/>
          <wp:effectExtent l="19050" t="0" r="3055" b="0"/>
          <wp:wrapNone/>
          <wp:docPr id="1540105083" name="0 Imagen"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05083" name="0 Imagen" descr="Texto&#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54345" cy="345989"/>
                  </a:xfrm>
                  <a:prstGeom prst="rect">
                    <a:avLst/>
                  </a:prstGeom>
                </pic:spPr>
              </pic:pic>
            </a:graphicData>
          </a:graphic>
        </wp:anchor>
      </w:drawing>
    </w:r>
    <w:r w:rsidRPr="001E44FA">
      <w:rPr>
        <w:rFonts w:ascii="Lato" w:hAnsi="Lato"/>
        <w:noProof/>
        <w:color w:val="595959" w:themeColor="text1" w:themeTint="A6"/>
        <w:sz w:val="18"/>
      </w:rPr>
      <w:t xml:space="preserve">Plaza Hidalgo S/N. Col. Centro  </w:t>
    </w:r>
  </w:p>
  <w:p w14:paraId="5097C6DF" w14:textId="77777777" w:rsidR="00DD2D75" w:rsidRPr="001E44FA" w:rsidRDefault="00DD2D75" w:rsidP="00180580">
    <w:pPr>
      <w:tabs>
        <w:tab w:val="left" w:pos="1219"/>
      </w:tabs>
      <w:spacing w:after="0" w:line="240" w:lineRule="auto"/>
      <w:contextualSpacing/>
      <w:rPr>
        <w:color w:val="595959" w:themeColor="text1" w:themeTint="A6"/>
      </w:rPr>
    </w:pPr>
    <w:r w:rsidRPr="001E44FA">
      <w:rPr>
        <w:rFonts w:ascii="Lato" w:hAnsi="Lato"/>
        <w:noProof/>
        <w:color w:val="595959" w:themeColor="text1" w:themeTint="A6"/>
        <w:sz w:val="18"/>
      </w:rPr>
      <w:t>Toluca, México, C. P. 50000</w:t>
    </w:r>
    <w:r w:rsidRPr="001E44FA">
      <w:rPr>
        <w:rFonts w:ascii="Lato" w:hAnsi="Lato"/>
        <w:noProof/>
        <w:color w:val="595959" w:themeColor="text1" w:themeTint="A6"/>
        <w:sz w:val="18"/>
      </w:rPr>
      <w:br/>
      <w:t>Tels. (722) 2 79 64 00 y 2 79 65 00</w:t>
    </w:r>
  </w:p>
  <w:bookmarkEnd w:id="3"/>
  <w:p w14:paraId="69B52DC1" w14:textId="77777777" w:rsidR="00DD2D75" w:rsidRDefault="00DD2D75" w:rsidP="00180580">
    <w:pPr>
      <w:pStyle w:val="Piedepgina"/>
    </w:pPr>
  </w:p>
  <w:sdt>
    <w:sdtPr>
      <w:id w:val="605925123"/>
      <w:docPartObj>
        <w:docPartGallery w:val="Page Numbers (Bottom of Page)"/>
        <w:docPartUnique/>
      </w:docPartObj>
    </w:sdtPr>
    <w:sdtEndPr/>
    <w:sdtContent>
      <w:p w14:paraId="66A92FA9" w14:textId="53C53A99" w:rsidR="00DD2D75" w:rsidRDefault="00DD2D75" w:rsidP="00180580">
        <w:pPr>
          <w:pStyle w:val="Piedepgina"/>
          <w:jc w:val="right"/>
        </w:pPr>
        <w:r>
          <w:fldChar w:fldCharType="begin"/>
        </w:r>
        <w:r>
          <w:instrText>PAGE   \* MERGEFORMAT</w:instrText>
        </w:r>
        <w:r>
          <w:fldChar w:fldCharType="separate"/>
        </w:r>
        <w:r w:rsidR="003A431D">
          <w:rPr>
            <w:noProof/>
          </w:rPr>
          <w:t>6</w:t>
        </w:r>
        <w:r>
          <w:fldChar w:fldCharType="end"/>
        </w:r>
      </w:p>
    </w:sdtContent>
  </w:sdt>
  <w:p w14:paraId="69F5A143" w14:textId="77777777" w:rsidR="00DD2D75" w:rsidRDefault="00DD2D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A67A5" w14:textId="77777777" w:rsidR="00510F53" w:rsidRDefault="00510F53" w:rsidP="00180580">
      <w:pPr>
        <w:spacing w:after="0" w:line="240" w:lineRule="auto"/>
      </w:pPr>
      <w:r>
        <w:separator/>
      </w:r>
    </w:p>
  </w:footnote>
  <w:footnote w:type="continuationSeparator" w:id="0">
    <w:p w14:paraId="1364ACAB" w14:textId="77777777" w:rsidR="00510F53" w:rsidRDefault="00510F53" w:rsidP="001805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CB7DF" w14:textId="77777777" w:rsidR="00DD2D75" w:rsidRDefault="00DD2D75" w:rsidP="00180580">
    <w:pPr>
      <w:pStyle w:val="NormalWeb"/>
      <w:jc w:val="center"/>
    </w:pPr>
    <w:bookmarkStart w:id="1" w:name="_Hlk177114186"/>
    <w:bookmarkStart w:id="2" w:name="_Hlk177114187"/>
    <w:r>
      <w:rPr>
        <w:noProof/>
      </w:rPr>
      <w:drawing>
        <wp:inline distT="0" distB="0" distL="0" distR="0" wp14:anchorId="176CF6A2" wp14:editId="4A3E51CF">
          <wp:extent cx="2153432" cy="799465"/>
          <wp:effectExtent l="0" t="0" r="0" b="635"/>
          <wp:docPr id="170010714" name="Imagen 170010714" descr="C:\Users\LEGISLATURA\Documents\LXI Legislatura\Griss Sáenz\Logos\logo LXII Diputados Locales gris 5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GISLATURA\Documents\LXI Legislatura\Griss Sáenz\Logos\logo LXII Diputados Locales gris 5x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3432" cy="799465"/>
                  </a:xfrm>
                  <a:prstGeom prst="rect">
                    <a:avLst/>
                  </a:prstGeom>
                  <a:noFill/>
                  <a:ln>
                    <a:noFill/>
                  </a:ln>
                </pic:spPr>
              </pic:pic>
            </a:graphicData>
          </a:graphic>
        </wp:inline>
      </w:drawing>
    </w:r>
  </w:p>
  <w:p w14:paraId="38BBEE57" w14:textId="77777777" w:rsidR="00DD2D75" w:rsidRDefault="00DD2D75" w:rsidP="00180580">
    <w:pPr>
      <w:pStyle w:val="NormalWeb"/>
      <w:jc w:val="center"/>
    </w:pPr>
  </w:p>
  <w:p w14:paraId="3B16B908" w14:textId="77777777" w:rsidR="00DD2D75" w:rsidRPr="002814F2" w:rsidRDefault="00DD2D75" w:rsidP="00180580">
    <w:pPr>
      <w:spacing w:line="240" w:lineRule="auto"/>
      <w:jc w:val="center"/>
      <w:rPr>
        <w:rFonts w:cs="Cambria"/>
        <w:b/>
        <w:bCs/>
        <w:color w:val="253166"/>
        <w:sz w:val="32"/>
        <w:szCs w:val="32"/>
        <w:lang w:val="es-ES"/>
      </w:rPr>
    </w:pPr>
    <w:r w:rsidRPr="004E7667">
      <w:rPr>
        <w:rFonts w:ascii="Arial" w:hAnsi="Arial" w:cs="Arial"/>
        <w:b/>
      </w:rPr>
      <w:t xml:space="preserve">DIP. </w:t>
    </w:r>
    <w:r>
      <w:rPr>
        <w:rFonts w:ascii="Arial" w:hAnsi="Arial" w:cs="Arial"/>
        <w:b/>
      </w:rPr>
      <w:t>ROCÍO ALEXIA DÁVILA SÁNCHEZ</w:t>
    </w:r>
  </w:p>
  <w:p w14:paraId="71C54BA2" w14:textId="77777777" w:rsidR="00DD2D75" w:rsidRPr="004E7667" w:rsidRDefault="00DD2D75" w:rsidP="00180580">
    <w:pPr>
      <w:pStyle w:val="NormalWeb"/>
      <w:spacing w:before="0" w:beforeAutospacing="0" w:after="0" w:afterAutospacing="0"/>
      <w:jc w:val="center"/>
      <w:rPr>
        <w:rFonts w:ascii="Arial" w:hAnsi="Arial" w:cs="Arial"/>
        <w:b/>
        <w:sz w:val="20"/>
        <w:szCs w:val="20"/>
      </w:rPr>
    </w:pP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38F37CFD" w14:textId="77777777" w:rsidR="00DD2D75" w:rsidRPr="00C04441" w:rsidRDefault="00DD2D75" w:rsidP="00180580">
    <w:pPr>
      <w:pStyle w:val="NormalWeb"/>
      <w:spacing w:before="0" w:beforeAutospacing="0" w:after="0" w:afterAutospacing="0"/>
      <w:jc w:val="center"/>
      <w:rPr>
        <w:rFonts w:ascii="Arial" w:hAnsi="Arial" w:cs="Arial"/>
        <w:sz w:val="16"/>
        <w:szCs w:val="16"/>
      </w:rPr>
    </w:pPr>
  </w:p>
  <w:p w14:paraId="700EC88E" w14:textId="3EDF367D" w:rsidR="00DD2D75" w:rsidRDefault="00AF0B85" w:rsidP="00180580">
    <w:pPr>
      <w:pStyle w:val="NormalWeb"/>
      <w:spacing w:before="0" w:beforeAutospacing="0" w:after="0" w:afterAutospacing="0"/>
      <w:jc w:val="center"/>
    </w:pPr>
    <w:r>
      <w:rPr>
        <w:rFonts w:ascii="Arial" w:hAnsi="Arial" w:cs="Arial"/>
        <w:sz w:val="16"/>
        <w:szCs w:val="16"/>
      </w:rPr>
      <w:t>“2026. Año del Humanismo Mexicano en el Estado de México</w:t>
    </w:r>
    <w:r w:rsidR="00DD2D75" w:rsidRPr="001E44FA">
      <w:rPr>
        <w:rFonts w:ascii="Arial" w:hAnsi="Arial" w:cs="Arial"/>
        <w:sz w:val="16"/>
        <w:szCs w:val="16"/>
      </w:rPr>
      <w:t>”</w:t>
    </w:r>
    <w:bookmarkEnd w:id="1"/>
    <w:bookmarkEnd w:id="2"/>
  </w:p>
  <w:p w14:paraId="0230D6D7" w14:textId="77777777" w:rsidR="00DD2D75" w:rsidRDefault="00DD2D75" w:rsidP="00180580">
    <w:pPr>
      <w:pStyle w:val="Encabezado"/>
    </w:pPr>
  </w:p>
  <w:p w14:paraId="26AEB546" w14:textId="77777777" w:rsidR="00DD2D75" w:rsidRDefault="00DD2D75" w:rsidP="00180580">
    <w:pPr>
      <w:pStyle w:val="Encabezado"/>
    </w:pPr>
  </w:p>
  <w:p w14:paraId="6FD04D2C" w14:textId="77777777" w:rsidR="00DD2D75" w:rsidRDefault="00DD2D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5010F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2773318"/>
    <w:multiLevelType w:val="multilevel"/>
    <w:tmpl w:val="DEE2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55661B"/>
    <w:multiLevelType w:val="hybridMultilevel"/>
    <w:tmpl w:val="742E9720"/>
    <w:lvl w:ilvl="0" w:tplc="D5603E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A5021A"/>
    <w:multiLevelType w:val="hybridMultilevel"/>
    <w:tmpl w:val="908CBD78"/>
    <w:lvl w:ilvl="0" w:tplc="E94CD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F5F5124"/>
    <w:multiLevelType w:val="hybridMultilevel"/>
    <w:tmpl w:val="55AE7BFC"/>
    <w:lvl w:ilvl="0" w:tplc="4EDCE2E0">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3FCB0F13"/>
    <w:multiLevelType w:val="hybridMultilevel"/>
    <w:tmpl w:val="E382B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36F17CE"/>
    <w:multiLevelType w:val="hybridMultilevel"/>
    <w:tmpl w:val="F626C730"/>
    <w:lvl w:ilvl="0" w:tplc="F28A4060">
      <w:start w:val="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42B3090"/>
    <w:multiLevelType w:val="hybridMultilevel"/>
    <w:tmpl w:val="707262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DB8287B"/>
    <w:multiLevelType w:val="hybridMultilevel"/>
    <w:tmpl w:val="B7802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FAA3703"/>
    <w:multiLevelType w:val="hybridMultilevel"/>
    <w:tmpl w:val="7AB4B2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3"/>
  </w:num>
  <w:num w:numId="5">
    <w:abstractNumId w:val="2"/>
  </w:num>
  <w:num w:numId="6">
    <w:abstractNumId w:val="8"/>
  </w:num>
  <w:num w:numId="7">
    <w:abstractNumId w:val="9"/>
  </w:num>
  <w:num w:numId="8">
    <w:abstractNumId w:val="4"/>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580"/>
    <w:rsid w:val="000132E5"/>
    <w:rsid w:val="00021AD7"/>
    <w:rsid w:val="000377B2"/>
    <w:rsid w:val="0004512E"/>
    <w:rsid w:val="000620EA"/>
    <w:rsid w:val="00084321"/>
    <w:rsid w:val="0008482F"/>
    <w:rsid w:val="000B12F7"/>
    <w:rsid w:val="000C6395"/>
    <w:rsid w:val="000D1F40"/>
    <w:rsid w:val="000D6170"/>
    <w:rsid w:val="000F025F"/>
    <w:rsid w:val="00113ACC"/>
    <w:rsid w:val="00155E0D"/>
    <w:rsid w:val="00180580"/>
    <w:rsid w:val="0018755E"/>
    <w:rsid w:val="001B1BEF"/>
    <w:rsid w:val="001C2837"/>
    <w:rsid w:val="001C7843"/>
    <w:rsid w:val="00267B06"/>
    <w:rsid w:val="00287D11"/>
    <w:rsid w:val="00296BC0"/>
    <w:rsid w:val="002C5C61"/>
    <w:rsid w:val="002F10BF"/>
    <w:rsid w:val="002F1D3D"/>
    <w:rsid w:val="002F7D9F"/>
    <w:rsid w:val="00306A1D"/>
    <w:rsid w:val="00315102"/>
    <w:rsid w:val="00320B13"/>
    <w:rsid w:val="00337E52"/>
    <w:rsid w:val="00352332"/>
    <w:rsid w:val="00393EAA"/>
    <w:rsid w:val="003A38B9"/>
    <w:rsid w:val="003A431D"/>
    <w:rsid w:val="003A4F75"/>
    <w:rsid w:val="003D1BCC"/>
    <w:rsid w:val="003E4002"/>
    <w:rsid w:val="003F1A49"/>
    <w:rsid w:val="004061EC"/>
    <w:rsid w:val="00431CD6"/>
    <w:rsid w:val="00440A1B"/>
    <w:rsid w:val="00483B8E"/>
    <w:rsid w:val="00492589"/>
    <w:rsid w:val="004C37ED"/>
    <w:rsid w:val="004C4ED4"/>
    <w:rsid w:val="004D77F3"/>
    <w:rsid w:val="00510F53"/>
    <w:rsid w:val="00515833"/>
    <w:rsid w:val="00524A05"/>
    <w:rsid w:val="005304CE"/>
    <w:rsid w:val="00541A34"/>
    <w:rsid w:val="00560A8E"/>
    <w:rsid w:val="00591246"/>
    <w:rsid w:val="005921FD"/>
    <w:rsid w:val="005A720F"/>
    <w:rsid w:val="005B458B"/>
    <w:rsid w:val="005C7F68"/>
    <w:rsid w:val="00605B5D"/>
    <w:rsid w:val="00654B5F"/>
    <w:rsid w:val="00664C9C"/>
    <w:rsid w:val="0068569B"/>
    <w:rsid w:val="00690CB6"/>
    <w:rsid w:val="006B2BB7"/>
    <w:rsid w:val="006B7C47"/>
    <w:rsid w:val="0072155C"/>
    <w:rsid w:val="0073499A"/>
    <w:rsid w:val="007D0A6D"/>
    <w:rsid w:val="008007C5"/>
    <w:rsid w:val="00807E8C"/>
    <w:rsid w:val="0083028F"/>
    <w:rsid w:val="008F101D"/>
    <w:rsid w:val="009050E7"/>
    <w:rsid w:val="0091069E"/>
    <w:rsid w:val="00923DE3"/>
    <w:rsid w:val="00943EE9"/>
    <w:rsid w:val="0095503D"/>
    <w:rsid w:val="00966424"/>
    <w:rsid w:val="00974F45"/>
    <w:rsid w:val="009A2C66"/>
    <w:rsid w:val="009A64BB"/>
    <w:rsid w:val="009C5D3B"/>
    <w:rsid w:val="009E02B5"/>
    <w:rsid w:val="00A011B5"/>
    <w:rsid w:val="00A35C80"/>
    <w:rsid w:val="00A42D0A"/>
    <w:rsid w:val="00A458E7"/>
    <w:rsid w:val="00A86779"/>
    <w:rsid w:val="00A86DED"/>
    <w:rsid w:val="00AA2E55"/>
    <w:rsid w:val="00AD712A"/>
    <w:rsid w:val="00AF0B85"/>
    <w:rsid w:val="00B11D22"/>
    <w:rsid w:val="00B2331F"/>
    <w:rsid w:val="00B73C9D"/>
    <w:rsid w:val="00B822CC"/>
    <w:rsid w:val="00B8700A"/>
    <w:rsid w:val="00B96B82"/>
    <w:rsid w:val="00BB7AA5"/>
    <w:rsid w:val="00BF47E6"/>
    <w:rsid w:val="00C312EF"/>
    <w:rsid w:val="00C66446"/>
    <w:rsid w:val="00C72E0A"/>
    <w:rsid w:val="00C73892"/>
    <w:rsid w:val="00C92662"/>
    <w:rsid w:val="00CB1D4D"/>
    <w:rsid w:val="00CC6B3B"/>
    <w:rsid w:val="00CE0D18"/>
    <w:rsid w:val="00D00600"/>
    <w:rsid w:val="00D47445"/>
    <w:rsid w:val="00D52173"/>
    <w:rsid w:val="00D55022"/>
    <w:rsid w:val="00D80244"/>
    <w:rsid w:val="00DD2D75"/>
    <w:rsid w:val="00E5416D"/>
    <w:rsid w:val="00E91FC9"/>
    <w:rsid w:val="00EB0767"/>
    <w:rsid w:val="00ED7141"/>
    <w:rsid w:val="00EF71FB"/>
    <w:rsid w:val="00F44BA7"/>
    <w:rsid w:val="00F65DC6"/>
    <w:rsid w:val="00F83D71"/>
    <w:rsid w:val="00F870C5"/>
    <w:rsid w:val="00F96533"/>
    <w:rsid w:val="00FD0BBE"/>
    <w:rsid w:val="00FE1370"/>
    <w:rsid w:val="00FF7A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5A05"/>
  <w15:chartTrackingRefBased/>
  <w15:docId w15:val="{0B87348C-A4A4-437F-BE0A-C9654575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80580"/>
    <w:pPr>
      <w:spacing w:after="200" w:line="276" w:lineRule="auto"/>
    </w:pPr>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180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80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058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058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058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05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05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05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058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058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18058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058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058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058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058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058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058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0580"/>
    <w:rPr>
      <w:rFonts w:eastAsiaTheme="majorEastAsia" w:cstheme="majorBidi"/>
      <w:color w:val="272727" w:themeColor="text1" w:themeTint="D8"/>
    </w:rPr>
  </w:style>
  <w:style w:type="paragraph" w:styleId="Puesto">
    <w:name w:val="Title"/>
    <w:basedOn w:val="Normal"/>
    <w:next w:val="Normal"/>
    <w:link w:val="PuestoCar"/>
    <w:uiPriority w:val="10"/>
    <w:qFormat/>
    <w:rsid w:val="00180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1805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058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058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0580"/>
    <w:pPr>
      <w:spacing w:before="160"/>
      <w:jc w:val="center"/>
    </w:pPr>
    <w:rPr>
      <w:i/>
      <w:iCs/>
      <w:color w:val="404040" w:themeColor="text1" w:themeTint="BF"/>
    </w:rPr>
  </w:style>
  <w:style w:type="character" w:customStyle="1" w:styleId="CitaCar">
    <w:name w:val="Cita Car"/>
    <w:basedOn w:val="Fuentedeprrafopredeter"/>
    <w:link w:val="Cita"/>
    <w:uiPriority w:val="29"/>
    <w:rsid w:val="00180580"/>
    <w:rPr>
      <w:i/>
      <w:iCs/>
      <w:color w:val="404040" w:themeColor="text1" w:themeTint="BF"/>
    </w:rPr>
  </w:style>
  <w:style w:type="paragraph" w:styleId="Prrafodelista">
    <w:name w:val="List Paragraph"/>
    <w:basedOn w:val="Normal"/>
    <w:uiPriority w:val="34"/>
    <w:qFormat/>
    <w:rsid w:val="00180580"/>
    <w:pPr>
      <w:ind w:left="720"/>
      <w:contextualSpacing/>
    </w:pPr>
  </w:style>
  <w:style w:type="character" w:styleId="nfasisintenso">
    <w:name w:val="Intense Emphasis"/>
    <w:basedOn w:val="Fuentedeprrafopredeter"/>
    <w:uiPriority w:val="21"/>
    <w:qFormat/>
    <w:rsid w:val="00180580"/>
    <w:rPr>
      <w:i/>
      <w:iCs/>
      <w:color w:val="0F4761" w:themeColor="accent1" w:themeShade="BF"/>
    </w:rPr>
  </w:style>
  <w:style w:type="paragraph" w:styleId="Citadestacada">
    <w:name w:val="Intense Quote"/>
    <w:basedOn w:val="Normal"/>
    <w:next w:val="Normal"/>
    <w:link w:val="CitadestacadaCar"/>
    <w:uiPriority w:val="30"/>
    <w:qFormat/>
    <w:rsid w:val="00180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0580"/>
    <w:rPr>
      <w:i/>
      <w:iCs/>
      <w:color w:val="0F4761" w:themeColor="accent1" w:themeShade="BF"/>
    </w:rPr>
  </w:style>
  <w:style w:type="character" w:styleId="Referenciaintensa">
    <w:name w:val="Intense Reference"/>
    <w:basedOn w:val="Fuentedeprrafopredeter"/>
    <w:uiPriority w:val="32"/>
    <w:qFormat/>
    <w:rsid w:val="00180580"/>
    <w:rPr>
      <w:b/>
      <w:bCs/>
      <w:smallCaps/>
      <w:color w:val="0F4761" w:themeColor="accent1" w:themeShade="BF"/>
      <w:spacing w:val="5"/>
    </w:rPr>
  </w:style>
  <w:style w:type="paragraph" w:styleId="Encabezado">
    <w:name w:val="header"/>
    <w:basedOn w:val="Normal"/>
    <w:link w:val="EncabezadoCar"/>
    <w:uiPriority w:val="99"/>
    <w:unhideWhenUsed/>
    <w:rsid w:val="001805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0580"/>
  </w:style>
  <w:style w:type="paragraph" w:styleId="Piedepgina">
    <w:name w:val="footer"/>
    <w:basedOn w:val="Normal"/>
    <w:link w:val="PiedepginaCar"/>
    <w:uiPriority w:val="99"/>
    <w:unhideWhenUsed/>
    <w:rsid w:val="001805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0580"/>
  </w:style>
  <w:style w:type="paragraph" w:styleId="NormalWeb">
    <w:name w:val="Normal (Web)"/>
    <w:basedOn w:val="Normal"/>
    <w:uiPriority w:val="99"/>
    <w:unhideWhenUsed/>
    <w:rsid w:val="00180580"/>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uiPriority w:val="1"/>
    <w:qFormat/>
    <w:rsid w:val="00180580"/>
    <w:pPr>
      <w:spacing w:after="0" w:line="240" w:lineRule="auto"/>
    </w:pPr>
    <w:rPr>
      <w:kern w:val="0"/>
      <w14:ligatures w14:val="none"/>
    </w:rPr>
  </w:style>
  <w:style w:type="character" w:styleId="Hipervnculo">
    <w:name w:val="Hyperlink"/>
    <w:basedOn w:val="Fuentedeprrafopredeter"/>
    <w:uiPriority w:val="99"/>
    <w:unhideWhenUsed/>
    <w:rsid w:val="004D77F3"/>
    <w:rPr>
      <w:color w:val="467886" w:themeColor="hyperlink"/>
      <w:u w:val="single"/>
    </w:rPr>
  </w:style>
  <w:style w:type="character" w:customStyle="1" w:styleId="Mencinsinresolver1">
    <w:name w:val="Mención sin resolver1"/>
    <w:basedOn w:val="Fuentedeprrafopredeter"/>
    <w:uiPriority w:val="99"/>
    <w:semiHidden/>
    <w:unhideWhenUsed/>
    <w:rsid w:val="004D77F3"/>
    <w:rPr>
      <w:color w:val="605E5C"/>
      <w:shd w:val="clear" w:color="auto" w:fill="E1DFDD"/>
    </w:rPr>
  </w:style>
  <w:style w:type="character" w:styleId="nfasis">
    <w:name w:val="Emphasis"/>
    <w:basedOn w:val="Fuentedeprrafopredeter"/>
    <w:uiPriority w:val="20"/>
    <w:qFormat/>
    <w:rsid w:val="00560A8E"/>
    <w:rPr>
      <w:i/>
      <w:iCs/>
    </w:rPr>
  </w:style>
  <w:style w:type="table" w:styleId="Tablaconcuadrcula">
    <w:name w:val="Table Grid"/>
    <w:basedOn w:val="Tablanormal"/>
    <w:uiPriority w:val="59"/>
    <w:rsid w:val="000B12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Fuentedeprrafopredeter"/>
    <w:uiPriority w:val="99"/>
    <w:semiHidden/>
    <w:unhideWhenUsed/>
    <w:rsid w:val="005A720F"/>
    <w:rPr>
      <w:color w:val="605E5C"/>
      <w:shd w:val="clear" w:color="auto" w:fill="E1DFDD"/>
    </w:rPr>
  </w:style>
  <w:style w:type="character" w:styleId="Hipervnculovisitado">
    <w:name w:val="FollowedHyperlink"/>
    <w:basedOn w:val="Fuentedeprrafopredeter"/>
    <w:uiPriority w:val="99"/>
    <w:semiHidden/>
    <w:unhideWhenUsed/>
    <w:rsid w:val="005A720F"/>
    <w:rPr>
      <w:color w:val="96607D" w:themeColor="followedHyperlink"/>
      <w:u w:val="single"/>
    </w:rPr>
  </w:style>
  <w:style w:type="paragraph" w:styleId="Textonotaalfinal">
    <w:name w:val="endnote text"/>
    <w:basedOn w:val="Normal"/>
    <w:link w:val="TextonotaalfinalCar"/>
    <w:uiPriority w:val="99"/>
    <w:semiHidden/>
    <w:unhideWhenUsed/>
    <w:rsid w:val="001C784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C7843"/>
    <w:rPr>
      <w:rFonts w:ascii="Calibri" w:eastAsia="Calibri" w:hAnsi="Calibri" w:cs="Calibri"/>
      <w:kern w:val="0"/>
      <w:sz w:val="20"/>
      <w:szCs w:val="20"/>
      <w:lang w:eastAsia="es-MX"/>
      <w14:ligatures w14:val="none"/>
    </w:rPr>
  </w:style>
  <w:style w:type="character" w:styleId="Refdenotaalfinal">
    <w:name w:val="endnote reference"/>
    <w:basedOn w:val="Fuentedeprrafopredeter"/>
    <w:uiPriority w:val="99"/>
    <w:semiHidden/>
    <w:unhideWhenUsed/>
    <w:rsid w:val="001C7843"/>
    <w:rPr>
      <w:vertAlign w:val="superscript"/>
    </w:rPr>
  </w:style>
  <w:style w:type="paragraph" w:styleId="Textonotapie">
    <w:name w:val="footnote text"/>
    <w:basedOn w:val="Normal"/>
    <w:link w:val="TextonotapieCar"/>
    <w:uiPriority w:val="99"/>
    <w:semiHidden/>
    <w:unhideWhenUsed/>
    <w:rsid w:val="001C784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7843"/>
    <w:rPr>
      <w:rFonts w:ascii="Calibri" w:eastAsia="Calibri" w:hAnsi="Calibri" w:cs="Calibri"/>
      <w:kern w:val="0"/>
      <w:sz w:val="20"/>
      <w:szCs w:val="20"/>
      <w:lang w:eastAsia="es-MX"/>
      <w14:ligatures w14:val="none"/>
    </w:rPr>
  </w:style>
  <w:style w:type="character" w:styleId="Refdenotaalpie">
    <w:name w:val="footnote reference"/>
    <w:basedOn w:val="Fuentedeprrafopredeter"/>
    <w:uiPriority w:val="99"/>
    <w:semiHidden/>
    <w:unhideWhenUsed/>
    <w:rsid w:val="001C7843"/>
    <w:rPr>
      <w:vertAlign w:val="superscript"/>
    </w:rPr>
  </w:style>
  <w:style w:type="paragraph" w:styleId="Bibliografa">
    <w:name w:val="Bibliography"/>
    <w:basedOn w:val="Normal"/>
    <w:next w:val="Normal"/>
    <w:uiPriority w:val="37"/>
    <w:unhideWhenUsed/>
    <w:rsid w:val="003E4002"/>
  </w:style>
  <w:style w:type="paragraph" w:styleId="Listaconvietas">
    <w:name w:val="List Bullet"/>
    <w:basedOn w:val="Normal"/>
    <w:uiPriority w:val="99"/>
    <w:unhideWhenUsed/>
    <w:rsid w:val="00483B8E"/>
    <w:pPr>
      <w:numPr>
        <w:numId w:val="10"/>
      </w:numPr>
      <w:contextualSpacing/>
    </w:pPr>
    <w:rPr>
      <w:rFonts w:ascii="Arial" w:eastAsiaTheme="minorEastAsia" w:hAnsi="Arial"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13016">
      <w:bodyDiv w:val="1"/>
      <w:marLeft w:val="0"/>
      <w:marRight w:val="0"/>
      <w:marTop w:val="0"/>
      <w:marBottom w:val="0"/>
      <w:divBdr>
        <w:top w:val="none" w:sz="0" w:space="0" w:color="auto"/>
        <w:left w:val="none" w:sz="0" w:space="0" w:color="auto"/>
        <w:bottom w:val="none" w:sz="0" w:space="0" w:color="auto"/>
        <w:right w:val="none" w:sz="0" w:space="0" w:color="auto"/>
      </w:divBdr>
    </w:div>
    <w:div w:id="138888995">
      <w:bodyDiv w:val="1"/>
      <w:marLeft w:val="0"/>
      <w:marRight w:val="0"/>
      <w:marTop w:val="0"/>
      <w:marBottom w:val="0"/>
      <w:divBdr>
        <w:top w:val="none" w:sz="0" w:space="0" w:color="auto"/>
        <w:left w:val="none" w:sz="0" w:space="0" w:color="auto"/>
        <w:bottom w:val="none" w:sz="0" w:space="0" w:color="auto"/>
        <w:right w:val="none" w:sz="0" w:space="0" w:color="auto"/>
      </w:divBdr>
    </w:div>
    <w:div w:id="457601559">
      <w:bodyDiv w:val="1"/>
      <w:marLeft w:val="0"/>
      <w:marRight w:val="0"/>
      <w:marTop w:val="0"/>
      <w:marBottom w:val="0"/>
      <w:divBdr>
        <w:top w:val="none" w:sz="0" w:space="0" w:color="auto"/>
        <w:left w:val="none" w:sz="0" w:space="0" w:color="auto"/>
        <w:bottom w:val="none" w:sz="0" w:space="0" w:color="auto"/>
        <w:right w:val="none" w:sz="0" w:space="0" w:color="auto"/>
      </w:divBdr>
    </w:div>
    <w:div w:id="745104897">
      <w:bodyDiv w:val="1"/>
      <w:marLeft w:val="0"/>
      <w:marRight w:val="0"/>
      <w:marTop w:val="0"/>
      <w:marBottom w:val="0"/>
      <w:divBdr>
        <w:top w:val="none" w:sz="0" w:space="0" w:color="auto"/>
        <w:left w:val="none" w:sz="0" w:space="0" w:color="auto"/>
        <w:bottom w:val="none" w:sz="0" w:space="0" w:color="auto"/>
        <w:right w:val="none" w:sz="0" w:space="0" w:color="auto"/>
      </w:divBdr>
    </w:div>
    <w:div w:id="812453937">
      <w:bodyDiv w:val="1"/>
      <w:marLeft w:val="0"/>
      <w:marRight w:val="0"/>
      <w:marTop w:val="0"/>
      <w:marBottom w:val="0"/>
      <w:divBdr>
        <w:top w:val="none" w:sz="0" w:space="0" w:color="auto"/>
        <w:left w:val="none" w:sz="0" w:space="0" w:color="auto"/>
        <w:bottom w:val="none" w:sz="0" w:space="0" w:color="auto"/>
        <w:right w:val="none" w:sz="0" w:space="0" w:color="auto"/>
      </w:divBdr>
    </w:div>
    <w:div w:id="847914675">
      <w:bodyDiv w:val="1"/>
      <w:marLeft w:val="0"/>
      <w:marRight w:val="0"/>
      <w:marTop w:val="0"/>
      <w:marBottom w:val="0"/>
      <w:divBdr>
        <w:top w:val="none" w:sz="0" w:space="0" w:color="auto"/>
        <w:left w:val="none" w:sz="0" w:space="0" w:color="auto"/>
        <w:bottom w:val="none" w:sz="0" w:space="0" w:color="auto"/>
        <w:right w:val="none" w:sz="0" w:space="0" w:color="auto"/>
      </w:divBdr>
    </w:div>
    <w:div w:id="987712213">
      <w:bodyDiv w:val="1"/>
      <w:marLeft w:val="0"/>
      <w:marRight w:val="0"/>
      <w:marTop w:val="0"/>
      <w:marBottom w:val="0"/>
      <w:divBdr>
        <w:top w:val="none" w:sz="0" w:space="0" w:color="auto"/>
        <w:left w:val="none" w:sz="0" w:space="0" w:color="auto"/>
        <w:bottom w:val="none" w:sz="0" w:space="0" w:color="auto"/>
        <w:right w:val="none" w:sz="0" w:space="0" w:color="auto"/>
      </w:divBdr>
    </w:div>
    <w:div w:id="1015762986">
      <w:bodyDiv w:val="1"/>
      <w:marLeft w:val="0"/>
      <w:marRight w:val="0"/>
      <w:marTop w:val="0"/>
      <w:marBottom w:val="0"/>
      <w:divBdr>
        <w:top w:val="none" w:sz="0" w:space="0" w:color="auto"/>
        <w:left w:val="none" w:sz="0" w:space="0" w:color="auto"/>
        <w:bottom w:val="none" w:sz="0" w:space="0" w:color="auto"/>
        <w:right w:val="none" w:sz="0" w:space="0" w:color="auto"/>
      </w:divBdr>
    </w:div>
    <w:div w:id="1057320204">
      <w:bodyDiv w:val="1"/>
      <w:marLeft w:val="0"/>
      <w:marRight w:val="0"/>
      <w:marTop w:val="0"/>
      <w:marBottom w:val="0"/>
      <w:divBdr>
        <w:top w:val="none" w:sz="0" w:space="0" w:color="auto"/>
        <w:left w:val="none" w:sz="0" w:space="0" w:color="auto"/>
        <w:bottom w:val="none" w:sz="0" w:space="0" w:color="auto"/>
        <w:right w:val="none" w:sz="0" w:space="0" w:color="auto"/>
      </w:divBdr>
    </w:div>
    <w:div w:id="1059091795">
      <w:bodyDiv w:val="1"/>
      <w:marLeft w:val="0"/>
      <w:marRight w:val="0"/>
      <w:marTop w:val="0"/>
      <w:marBottom w:val="0"/>
      <w:divBdr>
        <w:top w:val="none" w:sz="0" w:space="0" w:color="auto"/>
        <w:left w:val="none" w:sz="0" w:space="0" w:color="auto"/>
        <w:bottom w:val="none" w:sz="0" w:space="0" w:color="auto"/>
        <w:right w:val="none" w:sz="0" w:space="0" w:color="auto"/>
      </w:divBdr>
    </w:div>
    <w:div w:id="1109739982">
      <w:bodyDiv w:val="1"/>
      <w:marLeft w:val="0"/>
      <w:marRight w:val="0"/>
      <w:marTop w:val="0"/>
      <w:marBottom w:val="0"/>
      <w:divBdr>
        <w:top w:val="none" w:sz="0" w:space="0" w:color="auto"/>
        <w:left w:val="none" w:sz="0" w:space="0" w:color="auto"/>
        <w:bottom w:val="none" w:sz="0" w:space="0" w:color="auto"/>
        <w:right w:val="none" w:sz="0" w:space="0" w:color="auto"/>
      </w:divBdr>
    </w:div>
    <w:div w:id="1171916989">
      <w:bodyDiv w:val="1"/>
      <w:marLeft w:val="0"/>
      <w:marRight w:val="0"/>
      <w:marTop w:val="0"/>
      <w:marBottom w:val="0"/>
      <w:divBdr>
        <w:top w:val="none" w:sz="0" w:space="0" w:color="auto"/>
        <w:left w:val="none" w:sz="0" w:space="0" w:color="auto"/>
        <w:bottom w:val="none" w:sz="0" w:space="0" w:color="auto"/>
        <w:right w:val="none" w:sz="0" w:space="0" w:color="auto"/>
      </w:divBdr>
    </w:div>
    <w:div w:id="1332876280">
      <w:bodyDiv w:val="1"/>
      <w:marLeft w:val="0"/>
      <w:marRight w:val="0"/>
      <w:marTop w:val="0"/>
      <w:marBottom w:val="0"/>
      <w:divBdr>
        <w:top w:val="none" w:sz="0" w:space="0" w:color="auto"/>
        <w:left w:val="none" w:sz="0" w:space="0" w:color="auto"/>
        <w:bottom w:val="none" w:sz="0" w:space="0" w:color="auto"/>
        <w:right w:val="none" w:sz="0" w:space="0" w:color="auto"/>
      </w:divBdr>
    </w:div>
    <w:div w:id="1372730616">
      <w:bodyDiv w:val="1"/>
      <w:marLeft w:val="0"/>
      <w:marRight w:val="0"/>
      <w:marTop w:val="0"/>
      <w:marBottom w:val="0"/>
      <w:divBdr>
        <w:top w:val="none" w:sz="0" w:space="0" w:color="auto"/>
        <w:left w:val="none" w:sz="0" w:space="0" w:color="auto"/>
        <w:bottom w:val="none" w:sz="0" w:space="0" w:color="auto"/>
        <w:right w:val="none" w:sz="0" w:space="0" w:color="auto"/>
      </w:divBdr>
    </w:div>
    <w:div w:id="1406101509">
      <w:bodyDiv w:val="1"/>
      <w:marLeft w:val="0"/>
      <w:marRight w:val="0"/>
      <w:marTop w:val="0"/>
      <w:marBottom w:val="0"/>
      <w:divBdr>
        <w:top w:val="none" w:sz="0" w:space="0" w:color="auto"/>
        <w:left w:val="none" w:sz="0" w:space="0" w:color="auto"/>
        <w:bottom w:val="none" w:sz="0" w:space="0" w:color="auto"/>
        <w:right w:val="none" w:sz="0" w:space="0" w:color="auto"/>
      </w:divBdr>
    </w:div>
    <w:div w:id="1535539100">
      <w:bodyDiv w:val="1"/>
      <w:marLeft w:val="0"/>
      <w:marRight w:val="0"/>
      <w:marTop w:val="0"/>
      <w:marBottom w:val="0"/>
      <w:divBdr>
        <w:top w:val="none" w:sz="0" w:space="0" w:color="auto"/>
        <w:left w:val="none" w:sz="0" w:space="0" w:color="auto"/>
        <w:bottom w:val="none" w:sz="0" w:space="0" w:color="auto"/>
        <w:right w:val="none" w:sz="0" w:space="0" w:color="auto"/>
      </w:divBdr>
    </w:div>
    <w:div w:id="1620452132">
      <w:bodyDiv w:val="1"/>
      <w:marLeft w:val="0"/>
      <w:marRight w:val="0"/>
      <w:marTop w:val="0"/>
      <w:marBottom w:val="0"/>
      <w:divBdr>
        <w:top w:val="none" w:sz="0" w:space="0" w:color="auto"/>
        <w:left w:val="none" w:sz="0" w:space="0" w:color="auto"/>
        <w:bottom w:val="none" w:sz="0" w:space="0" w:color="auto"/>
        <w:right w:val="none" w:sz="0" w:space="0" w:color="auto"/>
      </w:divBdr>
    </w:div>
    <w:div w:id="1794203038">
      <w:bodyDiv w:val="1"/>
      <w:marLeft w:val="0"/>
      <w:marRight w:val="0"/>
      <w:marTop w:val="0"/>
      <w:marBottom w:val="0"/>
      <w:divBdr>
        <w:top w:val="none" w:sz="0" w:space="0" w:color="auto"/>
        <w:left w:val="none" w:sz="0" w:space="0" w:color="auto"/>
        <w:bottom w:val="none" w:sz="0" w:space="0" w:color="auto"/>
        <w:right w:val="none" w:sz="0" w:space="0" w:color="auto"/>
      </w:divBdr>
    </w:div>
    <w:div w:id="1811096894">
      <w:bodyDiv w:val="1"/>
      <w:marLeft w:val="0"/>
      <w:marRight w:val="0"/>
      <w:marTop w:val="0"/>
      <w:marBottom w:val="0"/>
      <w:divBdr>
        <w:top w:val="none" w:sz="0" w:space="0" w:color="auto"/>
        <w:left w:val="none" w:sz="0" w:space="0" w:color="auto"/>
        <w:bottom w:val="none" w:sz="0" w:space="0" w:color="auto"/>
        <w:right w:val="none" w:sz="0" w:space="0" w:color="auto"/>
      </w:divBdr>
    </w:div>
    <w:div w:id="1921790126">
      <w:bodyDiv w:val="1"/>
      <w:marLeft w:val="0"/>
      <w:marRight w:val="0"/>
      <w:marTop w:val="0"/>
      <w:marBottom w:val="0"/>
      <w:divBdr>
        <w:top w:val="none" w:sz="0" w:space="0" w:color="auto"/>
        <w:left w:val="none" w:sz="0" w:space="0" w:color="auto"/>
        <w:bottom w:val="none" w:sz="0" w:space="0" w:color="auto"/>
        <w:right w:val="none" w:sz="0" w:space="0" w:color="auto"/>
      </w:divBdr>
    </w:div>
    <w:div w:id="201282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INE25</b:Tag>
    <b:SourceType>InternetSite</b:SourceType>
    <b:Guid>{30A4BA43-0AE4-494B-8BCF-2D27FDFBECB1}</b:Guid>
    <b:Title>CENSOS ECONOMICOS 2024</b:Title>
    <b:Year>2025</b:Year>
    <b:Author>
      <b:Author>
        <b:Corporate>INEGI</b:Corporate>
      </b:Author>
    </b:Author>
    <b:InternetSiteTitle>Establecimientos y Personal ocupado total según año de inicio de operaciones, método de captación y tipo de propiedad</b:InternetSiteTitle>
    <b:URL>https://www.inegi.org.mx/programas/ce/2024/</b:URL>
    <b:Month>FEBRERO</b:Month>
    <b:Day>11</b:Day>
    <b:RefOrder>1</b:RefOrder>
  </b:Source>
  <b:Source>
    <b:Tag>ELI26</b:Tag>
    <b:SourceType>InternetSite</b:SourceType>
    <b:Guid>{AAB6265C-4833-C643-ADB5-5C6F5975CFF6}</b:Guid>
    <b:Title>EL IMPUESTO PREDIAL ESTÁ DESAPROVECHADO EN MÉXICO</b:Title>
    <b:InternetSiteTitle>CENTRO DE INVESTIGACION EN POLITICA PUBLICA</b:InternetSiteTitle>
    <b:URL>https://imco.org.mx/el-impuesto-predial-esta-desaprovechado-en-mexico/</b:URL>
    <b:Year>2026</b:Year>
    <b:Month>FEBRERO</b:Month>
    <b:Day>11</b:Day>
    <b:RefOrder>2</b:RefOrder>
  </b:Source>
  <b:Source>
    <b:Tag>SEC26</b:Tag>
    <b:SourceType>InternetSite</b:SourceType>
    <b:Guid>{A7161A13-6D3D-7345-8AFC-F3998431AD9B}</b:Guid>
    <b:Author>
      <b:Author>
        <b:Corporate>SECRETARIA DE ECONOMIA</b:Corporate>
      </b:Author>
    </b:Author>
    <b:URL>https://www.gob.mx/se</b:URL>
    <b:Year>2026</b:Year>
    <b:Month>FEBRERO</b:Month>
    <b:Day>11</b:Day>
    <b:RefOrder>3</b:RefOrder>
  </b:Source>
  <b:Source>
    <b:Tag>CON26</b:Tag>
    <b:SourceType>InternetSite</b:SourceType>
    <b:Guid>{B3A297EA-CA86-074A-BFD3-AEC43A888047}</b:Guid>
    <b:Author>
      <b:Author>
        <b:Corporate> CONCANACO</b:Corporate>
      </b:Author>
    </b:Author>
    <b:Title>CONCANACO SERVYTUR</b:Title>
    <b:URL>https://www.concanaco.org</b:URL>
    <b:Year>2026</b:Year>
    <b:Month>FEBRERO</b:Month>
    <b:Day>11</b:Day>
    <b:RefOrder>4</b:RefOrder>
  </b:Source>
</b:Sources>
</file>

<file path=customXml/itemProps1.xml><?xml version="1.0" encoding="utf-8"?>
<ds:datastoreItem xmlns:ds="http://schemas.openxmlformats.org/officeDocument/2006/customXml" ds:itemID="{627AE2C2-28AA-45CF-8FFE-32F552F0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1299</Words>
  <Characters>7150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FREDY YAEL BEDOLLA RIVERA</dc:creator>
  <cp:keywords/>
  <dc:description/>
  <cp:lastModifiedBy>Cuenta Microsoft</cp:lastModifiedBy>
  <cp:revision>3</cp:revision>
  <cp:lastPrinted>2025-09-03T06:00:00Z</cp:lastPrinted>
  <dcterms:created xsi:type="dcterms:W3CDTF">2026-10-18T19:06:00Z</dcterms:created>
  <dcterms:modified xsi:type="dcterms:W3CDTF">2026-10-18T19:08:00Z</dcterms:modified>
</cp:coreProperties>
</file>