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A838D" w14:textId="5F559221" w:rsidR="003B6409" w:rsidRDefault="00637353">
      <w:pPr>
        <w:spacing w:line="360" w:lineRule="auto"/>
        <w:jc w:val="right"/>
        <w:rPr>
          <w:rFonts w:ascii="Arial" w:eastAsia="Arial" w:hAnsi="Arial" w:cs="Arial"/>
          <w:sz w:val="24"/>
          <w:szCs w:val="24"/>
          <w:u w:val="single"/>
        </w:rPr>
      </w:pPr>
      <w:bookmarkStart w:id="0" w:name="_GoBack"/>
      <w:bookmarkEnd w:id="0"/>
      <w:r>
        <w:rPr>
          <w:rFonts w:ascii="Arial" w:eastAsia="Arial" w:hAnsi="Arial" w:cs="Arial"/>
          <w:sz w:val="24"/>
          <w:szCs w:val="24"/>
        </w:rPr>
        <w:t xml:space="preserve">Toluca de Lerdo, México, a  </w:t>
      </w:r>
      <w:r w:rsidR="00CD53B8">
        <w:rPr>
          <w:rFonts w:ascii="Arial" w:eastAsia="Arial" w:hAnsi="Arial" w:cs="Arial"/>
          <w:sz w:val="24"/>
          <w:szCs w:val="24"/>
        </w:rPr>
        <w:t xml:space="preserve">28 </w:t>
      </w:r>
      <w:r>
        <w:rPr>
          <w:rFonts w:ascii="Arial" w:eastAsia="Arial" w:hAnsi="Arial" w:cs="Arial"/>
          <w:sz w:val="24"/>
          <w:szCs w:val="24"/>
        </w:rPr>
        <w:t>de Febrero de 2023.</w:t>
      </w:r>
    </w:p>
    <w:p w14:paraId="67F59B0D" w14:textId="77777777" w:rsidR="003B6409" w:rsidRDefault="003B6409">
      <w:pPr>
        <w:tabs>
          <w:tab w:val="left" w:pos="1740"/>
        </w:tabs>
        <w:spacing w:after="0" w:line="360" w:lineRule="auto"/>
        <w:jc w:val="both"/>
        <w:rPr>
          <w:rFonts w:ascii="Arial" w:eastAsia="Arial" w:hAnsi="Arial" w:cs="Arial"/>
          <w:b/>
          <w:sz w:val="32"/>
          <w:szCs w:val="32"/>
        </w:rPr>
      </w:pPr>
    </w:p>
    <w:p w14:paraId="544A31F7" w14:textId="77777777" w:rsidR="003B6409" w:rsidRDefault="00637353">
      <w:pPr>
        <w:tabs>
          <w:tab w:val="left" w:pos="1740"/>
        </w:tabs>
        <w:spacing w:after="0" w:line="240" w:lineRule="auto"/>
        <w:jc w:val="both"/>
        <w:rPr>
          <w:rFonts w:ascii="Arial" w:eastAsia="Arial" w:hAnsi="Arial" w:cs="Arial"/>
          <w:b/>
          <w:sz w:val="28"/>
          <w:szCs w:val="28"/>
        </w:rPr>
      </w:pPr>
      <w:r>
        <w:rPr>
          <w:rFonts w:ascii="Arial" w:eastAsia="Arial" w:hAnsi="Arial" w:cs="Arial"/>
          <w:b/>
          <w:sz w:val="28"/>
          <w:szCs w:val="28"/>
        </w:rPr>
        <w:t>DIPUTADO MARCO ANTONIO CRUZ CRUZ</w:t>
      </w:r>
    </w:p>
    <w:p w14:paraId="3D6BAE51" w14:textId="77777777" w:rsidR="003B6409" w:rsidRDefault="00637353">
      <w:pPr>
        <w:tabs>
          <w:tab w:val="left" w:pos="1740"/>
        </w:tabs>
        <w:spacing w:after="0" w:line="240" w:lineRule="auto"/>
        <w:jc w:val="both"/>
        <w:rPr>
          <w:rFonts w:ascii="Arial" w:eastAsia="Arial" w:hAnsi="Arial" w:cs="Arial"/>
          <w:b/>
          <w:sz w:val="28"/>
          <w:szCs w:val="28"/>
        </w:rPr>
      </w:pPr>
      <w:r>
        <w:rPr>
          <w:rFonts w:ascii="Arial" w:eastAsia="Arial" w:hAnsi="Arial" w:cs="Arial"/>
          <w:b/>
          <w:sz w:val="28"/>
          <w:szCs w:val="28"/>
        </w:rPr>
        <w:t xml:space="preserve">PRESIDENTE DE LA DIRECTIVA DE LA LXI LEGISLATURA </w:t>
      </w:r>
    </w:p>
    <w:p w14:paraId="670B2E3E" w14:textId="77777777" w:rsidR="003B6409" w:rsidRDefault="00637353">
      <w:pPr>
        <w:tabs>
          <w:tab w:val="left" w:pos="1740"/>
        </w:tabs>
        <w:spacing w:after="0" w:line="240" w:lineRule="auto"/>
        <w:jc w:val="both"/>
        <w:rPr>
          <w:rFonts w:ascii="Arial" w:eastAsia="Arial" w:hAnsi="Arial" w:cs="Arial"/>
          <w:b/>
          <w:sz w:val="28"/>
          <w:szCs w:val="28"/>
        </w:rPr>
      </w:pPr>
      <w:r>
        <w:rPr>
          <w:rFonts w:ascii="Arial" w:eastAsia="Arial" w:hAnsi="Arial" w:cs="Arial"/>
          <w:b/>
          <w:sz w:val="28"/>
          <w:szCs w:val="28"/>
        </w:rPr>
        <w:t>DEL ESTADO LIBRE Y SOBERANO DE MÉXICO</w:t>
      </w:r>
    </w:p>
    <w:p w14:paraId="32F9F20A" w14:textId="77777777" w:rsidR="003B6409" w:rsidRDefault="00637353">
      <w:pPr>
        <w:tabs>
          <w:tab w:val="left" w:pos="1740"/>
        </w:tabs>
        <w:spacing w:after="0" w:line="240" w:lineRule="auto"/>
        <w:jc w:val="both"/>
        <w:rPr>
          <w:rFonts w:ascii="Arial" w:eastAsia="Arial" w:hAnsi="Arial" w:cs="Arial"/>
          <w:b/>
          <w:sz w:val="28"/>
          <w:szCs w:val="28"/>
        </w:rPr>
      </w:pPr>
      <w:r>
        <w:rPr>
          <w:rFonts w:ascii="Arial" w:eastAsia="Arial" w:hAnsi="Arial" w:cs="Arial"/>
          <w:b/>
          <w:sz w:val="28"/>
          <w:szCs w:val="28"/>
        </w:rPr>
        <w:t xml:space="preserve">PRESENTE </w:t>
      </w:r>
    </w:p>
    <w:p w14:paraId="39C74A97" w14:textId="77777777" w:rsidR="003B6409" w:rsidRDefault="003B6409">
      <w:pPr>
        <w:tabs>
          <w:tab w:val="left" w:pos="1740"/>
        </w:tabs>
        <w:spacing w:after="0" w:line="240" w:lineRule="auto"/>
        <w:jc w:val="both"/>
        <w:rPr>
          <w:rFonts w:ascii="Arial" w:eastAsia="Arial" w:hAnsi="Arial" w:cs="Arial"/>
          <w:b/>
          <w:sz w:val="32"/>
          <w:szCs w:val="32"/>
        </w:rPr>
      </w:pPr>
    </w:p>
    <w:p w14:paraId="2D855E58" w14:textId="5AECD43C" w:rsidR="003B6409" w:rsidRDefault="00637353">
      <w:pPr>
        <w:spacing w:line="240" w:lineRule="auto"/>
        <w:jc w:val="both"/>
        <w:rPr>
          <w:color w:val="000000"/>
          <w:sz w:val="28"/>
          <w:szCs w:val="28"/>
        </w:rPr>
      </w:pPr>
      <w:r>
        <w:rPr>
          <w:sz w:val="28"/>
          <w:szCs w:val="28"/>
        </w:rPr>
        <w:t xml:space="preserve">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Poder Legislativo del Estado Libre y Soberano de México, quien suscribe, Silvia Barberena Maldonado a nombre del Grupo Parlamentario del Partido del Trabajo; me permito presentar </w:t>
      </w:r>
      <w:r>
        <w:rPr>
          <w:b/>
          <w:color w:val="222222"/>
          <w:sz w:val="28"/>
          <w:szCs w:val="28"/>
          <w:highlight w:val="white"/>
        </w:rPr>
        <w:t>PUNTO DE ACUERDO DE URGENTE Y OBVIA RESOLUCIÓN PARA EXHORTAR DE MANERA RESPETUOSA</w:t>
      </w:r>
      <w:r>
        <w:rPr>
          <w:b/>
          <w:color w:val="222222"/>
          <w:sz w:val="28"/>
          <w:szCs w:val="28"/>
        </w:rPr>
        <w:t xml:space="preserve">  A LAS SECRETARÍAS DE FINANZAS Y DE DESARROLLO URBANO Y OBRA DEL GOBIERNO DEL ESTADO DE MÉXICO A QUE EN EL MARCO DE SUS ATRIBUCIONES IMPLEMENTE</w:t>
      </w:r>
      <w:r w:rsidR="00CD53B8">
        <w:rPr>
          <w:b/>
          <w:color w:val="222222"/>
          <w:sz w:val="28"/>
          <w:szCs w:val="28"/>
        </w:rPr>
        <w:t>N</w:t>
      </w:r>
      <w:r>
        <w:rPr>
          <w:b/>
          <w:color w:val="222222"/>
          <w:sz w:val="28"/>
          <w:szCs w:val="28"/>
        </w:rPr>
        <w:t xml:space="preserve"> UN FONDO FINANCIERO PARA LA ACTUALIZACIÓN O CREACIÓN DE LOS PLANES MUNCIPALES DE DE</w:t>
      </w:r>
      <w:r w:rsidR="00F4707B">
        <w:rPr>
          <w:b/>
          <w:color w:val="222222"/>
          <w:sz w:val="28"/>
          <w:szCs w:val="28"/>
        </w:rPr>
        <w:t>S</w:t>
      </w:r>
      <w:r>
        <w:rPr>
          <w:b/>
          <w:color w:val="222222"/>
          <w:sz w:val="28"/>
          <w:szCs w:val="28"/>
        </w:rPr>
        <w:t xml:space="preserve">ARROLLO URBANO, </w:t>
      </w:r>
      <w:r>
        <w:rPr>
          <w:color w:val="222222"/>
          <w:sz w:val="28"/>
          <w:szCs w:val="28"/>
          <w:highlight w:val="white"/>
        </w:rPr>
        <w:t xml:space="preserve"> </w:t>
      </w:r>
      <w:r>
        <w:rPr>
          <w:color w:val="000000"/>
          <w:sz w:val="28"/>
          <w:szCs w:val="28"/>
        </w:rPr>
        <w:t>con sustento en la siguiente:</w:t>
      </w:r>
    </w:p>
    <w:p w14:paraId="7081277D" w14:textId="77777777" w:rsidR="003B6409" w:rsidRDefault="003B6409">
      <w:pPr>
        <w:tabs>
          <w:tab w:val="left" w:pos="1740"/>
        </w:tabs>
        <w:spacing w:after="0" w:line="360" w:lineRule="auto"/>
        <w:jc w:val="both"/>
        <w:rPr>
          <w:rFonts w:ascii="Arial" w:eastAsia="Arial" w:hAnsi="Arial" w:cs="Arial"/>
          <w:b/>
          <w:sz w:val="32"/>
          <w:szCs w:val="32"/>
        </w:rPr>
      </w:pPr>
    </w:p>
    <w:p w14:paraId="25D4D83A" w14:textId="77777777" w:rsidR="003B6409" w:rsidRDefault="00637353">
      <w:pPr>
        <w:spacing w:line="276" w:lineRule="auto"/>
        <w:jc w:val="center"/>
        <w:rPr>
          <w:b/>
          <w:sz w:val="32"/>
          <w:szCs w:val="32"/>
        </w:rPr>
      </w:pPr>
      <w:r>
        <w:rPr>
          <w:b/>
          <w:sz w:val="32"/>
          <w:szCs w:val="32"/>
        </w:rPr>
        <w:t>EXPOSICIÓN DE MOTIVOS</w:t>
      </w:r>
    </w:p>
    <w:p w14:paraId="7177FF9C" w14:textId="77777777" w:rsidR="003B6409" w:rsidRDefault="00637353">
      <w:pPr>
        <w:pBdr>
          <w:top w:val="nil"/>
          <w:left w:val="nil"/>
          <w:bottom w:val="nil"/>
          <w:right w:val="nil"/>
          <w:between w:val="nil"/>
        </w:pBdr>
        <w:shd w:val="clear" w:color="auto" w:fill="FFFFFF"/>
        <w:spacing w:after="0" w:line="360" w:lineRule="auto"/>
        <w:jc w:val="both"/>
        <w:rPr>
          <w:rFonts w:ascii="Arial" w:eastAsia="Arial" w:hAnsi="Arial" w:cs="Arial"/>
          <w:color w:val="242424"/>
          <w:sz w:val="24"/>
          <w:szCs w:val="24"/>
        </w:rPr>
      </w:pPr>
      <w:r>
        <w:rPr>
          <w:rFonts w:ascii="Arial" w:eastAsia="Arial" w:hAnsi="Arial" w:cs="Arial"/>
          <w:color w:val="242424"/>
          <w:sz w:val="24"/>
          <w:szCs w:val="24"/>
        </w:rPr>
        <w:t xml:space="preserve">Actualmente las sociedades en sus entes de Gobierno tienen  que velar por una planeación de Largo Plazo que requiere de innovación para atender y solucionar problemas públicos mediante instrumentos, herramientas, y tecnologías distintas a las que tradicionalmente se han empleado; aunado a la generación de alianzas entre múltiples sectores y órdenes de gobierno que persiguen el supuesto de lograr  el bienestar de la ciudadanía. </w:t>
      </w:r>
    </w:p>
    <w:p w14:paraId="2395FC02" w14:textId="77777777" w:rsidR="003B6409" w:rsidRDefault="003B6409">
      <w:pPr>
        <w:pBdr>
          <w:top w:val="nil"/>
          <w:left w:val="nil"/>
          <w:bottom w:val="nil"/>
          <w:right w:val="nil"/>
          <w:between w:val="nil"/>
        </w:pBdr>
        <w:shd w:val="clear" w:color="auto" w:fill="FFFFFF"/>
        <w:spacing w:after="0" w:line="360" w:lineRule="auto"/>
        <w:jc w:val="both"/>
        <w:rPr>
          <w:rFonts w:ascii="Arial" w:eastAsia="Arial" w:hAnsi="Arial" w:cs="Arial"/>
          <w:color w:val="242424"/>
          <w:sz w:val="24"/>
          <w:szCs w:val="24"/>
        </w:rPr>
      </w:pPr>
    </w:p>
    <w:p w14:paraId="4BF1A7C7" w14:textId="77777777" w:rsidR="003B6409" w:rsidRDefault="003B6409">
      <w:pPr>
        <w:pBdr>
          <w:top w:val="nil"/>
          <w:left w:val="nil"/>
          <w:bottom w:val="nil"/>
          <w:right w:val="nil"/>
          <w:between w:val="nil"/>
        </w:pBdr>
        <w:shd w:val="clear" w:color="auto" w:fill="FFFFFF"/>
        <w:spacing w:after="0" w:line="360" w:lineRule="auto"/>
        <w:jc w:val="both"/>
        <w:rPr>
          <w:rFonts w:ascii="Arial" w:eastAsia="Arial" w:hAnsi="Arial" w:cs="Arial"/>
          <w:color w:val="242424"/>
          <w:sz w:val="24"/>
          <w:szCs w:val="24"/>
        </w:rPr>
      </w:pPr>
    </w:p>
    <w:p w14:paraId="10BE48F9" w14:textId="01F5A0E7" w:rsidR="003B6409" w:rsidRDefault="00637353">
      <w:pPr>
        <w:spacing w:line="360" w:lineRule="auto"/>
        <w:jc w:val="both"/>
        <w:rPr>
          <w:rFonts w:ascii="Arial" w:eastAsia="Arial" w:hAnsi="Arial" w:cs="Arial"/>
          <w:sz w:val="24"/>
          <w:szCs w:val="24"/>
        </w:rPr>
      </w:pPr>
      <w:r>
        <w:rPr>
          <w:rFonts w:ascii="Arial" w:eastAsia="Arial" w:hAnsi="Arial" w:cs="Arial"/>
          <w:sz w:val="24"/>
          <w:szCs w:val="24"/>
        </w:rPr>
        <w:lastRenderedPageBreak/>
        <w:t>En es</w:t>
      </w:r>
      <w:r w:rsidR="00AF53B8">
        <w:rPr>
          <w:rFonts w:ascii="Arial" w:eastAsia="Arial" w:hAnsi="Arial" w:cs="Arial"/>
          <w:sz w:val="24"/>
          <w:szCs w:val="24"/>
        </w:rPr>
        <w:t>t</w:t>
      </w:r>
      <w:r>
        <w:rPr>
          <w:rFonts w:ascii="Arial" w:eastAsia="Arial" w:hAnsi="Arial" w:cs="Arial"/>
          <w:sz w:val="24"/>
          <w:szCs w:val="24"/>
        </w:rPr>
        <w:t>e sentido en nuestra entidad se cuenta con la Secretaría de Desarrollo Urbano y Obra, la cual entre algunas de sus atribuciones contempla la de  regular, evaluar y vigilar la planeación integral de los asentamientos humanos, privilegiando el ordenamiento territorial en función de la capacidad de la infraestructura, especialmente, ante la creación de comunidades sostenibles y asequibles que necesitan realizarse de forma transversal con una adecuada planeación, para que los desarrollos urbanos cuenten con el abasto suficiente para sostener a las personas que los habitarán, pues todo desarrollo urbano debe contar con infraestructura necesaria para soportar la carga y el impacto que tendrán las actividades humanas, productivas, de traslado e incluso de esparcimiento.</w:t>
      </w:r>
    </w:p>
    <w:p w14:paraId="6F023D77" w14:textId="58343689" w:rsidR="003B6409" w:rsidRDefault="00637353">
      <w:pPr>
        <w:spacing w:line="360" w:lineRule="auto"/>
        <w:jc w:val="both"/>
        <w:rPr>
          <w:rFonts w:ascii="Arial" w:eastAsia="Arial" w:hAnsi="Arial" w:cs="Arial"/>
          <w:sz w:val="24"/>
          <w:szCs w:val="24"/>
        </w:rPr>
      </w:pPr>
      <w:r>
        <w:rPr>
          <w:rFonts w:ascii="Arial" w:eastAsia="Arial" w:hAnsi="Arial" w:cs="Arial"/>
          <w:sz w:val="24"/>
          <w:szCs w:val="24"/>
        </w:rPr>
        <w:t xml:space="preserve">En ese sentido </w:t>
      </w:r>
      <w:r>
        <w:rPr>
          <w:rFonts w:ascii="Arial" w:eastAsia="Arial" w:hAnsi="Arial" w:cs="Arial"/>
          <w:sz w:val="24"/>
          <w:szCs w:val="24"/>
          <w:highlight w:val="white"/>
        </w:rPr>
        <w:t xml:space="preserve">el Plan Estatal de Desarrollo Urbano del Estado de México es un documento </w:t>
      </w:r>
      <w:r w:rsidR="00AF53B8">
        <w:rPr>
          <w:rFonts w:ascii="Arial" w:eastAsia="Arial" w:hAnsi="Arial" w:cs="Arial"/>
          <w:sz w:val="24"/>
          <w:szCs w:val="24"/>
          <w:highlight w:val="white"/>
        </w:rPr>
        <w:t xml:space="preserve">que </w:t>
      </w:r>
      <w:r>
        <w:rPr>
          <w:rFonts w:ascii="Arial" w:eastAsia="Arial" w:hAnsi="Arial" w:cs="Arial"/>
          <w:sz w:val="24"/>
          <w:szCs w:val="24"/>
          <w:highlight w:val="white"/>
        </w:rPr>
        <w:t>establece las políticas, estrategias y objetivos de desarrollo urbano y ordenamiento territorial para los asentamientos humanos del Estado. El primer Plan Estatal de Desarrollo Urbano data de 1983, con una actualización en 2008 y la última realizada en el año 2019. Teniendo como propósito el de enfrentar desde diferentes flancos los desequilibrios generados por el modelo de desarrollo dominante; la urbanización y la sostenibilidad en las ciudades son algunos de los temas que reciben cada vez mayor atención para un cambio estratégico hacia un modelo de desarrollo más equilibrado que no ponga en peligro los recursos del mañana.</w:t>
      </w:r>
    </w:p>
    <w:p w14:paraId="43FCE33C" w14:textId="5A2AE79D" w:rsidR="003B6409" w:rsidRDefault="00637353">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Sin embargo estas acciones parecieran contrarias en el nivel más básico de gobierno que es el municipio, quienes deben de homologar la atribución  antes mencionada en sus planes de desarrollo urbano municipales; con información vertida en el portal web de la Secretaría de Desarrollo Urbano y Obra se muestra que lo</w:t>
      </w:r>
      <w:r w:rsidR="00AF60FC">
        <w:rPr>
          <w:rFonts w:ascii="Arial" w:eastAsia="Arial" w:hAnsi="Arial" w:cs="Arial"/>
          <w:sz w:val="24"/>
          <w:szCs w:val="24"/>
          <w:highlight w:val="white"/>
        </w:rPr>
        <w:t>s</w:t>
      </w:r>
      <w:r>
        <w:rPr>
          <w:rFonts w:ascii="Arial" w:eastAsia="Arial" w:hAnsi="Arial" w:cs="Arial"/>
          <w:sz w:val="24"/>
          <w:szCs w:val="24"/>
          <w:highlight w:val="white"/>
        </w:rPr>
        <w:t xml:space="preserve"> planes de desarrollo urbano municipales cuenta</w:t>
      </w:r>
      <w:r w:rsidR="00AF60FC">
        <w:rPr>
          <w:rFonts w:ascii="Arial" w:eastAsia="Arial" w:hAnsi="Arial" w:cs="Arial"/>
          <w:sz w:val="24"/>
          <w:szCs w:val="24"/>
          <w:highlight w:val="white"/>
        </w:rPr>
        <w:t>n</w:t>
      </w:r>
      <w:r>
        <w:rPr>
          <w:rFonts w:ascii="Arial" w:eastAsia="Arial" w:hAnsi="Arial" w:cs="Arial"/>
          <w:sz w:val="24"/>
          <w:szCs w:val="24"/>
          <w:highlight w:val="white"/>
        </w:rPr>
        <w:t xml:space="preserve"> con un desfase importante de tiempo en su integración, municipios como Luvianos y Otumba cuentan con este documento elaborado en el año 2003, mientras que 42 municipios de nuestra entidad lo tienen elaborado al año 2004, 19 al año 2005, 5 al año 2007,4 al año </w:t>
      </w:r>
      <w:r>
        <w:rPr>
          <w:rFonts w:ascii="Arial" w:eastAsia="Arial" w:hAnsi="Arial" w:cs="Arial"/>
          <w:sz w:val="24"/>
          <w:szCs w:val="24"/>
          <w:highlight w:val="white"/>
        </w:rPr>
        <w:lastRenderedPageBreak/>
        <w:t xml:space="preserve">2008, 6 al año 2011; y tan  solo 22 municipios de 125 lo actualizaron durante la administración actual del Gobierno del Estado de México; destacando que solo 11 se encuentran  actualizados al año 2022.   </w:t>
      </w:r>
    </w:p>
    <w:p w14:paraId="57A648F1" w14:textId="01414DD3" w:rsidR="003B6409" w:rsidRDefault="00637353">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Lo anterior nos indica que más del 50% de los municipios del Estado de México cuentan con un plan de desarrollo urbano municipal con 19 años en promedio de no actualizarse, es decir</w:t>
      </w:r>
      <w:r w:rsidR="00CB796A">
        <w:rPr>
          <w:rFonts w:ascii="Arial" w:eastAsia="Arial" w:hAnsi="Arial" w:cs="Arial"/>
          <w:sz w:val="24"/>
          <w:szCs w:val="24"/>
          <w:highlight w:val="white"/>
        </w:rPr>
        <w:t xml:space="preserve">, </w:t>
      </w:r>
      <w:r>
        <w:rPr>
          <w:rFonts w:ascii="Arial" w:eastAsia="Arial" w:hAnsi="Arial" w:cs="Arial"/>
          <w:sz w:val="24"/>
          <w:szCs w:val="24"/>
          <w:highlight w:val="white"/>
        </w:rPr>
        <w:t>más de 63 municipios no están actualizados en este importante rubro, de igual manera 18 municipios cuentan con planes de desarrollo urbano sin actualizar desde hace 12 años y 8 con 8 años sin actualizarse, sumados a los 6 municipios que ni si quiera cuentan con el presente documento.</w:t>
      </w:r>
    </w:p>
    <w:p w14:paraId="21491EB8" w14:textId="32BE0AF0" w:rsidR="003B6409" w:rsidRDefault="00637353">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Lo anterior nos debe poner en un estado de alerta puesto que el crecimiento de la población y comunidades no ha cedido, la realidad actual es muy distinta a la de hace 19 años, situación que si la equiparamos para efectos de comparación  durante este periodo de tiempo el país ha logrado de realizar 4 conteos y 2 censos nacionales de población; mientras que nuestros municipios mexiquenses no han tenido la capacidad de actualizar este importante documento.</w:t>
      </w:r>
    </w:p>
    <w:p w14:paraId="0D2C322B" w14:textId="77777777" w:rsidR="003B6409" w:rsidRDefault="00637353">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Y es que no actualizar este documento equivale a un crecimiento desordenado en los municipios, al establecimiento de conjuntos urbanos desordenados e irregulares, al colapso de vías de comunicación, al desabasto de agua y de que los servicios públicos se vean rebasados al llegar más viviendas o comercios a los municipios; aunado a la nula o incorrecto cobro del impuesto predial por parte de los municipios afectando su hacienda pública. </w:t>
      </w:r>
    </w:p>
    <w:p w14:paraId="738D4D5F" w14:textId="77777777" w:rsidR="003B6409" w:rsidRDefault="00637353">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Todo esto compensado por la falta de un esquema jurídico objetivo que delimite a través del Plan de Desarrollo Urbano Municipal el marco de actuar para el Gobierno del Estado de México y para los municipios; esto en razón de que por parte del sector central de gobierno se presume la eficiencia en la reducción de tiempos y costos de hasta el 90%  para el inversionista desarrollador y se autorizan permisos para vivienda y plazas comerciales por parte del Gobierno Estatal en los más de  87 </w:t>
      </w:r>
      <w:r>
        <w:rPr>
          <w:rFonts w:ascii="Arial" w:eastAsia="Arial" w:hAnsi="Arial" w:cs="Arial"/>
          <w:sz w:val="24"/>
          <w:szCs w:val="24"/>
          <w:highlight w:val="white"/>
        </w:rPr>
        <w:lastRenderedPageBreak/>
        <w:t xml:space="preserve">municipios que carecen de un plan actualizado de desarrollo municipal o no cuentan con el mismo, lo que en el corto plazo le atrae las problemáticas mencionadas anteriormente.  </w:t>
      </w:r>
    </w:p>
    <w:p w14:paraId="0EDE26BB" w14:textId="3CDB43D8" w:rsidR="003B6409" w:rsidRDefault="00637353">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En ese sentido una de las razones expuestas por las y los Presidentes Municipales son los altos costos para elaborar o actualizar este documento, que como se ha mencionado </w:t>
      </w:r>
      <w:r w:rsidR="00BF230C">
        <w:rPr>
          <w:rFonts w:ascii="Arial" w:eastAsia="Arial" w:hAnsi="Arial" w:cs="Arial"/>
          <w:sz w:val="24"/>
          <w:szCs w:val="24"/>
          <w:highlight w:val="white"/>
        </w:rPr>
        <w:t>a</w:t>
      </w:r>
      <w:r>
        <w:rPr>
          <w:rFonts w:ascii="Arial" w:eastAsia="Arial" w:hAnsi="Arial" w:cs="Arial"/>
          <w:sz w:val="24"/>
          <w:szCs w:val="24"/>
          <w:highlight w:val="white"/>
        </w:rPr>
        <w:t xml:space="preserve">l no tenerlo o actualizarlo genera externalidades negativas a los municipios. </w:t>
      </w:r>
      <w:r w:rsidR="000C5DB8">
        <w:rPr>
          <w:rFonts w:ascii="Arial" w:eastAsia="Arial" w:hAnsi="Arial" w:cs="Arial"/>
          <w:sz w:val="24"/>
          <w:szCs w:val="24"/>
          <w:highlight w:val="white"/>
        </w:rPr>
        <w:t>D</w:t>
      </w:r>
      <w:r>
        <w:rPr>
          <w:rFonts w:ascii="Arial" w:eastAsia="Arial" w:hAnsi="Arial" w:cs="Arial"/>
          <w:sz w:val="24"/>
          <w:szCs w:val="24"/>
          <w:highlight w:val="white"/>
        </w:rPr>
        <w:t xml:space="preserve">esde el Grupo Parlamentario del Trabajo buscamos legislar para fortalecer a los ayuntamientos y que ese fortalecimiento se vea reflejado en beneficio de los ciudadanos vecinos de los municipios de nuestra entidad. </w:t>
      </w:r>
    </w:p>
    <w:p w14:paraId="1AAF750B" w14:textId="77777777" w:rsidR="000C5DB8" w:rsidRDefault="00637353" w:rsidP="000C5DB8">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Por lo que a través del presente punto de acuerdo buscamos que de manera conjunta la Secretaría de Finanzas y la Secretaría de Desarrollo Urbano y Obra del Gobierno del Estado de México realicen acciones en beneficio del fortalecimiento de los Ayuntamientos; la primera otorgando suficiencia presupuestaria </w:t>
      </w:r>
      <w:r w:rsidR="000C5DB8">
        <w:rPr>
          <w:rFonts w:ascii="Arial" w:eastAsia="Arial" w:hAnsi="Arial" w:cs="Arial"/>
          <w:sz w:val="24"/>
          <w:szCs w:val="24"/>
          <w:highlight w:val="white"/>
        </w:rPr>
        <w:t xml:space="preserve">para la </w:t>
      </w:r>
      <w:r>
        <w:rPr>
          <w:rFonts w:ascii="Arial" w:eastAsia="Arial" w:hAnsi="Arial" w:cs="Arial"/>
          <w:sz w:val="24"/>
          <w:szCs w:val="24"/>
          <w:highlight w:val="white"/>
        </w:rPr>
        <w:t>crea</w:t>
      </w:r>
      <w:r w:rsidR="000C5DB8">
        <w:rPr>
          <w:rFonts w:ascii="Arial" w:eastAsia="Arial" w:hAnsi="Arial" w:cs="Arial"/>
          <w:sz w:val="24"/>
          <w:szCs w:val="24"/>
          <w:highlight w:val="white"/>
        </w:rPr>
        <w:t xml:space="preserve">ción de </w:t>
      </w:r>
      <w:r>
        <w:rPr>
          <w:rFonts w:ascii="Arial" w:eastAsia="Arial" w:hAnsi="Arial" w:cs="Arial"/>
          <w:sz w:val="24"/>
          <w:szCs w:val="24"/>
          <w:highlight w:val="white"/>
        </w:rPr>
        <w:t xml:space="preserve">un Fondo Financiero Especial para la Actualización o Elaboración de los Planes de Desarrollo Urbano Municipales donde los municipios puedan acceder a el y la segunda </w:t>
      </w:r>
      <w:r w:rsidR="000C5DB8">
        <w:rPr>
          <w:rFonts w:ascii="Arial" w:eastAsia="Arial" w:hAnsi="Arial" w:cs="Arial"/>
          <w:sz w:val="24"/>
          <w:szCs w:val="24"/>
          <w:highlight w:val="white"/>
        </w:rPr>
        <w:t xml:space="preserve">para que sea quien </w:t>
      </w:r>
      <w:r>
        <w:rPr>
          <w:rFonts w:ascii="Arial" w:eastAsia="Arial" w:hAnsi="Arial" w:cs="Arial"/>
          <w:sz w:val="24"/>
          <w:szCs w:val="24"/>
          <w:highlight w:val="white"/>
        </w:rPr>
        <w:t>coordin</w:t>
      </w:r>
      <w:r w:rsidR="000C5DB8">
        <w:rPr>
          <w:rFonts w:ascii="Arial" w:eastAsia="Arial" w:hAnsi="Arial" w:cs="Arial"/>
          <w:sz w:val="24"/>
          <w:szCs w:val="24"/>
          <w:highlight w:val="white"/>
        </w:rPr>
        <w:t>e</w:t>
      </w:r>
      <w:r>
        <w:rPr>
          <w:rFonts w:ascii="Arial" w:eastAsia="Arial" w:hAnsi="Arial" w:cs="Arial"/>
          <w:sz w:val="24"/>
          <w:szCs w:val="24"/>
          <w:highlight w:val="white"/>
        </w:rPr>
        <w:t xml:space="preserve"> los esquemas técnicos entre el Gobierno Estatal y los ayuntamientos para la correcta integración o actualización de los planes de Desarrollo Urbano Municipales. </w:t>
      </w:r>
    </w:p>
    <w:p w14:paraId="06C11FA9" w14:textId="77777777" w:rsidR="000C5DB8" w:rsidRDefault="000C5DB8" w:rsidP="000C5DB8">
      <w:pPr>
        <w:spacing w:line="360" w:lineRule="auto"/>
        <w:jc w:val="both"/>
        <w:rPr>
          <w:b/>
          <w:color w:val="222222"/>
          <w:sz w:val="28"/>
          <w:szCs w:val="28"/>
          <w:highlight w:val="white"/>
        </w:rPr>
      </w:pPr>
      <w:r>
        <w:rPr>
          <w:b/>
          <w:color w:val="222222"/>
          <w:sz w:val="28"/>
          <w:szCs w:val="28"/>
          <w:highlight w:val="white"/>
        </w:rPr>
        <w:t xml:space="preserve"> </w:t>
      </w:r>
    </w:p>
    <w:p w14:paraId="1FCB5D29" w14:textId="77777777" w:rsidR="000C5DB8" w:rsidRDefault="000C5DB8" w:rsidP="000C5DB8">
      <w:pPr>
        <w:spacing w:line="360" w:lineRule="auto"/>
        <w:jc w:val="both"/>
        <w:rPr>
          <w:b/>
          <w:color w:val="222222"/>
          <w:sz w:val="28"/>
          <w:szCs w:val="28"/>
          <w:highlight w:val="white"/>
        </w:rPr>
      </w:pPr>
    </w:p>
    <w:p w14:paraId="3BA8DC0E" w14:textId="77777777" w:rsidR="000C5DB8" w:rsidRDefault="000C5DB8" w:rsidP="000C5DB8">
      <w:pPr>
        <w:spacing w:line="360" w:lineRule="auto"/>
        <w:jc w:val="both"/>
        <w:rPr>
          <w:b/>
          <w:color w:val="222222"/>
          <w:sz w:val="28"/>
          <w:szCs w:val="28"/>
          <w:highlight w:val="white"/>
        </w:rPr>
      </w:pPr>
    </w:p>
    <w:p w14:paraId="4A35422E" w14:textId="77777777" w:rsidR="000C5DB8" w:rsidRDefault="000C5DB8" w:rsidP="000C5DB8">
      <w:pPr>
        <w:spacing w:line="360" w:lineRule="auto"/>
        <w:jc w:val="both"/>
        <w:rPr>
          <w:b/>
          <w:color w:val="222222"/>
          <w:sz w:val="28"/>
          <w:szCs w:val="28"/>
          <w:highlight w:val="white"/>
        </w:rPr>
      </w:pPr>
    </w:p>
    <w:p w14:paraId="326EB202" w14:textId="77777777" w:rsidR="000C5DB8" w:rsidRDefault="000C5DB8" w:rsidP="000C5DB8">
      <w:pPr>
        <w:spacing w:line="360" w:lineRule="auto"/>
        <w:jc w:val="both"/>
        <w:rPr>
          <w:b/>
          <w:color w:val="222222"/>
          <w:sz w:val="28"/>
          <w:szCs w:val="28"/>
          <w:highlight w:val="white"/>
        </w:rPr>
      </w:pPr>
    </w:p>
    <w:p w14:paraId="024BA314" w14:textId="77777777" w:rsidR="000C5DB8" w:rsidRDefault="000C5DB8" w:rsidP="000C5DB8">
      <w:pPr>
        <w:spacing w:line="360" w:lineRule="auto"/>
        <w:jc w:val="both"/>
        <w:rPr>
          <w:b/>
          <w:color w:val="222222"/>
          <w:sz w:val="28"/>
          <w:szCs w:val="28"/>
          <w:highlight w:val="white"/>
        </w:rPr>
      </w:pPr>
    </w:p>
    <w:p w14:paraId="749D4016" w14:textId="5BAFCCAB" w:rsidR="003B6409" w:rsidRPr="000C5DB8" w:rsidRDefault="000C5DB8" w:rsidP="000C5DB8">
      <w:pPr>
        <w:spacing w:line="360" w:lineRule="auto"/>
        <w:jc w:val="both"/>
        <w:rPr>
          <w:rFonts w:ascii="Arial" w:eastAsia="Arial" w:hAnsi="Arial" w:cs="Arial"/>
          <w:sz w:val="24"/>
          <w:szCs w:val="24"/>
          <w:highlight w:val="white"/>
        </w:rPr>
      </w:pPr>
      <w:r>
        <w:rPr>
          <w:b/>
          <w:color w:val="222222"/>
          <w:sz w:val="28"/>
          <w:szCs w:val="28"/>
          <w:highlight w:val="white"/>
        </w:rPr>
        <w:lastRenderedPageBreak/>
        <w:t>LA SEXAGÉSIMA PRIMERA LEGISLATURA DECRETA EL SIGUIENTE   PUNTO DE ACUERDO</w:t>
      </w:r>
      <w:r>
        <w:rPr>
          <w:rFonts w:ascii="Arial" w:eastAsia="Arial" w:hAnsi="Arial" w:cs="Arial"/>
          <w:sz w:val="24"/>
          <w:szCs w:val="24"/>
          <w:highlight w:val="white"/>
        </w:rPr>
        <w:t xml:space="preserve"> </w:t>
      </w:r>
      <w:r>
        <w:rPr>
          <w:b/>
          <w:color w:val="222222"/>
          <w:sz w:val="28"/>
          <w:szCs w:val="28"/>
          <w:highlight w:val="white"/>
        </w:rPr>
        <w:t>DE URGENTE Y OBVIA RESOLUCIÓN :</w:t>
      </w:r>
    </w:p>
    <w:p w14:paraId="4FB08CCB" w14:textId="77777777" w:rsidR="003B6409" w:rsidRDefault="003B6409">
      <w:pPr>
        <w:spacing w:after="0" w:line="360" w:lineRule="auto"/>
        <w:jc w:val="center"/>
        <w:rPr>
          <w:b/>
          <w:color w:val="222222"/>
          <w:sz w:val="28"/>
          <w:szCs w:val="28"/>
          <w:highlight w:val="white"/>
        </w:rPr>
      </w:pPr>
    </w:p>
    <w:p w14:paraId="43162AE0" w14:textId="602DDFBA" w:rsidR="003B6409" w:rsidRDefault="00637353">
      <w:pPr>
        <w:spacing w:line="360" w:lineRule="auto"/>
        <w:jc w:val="both"/>
        <w:rPr>
          <w:rFonts w:ascii="Arial" w:eastAsia="Arial" w:hAnsi="Arial" w:cs="Arial"/>
        </w:rPr>
      </w:pPr>
      <w:bookmarkStart w:id="1" w:name="_gjdgxs" w:colFirst="0" w:colLast="0"/>
      <w:bookmarkEnd w:id="1"/>
      <w:r>
        <w:rPr>
          <w:b/>
          <w:color w:val="222222"/>
          <w:sz w:val="28"/>
          <w:szCs w:val="28"/>
          <w:highlight w:val="white"/>
        </w:rPr>
        <w:t>ÚNICO.</w:t>
      </w:r>
      <w:r>
        <w:rPr>
          <w:b/>
          <w:color w:val="222222"/>
          <w:sz w:val="28"/>
          <w:szCs w:val="28"/>
        </w:rPr>
        <w:t xml:space="preserve"> SE </w:t>
      </w:r>
      <w:r>
        <w:rPr>
          <w:b/>
          <w:color w:val="222222"/>
          <w:sz w:val="28"/>
          <w:szCs w:val="28"/>
          <w:highlight w:val="white"/>
        </w:rPr>
        <w:t>EXHORTA DE MANERA RESPETUOSA</w:t>
      </w:r>
      <w:r>
        <w:rPr>
          <w:b/>
          <w:color w:val="222222"/>
          <w:sz w:val="28"/>
          <w:szCs w:val="28"/>
        </w:rPr>
        <w:t xml:space="preserve">  A LAS SECRETARÍAS DE FINANZAS Y DE DESARROLLO URBANO Y OBRA DEL GOBIERNO DEL ESTADO DE MÉXICO A QUE EN EL MARCO DE SUS ATRIBUCIONES IMPLEMENTE</w:t>
      </w:r>
      <w:r w:rsidR="00CD53B8">
        <w:rPr>
          <w:b/>
          <w:color w:val="222222"/>
          <w:sz w:val="28"/>
          <w:szCs w:val="28"/>
        </w:rPr>
        <w:t>N</w:t>
      </w:r>
      <w:r>
        <w:rPr>
          <w:b/>
          <w:color w:val="222222"/>
          <w:sz w:val="28"/>
          <w:szCs w:val="28"/>
        </w:rPr>
        <w:t xml:space="preserve"> UN FONDO FINANCIERO PARA LA ACTUALIZACIÓN O CREACIÓN DE LOS PLANES MUNCIPALES DE DE</w:t>
      </w:r>
      <w:r w:rsidR="00A955C2">
        <w:rPr>
          <w:b/>
          <w:color w:val="222222"/>
          <w:sz w:val="28"/>
          <w:szCs w:val="28"/>
        </w:rPr>
        <w:t>S</w:t>
      </w:r>
      <w:r>
        <w:rPr>
          <w:b/>
          <w:color w:val="222222"/>
          <w:sz w:val="28"/>
          <w:szCs w:val="28"/>
        </w:rPr>
        <w:t xml:space="preserve">ARROLLO URBANO, </w:t>
      </w:r>
      <w:r>
        <w:rPr>
          <w:color w:val="222222"/>
          <w:sz w:val="28"/>
          <w:szCs w:val="28"/>
          <w:highlight w:val="white"/>
        </w:rPr>
        <w:t xml:space="preserve"> </w:t>
      </w:r>
    </w:p>
    <w:p w14:paraId="4477B921" w14:textId="77777777" w:rsidR="003B6409" w:rsidRDefault="003B6409">
      <w:pPr>
        <w:pBdr>
          <w:top w:val="nil"/>
          <w:left w:val="nil"/>
          <w:bottom w:val="nil"/>
          <w:right w:val="nil"/>
          <w:between w:val="nil"/>
        </w:pBdr>
        <w:shd w:val="clear" w:color="auto" w:fill="FFFFFF"/>
        <w:spacing w:after="0" w:line="360" w:lineRule="auto"/>
        <w:jc w:val="center"/>
        <w:rPr>
          <w:rFonts w:ascii="Arial" w:eastAsia="Arial" w:hAnsi="Arial" w:cs="Arial"/>
          <w:b/>
          <w:color w:val="000000"/>
          <w:sz w:val="24"/>
          <w:szCs w:val="24"/>
        </w:rPr>
      </w:pPr>
    </w:p>
    <w:p w14:paraId="4005F417" w14:textId="77777777" w:rsidR="003B6409" w:rsidRDefault="00637353">
      <w:pPr>
        <w:pBdr>
          <w:top w:val="nil"/>
          <w:left w:val="nil"/>
          <w:bottom w:val="nil"/>
          <w:right w:val="nil"/>
          <w:between w:val="nil"/>
        </w:pBdr>
        <w:shd w:val="clear" w:color="auto" w:fill="FFFFFF"/>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TRANSITORIOS</w:t>
      </w:r>
    </w:p>
    <w:p w14:paraId="3F71ECAC" w14:textId="77777777" w:rsidR="003B6409" w:rsidRDefault="003B6409">
      <w:pPr>
        <w:pBdr>
          <w:top w:val="nil"/>
          <w:left w:val="nil"/>
          <w:bottom w:val="nil"/>
          <w:right w:val="nil"/>
          <w:between w:val="nil"/>
        </w:pBdr>
        <w:shd w:val="clear" w:color="auto" w:fill="FFFFFF"/>
        <w:spacing w:after="0" w:line="360" w:lineRule="auto"/>
        <w:jc w:val="center"/>
        <w:rPr>
          <w:rFonts w:ascii="Arial" w:eastAsia="Arial" w:hAnsi="Arial" w:cs="Arial"/>
          <w:color w:val="000000"/>
          <w:sz w:val="24"/>
          <w:szCs w:val="24"/>
        </w:rPr>
      </w:pPr>
    </w:p>
    <w:p w14:paraId="109165EB" w14:textId="77777777" w:rsidR="003B6409" w:rsidRDefault="00637353">
      <w:pPr>
        <w:pBdr>
          <w:top w:val="nil"/>
          <w:left w:val="nil"/>
          <w:bottom w:val="nil"/>
          <w:right w:val="nil"/>
          <w:between w:val="nil"/>
        </w:pBdr>
        <w:shd w:val="clear" w:color="auto" w:fill="FFFFFF"/>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PRIMERO</w:t>
      </w:r>
      <w:r>
        <w:rPr>
          <w:rFonts w:ascii="Arial" w:eastAsia="Arial" w:hAnsi="Arial" w:cs="Arial"/>
          <w:color w:val="000000"/>
          <w:sz w:val="24"/>
          <w:szCs w:val="24"/>
        </w:rPr>
        <w:t xml:space="preserve">. Publíquese el presente acuerdo en el Periódico Oficial “Gaceta del Gobierno”. </w:t>
      </w:r>
    </w:p>
    <w:p w14:paraId="34FF9D45" w14:textId="77777777" w:rsidR="003B6409" w:rsidRDefault="003B6409">
      <w:pPr>
        <w:pBdr>
          <w:top w:val="nil"/>
          <w:left w:val="nil"/>
          <w:bottom w:val="nil"/>
          <w:right w:val="nil"/>
          <w:between w:val="nil"/>
        </w:pBdr>
        <w:shd w:val="clear" w:color="auto" w:fill="FFFFFF"/>
        <w:spacing w:after="0" w:line="360" w:lineRule="auto"/>
        <w:jc w:val="both"/>
        <w:rPr>
          <w:rFonts w:ascii="Arial" w:eastAsia="Arial" w:hAnsi="Arial" w:cs="Arial"/>
          <w:color w:val="000000"/>
          <w:sz w:val="24"/>
          <w:szCs w:val="24"/>
        </w:rPr>
      </w:pPr>
    </w:p>
    <w:p w14:paraId="4D41430C" w14:textId="77777777" w:rsidR="003B6409" w:rsidRDefault="00637353">
      <w:pPr>
        <w:pBdr>
          <w:top w:val="nil"/>
          <w:left w:val="nil"/>
          <w:bottom w:val="nil"/>
          <w:right w:val="nil"/>
          <w:between w:val="nil"/>
        </w:pBdr>
        <w:shd w:val="clear" w:color="auto" w:fill="FFFFFF"/>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SEGUNDO.</w:t>
      </w:r>
      <w:r>
        <w:rPr>
          <w:rFonts w:ascii="Arial" w:eastAsia="Arial" w:hAnsi="Arial" w:cs="Arial"/>
          <w:color w:val="000000"/>
          <w:sz w:val="24"/>
          <w:szCs w:val="24"/>
        </w:rPr>
        <w:t xml:space="preserve"> El presente acuerdo entrará en vigor al día siguiente de su publicación en el Periódico Oficial “Gaceta del Gobierno”.</w:t>
      </w:r>
    </w:p>
    <w:p w14:paraId="5BB5FB2D" w14:textId="77777777" w:rsidR="003B6409" w:rsidRDefault="003B6409">
      <w:pPr>
        <w:pBdr>
          <w:top w:val="nil"/>
          <w:left w:val="nil"/>
          <w:bottom w:val="nil"/>
          <w:right w:val="nil"/>
          <w:between w:val="nil"/>
        </w:pBdr>
        <w:shd w:val="clear" w:color="auto" w:fill="FFFFFF"/>
        <w:spacing w:after="0" w:line="360" w:lineRule="auto"/>
        <w:jc w:val="both"/>
        <w:rPr>
          <w:rFonts w:ascii="Arial" w:eastAsia="Arial" w:hAnsi="Arial" w:cs="Arial"/>
          <w:color w:val="000000"/>
          <w:sz w:val="24"/>
          <w:szCs w:val="24"/>
        </w:rPr>
      </w:pPr>
    </w:p>
    <w:p w14:paraId="6F71C2B0" w14:textId="7489A843" w:rsidR="003B6409" w:rsidRDefault="00637353">
      <w:pPr>
        <w:pBdr>
          <w:top w:val="nil"/>
          <w:left w:val="nil"/>
          <w:bottom w:val="nil"/>
          <w:right w:val="nil"/>
          <w:between w:val="nil"/>
        </w:pBdr>
        <w:shd w:val="clear" w:color="auto" w:fill="FFFFFF"/>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Dado en el Palacio del Poder Legislativo de la ciudad de Toluca de Lerdo, capital del Estado de México, a los </w:t>
      </w:r>
      <w:r w:rsidR="00CD53B8">
        <w:rPr>
          <w:rFonts w:ascii="Arial" w:eastAsia="Arial" w:hAnsi="Arial" w:cs="Arial"/>
          <w:color w:val="000000"/>
          <w:sz w:val="24"/>
          <w:szCs w:val="24"/>
        </w:rPr>
        <w:t>28</w:t>
      </w:r>
      <w:r>
        <w:rPr>
          <w:rFonts w:ascii="Arial" w:eastAsia="Arial" w:hAnsi="Arial" w:cs="Arial"/>
          <w:color w:val="000000"/>
          <w:sz w:val="24"/>
          <w:szCs w:val="24"/>
        </w:rPr>
        <w:t xml:space="preserve"> días del mes de </w:t>
      </w:r>
      <w:r w:rsidR="00CD53B8">
        <w:rPr>
          <w:rFonts w:ascii="Arial" w:eastAsia="Arial" w:hAnsi="Arial" w:cs="Arial"/>
          <w:color w:val="000000"/>
          <w:sz w:val="24"/>
          <w:szCs w:val="24"/>
        </w:rPr>
        <w:t xml:space="preserve">febrero </w:t>
      </w:r>
      <w:r>
        <w:rPr>
          <w:rFonts w:ascii="Arial" w:eastAsia="Arial" w:hAnsi="Arial" w:cs="Arial"/>
          <w:color w:val="000000"/>
          <w:sz w:val="24"/>
          <w:szCs w:val="24"/>
        </w:rPr>
        <w:t>del año 2023.</w:t>
      </w:r>
    </w:p>
    <w:p w14:paraId="7A46D5DE" w14:textId="77777777" w:rsidR="003B6409" w:rsidRDefault="003B6409">
      <w:pPr>
        <w:spacing w:line="276" w:lineRule="auto"/>
        <w:rPr>
          <w:b/>
          <w:sz w:val="32"/>
          <w:szCs w:val="32"/>
        </w:rPr>
      </w:pPr>
    </w:p>
    <w:p w14:paraId="0A879046" w14:textId="77777777" w:rsidR="003B6409" w:rsidRDefault="00637353">
      <w:pPr>
        <w:spacing w:line="360" w:lineRule="auto"/>
        <w:jc w:val="center"/>
        <w:rPr>
          <w:sz w:val="28"/>
          <w:szCs w:val="28"/>
        </w:rPr>
      </w:pPr>
      <w:r>
        <w:rPr>
          <w:rFonts w:ascii="Arial" w:eastAsia="Arial" w:hAnsi="Arial" w:cs="Arial"/>
          <w:b/>
          <w:sz w:val="28"/>
          <w:szCs w:val="28"/>
        </w:rPr>
        <w:t>ATENTAMENTE</w:t>
      </w:r>
    </w:p>
    <w:p w14:paraId="0DB69331" w14:textId="77777777" w:rsidR="003B6409" w:rsidRDefault="003B6409">
      <w:pPr>
        <w:spacing w:after="0" w:line="360" w:lineRule="auto"/>
        <w:jc w:val="center"/>
        <w:rPr>
          <w:rFonts w:ascii="Arial" w:eastAsia="Arial" w:hAnsi="Arial" w:cs="Arial"/>
          <w:b/>
          <w:sz w:val="28"/>
          <w:szCs w:val="28"/>
        </w:rPr>
      </w:pPr>
    </w:p>
    <w:p w14:paraId="30397666" w14:textId="77777777" w:rsidR="003B6409" w:rsidRDefault="00637353">
      <w:pPr>
        <w:spacing w:after="0" w:line="240" w:lineRule="auto"/>
        <w:jc w:val="center"/>
        <w:rPr>
          <w:rFonts w:ascii="Arial" w:eastAsia="Arial" w:hAnsi="Arial" w:cs="Arial"/>
          <w:b/>
          <w:sz w:val="28"/>
          <w:szCs w:val="28"/>
        </w:rPr>
      </w:pPr>
      <w:r>
        <w:rPr>
          <w:rFonts w:ascii="Arial" w:eastAsia="Arial" w:hAnsi="Arial" w:cs="Arial"/>
          <w:b/>
          <w:sz w:val="28"/>
          <w:szCs w:val="28"/>
        </w:rPr>
        <w:t>DIP. SILVIA BARBERENA MALDONADO</w:t>
      </w:r>
    </w:p>
    <w:p w14:paraId="277FF85B" w14:textId="77777777" w:rsidR="003B6409" w:rsidRDefault="00637353">
      <w:pPr>
        <w:spacing w:after="0" w:line="240" w:lineRule="auto"/>
        <w:jc w:val="center"/>
        <w:rPr>
          <w:rFonts w:ascii="Arial" w:eastAsia="Arial" w:hAnsi="Arial" w:cs="Arial"/>
          <w:b/>
          <w:sz w:val="24"/>
          <w:szCs w:val="24"/>
        </w:rPr>
      </w:pPr>
      <w:r>
        <w:rPr>
          <w:rFonts w:ascii="Arial" w:eastAsia="Arial" w:hAnsi="Arial" w:cs="Arial"/>
          <w:b/>
          <w:sz w:val="24"/>
          <w:szCs w:val="24"/>
        </w:rPr>
        <w:t>¡TODO EL PODER AL PUEBLO!</w:t>
      </w:r>
    </w:p>
    <w:p w14:paraId="7367719B" w14:textId="77777777" w:rsidR="003B6409" w:rsidRDefault="00637353">
      <w:pPr>
        <w:spacing w:after="0" w:line="240" w:lineRule="auto"/>
        <w:jc w:val="center"/>
        <w:rPr>
          <w:rFonts w:ascii="Arial" w:eastAsia="Arial" w:hAnsi="Arial" w:cs="Arial"/>
          <w:b/>
          <w:sz w:val="24"/>
          <w:szCs w:val="24"/>
        </w:rPr>
      </w:pPr>
      <w:r>
        <w:rPr>
          <w:rFonts w:ascii="Arial" w:eastAsia="Arial" w:hAnsi="Arial" w:cs="Arial"/>
          <w:b/>
          <w:sz w:val="24"/>
          <w:szCs w:val="24"/>
        </w:rPr>
        <w:t>Grupo Parlamentario Partido del Trabajo</w:t>
      </w:r>
    </w:p>
    <w:p w14:paraId="50DFA132" w14:textId="5CC8566C" w:rsidR="003B6409" w:rsidRDefault="003B6409" w:rsidP="000C5DB8">
      <w:pPr>
        <w:spacing w:after="0" w:line="240" w:lineRule="auto"/>
        <w:rPr>
          <w:rFonts w:ascii="Arial" w:eastAsia="Arial" w:hAnsi="Arial" w:cs="Arial"/>
          <w:b/>
          <w:sz w:val="24"/>
          <w:szCs w:val="24"/>
        </w:rPr>
      </w:pPr>
    </w:p>
    <w:sectPr w:rsidR="003B6409">
      <w:headerReference w:type="default" r:id="rId6"/>
      <w:foot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4D3CF" w14:textId="77777777" w:rsidR="00CB624E" w:rsidRDefault="00CB624E">
      <w:pPr>
        <w:spacing w:after="0" w:line="240" w:lineRule="auto"/>
      </w:pPr>
      <w:r>
        <w:separator/>
      </w:r>
    </w:p>
  </w:endnote>
  <w:endnote w:type="continuationSeparator" w:id="0">
    <w:p w14:paraId="10C198D8" w14:textId="77777777" w:rsidR="00CB624E" w:rsidRDefault="00CB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7812C" w14:textId="77777777" w:rsidR="003B6409" w:rsidRDefault="00637353">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4707B">
      <w:rPr>
        <w:noProof/>
        <w:color w:val="000000"/>
      </w:rPr>
      <w:t>1</w:t>
    </w:r>
    <w:r>
      <w:rPr>
        <w:color w:val="000000"/>
      </w:rPr>
      <w:fldChar w:fldCharType="end"/>
    </w:r>
    <w:r>
      <w:rPr>
        <w:noProof/>
      </w:rPr>
      <w:drawing>
        <wp:anchor distT="0" distB="0" distL="0" distR="0" simplePos="0" relativeHeight="251660288" behindDoc="1" locked="0" layoutInCell="1" hidden="0" allowOverlap="1" wp14:anchorId="20945CD6" wp14:editId="76BA528F">
          <wp:simplePos x="0" y="0"/>
          <wp:positionH relativeFrom="column">
            <wp:posOffset>1692227</wp:posOffset>
          </wp:positionH>
          <wp:positionV relativeFrom="paragraph">
            <wp:posOffset>15181</wp:posOffset>
          </wp:positionV>
          <wp:extent cx="2227674" cy="552627"/>
          <wp:effectExtent l="0" t="0" r="0" b="0"/>
          <wp:wrapNone/>
          <wp:docPr id="3" name="image3.png" descr="Página 1 de 5"/>
          <wp:cNvGraphicFramePr/>
          <a:graphic xmlns:a="http://schemas.openxmlformats.org/drawingml/2006/main">
            <a:graphicData uri="http://schemas.openxmlformats.org/drawingml/2006/picture">
              <pic:pic xmlns:pic="http://schemas.openxmlformats.org/drawingml/2006/picture">
                <pic:nvPicPr>
                  <pic:cNvPr id="0" name="image3.png" descr="Página 1 de 5"/>
                  <pic:cNvPicPr preferRelativeResize="0"/>
                </pic:nvPicPr>
                <pic:blipFill>
                  <a:blip r:embed="rId1"/>
                  <a:srcRect/>
                  <a:stretch>
                    <a:fillRect/>
                  </a:stretch>
                </pic:blipFill>
                <pic:spPr>
                  <a:xfrm>
                    <a:off x="0" y="0"/>
                    <a:ext cx="2227674" cy="552627"/>
                  </a:xfrm>
                  <a:prstGeom prst="rect">
                    <a:avLst/>
                  </a:prstGeom>
                  <a:ln/>
                </pic:spPr>
              </pic:pic>
            </a:graphicData>
          </a:graphic>
        </wp:anchor>
      </w:drawing>
    </w:r>
  </w:p>
  <w:p w14:paraId="62434D9F" w14:textId="77777777" w:rsidR="003B6409" w:rsidRDefault="003B6409">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FF774" w14:textId="77777777" w:rsidR="00CB624E" w:rsidRDefault="00CB624E">
      <w:pPr>
        <w:spacing w:after="0" w:line="240" w:lineRule="auto"/>
      </w:pPr>
      <w:r>
        <w:separator/>
      </w:r>
    </w:p>
  </w:footnote>
  <w:footnote w:type="continuationSeparator" w:id="0">
    <w:p w14:paraId="5B652D30" w14:textId="77777777" w:rsidR="00CB624E" w:rsidRDefault="00CB6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0B0D0" w14:textId="77777777" w:rsidR="003B6409" w:rsidRDefault="00637353">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7E369A79" wp14:editId="0FD1180F">
          <wp:simplePos x="0" y="0"/>
          <wp:positionH relativeFrom="column">
            <wp:posOffset>1524842</wp:posOffset>
          </wp:positionH>
          <wp:positionV relativeFrom="paragraph">
            <wp:posOffset>-385783</wp:posOffset>
          </wp:positionV>
          <wp:extent cx="2533099" cy="891757"/>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33099" cy="891757"/>
                  </a:xfrm>
                  <a:prstGeom prst="rect">
                    <a:avLst/>
                  </a:prstGeom>
                  <a:ln/>
                </pic:spPr>
              </pic:pic>
            </a:graphicData>
          </a:graphic>
        </wp:anchor>
      </w:drawing>
    </w:r>
  </w:p>
  <w:p w14:paraId="19CBDF27" w14:textId="77777777" w:rsidR="003B6409" w:rsidRDefault="003B6409">
    <w:pPr>
      <w:pBdr>
        <w:top w:val="nil"/>
        <w:left w:val="nil"/>
        <w:bottom w:val="nil"/>
        <w:right w:val="nil"/>
        <w:between w:val="nil"/>
      </w:pBdr>
      <w:tabs>
        <w:tab w:val="center" w:pos="4419"/>
        <w:tab w:val="right" w:pos="8838"/>
      </w:tabs>
      <w:spacing w:after="0" w:line="240" w:lineRule="auto"/>
      <w:rPr>
        <w:color w:val="000000"/>
      </w:rPr>
    </w:pPr>
  </w:p>
  <w:p w14:paraId="3D3C8880" w14:textId="77777777" w:rsidR="003B6409" w:rsidRDefault="00637353">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45720" distB="45720" distL="114300" distR="114300" simplePos="0" relativeHeight="251659264" behindDoc="0" locked="0" layoutInCell="1" hidden="0" allowOverlap="1" wp14:anchorId="6394B3EA" wp14:editId="5AC70840">
              <wp:simplePos x="0" y="0"/>
              <wp:positionH relativeFrom="column">
                <wp:posOffset>1409382</wp:posOffset>
              </wp:positionH>
              <wp:positionV relativeFrom="paragraph">
                <wp:posOffset>107551</wp:posOffset>
              </wp:positionV>
              <wp:extent cx="2793365" cy="1404620"/>
              <wp:effectExtent l="0" t="0" r="26035" b="19050"/>
              <wp:wrapSquare wrapText="bothSides" distT="45720" distB="45720" distL="114300" distR="114300"/>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404620"/>
                      </a:xfrm>
                      <a:prstGeom prst="rect">
                        <a:avLst/>
                      </a:prstGeom>
                      <a:solidFill>
                        <a:srgbClr val="FFFFFF"/>
                      </a:solidFill>
                      <a:ln w="9525">
                        <a:solidFill>
                          <a:schemeClr val="bg1"/>
                        </a:solidFill>
                        <a:miter lim="800000"/>
                        <a:headEnd/>
                        <a:tailEnd/>
                      </a:ln>
                    </wps:spPr>
                    <wps:txbx>
                      <w:txbxContent>
                        <w:p w14:paraId="64FE2977" w14:textId="77777777" w:rsidR="00C8681A" w:rsidRDefault="00637353" w:rsidP="00C8681A">
                          <w:pPr>
                            <w:spacing w:after="0"/>
                            <w:jc w:val="center"/>
                            <w:rPr>
                              <w:b/>
                              <w:sz w:val="28"/>
                            </w:rPr>
                          </w:pPr>
                          <w:r w:rsidRPr="009807C3">
                            <w:rPr>
                              <w:b/>
                              <w:sz w:val="28"/>
                            </w:rPr>
                            <w:t>Di</w:t>
                          </w:r>
                          <w:r>
                            <w:rPr>
                              <w:b/>
                              <w:sz w:val="28"/>
                            </w:rPr>
                            <w:t>p.  Silvia Barberena Maldonado</w:t>
                          </w:r>
                        </w:p>
                        <w:p w14:paraId="05899B44" w14:textId="77777777" w:rsidR="00C8681A" w:rsidRPr="00D31259" w:rsidRDefault="00637353" w:rsidP="00C8681A">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wps:txbx>
                    <wps:bodyPr rot="0" vert="horz" wrap="square" lIns="91440" tIns="45720" rIns="91440" bIns="45720" anchor="t" anchorCtr="0">
                      <a:sp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1409382</wp:posOffset>
              </wp:positionH>
              <wp:positionV relativeFrom="paragraph">
                <wp:posOffset>107551</wp:posOffset>
              </wp:positionV>
              <wp:extent cx="2819400" cy="1423670"/>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19400" cy="1423670"/>
                      </a:xfrm>
                      <a:prstGeom prst="rect"/>
                      <a:ln/>
                    </pic:spPr>
                  </pic:pic>
                </a:graphicData>
              </a:graphic>
            </wp:anchor>
          </w:drawing>
        </mc:Fallback>
      </mc:AlternateContent>
    </w:r>
  </w:p>
  <w:p w14:paraId="564D6C38" w14:textId="77777777" w:rsidR="003B6409" w:rsidRDefault="00637353">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733D7263" w14:textId="77777777" w:rsidR="003B6409" w:rsidRDefault="003B6409"/>
  <w:p w14:paraId="175A3C33" w14:textId="77777777" w:rsidR="003B6409" w:rsidRDefault="003B6409">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409"/>
    <w:rsid w:val="00097C88"/>
    <w:rsid w:val="000C5DB8"/>
    <w:rsid w:val="00163894"/>
    <w:rsid w:val="001E3CB0"/>
    <w:rsid w:val="003B6409"/>
    <w:rsid w:val="00637353"/>
    <w:rsid w:val="00A955C2"/>
    <w:rsid w:val="00AF53B8"/>
    <w:rsid w:val="00AF60FC"/>
    <w:rsid w:val="00BF230C"/>
    <w:rsid w:val="00CB624E"/>
    <w:rsid w:val="00CB796A"/>
    <w:rsid w:val="00CD53B8"/>
    <w:rsid w:val="00D43E84"/>
    <w:rsid w:val="00E84045"/>
    <w:rsid w:val="00F470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32D1"/>
  <w15:docId w15:val="{267A07FC-E3A2-8C48-B7D0-724A068A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ES_tradnl" w:bidi="ar-SA"/>
      </w:rPr>
    </w:rPrDefault>
    <w:pPrDefault>
      <w:pPr>
        <w:spacing w:after="160" w:line="25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6674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 HP</cp:lastModifiedBy>
  <cp:revision>2</cp:revision>
  <dcterms:created xsi:type="dcterms:W3CDTF">2023-03-01T16:48:00Z</dcterms:created>
  <dcterms:modified xsi:type="dcterms:W3CDTF">2023-03-01T16:48:00Z</dcterms:modified>
</cp:coreProperties>
</file>