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4A7A" w:rsidRDefault="00B34A7A" w:rsidP="00B34A7A">
      <w:pPr>
        <w:pStyle w:val="Encabezado"/>
        <w:jc w:val="center"/>
        <w:rPr>
          <w:b/>
          <w:color w:val="96174A"/>
          <w:sz w:val="16"/>
        </w:rPr>
      </w:pPr>
      <w:bookmarkStart w:id="0" w:name="_GoBack"/>
      <w:bookmarkEnd w:id="0"/>
      <w:r w:rsidRPr="006418D1">
        <w:rPr>
          <w:b/>
          <w:color w:val="96174A"/>
          <w:sz w:val="16"/>
        </w:rPr>
        <w:t xml:space="preserve">DIP. </w:t>
      </w:r>
      <w:r>
        <w:rPr>
          <w:b/>
          <w:color w:val="96174A"/>
          <w:sz w:val="16"/>
        </w:rPr>
        <w:t>ANAÍS MIRIAM BURGOS HERNÁNDEZ</w:t>
      </w:r>
    </w:p>
    <w:p w:rsidR="00B34A7A" w:rsidRDefault="00B34A7A" w:rsidP="00B34A7A">
      <w:pPr>
        <w:spacing w:after="0"/>
        <w:jc w:val="right"/>
        <w:rPr>
          <w:rFonts w:ascii="Arial" w:eastAsia="Arial" w:hAnsi="Arial" w:cs="Arial"/>
          <w:sz w:val="24"/>
          <w:szCs w:val="24"/>
        </w:rPr>
      </w:pPr>
    </w:p>
    <w:p w:rsidR="00B34A7A" w:rsidRDefault="00B34A7A" w:rsidP="00B34A7A">
      <w:pPr>
        <w:spacing w:after="674"/>
        <w:jc w:val="right"/>
        <w:rPr>
          <w:sz w:val="24"/>
          <w:szCs w:val="24"/>
        </w:rPr>
      </w:pPr>
      <w:bookmarkStart w:id="1" w:name="_30j0zll" w:colFirst="0" w:colLast="0"/>
      <w:bookmarkEnd w:id="1"/>
      <w:r>
        <w:rPr>
          <w:rFonts w:ascii="Arial" w:eastAsia="Arial" w:hAnsi="Arial" w:cs="Arial"/>
          <w:sz w:val="24"/>
          <w:szCs w:val="24"/>
        </w:rPr>
        <w:t>Ciudad de Toluca, Estado México</w:t>
      </w:r>
      <w:r w:rsidR="00695C66">
        <w:rPr>
          <w:rFonts w:ascii="Arial" w:eastAsia="Arial" w:hAnsi="Arial" w:cs="Arial"/>
          <w:sz w:val="24"/>
          <w:szCs w:val="24"/>
        </w:rPr>
        <w:t xml:space="preserve"> </w:t>
      </w:r>
      <w:r w:rsidR="00B12B5E">
        <w:rPr>
          <w:rFonts w:ascii="Arial" w:eastAsia="Arial" w:hAnsi="Arial" w:cs="Arial"/>
          <w:sz w:val="24"/>
          <w:szCs w:val="24"/>
        </w:rPr>
        <w:t>a 6 de dic</w:t>
      </w:r>
      <w:r>
        <w:rPr>
          <w:rFonts w:ascii="Arial" w:eastAsia="Arial" w:hAnsi="Arial" w:cs="Arial"/>
          <w:sz w:val="24"/>
          <w:szCs w:val="24"/>
        </w:rPr>
        <w:t>iembre del 2022.</w:t>
      </w:r>
    </w:p>
    <w:p w:rsidR="00B34A7A" w:rsidRDefault="00B34A7A" w:rsidP="00B34A7A">
      <w:pPr>
        <w:spacing w:after="22" w:line="276" w:lineRule="auto"/>
        <w:ind w:left="-5"/>
        <w:rPr>
          <w:rFonts w:ascii="Arial" w:eastAsia="Arial" w:hAnsi="Arial" w:cs="Arial"/>
          <w:b/>
          <w:sz w:val="24"/>
          <w:szCs w:val="24"/>
        </w:rPr>
      </w:pPr>
      <w:bookmarkStart w:id="2" w:name="_gjdgxs" w:colFirst="0" w:colLast="0"/>
      <w:bookmarkEnd w:id="2"/>
      <w:r>
        <w:rPr>
          <w:rFonts w:ascii="Arial" w:eastAsia="Arial" w:hAnsi="Arial" w:cs="Arial"/>
          <w:b/>
          <w:sz w:val="24"/>
          <w:szCs w:val="24"/>
        </w:rPr>
        <w:t>DIPUTADO ENRIQUE EDGARDO JACOB ROCHA.</w:t>
      </w:r>
    </w:p>
    <w:p w:rsidR="00B34A7A" w:rsidRDefault="00B34A7A" w:rsidP="00B34A7A">
      <w:pPr>
        <w:spacing w:after="22" w:line="276" w:lineRule="auto"/>
        <w:ind w:left="-5"/>
        <w:rPr>
          <w:rFonts w:ascii="Arial" w:eastAsia="Arial" w:hAnsi="Arial" w:cs="Arial"/>
          <w:b/>
          <w:sz w:val="24"/>
          <w:szCs w:val="24"/>
        </w:rPr>
      </w:pPr>
      <w:r>
        <w:rPr>
          <w:rFonts w:ascii="Arial" w:eastAsia="Arial" w:hAnsi="Arial" w:cs="Arial"/>
          <w:b/>
          <w:sz w:val="24"/>
          <w:szCs w:val="24"/>
        </w:rPr>
        <w:t xml:space="preserve">PRESIDENTE DE LA DIRECTIVA DE LA H.  “LXI” </w:t>
      </w:r>
    </w:p>
    <w:p w:rsidR="00B34A7A" w:rsidRDefault="00B34A7A" w:rsidP="00B34A7A">
      <w:pPr>
        <w:spacing w:after="22" w:line="276" w:lineRule="auto"/>
        <w:ind w:left="-5"/>
        <w:rPr>
          <w:rFonts w:ascii="Arial" w:eastAsia="Arial" w:hAnsi="Arial" w:cs="Arial"/>
          <w:sz w:val="24"/>
          <w:szCs w:val="24"/>
        </w:rPr>
      </w:pPr>
      <w:r>
        <w:rPr>
          <w:rFonts w:ascii="Arial" w:eastAsia="Arial" w:hAnsi="Arial" w:cs="Arial"/>
          <w:b/>
          <w:sz w:val="24"/>
          <w:szCs w:val="24"/>
        </w:rPr>
        <w:t>LEGISLATURA DEL ESTADO DE MÉXICO.</w:t>
      </w:r>
    </w:p>
    <w:p w:rsidR="00B34A7A" w:rsidRDefault="00B34A7A" w:rsidP="00B34A7A">
      <w:pPr>
        <w:spacing w:after="536" w:line="276" w:lineRule="auto"/>
        <w:ind w:right="15"/>
        <w:rPr>
          <w:sz w:val="24"/>
          <w:szCs w:val="24"/>
        </w:rPr>
      </w:pPr>
      <w:r>
        <w:rPr>
          <w:rFonts w:ascii="Arial" w:eastAsia="Arial" w:hAnsi="Arial" w:cs="Arial"/>
          <w:b/>
          <w:sz w:val="24"/>
          <w:szCs w:val="24"/>
        </w:rPr>
        <w:t>P R E S E N T E.</w:t>
      </w:r>
    </w:p>
    <w:p w:rsidR="00B12B5E" w:rsidRPr="00B12B5E" w:rsidRDefault="00B34A7A" w:rsidP="00B12B5E">
      <w:pPr>
        <w:spacing w:after="0" w:line="360" w:lineRule="auto"/>
        <w:jc w:val="both"/>
        <w:rPr>
          <w:rFonts w:ascii="Arial" w:eastAsia="Arial" w:hAnsi="Arial" w:cs="Arial"/>
          <w:b/>
          <w:sz w:val="24"/>
          <w:szCs w:val="24"/>
        </w:rPr>
      </w:pPr>
      <w:r>
        <w:rPr>
          <w:rFonts w:ascii="Arial" w:eastAsia="Arial" w:hAnsi="Arial" w:cs="Arial"/>
          <w:b/>
          <w:sz w:val="24"/>
          <w:szCs w:val="24"/>
        </w:rPr>
        <w:t xml:space="preserve">Diputada Anaís Miriam Burgos Hernández, </w:t>
      </w:r>
      <w:r>
        <w:rPr>
          <w:rFonts w:ascii="Arial" w:hAnsi="Arial" w:cs="Arial"/>
          <w:sz w:val="24"/>
          <w:szCs w:val="24"/>
        </w:rPr>
        <w:t xml:space="preserve">integrante </w:t>
      </w:r>
      <w:r w:rsidRPr="00027676">
        <w:rPr>
          <w:rFonts w:ascii="Arial" w:hAnsi="Arial" w:cs="Arial"/>
          <w:sz w:val="24"/>
          <w:szCs w:val="24"/>
        </w:rPr>
        <w:t xml:space="preserve">del Grupo Parlamentario de </w:t>
      </w:r>
      <w:r>
        <w:rPr>
          <w:rFonts w:ascii="Arial" w:hAnsi="Arial" w:cs="Arial"/>
          <w:sz w:val="24"/>
          <w:szCs w:val="24"/>
        </w:rPr>
        <w:t>m</w:t>
      </w:r>
      <w:r w:rsidRPr="00027676">
        <w:rPr>
          <w:rFonts w:ascii="Arial" w:hAnsi="Arial" w:cs="Arial"/>
          <w:sz w:val="24"/>
          <w:szCs w:val="24"/>
        </w:rPr>
        <w:t>orena en la LX</w:t>
      </w:r>
      <w:r>
        <w:rPr>
          <w:rFonts w:ascii="Arial" w:hAnsi="Arial" w:cs="Arial"/>
          <w:sz w:val="24"/>
          <w:szCs w:val="24"/>
        </w:rPr>
        <w:t>I</w:t>
      </w:r>
      <w:r w:rsidRPr="00027676">
        <w:rPr>
          <w:rFonts w:ascii="Arial" w:hAnsi="Arial" w:cs="Arial"/>
          <w:sz w:val="24"/>
          <w:szCs w:val="24"/>
        </w:rPr>
        <w:t xml:space="preserve"> Legislatura del Congreso Local, con fundamento en lo dispuesto en los artículos 5</w:t>
      </w:r>
      <w:r>
        <w:rPr>
          <w:rFonts w:ascii="Arial" w:hAnsi="Arial" w:cs="Arial"/>
          <w:sz w:val="24"/>
          <w:szCs w:val="24"/>
        </w:rPr>
        <w:t>5,</w:t>
      </w:r>
      <w:r w:rsidRPr="00027676">
        <w:rPr>
          <w:rFonts w:ascii="Arial" w:hAnsi="Arial" w:cs="Arial"/>
          <w:sz w:val="24"/>
          <w:szCs w:val="24"/>
        </w:rPr>
        <w:t xml:space="preserve"> 57 y</w:t>
      </w:r>
      <w:r w:rsidR="00AE0C44">
        <w:rPr>
          <w:rFonts w:ascii="Arial" w:hAnsi="Arial" w:cs="Arial"/>
          <w:sz w:val="24"/>
          <w:szCs w:val="24"/>
        </w:rPr>
        <w:t xml:space="preserve"> </w:t>
      </w:r>
      <w:r w:rsidRPr="00027676">
        <w:rPr>
          <w:rFonts w:ascii="Arial" w:hAnsi="Arial" w:cs="Arial"/>
          <w:sz w:val="24"/>
          <w:szCs w:val="24"/>
        </w:rPr>
        <w:t>de la Constitución Política del Estado Libre y Soberano de México;</w:t>
      </w:r>
      <w:r w:rsidR="00AE0C44">
        <w:rPr>
          <w:rFonts w:ascii="Arial" w:hAnsi="Arial" w:cs="Arial"/>
          <w:sz w:val="24"/>
          <w:szCs w:val="24"/>
        </w:rPr>
        <w:t xml:space="preserve"> </w:t>
      </w:r>
      <w:r>
        <w:rPr>
          <w:rFonts w:ascii="Arial" w:hAnsi="Arial" w:cs="Arial"/>
          <w:sz w:val="24"/>
          <w:szCs w:val="24"/>
        </w:rPr>
        <w:t xml:space="preserve">83 </w:t>
      </w:r>
      <w:r w:rsidRPr="00027676">
        <w:rPr>
          <w:rFonts w:ascii="Arial" w:hAnsi="Arial" w:cs="Arial"/>
          <w:sz w:val="24"/>
          <w:szCs w:val="24"/>
        </w:rPr>
        <w:t>de la Ley Orgánica del Poder Legislativo</w:t>
      </w:r>
      <w:r>
        <w:rPr>
          <w:rFonts w:ascii="Arial" w:hAnsi="Arial" w:cs="Arial"/>
          <w:sz w:val="24"/>
          <w:szCs w:val="24"/>
        </w:rPr>
        <w:t xml:space="preserve"> del Estado Libre y Soberano de México</w:t>
      </w:r>
      <w:r w:rsidRPr="00027676">
        <w:rPr>
          <w:rFonts w:ascii="Arial" w:hAnsi="Arial" w:cs="Arial"/>
          <w:sz w:val="24"/>
          <w:szCs w:val="24"/>
        </w:rPr>
        <w:t xml:space="preserve">, </w:t>
      </w:r>
      <w:r w:rsidR="00AE0C44">
        <w:rPr>
          <w:rFonts w:ascii="Arial" w:hAnsi="Arial" w:cs="Arial"/>
          <w:sz w:val="24"/>
          <w:szCs w:val="24"/>
        </w:rPr>
        <w:t xml:space="preserve">y </w:t>
      </w:r>
      <w:r>
        <w:rPr>
          <w:rFonts w:ascii="Arial" w:hAnsi="Arial" w:cs="Arial"/>
          <w:sz w:val="24"/>
          <w:szCs w:val="24"/>
        </w:rPr>
        <w:t>74</w:t>
      </w:r>
      <w:r w:rsidRPr="00027676">
        <w:rPr>
          <w:rFonts w:ascii="Arial" w:hAnsi="Arial" w:cs="Arial"/>
          <w:sz w:val="24"/>
          <w:szCs w:val="24"/>
        </w:rPr>
        <w:t xml:space="preserve"> del Reglamento del Poder Legislativo</w:t>
      </w:r>
      <w:r>
        <w:rPr>
          <w:rFonts w:ascii="Arial" w:hAnsi="Arial" w:cs="Arial"/>
          <w:sz w:val="24"/>
          <w:szCs w:val="24"/>
        </w:rPr>
        <w:t xml:space="preserve"> del Estado de México, someto</w:t>
      </w:r>
      <w:r w:rsidRPr="00027676">
        <w:rPr>
          <w:rFonts w:ascii="Arial" w:hAnsi="Arial" w:cs="Arial"/>
          <w:sz w:val="24"/>
          <w:szCs w:val="24"/>
        </w:rPr>
        <w:t xml:space="preserve"> a la consideración de este órgano legislativo</w:t>
      </w:r>
      <w:r>
        <w:rPr>
          <w:rFonts w:ascii="Arial" w:eastAsia="Arial" w:hAnsi="Arial" w:cs="Arial"/>
          <w:sz w:val="24"/>
          <w:szCs w:val="24"/>
        </w:rPr>
        <w:t xml:space="preserve">, propuesta con </w:t>
      </w:r>
      <w:r w:rsidRPr="00695C66">
        <w:rPr>
          <w:rFonts w:ascii="Arial" w:eastAsia="Arial" w:hAnsi="Arial" w:cs="Arial"/>
          <w:b/>
          <w:sz w:val="24"/>
          <w:szCs w:val="24"/>
        </w:rPr>
        <w:t>Punto de Acuerdo de Urgente y Obvia resolución por el que</w:t>
      </w:r>
      <w:r>
        <w:rPr>
          <w:rFonts w:ascii="Arial" w:eastAsia="Arial" w:hAnsi="Arial" w:cs="Arial"/>
          <w:sz w:val="24"/>
          <w:szCs w:val="24"/>
        </w:rPr>
        <w:t xml:space="preserve"> </w:t>
      </w:r>
      <w:r>
        <w:rPr>
          <w:rFonts w:ascii="Arial" w:eastAsia="Arial" w:hAnsi="Arial" w:cs="Arial"/>
          <w:b/>
          <w:sz w:val="24"/>
          <w:szCs w:val="24"/>
        </w:rPr>
        <w:t xml:space="preserve">se </w:t>
      </w:r>
      <w:bookmarkStart w:id="3" w:name="_Hlk118976385"/>
      <w:r w:rsidR="00695C66">
        <w:rPr>
          <w:rFonts w:ascii="Arial" w:eastAsia="Arial" w:hAnsi="Arial" w:cs="Arial"/>
          <w:b/>
          <w:sz w:val="24"/>
          <w:szCs w:val="24"/>
        </w:rPr>
        <w:t>e</w:t>
      </w:r>
      <w:r w:rsidR="00A320E8">
        <w:rPr>
          <w:rFonts w:ascii="Arial" w:eastAsia="Arial" w:hAnsi="Arial" w:cs="Arial"/>
          <w:b/>
          <w:sz w:val="24"/>
          <w:szCs w:val="24"/>
        </w:rPr>
        <w:t>xhorta</w:t>
      </w:r>
      <w:r w:rsidR="00A320E8" w:rsidRPr="00EC5315">
        <w:rPr>
          <w:rFonts w:ascii="Arial" w:eastAsia="Arial" w:hAnsi="Arial" w:cs="Arial"/>
          <w:b/>
          <w:sz w:val="24"/>
          <w:szCs w:val="24"/>
        </w:rPr>
        <w:t xml:space="preserve"> respetuosamente </w:t>
      </w:r>
      <w:bookmarkEnd w:id="3"/>
      <w:r w:rsidR="00B12B5E" w:rsidRPr="00B12B5E">
        <w:rPr>
          <w:rFonts w:ascii="Arial" w:eastAsia="Arial" w:hAnsi="Arial" w:cs="Arial"/>
          <w:b/>
          <w:sz w:val="24"/>
          <w:szCs w:val="24"/>
        </w:rPr>
        <w:t xml:space="preserve">al Titular de la Fiscalía General de Justicia del Estado de México para que informe a esta Soberanía sobre </w:t>
      </w:r>
      <w:r w:rsidR="00B12B5E">
        <w:rPr>
          <w:rFonts w:ascii="Arial" w:eastAsia="Arial" w:hAnsi="Arial" w:cs="Arial"/>
          <w:b/>
          <w:sz w:val="24"/>
          <w:szCs w:val="24"/>
        </w:rPr>
        <w:t xml:space="preserve">el </w:t>
      </w:r>
      <w:r w:rsidR="00B12B5E" w:rsidRPr="00B12B5E">
        <w:rPr>
          <w:rFonts w:ascii="Arial" w:eastAsia="Arial" w:hAnsi="Arial" w:cs="Arial"/>
          <w:b/>
          <w:sz w:val="24"/>
          <w:szCs w:val="24"/>
        </w:rPr>
        <w:t xml:space="preserve">estatus procesal de los crímenes de odio </w:t>
      </w:r>
      <w:r w:rsidR="00B12B5E">
        <w:rPr>
          <w:rFonts w:ascii="Arial" w:eastAsia="Arial" w:hAnsi="Arial" w:cs="Arial"/>
          <w:b/>
          <w:sz w:val="24"/>
          <w:szCs w:val="24"/>
        </w:rPr>
        <w:t xml:space="preserve">cometido contra </w:t>
      </w:r>
      <w:r w:rsidR="00B12B5E" w:rsidRPr="00B12B5E">
        <w:rPr>
          <w:rFonts w:ascii="Arial" w:eastAsia="Arial" w:hAnsi="Arial" w:cs="Arial"/>
          <w:b/>
          <w:sz w:val="24"/>
          <w:szCs w:val="24"/>
        </w:rPr>
        <w:t>las mujeres transgénero en el año 2022 en el Estado de México</w:t>
      </w:r>
      <w:r w:rsidR="00B12B5E">
        <w:rPr>
          <w:rFonts w:ascii="Arial" w:eastAsia="Arial" w:hAnsi="Arial" w:cs="Arial"/>
          <w:b/>
          <w:sz w:val="24"/>
          <w:szCs w:val="24"/>
        </w:rPr>
        <w:t>,</w:t>
      </w:r>
      <w:r w:rsidR="00B12B5E" w:rsidRPr="00B12B5E">
        <w:rPr>
          <w:rFonts w:ascii="Arial" w:eastAsia="Arial" w:hAnsi="Arial" w:cs="Arial"/>
          <w:b/>
          <w:sz w:val="24"/>
          <w:szCs w:val="24"/>
        </w:rPr>
        <w:t xml:space="preserve"> </w:t>
      </w:r>
      <w:r w:rsidR="00B12B5E" w:rsidRPr="00B12B5E">
        <w:rPr>
          <w:rFonts w:ascii="Arial" w:eastAsia="Arial" w:hAnsi="Arial" w:cs="Arial"/>
          <w:sz w:val="24"/>
          <w:szCs w:val="24"/>
        </w:rPr>
        <w:t>en  mérito de la siguiente:</w:t>
      </w:r>
    </w:p>
    <w:p w:rsidR="00B12B5E" w:rsidRPr="00B12B5E" w:rsidRDefault="00B12B5E" w:rsidP="00B12B5E">
      <w:pPr>
        <w:spacing w:after="0" w:line="360" w:lineRule="auto"/>
        <w:jc w:val="both"/>
        <w:rPr>
          <w:rFonts w:ascii="Arial" w:eastAsia="Arial" w:hAnsi="Arial" w:cs="Arial"/>
          <w:b/>
          <w:sz w:val="24"/>
          <w:szCs w:val="24"/>
        </w:rPr>
      </w:pPr>
    </w:p>
    <w:p w:rsidR="00B12B5E" w:rsidRPr="00B12B5E" w:rsidRDefault="00B12B5E" w:rsidP="00B12B5E">
      <w:pPr>
        <w:spacing w:after="0" w:line="360" w:lineRule="auto"/>
        <w:jc w:val="center"/>
        <w:rPr>
          <w:rFonts w:ascii="Arial" w:eastAsia="Arial" w:hAnsi="Arial" w:cs="Arial"/>
          <w:b/>
          <w:sz w:val="24"/>
          <w:szCs w:val="24"/>
        </w:rPr>
      </w:pPr>
      <w:r w:rsidRPr="00B12B5E">
        <w:rPr>
          <w:rFonts w:ascii="Arial" w:eastAsia="Arial" w:hAnsi="Arial" w:cs="Arial"/>
          <w:b/>
          <w:sz w:val="24"/>
          <w:szCs w:val="24"/>
        </w:rPr>
        <w:t>EXPOSICION DE MOTIVOS</w:t>
      </w:r>
    </w:p>
    <w:p w:rsidR="00B12B5E" w:rsidRPr="00B12B5E" w:rsidRDefault="00B12B5E" w:rsidP="00B12B5E">
      <w:pPr>
        <w:spacing w:after="0" w:line="360" w:lineRule="auto"/>
        <w:jc w:val="both"/>
        <w:rPr>
          <w:rFonts w:ascii="Arial" w:eastAsia="Arial" w:hAnsi="Arial" w:cs="Arial"/>
          <w:b/>
          <w:sz w:val="24"/>
          <w:szCs w:val="24"/>
        </w:rPr>
      </w:pPr>
    </w:p>
    <w:p w:rsidR="00B12B5E" w:rsidRPr="00B12B5E" w:rsidRDefault="00B12B5E" w:rsidP="00B12B5E">
      <w:pPr>
        <w:spacing w:after="0" w:line="360" w:lineRule="auto"/>
        <w:jc w:val="both"/>
        <w:rPr>
          <w:rFonts w:ascii="Arial" w:eastAsia="Arial" w:hAnsi="Arial" w:cs="Arial"/>
          <w:sz w:val="24"/>
          <w:szCs w:val="24"/>
        </w:rPr>
      </w:pPr>
      <w:r w:rsidRPr="00B12B5E">
        <w:rPr>
          <w:rFonts w:ascii="Arial" w:eastAsia="Arial" w:hAnsi="Arial" w:cs="Arial"/>
          <w:sz w:val="24"/>
          <w:szCs w:val="24"/>
        </w:rPr>
        <w:t>De acuerdo a la Encuesta Nacional sobre Diversidad Sexual y de Género del I</w:t>
      </w:r>
      <w:r>
        <w:rPr>
          <w:rFonts w:ascii="Arial" w:eastAsia="Arial" w:hAnsi="Arial" w:cs="Arial"/>
          <w:sz w:val="24"/>
          <w:szCs w:val="24"/>
        </w:rPr>
        <w:t>NEGI</w:t>
      </w:r>
      <w:r w:rsidRPr="00B12B5E">
        <w:rPr>
          <w:rFonts w:ascii="Arial" w:eastAsia="Arial" w:hAnsi="Arial" w:cs="Arial"/>
          <w:sz w:val="24"/>
          <w:szCs w:val="24"/>
        </w:rPr>
        <w:t xml:space="preserve"> 2021 en México, la población LGBTI+1 asciende a cinco millones de personas lo que significa que una de cada 20 personas se identifica como población LGBTI+. Siendo el Estado de México la entidad que mayor concentra la población LGBTI+ con 490 mil personas, de las cuales 150 mil son </w:t>
      </w:r>
      <w:proofErr w:type="gramStart"/>
      <w:r w:rsidRPr="00B12B5E">
        <w:rPr>
          <w:rFonts w:ascii="Arial" w:eastAsia="Arial" w:hAnsi="Arial" w:cs="Arial"/>
          <w:sz w:val="24"/>
          <w:szCs w:val="24"/>
        </w:rPr>
        <w:t>mujeres transgénero</w:t>
      </w:r>
      <w:proofErr w:type="gramEnd"/>
      <w:r w:rsidRPr="00B12B5E">
        <w:rPr>
          <w:rFonts w:ascii="Arial" w:eastAsia="Arial" w:hAnsi="Arial" w:cs="Arial"/>
          <w:sz w:val="24"/>
          <w:szCs w:val="24"/>
        </w:rPr>
        <w:t>.</w:t>
      </w:r>
    </w:p>
    <w:p w:rsidR="00B12B5E" w:rsidRDefault="00B12B5E" w:rsidP="00B12B5E">
      <w:pPr>
        <w:spacing w:after="0" w:line="360" w:lineRule="auto"/>
        <w:jc w:val="both"/>
        <w:rPr>
          <w:rFonts w:ascii="Arial" w:eastAsia="Arial" w:hAnsi="Arial" w:cs="Arial"/>
          <w:sz w:val="24"/>
          <w:szCs w:val="24"/>
        </w:rPr>
      </w:pPr>
      <w:r w:rsidRPr="00B12B5E">
        <w:rPr>
          <w:rFonts w:ascii="Arial" w:eastAsia="Arial" w:hAnsi="Arial" w:cs="Arial"/>
          <w:sz w:val="24"/>
          <w:szCs w:val="24"/>
        </w:rPr>
        <w:lastRenderedPageBreak/>
        <w:t xml:space="preserve">Y es este sector de la sociedad:  las </w:t>
      </w:r>
      <w:proofErr w:type="gramStart"/>
      <w:r w:rsidRPr="00B12B5E">
        <w:rPr>
          <w:rFonts w:ascii="Arial" w:eastAsia="Arial" w:hAnsi="Arial" w:cs="Arial"/>
          <w:sz w:val="24"/>
          <w:szCs w:val="24"/>
        </w:rPr>
        <w:t>mujeres transgénero</w:t>
      </w:r>
      <w:proofErr w:type="gramEnd"/>
      <w:r w:rsidRPr="00B12B5E">
        <w:rPr>
          <w:rFonts w:ascii="Arial" w:eastAsia="Arial" w:hAnsi="Arial" w:cs="Arial"/>
          <w:sz w:val="24"/>
          <w:szCs w:val="24"/>
        </w:rPr>
        <w:t xml:space="preserve"> que se encuentran desde hace muchos años inmersas en un ciclo de violencia, discriminación y criminalización que generalmente comienza desde muy temprana edad, por la exclusión y violencia sufrida en sus hogares, comunidades y centros educativos. Esta situación se suma a una ausencia, de disposiciones legales o administrativas que reconozcan su identidad de género. </w:t>
      </w:r>
    </w:p>
    <w:p w:rsidR="00B12B5E" w:rsidRPr="00B12B5E" w:rsidRDefault="00B12B5E" w:rsidP="00B12B5E">
      <w:pPr>
        <w:spacing w:after="0" w:line="360" w:lineRule="auto"/>
        <w:jc w:val="both"/>
        <w:rPr>
          <w:rFonts w:ascii="Arial" w:eastAsia="Arial" w:hAnsi="Arial" w:cs="Arial"/>
          <w:sz w:val="24"/>
          <w:szCs w:val="24"/>
        </w:rPr>
      </w:pPr>
    </w:p>
    <w:p w:rsidR="00B12B5E" w:rsidRPr="00B12B5E" w:rsidRDefault="00B12B5E" w:rsidP="00B12B5E">
      <w:pPr>
        <w:spacing w:after="0" w:line="360" w:lineRule="auto"/>
        <w:jc w:val="both"/>
        <w:rPr>
          <w:rFonts w:ascii="Arial" w:eastAsia="Arial" w:hAnsi="Arial" w:cs="Arial"/>
          <w:sz w:val="24"/>
          <w:szCs w:val="24"/>
        </w:rPr>
      </w:pPr>
      <w:r w:rsidRPr="00B12B5E">
        <w:rPr>
          <w:rFonts w:ascii="Arial" w:eastAsia="Arial" w:hAnsi="Arial" w:cs="Arial"/>
          <w:sz w:val="24"/>
          <w:szCs w:val="24"/>
        </w:rPr>
        <w:t xml:space="preserve">En muchas partes de nuestra entidad, las </w:t>
      </w:r>
      <w:proofErr w:type="gramStart"/>
      <w:r w:rsidRPr="00B12B5E">
        <w:rPr>
          <w:rFonts w:ascii="Arial" w:eastAsia="Arial" w:hAnsi="Arial" w:cs="Arial"/>
          <w:sz w:val="24"/>
          <w:szCs w:val="24"/>
        </w:rPr>
        <w:t>mujeres transgénero</w:t>
      </w:r>
      <w:proofErr w:type="gramEnd"/>
      <w:r w:rsidRPr="00B12B5E">
        <w:rPr>
          <w:rFonts w:ascii="Arial" w:eastAsia="Arial" w:hAnsi="Arial" w:cs="Arial"/>
          <w:sz w:val="24"/>
          <w:szCs w:val="24"/>
        </w:rPr>
        <w:t xml:space="preserve"> están excluidas de la educación o del empleo formal, lo que las confina a un abanico limitado de oportunidades laborales. Pero el principal problema que sufren es la violencia.</w:t>
      </w:r>
    </w:p>
    <w:p w:rsidR="00B12B5E" w:rsidRPr="00B12B5E" w:rsidRDefault="00B12B5E" w:rsidP="00B12B5E">
      <w:pPr>
        <w:spacing w:after="0" w:line="360" w:lineRule="auto"/>
        <w:jc w:val="both"/>
        <w:rPr>
          <w:rFonts w:ascii="Arial" w:eastAsia="Arial" w:hAnsi="Arial" w:cs="Arial"/>
          <w:sz w:val="24"/>
          <w:szCs w:val="24"/>
        </w:rPr>
      </w:pPr>
      <w:r w:rsidRPr="00B12B5E">
        <w:rPr>
          <w:rFonts w:ascii="Arial" w:eastAsia="Arial" w:hAnsi="Arial" w:cs="Arial"/>
          <w:sz w:val="24"/>
          <w:szCs w:val="24"/>
        </w:rPr>
        <w:t>Si el punto más extremo de la violencia de género es el feminicidio, en el caso de las mujeres transgénero se le conoce como transfeminicidios o feminicidios por identidad de género, cuestión que a la fecha genera debates y resistencia por grupos sociales para reconocer dicho concepto. Desafortunadamente esta resistencia termina invisibilizando (en cifras, en leyes, en protección y seguridad social) un problema grave que termina por diluir la violencia que enfrentan todas las mujeres en el Estado de México. Las mujeres somos diversas, pero al fin mujeres, y la violencia nos afecta a todas.</w:t>
      </w:r>
    </w:p>
    <w:p w:rsidR="00B12B5E" w:rsidRPr="00B12B5E" w:rsidRDefault="00B12B5E" w:rsidP="00B12B5E">
      <w:pPr>
        <w:spacing w:after="0" w:line="360" w:lineRule="auto"/>
        <w:jc w:val="both"/>
        <w:rPr>
          <w:rFonts w:ascii="Arial" w:eastAsia="Arial" w:hAnsi="Arial" w:cs="Arial"/>
          <w:sz w:val="24"/>
          <w:szCs w:val="24"/>
        </w:rPr>
      </w:pPr>
      <w:r w:rsidRPr="00B12B5E">
        <w:rPr>
          <w:rFonts w:ascii="Arial" w:eastAsia="Arial" w:hAnsi="Arial" w:cs="Arial"/>
          <w:sz w:val="24"/>
          <w:szCs w:val="24"/>
        </w:rPr>
        <w:t xml:space="preserve">La Comisión Interamericana de Derechos Humanos señala que “El prejuicio es uno de los principales detonantes de la violencia hacia las mujeres transgénero. El prejuicio es el resultado de percepciones negativas basadas en generalizaciones falsas sobre circunstancias o situaciones ajenas a concepciones de una idea que tiene la mayoría. La violencia por prejuicio encuentra su fundamento en un sistema de organización social donde solamente existen dos géneros asociados al sexo asignado al nacer, sobre los cuales se ha sustentado la discriminación y la violencia”. </w:t>
      </w:r>
    </w:p>
    <w:p w:rsidR="00B12B5E" w:rsidRDefault="00B12B5E" w:rsidP="00B12B5E">
      <w:pPr>
        <w:spacing w:after="0" w:line="360" w:lineRule="auto"/>
        <w:jc w:val="both"/>
        <w:rPr>
          <w:rFonts w:ascii="Arial" w:eastAsia="Arial" w:hAnsi="Arial" w:cs="Arial"/>
          <w:sz w:val="24"/>
          <w:szCs w:val="24"/>
        </w:rPr>
      </w:pPr>
      <w:r w:rsidRPr="00B12B5E">
        <w:rPr>
          <w:rFonts w:ascii="Arial" w:eastAsia="Arial" w:hAnsi="Arial" w:cs="Arial"/>
          <w:sz w:val="24"/>
          <w:szCs w:val="24"/>
        </w:rPr>
        <w:t>Este contexto tan hostil ha tenido como resultado: primero, que el promedio de vida de las personas transgénero en América Latina sea tan sólo de 35 años; segundo que la principal causa de defunción, es la muerte violenta.</w:t>
      </w:r>
    </w:p>
    <w:p w:rsidR="00B12B5E" w:rsidRPr="00B12B5E" w:rsidRDefault="00B12B5E" w:rsidP="00B12B5E">
      <w:pPr>
        <w:spacing w:after="0" w:line="360" w:lineRule="auto"/>
        <w:jc w:val="both"/>
        <w:rPr>
          <w:rFonts w:ascii="Arial" w:eastAsia="Arial" w:hAnsi="Arial" w:cs="Arial"/>
          <w:sz w:val="24"/>
          <w:szCs w:val="24"/>
        </w:rPr>
      </w:pPr>
    </w:p>
    <w:p w:rsidR="00B12B5E" w:rsidRPr="00B12B5E" w:rsidRDefault="00B12B5E" w:rsidP="00B12B5E">
      <w:pPr>
        <w:spacing w:after="0" w:line="360" w:lineRule="auto"/>
        <w:jc w:val="both"/>
        <w:rPr>
          <w:rFonts w:ascii="Arial" w:eastAsia="Arial" w:hAnsi="Arial" w:cs="Arial"/>
          <w:sz w:val="24"/>
          <w:szCs w:val="24"/>
        </w:rPr>
      </w:pPr>
      <w:r w:rsidRPr="00B12B5E">
        <w:rPr>
          <w:rFonts w:ascii="Arial" w:eastAsia="Arial" w:hAnsi="Arial" w:cs="Arial"/>
          <w:sz w:val="24"/>
          <w:szCs w:val="24"/>
        </w:rPr>
        <w:t xml:space="preserve">Hay múltiples formas de violencia que se ejercen contra la población transgénero. Desde las más sutiles, pero no por eso menos dolorosas, como la sistemática </w:t>
      </w:r>
      <w:proofErr w:type="spellStart"/>
      <w:r w:rsidRPr="00B12B5E">
        <w:rPr>
          <w:rFonts w:ascii="Arial" w:eastAsia="Arial" w:hAnsi="Arial" w:cs="Arial"/>
          <w:sz w:val="24"/>
          <w:szCs w:val="24"/>
        </w:rPr>
        <w:t>invisibilización</w:t>
      </w:r>
      <w:proofErr w:type="spellEnd"/>
      <w:r w:rsidRPr="00B12B5E">
        <w:rPr>
          <w:rFonts w:ascii="Arial" w:eastAsia="Arial" w:hAnsi="Arial" w:cs="Arial"/>
          <w:sz w:val="24"/>
          <w:szCs w:val="24"/>
        </w:rPr>
        <w:t>, hasta las más brutales, que son los crímenes de odio que derivan en la víctima. De hecho, el movimiento LGBTTTIQ+, a través de su autoorganización en múltiples colectivos, asociaciones, entidades e instituciones, ha realizado esfuerzos para visibilizar la violencia en contra de la comunidad transgénero, especialmente en lo que concierne a la tipificación penal de los crímenes de odio.</w:t>
      </w:r>
    </w:p>
    <w:p w:rsidR="00B12B5E" w:rsidRDefault="00B12B5E" w:rsidP="00B12B5E">
      <w:pPr>
        <w:spacing w:after="0" w:line="360" w:lineRule="auto"/>
        <w:jc w:val="both"/>
        <w:rPr>
          <w:rFonts w:ascii="Arial" w:eastAsia="Arial" w:hAnsi="Arial" w:cs="Arial"/>
          <w:sz w:val="24"/>
          <w:szCs w:val="24"/>
        </w:rPr>
      </w:pPr>
      <w:r w:rsidRPr="00B12B5E">
        <w:rPr>
          <w:rFonts w:ascii="Arial" w:eastAsia="Arial" w:hAnsi="Arial" w:cs="Arial"/>
          <w:sz w:val="24"/>
          <w:szCs w:val="24"/>
        </w:rPr>
        <w:t>Esto es importante ya que ponerle nombre a este tipo de crímenes reivindica a las víctimas, puesto que sus muertes deben ser objeto de un tratamiento específico en función de sus particularidades y con perspectiva de género. Generalmente, los crímenes son cometidos con enorme violencia y crueldad.</w:t>
      </w:r>
    </w:p>
    <w:p w:rsidR="00B12B5E" w:rsidRPr="00B12B5E" w:rsidRDefault="00B12B5E" w:rsidP="00B12B5E">
      <w:pPr>
        <w:spacing w:after="0" w:line="360" w:lineRule="auto"/>
        <w:jc w:val="both"/>
        <w:rPr>
          <w:rFonts w:ascii="Arial" w:eastAsia="Arial" w:hAnsi="Arial" w:cs="Arial"/>
          <w:sz w:val="24"/>
          <w:szCs w:val="24"/>
        </w:rPr>
      </w:pPr>
    </w:p>
    <w:p w:rsidR="00B12B5E" w:rsidRPr="00B12B5E" w:rsidRDefault="00B12B5E" w:rsidP="00B12B5E">
      <w:pPr>
        <w:spacing w:after="0" w:line="360" w:lineRule="auto"/>
        <w:jc w:val="both"/>
        <w:rPr>
          <w:rFonts w:ascii="Arial" w:eastAsia="Arial" w:hAnsi="Arial" w:cs="Arial"/>
          <w:sz w:val="24"/>
          <w:szCs w:val="24"/>
        </w:rPr>
      </w:pPr>
      <w:r w:rsidRPr="00B12B5E">
        <w:rPr>
          <w:rFonts w:ascii="Arial" w:eastAsia="Arial" w:hAnsi="Arial" w:cs="Arial"/>
          <w:sz w:val="24"/>
          <w:szCs w:val="24"/>
        </w:rPr>
        <w:t xml:space="preserve">Los datos del informe anual de </w:t>
      </w:r>
      <w:proofErr w:type="spellStart"/>
      <w:r w:rsidRPr="00B12B5E">
        <w:rPr>
          <w:rFonts w:ascii="Arial" w:eastAsia="Arial" w:hAnsi="Arial" w:cs="Arial"/>
          <w:sz w:val="24"/>
          <w:szCs w:val="24"/>
        </w:rPr>
        <w:t>Transrespect</w:t>
      </w:r>
      <w:proofErr w:type="spellEnd"/>
      <w:r w:rsidRPr="00B12B5E">
        <w:rPr>
          <w:rFonts w:ascii="Arial" w:eastAsia="Arial" w:hAnsi="Arial" w:cs="Arial"/>
          <w:sz w:val="24"/>
          <w:szCs w:val="24"/>
        </w:rPr>
        <w:t xml:space="preserve"> vs. </w:t>
      </w:r>
      <w:proofErr w:type="spellStart"/>
      <w:r w:rsidRPr="00B12B5E">
        <w:rPr>
          <w:rFonts w:ascii="Arial" w:eastAsia="Arial" w:hAnsi="Arial" w:cs="Arial"/>
          <w:sz w:val="24"/>
          <w:szCs w:val="24"/>
        </w:rPr>
        <w:t>Transphobia</w:t>
      </w:r>
      <w:proofErr w:type="spellEnd"/>
      <w:r w:rsidRPr="00B12B5E">
        <w:rPr>
          <w:rFonts w:ascii="Arial" w:eastAsia="Arial" w:hAnsi="Arial" w:cs="Arial"/>
          <w:sz w:val="24"/>
          <w:szCs w:val="24"/>
        </w:rPr>
        <w:t xml:space="preserve"> </w:t>
      </w:r>
      <w:proofErr w:type="spellStart"/>
      <w:r w:rsidRPr="00B12B5E">
        <w:rPr>
          <w:rFonts w:ascii="Arial" w:eastAsia="Arial" w:hAnsi="Arial" w:cs="Arial"/>
          <w:sz w:val="24"/>
          <w:szCs w:val="24"/>
        </w:rPr>
        <w:t>Worldwide</w:t>
      </w:r>
      <w:proofErr w:type="spellEnd"/>
      <w:r w:rsidRPr="00B12B5E">
        <w:rPr>
          <w:rFonts w:ascii="Arial" w:eastAsia="Arial" w:hAnsi="Arial" w:cs="Arial"/>
          <w:sz w:val="24"/>
          <w:szCs w:val="24"/>
        </w:rPr>
        <w:t>, son muy elocuentes. Primero, entre 2008 y 2021 se registraron 4000 personas transgénero asesinadas en todo el mundo. De ese número, las muertes por disparos han sido las más comunes, representando el 38 %, mientras que los apuñalamientos, palizas y estrangulamientos están en segundo lugar y suman el 33 %.</w:t>
      </w:r>
    </w:p>
    <w:p w:rsidR="00B12B5E" w:rsidRPr="00B12B5E" w:rsidRDefault="00B12B5E" w:rsidP="00B12B5E">
      <w:pPr>
        <w:spacing w:after="0" w:line="360" w:lineRule="auto"/>
        <w:jc w:val="both"/>
        <w:rPr>
          <w:rFonts w:ascii="Arial" w:eastAsia="Arial" w:hAnsi="Arial" w:cs="Arial"/>
          <w:sz w:val="24"/>
          <w:szCs w:val="24"/>
        </w:rPr>
      </w:pPr>
    </w:p>
    <w:p w:rsidR="00B12B5E" w:rsidRDefault="00B12B5E" w:rsidP="00B12B5E">
      <w:pPr>
        <w:spacing w:after="0" w:line="360" w:lineRule="auto"/>
        <w:jc w:val="both"/>
        <w:rPr>
          <w:rFonts w:ascii="Arial" w:eastAsia="Arial" w:hAnsi="Arial" w:cs="Arial"/>
          <w:sz w:val="24"/>
          <w:szCs w:val="24"/>
        </w:rPr>
      </w:pPr>
      <w:r w:rsidRPr="00B12B5E">
        <w:rPr>
          <w:rFonts w:ascii="Arial" w:eastAsia="Arial" w:hAnsi="Arial" w:cs="Arial"/>
          <w:sz w:val="24"/>
          <w:szCs w:val="24"/>
        </w:rPr>
        <w:t xml:space="preserve">también entre 2008 y 2021, los cuerpos sin vida de personas trans asesinadas se han localizado en espacios abiertos: en la calle (31 %); campo, maleza o área rural (5 %); carretera o autopista (4 %); y playa, río o bajo algún puente (3 %). El abandono de sus cuerpos en espacios abiertos no es un dato menor, pues responde a aquel imaginario colectivo —binario, heterosexual y </w:t>
      </w:r>
      <w:proofErr w:type="spellStart"/>
      <w:r w:rsidRPr="00B12B5E">
        <w:rPr>
          <w:rFonts w:ascii="Arial" w:eastAsia="Arial" w:hAnsi="Arial" w:cs="Arial"/>
          <w:sz w:val="24"/>
          <w:szCs w:val="24"/>
        </w:rPr>
        <w:t>cisgénero</w:t>
      </w:r>
      <w:proofErr w:type="spellEnd"/>
      <w:r w:rsidRPr="00B12B5E">
        <w:rPr>
          <w:rFonts w:ascii="Arial" w:eastAsia="Arial" w:hAnsi="Arial" w:cs="Arial"/>
          <w:sz w:val="24"/>
          <w:szCs w:val="24"/>
        </w:rPr>
        <w:t>— que considera a las personas trans como cuerpos desechables. Por otro lado, también se han registrado muertes en los espacios privados como la residencia propia (17 %), hoteles, moteles o drive-</w:t>
      </w:r>
      <w:proofErr w:type="spellStart"/>
      <w:r w:rsidRPr="00B12B5E">
        <w:rPr>
          <w:rFonts w:ascii="Arial" w:eastAsia="Arial" w:hAnsi="Arial" w:cs="Arial"/>
          <w:sz w:val="24"/>
          <w:szCs w:val="24"/>
        </w:rPr>
        <w:t>ins</w:t>
      </w:r>
      <w:proofErr w:type="spellEnd"/>
      <w:r w:rsidRPr="00B12B5E">
        <w:rPr>
          <w:rFonts w:ascii="Arial" w:eastAsia="Arial" w:hAnsi="Arial" w:cs="Arial"/>
          <w:sz w:val="24"/>
          <w:szCs w:val="24"/>
        </w:rPr>
        <w:t xml:space="preserve"> (2 %).</w:t>
      </w:r>
    </w:p>
    <w:p w:rsidR="00B12B5E" w:rsidRPr="00B12B5E" w:rsidRDefault="00B12B5E" w:rsidP="00B12B5E">
      <w:pPr>
        <w:spacing w:after="0" w:line="360" w:lineRule="auto"/>
        <w:jc w:val="both"/>
        <w:rPr>
          <w:rFonts w:ascii="Arial" w:eastAsia="Arial" w:hAnsi="Arial" w:cs="Arial"/>
          <w:sz w:val="24"/>
          <w:szCs w:val="24"/>
        </w:rPr>
      </w:pPr>
    </w:p>
    <w:p w:rsidR="00B12B5E" w:rsidRDefault="00B12B5E" w:rsidP="00B12B5E">
      <w:pPr>
        <w:spacing w:after="0" w:line="360" w:lineRule="auto"/>
        <w:jc w:val="both"/>
        <w:rPr>
          <w:rFonts w:ascii="Arial" w:eastAsia="Arial" w:hAnsi="Arial" w:cs="Arial"/>
          <w:sz w:val="24"/>
          <w:szCs w:val="24"/>
        </w:rPr>
      </w:pPr>
      <w:r w:rsidRPr="00B12B5E">
        <w:rPr>
          <w:rFonts w:ascii="Arial" w:eastAsia="Arial" w:hAnsi="Arial" w:cs="Arial"/>
          <w:sz w:val="24"/>
          <w:szCs w:val="24"/>
        </w:rPr>
        <w:t xml:space="preserve">Desafortunadamente en el Estado de México las </w:t>
      </w:r>
      <w:proofErr w:type="gramStart"/>
      <w:r w:rsidRPr="00B12B5E">
        <w:rPr>
          <w:rFonts w:ascii="Arial" w:eastAsia="Arial" w:hAnsi="Arial" w:cs="Arial"/>
          <w:sz w:val="24"/>
          <w:szCs w:val="24"/>
        </w:rPr>
        <w:t>mujeres transgénero</w:t>
      </w:r>
      <w:proofErr w:type="gramEnd"/>
      <w:r w:rsidRPr="00B12B5E">
        <w:rPr>
          <w:rFonts w:ascii="Arial" w:eastAsia="Arial" w:hAnsi="Arial" w:cs="Arial"/>
          <w:sz w:val="24"/>
          <w:szCs w:val="24"/>
        </w:rPr>
        <w:t xml:space="preserve"> viven este tipo de violencia como un acto presente. El Observatorio Nacional de crímenes de odio contra personas LGBBTT señala que en lo que va del 2022 se tienen cinco casos de asesinato para nuestra entidad, misma cantidad que el año anterior.</w:t>
      </w:r>
    </w:p>
    <w:p w:rsidR="00B12B5E" w:rsidRPr="00B12B5E" w:rsidRDefault="00B12B5E" w:rsidP="00B12B5E">
      <w:pPr>
        <w:spacing w:after="0" w:line="360" w:lineRule="auto"/>
        <w:jc w:val="both"/>
        <w:rPr>
          <w:rFonts w:ascii="Arial" w:eastAsia="Arial" w:hAnsi="Arial" w:cs="Arial"/>
          <w:sz w:val="24"/>
          <w:szCs w:val="24"/>
        </w:rPr>
      </w:pPr>
    </w:p>
    <w:p w:rsidR="00B12B5E" w:rsidRDefault="00B12B5E" w:rsidP="00B12B5E">
      <w:pPr>
        <w:spacing w:after="0" w:line="360" w:lineRule="auto"/>
        <w:jc w:val="both"/>
        <w:rPr>
          <w:rFonts w:ascii="Arial" w:eastAsia="Arial" w:hAnsi="Arial" w:cs="Arial"/>
          <w:sz w:val="24"/>
          <w:szCs w:val="24"/>
        </w:rPr>
      </w:pPr>
      <w:r w:rsidRPr="00B12B5E">
        <w:rPr>
          <w:rFonts w:ascii="Arial" w:eastAsia="Arial" w:hAnsi="Arial" w:cs="Arial"/>
          <w:sz w:val="24"/>
          <w:szCs w:val="24"/>
        </w:rPr>
        <w:t>Para el colectivo Mujeres Trans Famosas Toluca y Aliadas, son siete los casos de mujeres trans asesinadas por razones de género, lo que pone a la entidad en el segundo lugar a nivel nacional. Sin embargo, mencionan "Las cifras realmente son preocupantes, no del todo reales porque hay más casos, y en algunas investigaciones todavía nos catalogan como hombres vestidos de mujer".</w:t>
      </w:r>
    </w:p>
    <w:p w:rsidR="00B12B5E" w:rsidRPr="00B12B5E" w:rsidRDefault="00B12B5E" w:rsidP="00B12B5E">
      <w:pPr>
        <w:spacing w:after="0" w:line="360" w:lineRule="auto"/>
        <w:jc w:val="both"/>
        <w:rPr>
          <w:rFonts w:ascii="Arial" w:eastAsia="Arial" w:hAnsi="Arial" w:cs="Arial"/>
          <w:sz w:val="24"/>
          <w:szCs w:val="24"/>
        </w:rPr>
      </w:pPr>
    </w:p>
    <w:p w:rsidR="00B12B5E" w:rsidRDefault="00B12B5E" w:rsidP="00B12B5E">
      <w:pPr>
        <w:spacing w:after="0" w:line="360" w:lineRule="auto"/>
        <w:jc w:val="both"/>
        <w:rPr>
          <w:rFonts w:ascii="Arial" w:eastAsia="Arial" w:hAnsi="Arial" w:cs="Arial"/>
          <w:sz w:val="24"/>
          <w:szCs w:val="24"/>
        </w:rPr>
      </w:pPr>
      <w:r w:rsidRPr="00B12B5E">
        <w:rPr>
          <w:rFonts w:ascii="Arial" w:eastAsia="Arial" w:hAnsi="Arial" w:cs="Arial"/>
          <w:sz w:val="24"/>
          <w:szCs w:val="24"/>
        </w:rPr>
        <w:t>A dicha cifra de este año se sumó el caso de Karen, joven trans de 21 años de edad asesinada el pasado sábado 12 de noviembre en Paseo Tollocan.</w:t>
      </w:r>
    </w:p>
    <w:p w:rsidR="00B12B5E" w:rsidRPr="00B12B5E" w:rsidRDefault="00B12B5E" w:rsidP="00B12B5E">
      <w:pPr>
        <w:spacing w:after="0" w:line="360" w:lineRule="auto"/>
        <w:jc w:val="both"/>
        <w:rPr>
          <w:rFonts w:ascii="Arial" w:eastAsia="Arial" w:hAnsi="Arial" w:cs="Arial"/>
          <w:sz w:val="24"/>
          <w:szCs w:val="24"/>
        </w:rPr>
      </w:pPr>
    </w:p>
    <w:p w:rsidR="00B12B5E" w:rsidRDefault="00B12B5E" w:rsidP="00B12B5E">
      <w:pPr>
        <w:spacing w:after="0" w:line="360" w:lineRule="auto"/>
        <w:jc w:val="both"/>
        <w:rPr>
          <w:rFonts w:ascii="Arial" w:eastAsia="Arial" w:hAnsi="Arial" w:cs="Arial"/>
          <w:sz w:val="24"/>
          <w:szCs w:val="24"/>
        </w:rPr>
      </w:pPr>
      <w:r w:rsidRPr="00B12B5E">
        <w:rPr>
          <w:rFonts w:ascii="Arial" w:eastAsia="Arial" w:hAnsi="Arial" w:cs="Arial"/>
          <w:sz w:val="24"/>
          <w:szCs w:val="24"/>
        </w:rPr>
        <w:t xml:space="preserve">Por ello desde el grupo parlamentario de morena exigimos a las autoridades estatales, para que garanticen los derechos de cada una de las identidades, orientaciones y expresiones que conforman la diversidad sexual de nuestra entidad y en específico a la Fiscalía de Justicia del Estado de México para que no haya impunidad en estos casos de crímenes de odio que vivieron las </w:t>
      </w:r>
      <w:proofErr w:type="gramStart"/>
      <w:r w:rsidRPr="00B12B5E">
        <w:rPr>
          <w:rFonts w:ascii="Arial" w:eastAsia="Arial" w:hAnsi="Arial" w:cs="Arial"/>
          <w:sz w:val="24"/>
          <w:szCs w:val="24"/>
        </w:rPr>
        <w:t>mujeres transgénero</w:t>
      </w:r>
      <w:proofErr w:type="gramEnd"/>
      <w:r w:rsidRPr="00B12B5E">
        <w:rPr>
          <w:rFonts w:ascii="Arial" w:eastAsia="Arial" w:hAnsi="Arial" w:cs="Arial"/>
          <w:sz w:val="24"/>
          <w:szCs w:val="24"/>
        </w:rPr>
        <w:t xml:space="preserve"> y se de garantía de acceso integral a la justicia.</w:t>
      </w:r>
    </w:p>
    <w:p w:rsidR="00B12B5E" w:rsidRPr="00B12B5E" w:rsidRDefault="00B12B5E" w:rsidP="00B12B5E">
      <w:pPr>
        <w:spacing w:after="0" w:line="360" w:lineRule="auto"/>
        <w:jc w:val="both"/>
        <w:rPr>
          <w:rFonts w:ascii="Arial" w:eastAsia="Arial" w:hAnsi="Arial" w:cs="Arial"/>
          <w:sz w:val="24"/>
          <w:szCs w:val="24"/>
        </w:rPr>
      </w:pPr>
    </w:p>
    <w:p w:rsidR="00B12B5E" w:rsidRDefault="00B12B5E" w:rsidP="00B12B5E">
      <w:pPr>
        <w:spacing w:after="0" w:line="360" w:lineRule="auto"/>
        <w:jc w:val="both"/>
        <w:rPr>
          <w:rFonts w:ascii="Arial" w:eastAsia="Arial" w:hAnsi="Arial" w:cs="Arial"/>
          <w:sz w:val="24"/>
          <w:szCs w:val="24"/>
        </w:rPr>
      </w:pPr>
      <w:r w:rsidRPr="00B12B5E">
        <w:rPr>
          <w:rFonts w:ascii="Arial" w:eastAsia="Arial" w:hAnsi="Arial" w:cs="Arial"/>
          <w:sz w:val="24"/>
          <w:szCs w:val="24"/>
        </w:rPr>
        <w:t xml:space="preserve">Resulta fundamental seguir visibilizando y demandando las agendas pendientes para garantizar una vida libre de violencia y discriminación para todas las personas con orientación sexual, identidad o expresión de género distintas a la </w:t>
      </w:r>
      <w:proofErr w:type="spellStart"/>
      <w:r w:rsidRPr="00B12B5E">
        <w:rPr>
          <w:rFonts w:ascii="Arial" w:eastAsia="Arial" w:hAnsi="Arial" w:cs="Arial"/>
          <w:sz w:val="24"/>
          <w:szCs w:val="24"/>
        </w:rPr>
        <w:t>heteronorma</w:t>
      </w:r>
      <w:proofErr w:type="spellEnd"/>
      <w:r w:rsidRPr="00B12B5E">
        <w:rPr>
          <w:rFonts w:ascii="Arial" w:eastAsia="Arial" w:hAnsi="Arial" w:cs="Arial"/>
          <w:sz w:val="24"/>
          <w:szCs w:val="24"/>
        </w:rPr>
        <w:t xml:space="preserve">. </w:t>
      </w:r>
    </w:p>
    <w:p w:rsidR="00B12B5E" w:rsidRPr="00B12B5E" w:rsidRDefault="00B12B5E" w:rsidP="00B12B5E">
      <w:pPr>
        <w:spacing w:after="0" w:line="360" w:lineRule="auto"/>
        <w:jc w:val="both"/>
        <w:rPr>
          <w:rFonts w:ascii="Arial" w:eastAsia="Arial" w:hAnsi="Arial" w:cs="Arial"/>
          <w:sz w:val="24"/>
          <w:szCs w:val="24"/>
        </w:rPr>
      </w:pPr>
      <w:r w:rsidRPr="00B12B5E">
        <w:rPr>
          <w:rFonts w:ascii="Arial" w:eastAsia="Arial" w:hAnsi="Arial" w:cs="Arial"/>
          <w:sz w:val="24"/>
          <w:szCs w:val="24"/>
        </w:rPr>
        <w:t>Prevenir y eliminar la discriminación, violencia y crímenes de odio hacia la comunidad LGBTI+, es tarea de todas y todos los que conformamos una sociedad democrática.</w:t>
      </w:r>
    </w:p>
    <w:p w:rsidR="00B12B5E" w:rsidRPr="00B12B5E" w:rsidRDefault="00B12B5E" w:rsidP="00B12B5E">
      <w:pPr>
        <w:spacing w:after="0" w:line="360" w:lineRule="auto"/>
        <w:jc w:val="both"/>
        <w:rPr>
          <w:rFonts w:ascii="Arial" w:eastAsia="Arial" w:hAnsi="Arial" w:cs="Arial"/>
          <w:sz w:val="24"/>
          <w:szCs w:val="24"/>
        </w:rPr>
      </w:pPr>
    </w:p>
    <w:p w:rsidR="00B12B5E" w:rsidRPr="00B12B5E" w:rsidRDefault="00B12B5E" w:rsidP="00B12B5E">
      <w:pPr>
        <w:spacing w:after="0" w:line="360" w:lineRule="auto"/>
        <w:jc w:val="both"/>
        <w:rPr>
          <w:rFonts w:ascii="Arial" w:eastAsia="Arial" w:hAnsi="Arial" w:cs="Arial"/>
          <w:sz w:val="24"/>
          <w:szCs w:val="24"/>
        </w:rPr>
      </w:pPr>
    </w:p>
    <w:p w:rsidR="00B12B5E" w:rsidRDefault="00B12B5E" w:rsidP="00B12B5E">
      <w:pPr>
        <w:spacing w:after="0" w:line="360" w:lineRule="auto"/>
        <w:jc w:val="both"/>
        <w:rPr>
          <w:rFonts w:ascii="Arial" w:eastAsia="Arial" w:hAnsi="Arial" w:cs="Arial"/>
          <w:sz w:val="24"/>
          <w:szCs w:val="24"/>
        </w:rPr>
      </w:pPr>
      <w:r w:rsidRPr="00B12B5E">
        <w:rPr>
          <w:rFonts w:ascii="Arial" w:eastAsia="Arial" w:hAnsi="Arial" w:cs="Arial"/>
          <w:sz w:val="24"/>
          <w:szCs w:val="24"/>
        </w:rPr>
        <w:t>Enfrentar efectivamente a un problema social tan complejo no pasa por fórmulas únicas o soluciones inmediatas. Por ejemplo, en los espacios de educación superior apenas comienza a formarse una cultura de inclusión basada en el respeto, la visibilidad y la aceptación, ya que la experiencia general apunta a que han sido instituciones que han tolerado y reproducido conductas discriminatorias, apelando a una conducta socialmente inaceptable por parte de las personas LGBTTTIQ+.</w:t>
      </w:r>
    </w:p>
    <w:p w:rsidR="00B12B5E" w:rsidRPr="00B12B5E" w:rsidRDefault="00B12B5E" w:rsidP="00B12B5E">
      <w:pPr>
        <w:spacing w:after="0" w:line="360" w:lineRule="auto"/>
        <w:jc w:val="both"/>
        <w:rPr>
          <w:rFonts w:ascii="Arial" w:eastAsia="Arial" w:hAnsi="Arial" w:cs="Arial"/>
          <w:sz w:val="24"/>
          <w:szCs w:val="24"/>
        </w:rPr>
      </w:pPr>
    </w:p>
    <w:p w:rsidR="00B34A7A" w:rsidRPr="00B12B5E" w:rsidRDefault="00B12B5E" w:rsidP="00B12B5E">
      <w:pPr>
        <w:spacing w:after="0" w:line="360" w:lineRule="auto"/>
        <w:jc w:val="both"/>
        <w:rPr>
          <w:rFonts w:ascii="Arial" w:eastAsia="Arial" w:hAnsi="Arial" w:cs="Arial"/>
          <w:sz w:val="24"/>
          <w:szCs w:val="24"/>
        </w:rPr>
      </w:pPr>
      <w:r w:rsidRPr="00B12B5E">
        <w:rPr>
          <w:rFonts w:ascii="Arial" w:eastAsia="Arial" w:hAnsi="Arial" w:cs="Arial"/>
          <w:sz w:val="24"/>
          <w:szCs w:val="24"/>
        </w:rPr>
        <w:t>Es decir, la tarea pendiente de cambio de rumbo no solo recae en la sociedad civil organizada, sino también en el Estado, principalmente a través del impulso firme a la legislación en pro de los derechos de la población LGBTTTIQ+. Pero no nada más eso, hay que inducir a la creación de políticas públicas tanto de corto plazo —por ejemplo, garantizando que las fuerzas de la ley aseguren protección y seguridad a esa población en lugar de ser un instrumento más de su opresión—, como también medidas de mediano y largo plazo —como impulsar y promover activamente la incorporación de la población transgénero al mercado de trabajo formal y en sectores laborales de menor riesgo a su integridad física—. Únicamente con medidas de esa naturaleza, las raíces profundas de la homofobia y de la transfobia serán indudablemente atacadas</w:t>
      </w:r>
    </w:p>
    <w:p w:rsidR="00B34A7A" w:rsidRPr="00FC299A" w:rsidRDefault="00B34A7A" w:rsidP="00B34A7A">
      <w:pPr>
        <w:spacing w:after="0" w:line="360" w:lineRule="auto"/>
        <w:jc w:val="center"/>
        <w:rPr>
          <w:rFonts w:ascii="Arial" w:eastAsia="Arial" w:hAnsi="Arial" w:cs="Arial"/>
          <w:b/>
          <w:sz w:val="24"/>
          <w:szCs w:val="24"/>
        </w:rPr>
      </w:pPr>
      <w:r w:rsidRPr="00FC299A">
        <w:rPr>
          <w:rFonts w:ascii="Arial" w:eastAsia="Arial" w:hAnsi="Arial" w:cs="Arial"/>
          <w:b/>
          <w:sz w:val="24"/>
          <w:szCs w:val="24"/>
        </w:rPr>
        <w:t>A</w:t>
      </w:r>
      <w:r>
        <w:rPr>
          <w:rFonts w:ascii="Arial" w:eastAsia="Arial" w:hAnsi="Arial" w:cs="Arial"/>
          <w:b/>
          <w:sz w:val="24"/>
          <w:szCs w:val="24"/>
        </w:rPr>
        <w:t>T</w:t>
      </w:r>
      <w:r w:rsidRPr="00FC299A">
        <w:rPr>
          <w:rFonts w:ascii="Arial" w:eastAsia="Arial" w:hAnsi="Arial" w:cs="Arial"/>
          <w:b/>
          <w:sz w:val="24"/>
          <w:szCs w:val="24"/>
        </w:rPr>
        <w:t>ENTAMENTE</w:t>
      </w:r>
    </w:p>
    <w:p w:rsidR="00B34A7A" w:rsidRDefault="00B34A7A" w:rsidP="00B34A7A">
      <w:pPr>
        <w:spacing w:after="0" w:line="240" w:lineRule="auto"/>
        <w:jc w:val="center"/>
        <w:rPr>
          <w:rFonts w:ascii="Arial" w:eastAsia="Arial" w:hAnsi="Arial" w:cs="Arial"/>
          <w:b/>
          <w:sz w:val="24"/>
          <w:szCs w:val="24"/>
        </w:rPr>
      </w:pPr>
    </w:p>
    <w:p w:rsidR="00B34A7A" w:rsidRDefault="00B34A7A" w:rsidP="00B34A7A">
      <w:pPr>
        <w:spacing w:after="0" w:line="240" w:lineRule="auto"/>
        <w:jc w:val="center"/>
        <w:rPr>
          <w:rFonts w:ascii="Arial" w:eastAsia="Arial" w:hAnsi="Arial" w:cs="Arial"/>
          <w:b/>
          <w:sz w:val="24"/>
          <w:szCs w:val="24"/>
        </w:rPr>
      </w:pPr>
    </w:p>
    <w:p w:rsidR="00B34A7A" w:rsidRDefault="00B34A7A" w:rsidP="00B34A7A">
      <w:pPr>
        <w:spacing w:after="0" w:line="240" w:lineRule="auto"/>
        <w:jc w:val="center"/>
        <w:rPr>
          <w:rFonts w:ascii="Arial" w:eastAsia="Arial" w:hAnsi="Arial" w:cs="Arial"/>
          <w:b/>
          <w:sz w:val="24"/>
          <w:szCs w:val="24"/>
        </w:rPr>
      </w:pPr>
    </w:p>
    <w:p w:rsidR="00C32070" w:rsidRDefault="00B34A7A" w:rsidP="00C32070">
      <w:pPr>
        <w:spacing w:after="0" w:line="240" w:lineRule="auto"/>
        <w:jc w:val="center"/>
        <w:rPr>
          <w:rFonts w:ascii="Arial" w:eastAsia="Arial" w:hAnsi="Arial" w:cs="Arial"/>
          <w:b/>
          <w:sz w:val="24"/>
          <w:szCs w:val="24"/>
        </w:rPr>
      </w:pPr>
      <w:r w:rsidRPr="004E6F74">
        <w:rPr>
          <w:rFonts w:ascii="Arial" w:eastAsia="Arial" w:hAnsi="Arial" w:cs="Arial"/>
          <w:b/>
          <w:sz w:val="24"/>
          <w:szCs w:val="24"/>
        </w:rPr>
        <w:t xml:space="preserve">DIP. </w:t>
      </w:r>
      <w:r>
        <w:rPr>
          <w:rFonts w:ascii="Arial" w:eastAsia="Arial" w:hAnsi="Arial" w:cs="Arial"/>
          <w:b/>
          <w:sz w:val="24"/>
          <w:szCs w:val="24"/>
        </w:rPr>
        <w:t>A</w:t>
      </w:r>
      <w:r w:rsidR="00C32070">
        <w:rPr>
          <w:rFonts w:ascii="Arial" w:eastAsia="Arial" w:hAnsi="Arial" w:cs="Arial"/>
          <w:b/>
          <w:sz w:val="24"/>
          <w:szCs w:val="24"/>
        </w:rPr>
        <w:t>NAIS MIRIAM BURGOS HERNÁNDEZ</w:t>
      </w:r>
    </w:p>
    <w:p w:rsidR="00B34A7A" w:rsidRDefault="00C32070" w:rsidP="00B34A7A">
      <w:pPr>
        <w:spacing w:after="0" w:line="240" w:lineRule="auto"/>
        <w:jc w:val="center"/>
        <w:rPr>
          <w:rFonts w:ascii="Arial" w:eastAsia="Arial" w:hAnsi="Arial" w:cs="Arial"/>
          <w:b/>
          <w:sz w:val="24"/>
          <w:szCs w:val="24"/>
        </w:rPr>
      </w:pPr>
      <w:r>
        <w:rPr>
          <w:rFonts w:ascii="Arial" w:eastAsia="Arial" w:hAnsi="Arial" w:cs="Arial"/>
          <w:b/>
          <w:sz w:val="24"/>
          <w:szCs w:val="24"/>
        </w:rPr>
        <w:t>PRESENTANTE</w:t>
      </w:r>
    </w:p>
    <w:p w:rsidR="00B34A7A" w:rsidRDefault="00B34A7A" w:rsidP="00B34A7A">
      <w:pPr>
        <w:spacing w:after="0" w:line="240" w:lineRule="auto"/>
        <w:jc w:val="center"/>
        <w:rPr>
          <w:rFonts w:ascii="Arial" w:eastAsia="Arial" w:hAnsi="Arial" w:cs="Arial"/>
          <w:b/>
          <w:sz w:val="24"/>
          <w:szCs w:val="24"/>
        </w:rPr>
      </w:pPr>
    </w:p>
    <w:p w:rsidR="00B34A7A" w:rsidRDefault="00B34A7A" w:rsidP="00B34A7A">
      <w:pPr>
        <w:spacing w:after="0" w:line="240" w:lineRule="auto"/>
        <w:jc w:val="center"/>
        <w:rPr>
          <w:rFonts w:ascii="Arial" w:eastAsia="Arial" w:hAnsi="Arial" w:cs="Arial"/>
          <w:b/>
          <w:sz w:val="24"/>
          <w:szCs w:val="24"/>
        </w:rPr>
      </w:pPr>
    </w:p>
    <w:p w:rsidR="00B34A7A" w:rsidRPr="004E6F74" w:rsidRDefault="00B34A7A" w:rsidP="00B34A7A">
      <w:pPr>
        <w:spacing w:after="0" w:line="240" w:lineRule="auto"/>
        <w:jc w:val="center"/>
        <w:rPr>
          <w:rFonts w:ascii="Arial" w:eastAsia="Arial" w:hAnsi="Arial" w:cs="Arial"/>
          <w:b/>
          <w:sz w:val="24"/>
          <w:szCs w:val="24"/>
        </w:rPr>
      </w:pPr>
    </w:p>
    <w:tbl>
      <w:tblPr>
        <w:tblStyle w:val="TableNormal"/>
        <w:tblW w:w="7913"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B34A7A" w:rsidRPr="000610D7" w:rsidTr="00C5217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00C32070">
              <w:rPr>
                <w:rStyle w:val="Ninguno"/>
                <w:rFonts w:ascii="Arial" w:hAnsi="Arial"/>
                <w:b/>
                <w:bCs/>
                <w:u w:color="000000"/>
                <w:lang w:val="es-ES_tradnl"/>
                <w14:textOutline w14:w="12700" w14:cap="flat" w14:cmpd="sng" w14:algn="ctr">
                  <w14:noFill/>
                  <w14:prstDash w14:val="solid"/>
                  <w14:miter w14:lim="400000"/>
                </w14:textOutline>
              </w:rPr>
              <w:t>MONICA ANGÉLICA ALVEREZ NEMER</w:t>
            </w: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B77456"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ADRIAN MANUEL GALICIA SALCEDA</w:t>
            </w: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B34A7A" w:rsidRPr="000610D7" w:rsidTr="00C5217A">
        <w:trPr>
          <w:trHeight w:val="134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ELBA ALDANA DUARTE</w:t>
            </w: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AZUCENA CISNEROS COSS</w:t>
            </w:r>
          </w:p>
        </w:tc>
      </w:tr>
      <w:tr w:rsidR="00B34A7A" w:rsidRPr="000610D7" w:rsidTr="00C5217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MAURILIO HERNÁNDEZ GONZÁLEZ</w:t>
            </w: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MARCO ANTONIO CRUZ CRUZ</w:t>
            </w:r>
          </w:p>
        </w:tc>
      </w:tr>
      <w:tr w:rsidR="00B34A7A" w:rsidRPr="000610D7" w:rsidTr="00C5217A">
        <w:trPr>
          <w:trHeight w:val="1652"/>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MARIO ARIEL JUAREZ RODRÍGUEZ</w:t>
            </w: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FAUSTINO DE LA CRUZ PÉREZ</w:t>
            </w: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B34A7A" w:rsidRPr="000610D7" w:rsidTr="00C5217A">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NAZARIO GUTIÉRREZ MARTÍNEZ</w:t>
            </w:r>
          </w:p>
        </w:tc>
      </w:tr>
      <w:tr w:rsidR="00B34A7A" w:rsidRPr="000610D7" w:rsidTr="00C5217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GERARDO ULLOA PÉREZ</w:t>
            </w:r>
          </w:p>
        </w:tc>
      </w:tr>
      <w:tr w:rsidR="00B34A7A" w:rsidRPr="000610D7" w:rsidTr="00C5217A">
        <w:trPr>
          <w:trHeight w:val="236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YESICA YANET ROJAS HERNÁNDEZ</w:t>
            </w: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MARIA DEL ROSARIO ELIZALDE VAZQUEZ</w:t>
            </w:r>
          </w:p>
        </w:tc>
        <w:tc>
          <w:tcPr>
            <w:tcW w:w="3859" w:type="dxa"/>
            <w:tcBorders>
              <w:top w:val="nil"/>
              <w:left w:val="nil"/>
              <w:bottom w:val="nil"/>
              <w:right w:val="nil"/>
            </w:tcBorders>
            <w:shd w:val="clear" w:color="auto" w:fill="E9EEF7"/>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 xml:space="preserve">BEATRIZ GARCÍA VILLEGAS </w:t>
            </w: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ROSA MARÍA ZETINA GONZÁLEZ</w:t>
            </w:r>
          </w:p>
        </w:tc>
      </w:tr>
      <w:tr w:rsidR="00B34A7A" w:rsidRPr="000610D7" w:rsidTr="00C5217A">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KARINA LABASTIDA SOTELO</w:t>
            </w: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tc>
      </w:tr>
      <w:tr w:rsidR="00B34A7A" w:rsidRPr="000610D7" w:rsidTr="00C5217A">
        <w:trPr>
          <w:trHeight w:val="787"/>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B34A7A" w:rsidRDefault="00B34A7A" w:rsidP="00C5217A">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rsidR="00B34A7A" w:rsidRPr="000610D7" w:rsidRDefault="00B34A7A" w:rsidP="00C5217A">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r w:rsidRPr="00D7226E">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E9EEF7"/>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ISAAC MARTÍN MONTOYA MÁRQUEZ</w:t>
            </w:r>
          </w:p>
        </w:tc>
      </w:tr>
      <w:tr w:rsidR="00B34A7A" w:rsidRPr="000610D7" w:rsidTr="00C5217A">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34A7A" w:rsidRPr="000610D7" w:rsidRDefault="00B34A7A" w:rsidP="00C5217A">
            <w:pP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34A7A" w:rsidRPr="000610D7" w:rsidRDefault="00B34A7A" w:rsidP="00C5217A">
            <w:pP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r>
      <w:tr w:rsidR="00B34A7A" w:rsidRPr="000610D7" w:rsidTr="00C5217A">
        <w:trPr>
          <w:trHeight w:val="2927"/>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Pr>
                <w:rFonts w:ascii="Arial" w:eastAsia="Arial" w:hAnsi="Arial" w:cs="Arial"/>
                <w:b/>
              </w:rPr>
              <w:t>MAX AGUSTIN CORREA</w:t>
            </w:r>
            <w:r w:rsidRPr="004E6F74">
              <w:rPr>
                <w:rFonts w:ascii="Arial" w:eastAsia="Arial" w:hAnsi="Arial" w:cs="Arial"/>
                <w:b/>
              </w:rPr>
              <w:t xml:space="preserve"> HERNÁNDEZ</w:t>
            </w: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C1150E">
              <w:rPr>
                <w:rStyle w:val="Ninguno"/>
                <w:rFonts w:ascii="Arial" w:hAnsi="Arial"/>
                <w:b/>
                <w:bCs/>
                <w:u w:color="000000"/>
                <w:lang w:val="es-ES_tradnl"/>
                <w14:textOutline w14:w="12700" w14:cap="flat" w14:cmpd="sng" w14:algn="ctr">
                  <w14:noFill/>
                  <w14:prstDash w14:val="solid"/>
                  <w14:miter w14:lim="400000"/>
                </w14:textOutline>
              </w:rPr>
              <w:t>ABRAHAM SARONE CAMPOS</w:t>
            </w:r>
          </w:p>
        </w:tc>
        <w:tc>
          <w:tcPr>
            <w:tcW w:w="3859" w:type="dxa"/>
            <w:tcBorders>
              <w:top w:val="nil"/>
              <w:left w:val="nil"/>
              <w:bottom w:val="nil"/>
              <w:right w:val="nil"/>
            </w:tcBorders>
            <w:shd w:val="clear" w:color="auto" w:fill="E9EEF7"/>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LUZ MA. HERNÁNDEZ BERMUDEZ</w:t>
            </w: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34063B">
              <w:rPr>
                <w:rStyle w:val="Ninguno"/>
                <w:rFonts w:ascii="Arial" w:hAnsi="Arial"/>
                <w:b/>
                <w:bCs/>
                <w:u w:color="000000"/>
                <w:lang w:val="es-ES_tradnl"/>
                <w14:textOutline w14:w="12700" w14:cap="flat" w14:cmpd="sng" w14:algn="ctr">
                  <w14:noFill/>
                  <w14:prstDash w14:val="solid"/>
                  <w14:miter w14:lim="400000"/>
                </w14:textOutline>
              </w:rPr>
              <w:t>ALICIA MERCADO MORENO</w:t>
            </w:r>
          </w:p>
        </w:tc>
      </w:tr>
      <w:tr w:rsidR="00B34A7A" w:rsidRPr="000610D7" w:rsidTr="00C5217A">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944A41">
              <w:rPr>
                <w:rStyle w:val="Ninguno"/>
                <w:rFonts w:ascii="Arial" w:hAnsi="Arial"/>
                <w:b/>
                <w:bCs/>
                <w:u w:color="000000"/>
                <w:lang w:val="es-ES_tradnl"/>
                <w14:textOutline w14:w="12700" w14:cap="flat" w14:cmpd="sng" w14:algn="ctr">
                  <w14:noFill/>
                  <w14:prstDash w14:val="solid"/>
                  <w14:miter w14:lim="400000"/>
                </w14:textOutline>
              </w:rPr>
              <w:t>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5F0833">
              <w:rPr>
                <w:rStyle w:val="Ninguno"/>
                <w:rFonts w:ascii="Arial" w:hAnsi="Arial"/>
                <w:b/>
                <w:bCs/>
                <w:u w:color="000000"/>
                <w:lang w:val="es-ES_tradnl"/>
                <w14:textOutline w14:w="12700" w14:cap="flat" w14:cmpd="sng" w14:algn="ctr">
                  <w14:noFill/>
                  <w14:prstDash w14:val="solid"/>
                  <w14:miter w14:lim="400000"/>
                </w14:textOutline>
              </w:rPr>
              <w:t>EDITH MARISOL MERCADO TORRES</w:t>
            </w:r>
          </w:p>
        </w:tc>
      </w:tr>
      <w:tr w:rsidR="00B34A7A" w:rsidTr="00C5217A">
        <w:trPr>
          <w:trHeight w:val="1343"/>
          <w:jc w:val="center"/>
        </w:trPr>
        <w:tc>
          <w:tcPr>
            <w:tcW w:w="4054" w:type="dxa"/>
            <w:tcBorders>
              <w:top w:val="nil"/>
              <w:left w:val="nil"/>
              <w:bottom w:val="nil"/>
              <w:right w:val="nil"/>
            </w:tcBorders>
            <w:shd w:val="clear" w:color="auto" w:fill="E9EEF7"/>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DIP. EMILIANO AGUIRRE CRUZ</w:t>
            </w:r>
          </w:p>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rsidR="00B34A7A" w:rsidRPr="000610D7"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rsidR="00B34A7A" w:rsidRDefault="00B34A7A" w:rsidP="00C5217A">
            <w:pPr>
              <w:pStyle w:val="Predeterminado"/>
              <w:tabs>
                <w:tab w:val="left" w:pos="708"/>
                <w:tab w:val="left" w:pos="1416"/>
                <w:tab w:val="left" w:pos="2124"/>
                <w:tab w:val="left" w:pos="2832"/>
                <w:tab w:val="left" w:pos="3540"/>
                <w:tab w:val="left" w:pos="3600"/>
              </w:tabs>
              <w:suppressAutoHyphens/>
              <w:spacing w:before="0" w:line="340" w:lineRule="atLeast"/>
              <w:jc w:val="cente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w:t>
            </w:r>
            <w:r>
              <w:rPr>
                <w:rStyle w:val="Ninguno"/>
                <w:rFonts w:ascii="Arial" w:hAnsi="Arial"/>
                <w:b/>
                <w:bCs/>
                <w:u w:color="000000"/>
                <w:lang w:val="es-ES_tradnl"/>
                <w14:textOutline w14:w="12700" w14:cap="flat" w14:cmpd="sng" w14:algn="ctr">
                  <w14:noFill/>
                  <w14:prstDash w14:val="solid"/>
                  <w14:miter w14:lim="400000"/>
                </w14:textOutline>
              </w:rPr>
              <w:t>RÍA DEL CARMEN DE LA ROSA MENDO</w:t>
            </w:r>
            <w:r w:rsidRPr="000610D7">
              <w:rPr>
                <w:rStyle w:val="Ninguno"/>
                <w:rFonts w:ascii="Arial" w:hAnsi="Arial"/>
                <w:b/>
                <w:bCs/>
                <w:u w:color="000000"/>
                <w:lang w:val="es-ES_tradnl"/>
                <w14:textOutline w14:w="12700" w14:cap="flat" w14:cmpd="sng" w14:algn="ctr">
                  <w14:noFill/>
                  <w14:prstDash w14:val="solid"/>
                  <w14:miter w14:lim="400000"/>
                </w14:textOutline>
              </w:rPr>
              <w:t>ZA</w:t>
            </w:r>
          </w:p>
        </w:tc>
      </w:tr>
    </w:tbl>
    <w:p w:rsidR="00B34A7A" w:rsidRDefault="00B34A7A" w:rsidP="00B34A7A">
      <w:pPr>
        <w:spacing w:line="360" w:lineRule="auto"/>
        <w:jc w:val="center"/>
        <w:rPr>
          <w:rFonts w:ascii="Arial" w:eastAsia="Arial" w:hAnsi="Arial" w:cs="Arial"/>
          <w:b/>
          <w:color w:val="000000"/>
          <w:sz w:val="24"/>
          <w:szCs w:val="24"/>
        </w:rPr>
      </w:pPr>
    </w:p>
    <w:p w:rsidR="00B34A7A" w:rsidRDefault="00B34A7A" w:rsidP="00B34A7A">
      <w:pPr>
        <w:spacing w:line="360" w:lineRule="auto"/>
        <w:rPr>
          <w:rFonts w:ascii="Arial" w:eastAsia="Arial" w:hAnsi="Arial" w:cs="Arial"/>
          <w:b/>
          <w:color w:val="000000"/>
          <w:sz w:val="24"/>
          <w:szCs w:val="24"/>
        </w:rPr>
      </w:pPr>
    </w:p>
    <w:p w:rsidR="00C32070" w:rsidRDefault="00C32070" w:rsidP="00B34A7A">
      <w:pPr>
        <w:spacing w:line="360" w:lineRule="auto"/>
        <w:rPr>
          <w:rFonts w:ascii="Arial" w:eastAsia="Arial" w:hAnsi="Arial" w:cs="Arial"/>
          <w:b/>
          <w:color w:val="000000"/>
          <w:sz w:val="24"/>
          <w:szCs w:val="24"/>
        </w:rPr>
      </w:pPr>
    </w:p>
    <w:p w:rsidR="00C32070" w:rsidRDefault="00C32070" w:rsidP="00B34A7A">
      <w:pPr>
        <w:spacing w:line="360" w:lineRule="auto"/>
        <w:rPr>
          <w:rFonts w:ascii="Arial" w:eastAsia="Arial" w:hAnsi="Arial" w:cs="Arial"/>
          <w:b/>
          <w:color w:val="000000"/>
          <w:sz w:val="24"/>
          <w:szCs w:val="24"/>
        </w:rPr>
      </w:pPr>
    </w:p>
    <w:p w:rsidR="00C32070" w:rsidRDefault="00C32070" w:rsidP="00B34A7A">
      <w:pPr>
        <w:spacing w:line="360" w:lineRule="auto"/>
        <w:rPr>
          <w:rFonts w:ascii="Arial" w:eastAsia="Arial" w:hAnsi="Arial" w:cs="Arial"/>
          <w:b/>
          <w:color w:val="000000"/>
          <w:sz w:val="24"/>
          <w:szCs w:val="24"/>
        </w:rPr>
      </w:pPr>
    </w:p>
    <w:p w:rsidR="00C32070" w:rsidRDefault="00C32070" w:rsidP="00B34A7A">
      <w:pPr>
        <w:spacing w:line="360" w:lineRule="auto"/>
        <w:rPr>
          <w:rFonts w:ascii="Arial" w:eastAsia="Arial" w:hAnsi="Arial" w:cs="Arial"/>
          <w:b/>
          <w:color w:val="000000"/>
          <w:sz w:val="24"/>
          <w:szCs w:val="24"/>
        </w:rPr>
      </w:pPr>
    </w:p>
    <w:p w:rsidR="00C32070" w:rsidRDefault="00C32070" w:rsidP="00B34A7A">
      <w:pPr>
        <w:spacing w:line="360" w:lineRule="auto"/>
        <w:rPr>
          <w:rFonts w:ascii="Arial" w:eastAsia="Arial" w:hAnsi="Arial" w:cs="Arial"/>
          <w:b/>
          <w:color w:val="000000"/>
          <w:sz w:val="24"/>
          <w:szCs w:val="24"/>
        </w:rPr>
      </w:pPr>
    </w:p>
    <w:p w:rsidR="00C32070" w:rsidRDefault="00C32070" w:rsidP="00B34A7A">
      <w:pPr>
        <w:spacing w:line="360" w:lineRule="auto"/>
        <w:rPr>
          <w:rFonts w:ascii="Arial" w:eastAsia="Arial" w:hAnsi="Arial" w:cs="Arial"/>
          <w:b/>
          <w:color w:val="000000"/>
          <w:sz w:val="24"/>
          <w:szCs w:val="24"/>
        </w:rPr>
      </w:pPr>
    </w:p>
    <w:p w:rsidR="00C32070" w:rsidRDefault="00C32070" w:rsidP="00B34A7A">
      <w:pPr>
        <w:spacing w:line="360" w:lineRule="auto"/>
        <w:rPr>
          <w:rFonts w:ascii="Arial" w:eastAsia="Arial" w:hAnsi="Arial" w:cs="Arial"/>
          <w:b/>
          <w:color w:val="000000"/>
          <w:sz w:val="24"/>
          <w:szCs w:val="24"/>
        </w:rPr>
      </w:pPr>
    </w:p>
    <w:p w:rsidR="00B34A7A" w:rsidRDefault="00B34A7A" w:rsidP="00B34A7A">
      <w:pPr>
        <w:spacing w:line="360" w:lineRule="auto"/>
        <w:jc w:val="center"/>
        <w:rPr>
          <w:rFonts w:ascii="Arial" w:eastAsia="Arial" w:hAnsi="Arial" w:cs="Arial"/>
          <w:b/>
          <w:color w:val="000000"/>
          <w:sz w:val="24"/>
          <w:szCs w:val="24"/>
        </w:rPr>
      </w:pPr>
      <w:r w:rsidRPr="004E6F74">
        <w:rPr>
          <w:rFonts w:ascii="Arial" w:eastAsia="Arial" w:hAnsi="Arial" w:cs="Arial"/>
          <w:b/>
          <w:color w:val="000000"/>
          <w:sz w:val="24"/>
          <w:szCs w:val="24"/>
        </w:rPr>
        <w:t>PROYECTO DE ACUERDO</w:t>
      </w:r>
    </w:p>
    <w:p w:rsidR="00B34A7A" w:rsidRDefault="00B34A7A" w:rsidP="00B34A7A">
      <w:pPr>
        <w:spacing w:line="360" w:lineRule="auto"/>
        <w:ind w:right="49"/>
        <w:jc w:val="both"/>
        <w:rPr>
          <w:rFonts w:ascii="Arial" w:eastAsia="Arial" w:hAnsi="Arial" w:cs="Arial"/>
          <w:b/>
          <w:sz w:val="24"/>
          <w:szCs w:val="24"/>
        </w:rPr>
      </w:pPr>
      <w:r w:rsidRPr="00090478">
        <w:rPr>
          <w:rFonts w:ascii="Arial" w:eastAsia="Arial" w:hAnsi="Arial" w:cs="Arial"/>
          <w:b/>
          <w:sz w:val="24"/>
          <w:szCs w:val="24"/>
        </w:rPr>
        <w:t xml:space="preserve">LA H. </w:t>
      </w:r>
      <w:r>
        <w:rPr>
          <w:rFonts w:ascii="Arial" w:eastAsia="Arial" w:hAnsi="Arial" w:cs="Arial"/>
          <w:b/>
          <w:sz w:val="24"/>
          <w:szCs w:val="24"/>
        </w:rPr>
        <w:t>“</w:t>
      </w:r>
      <w:r w:rsidRPr="00090478">
        <w:rPr>
          <w:rFonts w:ascii="Arial" w:eastAsia="Arial" w:hAnsi="Arial" w:cs="Arial"/>
          <w:b/>
          <w:sz w:val="24"/>
          <w:szCs w:val="24"/>
        </w:rPr>
        <w:t>LXI</w:t>
      </w:r>
      <w:r>
        <w:rPr>
          <w:rFonts w:ascii="Arial" w:eastAsia="Arial" w:hAnsi="Arial" w:cs="Arial"/>
          <w:b/>
          <w:sz w:val="24"/>
          <w:szCs w:val="24"/>
        </w:rPr>
        <w:t>”</w:t>
      </w:r>
      <w:r w:rsidRPr="00090478">
        <w:rPr>
          <w:rFonts w:ascii="Arial" w:eastAsia="Arial" w:hAnsi="Arial" w:cs="Arial"/>
          <w:b/>
          <w:sz w:val="24"/>
          <w:szCs w:val="24"/>
        </w:rPr>
        <w:t xml:space="preserve"> LEGISLATURA DEL ESTADO DE MÉXICO, CON FUNDAMENTO EN LOS ARTÍCULOS 55, 57</w:t>
      </w:r>
      <w:r w:rsidR="00AE0C44">
        <w:rPr>
          <w:rFonts w:ascii="Arial" w:eastAsia="Arial" w:hAnsi="Arial" w:cs="Arial"/>
          <w:b/>
          <w:sz w:val="24"/>
          <w:szCs w:val="24"/>
        </w:rPr>
        <w:t xml:space="preserve"> </w:t>
      </w:r>
      <w:r w:rsidRPr="00090478">
        <w:rPr>
          <w:rFonts w:ascii="Arial" w:eastAsia="Arial" w:hAnsi="Arial" w:cs="Arial"/>
          <w:b/>
          <w:sz w:val="24"/>
          <w:szCs w:val="24"/>
        </w:rPr>
        <w:t>DE LA CONSTITUCIÓN POLÍTICA DEL ESTADO LIBRE Y SOBERANO DE MÉXICO</w:t>
      </w:r>
      <w:r>
        <w:rPr>
          <w:rFonts w:ascii="Arial" w:eastAsia="Arial" w:hAnsi="Arial" w:cs="Arial"/>
          <w:b/>
          <w:sz w:val="24"/>
          <w:szCs w:val="24"/>
        </w:rPr>
        <w:t>;</w:t>
      </w:r>
      <w:r w:rsidRPr="00090478">
        <w:rPr>
          <w:rFonts w:ascii="Arial" w:eastAsia="Arial" w:hAnsi="Arial" w:cs="Arial"/>
          <w:b/>
          <w:sz w:val="24"/>
          <w:szCs w:val="24"/>
        </w:rPr>
        <w:t xml:space="preserve"> 83 DE LA LEY ORGÁNICA DEL PODER LEGISLATIVO DEL ESTADO LIBRE Y SOBERANO DE MÉXICO;</w:t>
      </w:r>
      <w:r w:rsidR="00AE0C44">
        <w:rPr>
          <w:rFonts w:ascii="Arial" w:eastAsia="Arial" w:hAnsi="Arial" w:cs="Arial"/>
          <w:b/>
          <w:sz w:val="24"/>
          <w:szCs w:val="24"/>
        </w:rPr>
        <w:t xml:space="preserve"> Y</w:t>
      </w:r>
      <w:r w:rsidRPr="00090478">
        <w:rPr>
          <w:rFonts w:ascii="Arial" w:eastAsia="Arial" w:hAnsi="Arial" w:cs="Arial"/>
          <w:b/>
          <w:sz w:val="24"/>
          <w:szCs w:val="24"/>
        </w:rPr>
        <w:t xml:space="preserve"> 74 DEL REGLAMENTO DEL PODER LEGISLATIVO DEL ESTADO LIBRE Y SOBERANO DE MÉXICO, HA TENIDO A BIEN EMITIR EL SIGUIENTE:</w:t>
      </w:r>
    </w:p>
    <w:p w:rsidR="00B34A7A" w:rsidRPr="004E6F74" w:rsidRDefault="00B34A7A" w:rsidP="00B34A7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both"/>
        <w:rPr>
          <w:rFonts w:ascii="Arial" w:eastAsia="Arial" w:hAnsi="Arial" w:cs="Arial"/>
          <w:color w:val="000000"/>
          <w:sz w:val="24"/>
          <w:szCs w:val="24"/>
        </w:rPr>
      </w:pPr>
    </w:p>
    <w:p w:rsidR="00B34A7A" w:rsidRPr="004E6F74" w:rsidRDefault="00B34A7A" w:rsidP="00B34A7A">
      <w:pPr>
        <w:pBdr>
          <w:top w:val="nil"/>
          <w:left w:val="nil"/>
          <w:bottom w:val="nil"/>
          <w:right w:val="nil"/>
          <w:between w:val="nil"/>
        </w:pBdr>
        <w:spacing w:line="360" w:lineRule="auto"/>
        <w:jc w:val="center"/>
        <w:rPr>
          <w:rFonts w:ascii="Arial" w:eastAsia="Arial" w:hAnsi="Arial" w:cs="Arial"/>
          <w:b/>
          <w:color w:val="000000"/>
          <w:sz w:val="24"/>
          <w:szCs w:val="24"/>
        </w:rPr>
      </w:pPr>
      <w:r w:rsidRPr="004E6F74">
        <w:rPr>
          <w:rFonts w:ascii="Arial" w:eastAsia="Arial" w:hAnsi="Arial" w:cs="Arial"/>
          <w:b/>
          <w:color w:val="000000"/>
          <w:sz w:val="24"/>
          <w:szCs w:val="24"/>
        </w:rPr>
        <w:t>ACUERDO</w:t>
      </w:r>
    </w:p>
    <w:p w:rsidR="00B34A7A" w:rsidRPr="00B12B5E" w:rsidRDefault="00B12B5E" w:rsidP="00B34A7A">
      <w:pPr>
        <w:pBdr>
          <w:top w:val="nil"/>
          <w:left w:val="nil"/>
          <w:bottom w:val="nil"/>
          <w:right w:val="nil"/>
          <w:between w:val="nil"/>
        </w:pBdr>
        <w:spacing w:line="360" w:lineRule="auto"/>
        <w:jc w:val="both"/>
        <w:rPr>
          <w:rFonts w:ascii="Arial" w:eastAsia="Arial" w:hAnsi="Arial" w:cs="Arial"/>
          <w:sz w:val="24"/>
          <w:szCs w:val="24"/>
        </w:rPr>
      </w:pPr>
      <w:bookmarkStart w:id="4" w:name="_1fob9te" w:colFirst="0" w:colLast="0"/>
      <w:bookmarkStart w:id="5" w:name="_Hlk119578226"/>
      <w:bookmarkEnd w:id="4"/>
      <w:r>
        <w:rPr>
          <w:rFonts w:ascii="Arial" w:eastAsia="Arial" w:hAnsi="Arial" w:cs="Arial"/>
          <w:b/>
          <w:color w:val="000000"/>
          <w:sz w:val="24"/>
          <w:szCs w:val="24"/>
        </w:rPr>
        <w:t xml:space="preserve">ÚNICO. - </w:t>
      </w:r>
      <w:r w:rsidRPr="00B12B5E">
        <w:rPr>
          <w:rFonts w:ascii="Arial" w:eastAsia="Arial" w:hAnsi="Arial" w:cs="Arial"/>
          <w:sz w:val="24"/>
          <w:szCs w:val="24"/>
        </w:rPr>
        <w:t>Se exhorta respetuosamente al</w:t>
      </w:r>
      <w:r w:rsidRPr="00B12B5E">
        <w:rPr>
          <w:rFonts w:ascii="Arial" w:eastAsia="Arial" w:hAnsi="Arial" w:cs="Arial"/>
          <w:b/>
          <w:sz w:val="24"/>
          <w:szCs w:val="24"/>
        </w:rPr>
        <w:t xml:space="preserve"> Titular de la Fiscalía General de Justicia del Estado de México </w:t>
      </w:r>
      <w:r w:rsidRPr="00B12B5E">
        <w:rPr>
          <w:rFonts w:ascii="Arial" w:eastAsia="Arial" w:hAnsi="Arial" w:cs="Arial"/>
          <w:sz w:val="24"/>
          <w:szCs w:val="24"/>
        </w:rPr>
        <w:t>para que informe a esta Soberanía sobre el estatus procesal de los crímenes de odio cometido contra las mujeres transgénero en el año 2022 en el Estado de México</w:t>
      </w:r>
      <w:r>
        <w:rPr>
          <w:rFonts w:ascii="Arial" w:eastAsia="Arial" w:hAnsi="Arial" w:cs="Arial"/>
          <w:sz w:val="24"/>
          <w:szCs w:val="24"/>
        </w:rPr>
        <w:t>.</w:t>
      </w:r>
    </w:p>
    <w:bookmarkEnd w:id="5"/>
    <w:p w:rsidR="00B34A7A" w:rsidRPr="00D7076D" w:rsidRDefault="00B34A7A" w:rsidP="00B34A7A">
      <w:pPr>
        <w:pBdr>
          <w:top w:val="nil"/>
          <w:left w:val="nil"/>
          <w:bottom w:val="nil"/>
          <w:right w:val="nil"/>
          <w:between w:val="nil"/>
        </w:pBdr>
        <w:spacing w:after="0" w:line="360" w:lineRule="auto"/>
        <w:jc w:val="center"/>
        <w:rPr>
          <w:rFonts w:ascii="Arial" w:eastAsia="Arial" w:hAnsi="Arial" w:cs="Arial"/>
          <w:b/>
          <w:color w:val="000000"/>
          <w:sz w:val="24"/>
          <w:szCs w:val="24"/>
          <w:lang w:val="en-US"/>
        </w:rPr>
      </w:pPr>
      <w:r w:rsidRPr="00D7076D">
        <w:rPr>
          <w:rFonts w:ascii="Arial" w:eastAsia="Arial" w:hAnsi="Arial" w:cs="Arial"/>
          <w:b/>
          <w:color w:val="000000"/>
          <w:sz w:val="24"/>
          <w:szCs w:val="24"/>
          <w:lang w:val="en-US"/>
        </w:rPr>
        <w:t>T R A N S I T O R I O S</w:t>
      </w:r>
    </w:p>
    <w:p w:rsidR="00B34A7A" w:rsidRPr="00D7076D" w:rsidRDefault="00B34A7A" w:rsidP="00B34A7A">
      <w:pPr>
        <w:pBdr>
          <w:top w:val="nil"/>
          <w:left w:val="nil"/>
          <w:bottom w:val="nil"/>
          <w:right w:val="nil"/>
          <w:between w:val="nil"/>
        </w:pBdr>
        <w:spacing w:after="0" w:line="360" w:lineRule="auto"/>
        <w:jc w:val="both"/>
        <w:rPr>
          <w:rFonts w:ascii="Arial" w:eastAsia="Arial" w:hAnsi="Arial" w:cs="Arial"/>
          <w:b/>
          <w:color w:val="000000"/>
          <w:sz w:val="24"/>
          <w:szCs w:val="24"/>
          <w:lang w:val="en-US"/>
        </w:rPr>
      </w:pPr>
    </w:p>
    <w:p w:rsidR="00B34A7A" w:rsidRDefault="00B34A7A" w:rsidP="00B34A7A">
      <w:pPr>
        <w:pBdr>
          <w:top w:val="nil"/>
          <w:left w:val="nil"/>
          <w:bottom w:val="nil"/>
          <w:right w:val="nil"/>
          <w:between w:val="nil"/>
        </w:pBdr>
        <w:spacing w:after="0" w:line="360" w:lineRule="auto"/>
        <w:jc w:val="both"/>
        <w:rPr>
          <w:rFonts w:ascii="Arial" w:eastAsia="Arial" w:hAnsi="Arial" w:cs="Arial"/>
          <w:color w:val="000000"/>
          <w:sz w:val="24"/>
          <w:szCs w:val="24"/>
        </w:rPr>
      </w:pPr>
      <w:r w:rsidRPr="004E6F74">
        <w:rPr>
          <w:rFonts w:ascii="Arial" w:eastAsia="Arial" w:hAnsi="Arial" w:cs="Arial"/>
          <w:b/>
          <w:color w:val="000000"/>
          <w:sz w:val="24"/>
          <w:szCs w:val="24"/>
        </w:rPr>
        <w:t>ARTÍCULO PRIMERO.</w:t>
      </w:r>
      <w:r w:rsidRPr="004E6F74">
        <w:rPr>
          <w:rFonts w:ascii="Arial" w:eastAsia="Arial" w:hAnsi="Arial" w:cs="Arial"/>
          <w:color w:val="000000"/>
          <w:sz w:val="24"/>
          <w:szCs w:val="24"/>
        </w:rPr>
        <w:t xml:space="preserve"> - Publíquese el presente Acuerdo en el Periódico Oficial “</w:t>
      </w:r>
      <w:r w:rsidRPr="004E6F74">
        <w:rPr>
          <w:rFonts w:ascii="Arial" w:eastAsia="Arial" w:hAnsi="Arial" w:cs="Arial"/>
          <w:i/>
          <w:color w:val="000000"/>
          <w:sz w:val="24"/>
          <w:szCs w:val="24"/>
        </w:rPr>
        <w:t>Gaceta del Gobierno</w:t>
      </w:r>
      <w:r w:rsidRPr="004E6F74">
        <w:rPr>
          <w:rFonts w:ascii="Arial" w:eastAsia="Arial" w:hAnsi="Arial" w:cs="Arial"/>
          <w:color w:val="000000"/>
          <w:sz w:val="24"/>
          <w:szCs w:val="24"/>
        </w:rPr>
        <w:t>” del Estado Libre y Soberano de México.</w:t>
      </w:r>
    </w:p>
    <w:p w:rsidR="00B34A7A" w:rsidRPr="004E6F74" w:rsidRDefault="00B34A7A" w:rsidP="00B34A7A">
      <w:pPr>
        <w:pBdr>
          <w:top w:val="nil"/>
          <w:left w:val="nil"/>
          <w:bottom w:val="nil"/>
          <w:right w:val="nil"/>
          <w:between w:val="nil"/>
        </w:pBdr>
        <w:spacing w:after="0" w:line="360" w:lineRule="auto"/>
        <w:jc w:val="both"/>
        <w:rPr>
          <w:rFonts w:ascii="Arial" w:eastAsia="Arial" w:hAnsi="Arial" w:cs="Arial"/>
          <w:color w:val="000000"/>
          <w:sz w:val="24"/>
          <w:szCs w:val="24"/>
        </w:rPr>
      </w:pPr>
    </w:p>
    <w:p w:rsidR="00B34A7A" w:rsidRDefault="00B34A7A" w:rsidP="00B34A7A">
      <w:pPr>
        <w:pBdr>
          <w:top w:val="nil"/>
          <w:left w:val="nil"/>
          <w:bottom w:val="nil"/>
          <w:right w:val="nil"/>
          <w:between w:val="nil"/>
        </w:pBdr>
        <w:spacing w:after="0" w:line="360" w:lineRule="auto"/>
        <w:jc w:val="both"/>
        <w:rPr>
          <w:rFonts w:ascii="Arial" w:eastAsia="Arial" w:hAnsi="Arial" w:cs="Arial"/>
          <w:color w:val="000000"/>
          <w:sz w:val="24"/>
          <w:szCs w:val="24"/>
        </w:rPr>
      </w:pPr>
      <w:r w:rsidRPr="004E6F74">
        <w:rPr>
          <w:rFonts w:ascii="Arial" w:eastAsia="Arial" w:hAnsi="Arial" w:cs="Arial"/>
          <w:b/>
          <w:color w:val="000000"/>
          <w:sz w:val="24"/>
          <w:szCs w:val="24"/>
        </w:rPr>
        <w:t>ARTÍCULO SEGUNDO</w:t>
      </w:r>
      <w:r w:rsidRPr="004E6F74">
        <w:rPr>
          <w:rFonts w:ascii="Arial" w:eastAsia="Arial" w:hAnsi="Arial" w:cs="Arial"/>
          <w:color w:val="000000"/>
          <w:sz w:val="24"/>
          <w:szCs w:val="24"/>
        </w:rPr>
        <w:t xml:space="preserve">. </w:t>
      </w:r>
      <w:r>
        <w:rPr>
          <w:rFonts w:ascii="Arial" w:eastAsia="Arial" w:hAnsi="Arial" w:cs="Arial"/>
          <w:color w:val="000000"/>
          <w:sz w:val="24"/>
          <w:szCs w:val="24"/>
        </w:rPr>
        <w:t xml:space="preserve">Comuníquese el </w:t>
      </w:r>
      <w:r w:rsidRPr="004E6F74">
        <w:rPr>
          <w:rFonts w:ascii="Arial" w:eastAsia="Arial" w:hAnsi="Arial" w:cs="Arial"/>
          <w:color w:val="000000"/>
          <w:sz w:val="24"/>
          <w:szCs w:val="24"/>
        </w:rPr>
        <w:t xml:space="preserve">presente Acuerdo </w:t>
      </w:r>
      <w:r>
        <w:rPr>
          <w:rFonts w:ascii="Arial" w:eastAsia="Arial" w:hAnsi="Arial" w:cs="Arial"/>
          <w:color w:val="000000"/>
          <w:sz w:val="24"/>
          <w:szCs w:val="24"/>
        </w:rPr>
        <w:t>a las autoridades correspondientes, para los efectos competentes</w:t>
      </w:r>
      <w:r w:rsidRPr="004E6F74">
        <w:rPr>
          <w:rFonts w:ascii="Arial" w:eastAsia="Arial" w:hAnsi="Arial" w:cs="Arial"/>
          <w:color w:val="000000"/>
          <w:sz w:val="24"/>
          <w:szCs w:val="24"/>
        </w:rPr>
        <w:t>.</w:t>
      </w:r>
    </w:p>
    <w:p w:rsidR="00B34A7A" w:rsidRPr="004E6F74" w:rsidRDefault="00B34A7A" w:rsidP="00B34A7A">
      <w:pPr>
        <w:pBdr>
          <w:top w:val="nil"/>
          <w:left w:val="nil"/>
          <w:bottom w:val="nil"/>
          <w:right w:val="nil"/>
          <w:between w:val="nil"/>
        </w:pBdr>
        <w:spacing w:after="0" w:line="360" w:lineRule="auto"/>
        <w:jc w:val="both"/>
        <w:rPr>
          <w:rFonts w:ascii="Arial" w:eastAsia="Arial" w:hAnsi="Arial" w:cs="Arial"/>
          <w:color w:val="000000"/>
          <w:sz w:val="24"/>
          <w:szCs w:val="24"/>
        </w:rPr>
      </w:pPr>
    </w:p>
    <w:p w:rsidR="00B34A7A" w:rsidRPr="00B12B5E" w:rsidRDefault="00B34A7A" w:rsidP="00B12B5E">
      <w:pPr>
        <w:pBdr>
          <w:top w:val="nil"/>
          <w:left w:val="nil"/>
          <w:bottom w:val="nil"/>
          <w:right w:val="nil"/>
          <w:between w:val="nil"/>
        </w:pBdr>
        <w:spacing w:after="0" w:line="360" w:lineRule="auto"/>
        <w:jc w:val="both"/>
        <w:rPr>
          <w:rFonts w:ascii="Helvetica Neue" w:eastAsia="Helvetica Neue" w:hAnsi="Helvetica Neue" w:cs="Helvetica Neue"/>
          <w:color w:val="000000"/>
          <w:sz w:val="24"/>
          <w:szCs w:val="24"/>
        </w:rPr>
      </w:pPr>
      <w:r w:rsidRPr="004E6F74">
        <w:rPr>
          <w:rFonts w:ascii="Arial" w:eastAsia="Arial" w:hAnsi="Arial" w:cs="Arial"/>
          <w:color w:val="000000"/>
          <w:sz w:val="24"/>
          <w:szCs w:val="24"/>
        </w:rPr>
        <w:t xml:space="preserve">Dado en el Palacio del Poder Legislativo, en la </w:t>
      </w:r>
      <w:r>
        <w:rPr>
          <w:rFonts w:ascii="Arial" w:eastAsia="Arial" w:hAnsi="Arial" w:cs="Arial"/>
          <w:color w:val="000000"/>
          <w:sz w:val="24"/>
          <w:szCs w:val="24"/>
        </w:rPr>
        <w:t>C</w:t>
      </w:r>
      <w:r w:rsidRPr="004E6F74">
        <w:rPr>
          <w:rFonts w:ascii="Arial" w:eastAsia="Arial" w:hAnsi="Arial" w:cs="Arial"/>
          <w:color w:val="000000"/>
          <w:sz w:val="24"/>
          <w:szCs w:val="24"/>
        </w:rPr>
        <w:t xml:space="preserve">iudad de Toluca de Lerdo, capital del Estado de México, a los ______ días del mes de </w:t>
      </w:r>
      <w:r>
        <w:rPr>
          <w:rFonts w:ascii="Arial" w:eastAsia="Arial" w:hAnsi="Arial" w:cs="Arial"/>
          <w:color w:val="000000"/>
          <w:sz w:val="24"/>
          <w:szCs w:val="24"/>
        </w:rPr>
        <w:t>_________</w:t>
      </w:r>
      <w:r w:rsidRPr="004E6F74">
        <w:rPr>
          <w:rFonts w:ascii="Arial" w:eastAsia="Arial" w:hAnsi="Arial" w:cs="Arial"/>
          <w:color w:val="000000"/>
          <w:sz w:val="24"/>
          <w:szCs w:val="24"/>
        </w:rPr>
        <w:t xml:space="preserve"> del año dos mil veintidós.</w:t>
      </w:r>
    </w:p>
    <w:p w:rsidR="00B91A86" w:rsidRDefault="00B91A86"/>
    <w:sectPr w:rsidR="00B91A86">
      <w:headerReference w:type="even" r:id="rId6"/>
      <w:headerReference w:type="default" r:id="rId7"/>
      <w:footerReference w:type="default" r:id="rId8"/>
      <w:headerReference w:type="first" r:id="rId9"/>
      <w:pgSz w:w="12240" w:h="15840"/>
      <w:pgMar w:top="1935"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5571" w:rsidRDefault="00585571">
      <w:pPr>
        <w:spacing w:after="0" w:line="240" w:lineRule="auto"/>
      </w:pPr>
      <w:r>
        <w:separator/>
      </w:r>
    </w:p>
  </w:endnote>
  <w:endnote w:type="continuationSeparator" w:id="0">
    <w:p w:rsidR="00585571" w:rsidRDefault="00585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884"/>
      <w:gridCol w:w="884"/>
      <w:gridCol w:w="883"/>
      <w:gridCol w:w="883"/>
      <w:gridCol w:w="883"/>
      <w:gridCol w:w="883"/>
      <w:gridCol w:w="886"/>
    </w:tblGrid>
    <w:tr w:rsidR="004E6F74" w:rsidTr="00866673">
      <w:tc>
        <w:tcPr>
          <w:tcW w:w="2692" w:type="dxa"/>
        </w:tcPr>
        <w:p w:rsidR="004E6F74" w:rsidRPr="00D254E5" w:rsidRDefault="00C32070" w:rsidP="004E6F74">
          <w:pPr>
            <w:pStyle w:val="Piedepgina"/>
            <w:jc w:val="both"/>
            <w:rPr>
              <w:sz w:val="18"/>
              <w:szCs w:val="18"/>
            </w:rPr>
          </w:pPr>
          <w:r w:rsidRPr="00D254E5">
            <w:rPr>
              <w:sz w:val="18"/>
              <w:szCs w:val="18"/>
            </w:rPr>
            <w:t>Plaza Hidalgo S/N Col. Centro</w:t>
          </w:r>
        </w:p>
        <w:p w:rsidR="004E6F74" w:rsidRPr="00D254E5" w:rsidRDefault="00C32070" w:rsidP="004E6F74">
          <w:pPr>
            <w:pStyle w:val="Piedepgina"/>
            <w:jc w:val="both"/>
            <w:rPr>
              <w:sz w:val="18"/>
              <w:szCs w:val="18"/>
            </w:rPr>
          </w:pPr>
          <w:r w:rsidRPr="00D254E5">
            <w:rPr>
              <w:sz w:val="18"/>
              <w:szCs w:val="18"/>
            </w:rPr>
            <w:t>Toluca, México, C.P. 50000</w:t>
          </w:r>
        </w:p>
        <w:p w:rsidR="004E6F74" w:rsidRDefault="00C32070" w:rsidP="004E6F74">
          <w:pPr>
            <w:pStyle w:val="Piedepgina"/>
            <w:jc w:val="both"/>
          </w:pPr>
          <w:r w:rsidRPr="00D254E5">
            <w:rPr>
              <w:sz w:val="18"/>
              <w:szCs w:val="18"/>
            </w:rPr>
            <w:t xml:space="preserve">Tels. (722) 279 6400 </w:t>
          </w:r>
        </w:p>
      </w:tc>
      <w:tc>
        <w:tcPr>
          <w:tcW w:w="898" w:type="dxa"/>
        </w:tcPr>
        <w:p w:rsidR="004E6F74" w:rsidRDefault="00585571" w:rsidP="004E6F74">
          <w:pPr>
            <w:pStyle w:val="Piedepgina"/>
            <w:jc w:val="right"/>
          </w:pPr>
        </w:p>
      </w:tc>
      <w:tc>
        <w:tcPr>
          <w:tcW w:w="898" w:type="dxa"/>
        </w:tcPr>
        <w:p w:rsidR="004E6F74" w:rsidRDefault="00C32070" w:rsidP="004E6F74">
          <w:pPr>
            <w:pStyle w:val="Piedepgina"/>
            <w:jc w:val="right"/>
          </w:pPr>
          <w:r w:rsidRPr="00C85FE3">
            <w:rPr>
              <w:rFonts w:ascii="Lato" w:hAnsi="Lato"/>
              <w:noProof/>
              <w:color w:val="97184B"/>
              <w:sz w:val="18"/>
            </w:rPr>
            <w:drawing>
              <wp:anchor distT="0" distB="0" distL="114300" distR="114300" simplePos="0" relativeHeight="251662336" behindDoc="0" locked="0" layoutInCell="1" allowOverlap="1" wp14:anchorId="6453DDB8" wp14:editId="006DD29C">
                <wp:simplePos x="0" y="0"/>
                <wp:positionH relativeFrom="column">
                  <wp:posOffset>30480</wp:posOffset>
                </wp:positionH>
                <wp:positionV relativeFrom="paragraph">
                  <wp:posOffset>15875</wp:posOffset>
                </wp:positionV>
                <wp:extent cx="1077595" cy="424180"/>
                <wp:effectExtent l="0" t="0" r="8255"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1">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p>
      </w:tc>
      <w:tc>
        <w:tcPr>
          <w:tcW w:w="898" w:type="dxa"/>
        </w:tcPr>
        <w:p w:rsidR="004E6F74" w:rsidRDefault="00585571" w:rsidP="004E6F74">
          <w:pPr>
            <w:pStyle w:val="Piedepgina"/>
            <w:jc w:val="right"/>
          </w:pPr>
        </w:p>
      </w:tc>
      <w:tc>
        <w:tcPr>
          <w:tcW w:w="898" w:type="dxa"/>
        </w:tcPr>
        <w:p w:rsidR="004E6F74" w:rsidRDefault="00585571" w:rsidP="004E6F74">
          <w:pPr>
            <w:pStyle w:val="Piedepgina"/>
            <w:jc w:val="right"/>
          </w:pPr>
        </w:p>
      </w:tc>
      <w:tc>
        <w:tcPr>
          <w:tcW w:w="898" w:type="dxa"/>
        </w:tcPr>
        <w:p w:rsidR="004E6F74" w:rsidRDefault="00585571" w:rsidP="004E6F74">
          <w:pPr>
            <w:pStyle w:val="Piedepgina"/>
            <w:jc w:val="right"/>
          </w:pPr>
        </w:p>
      </w:tc>
      <w:tc>
        <w:tcPr>
          <w:tcW w:w="898" w:type="dxa"/>
        </w:tcPr>
        <w:p w:rsidR="004E6F74" w:rsidRDefault="00C32070" w:rsidP="004E6F74">
          <w:pPr>
            <w:pStyle w:val="Piedepgina"/>
            <w:jc w:val="right"/>
          </w:pPr>
          <w:r w:rsidRPr="00B110F3">
            <w:rPr>
              <w:rFonts w:cs="Times New Roman"/>
              <w:noProof/>
            </w:rPr>
            <w:drawing>
              <wp:anchor distT="0" distB="0" distL="114300" distR="114300" simplePos="0" relativeHeight="251663360" behindDoc="0" locked="0" layoutInCell="1" allowOverlap="1" wp14:anchorId="10355A54" wp14:editId="69D71012">
                <wp:simplePos x="0" y="0"/>
                <wp:positionH relativeFrom="column">
                  <wp:posOffset>-836930</wp:posOffset>
                </wp:positionH>
                <wp:positionV relativeFrom="page">
                  <wp:posOffset>46355</wp:posOffset>
                </wp:positionV>
                <wp:extent cx="1972310" cy="309880"/>
                <wp:effectExtent l="0" t="0" r="889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972310" cy="309880"/>
                        </a:xfrm>
                        <a:prstGeom prst="rect">
                          <a:avLst/>
                        </a:prstGeom>
                        <a:noFill/>
                      </pic:spPr>
                    </pic:pic>
                  </a:graphicData>
                </a:graphic>
                <wp14:sizeRelH relativeFrom="page">
                  <wp14:pctWidth>0</wp14:pctWidth>
                </wp14:sizeRelH>
                <wp14:sizeRelV relativeFrom="page">
                  <wp14:pctHeight>0</wp14:pctHeight>
                </wp14:sizeRelV>
              </wp:anchor>
            </w:drawing>
          </w:r>
        </w:p>
      </w:tc>
      <w:tc>
        <w:tcPr>
          <w:tcW w:w="898" w:type="dxa"/>
        </w:tcPr>
        <w:p w:rsidR="004E6F74" w:rsidRDefault="00585571" w:rsidP="004E6F74">
          <w:pPr>
            <w:pStyle w:val="Piedepgina"/>
            <w:jc w:val="right"/>
          </w:pPr>
        </w:p>
        <w:p w:rsidR="004E6F74" w:rsidRDefault="00585571" w:rsidP="004E6F74">
          <w:pPr>
            <w:pStyle w:val="Piedepgina"/>
            <w:jc w:val="right"/>
          </w:pPr>
        </w:p>
        <w:p w:rsidR="004E6F74" w:rsidRDefault="00C32070" w:rsidP="004E6F74">
          <w:pPr>
            <w:pStyle w:val="Piedepgina"/>
            <w:jc w:val="right"/>
          </w:pPr>
          <w:r>
            <w:fldChar w:fldCharType="begin"/>
          </w:r>
          <w:r>
            <w:instrText>PAGE   \* MERGEFORMAT</w:instrText>
          </w:r>
          <w:r>
            <w:fldChar w:fldCharType="separate"/>
          </w:r>
          <w:r w:rsidRPr="004E4800">
            <w:rPr>
              <w:noProof/>
              <w:lang w:val="es-ES"/>
            </w:rPr>
            <w:t>1</w:t>
          </w:r>
          <w:r>
            <w:fldChar w:fldCharType="end"/>
          </w:r>
        </w:p>
      </w:tc>
    </w:tr>
  </w:tbl>
  <w:p w:rsidR="00CB200F" w:rsidRDefault="00585571">
    <w:pPr>
      <w:pBdr>
        <w:top w:val="nil"/>
        <w:left w:val="nil"/>
        <w:bottom w:val="nil"/>
        <w:right w:val="nil"/>
        <w:between w:val="nil"/>
      </w:pBdr>
      <w:tabs>
        <w:tab w:val="center" w:pos="4419"/>
        <w:tab w:val="right" w:pos="8838"/>
      </w:tabs>
      <w:spacing w:after="0" w:line="240" w:lineRule="auto"/>
      <w:jc w:val="center"/>
      <w:rPr>
        <w:color w:val="000000"/>
      </w:rPr>
    </w:pPr>
  </w:p>
  <w:p w:rsidR="00CB200F" w:rsidRDefault="00585571">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5571" w:rsidRDefault="00585571">
      <w:pPr>
        <w:spacing w:after="0" w:line="240" w:lineRule="auto"/>
      </w:pPr>
      <w:r>
        <w:separator/>
      </w:r>
    </w:p>
  </w:footnote>
  <w:footnote w:type="continuationSeparator" w:id="0">
    <w:p w:rsidR="00585571" w:rsidRDefault="00585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00F" w:rsidRDefault="00C32070">
    <w:pPr>
      <w:spacing w:after="0"/>
      <w:ind w:left="-1440" w:right="3306"/>
    </w:pPr>
    <w:r>
      <w:rPr>
        <w:noProof/>
        <w:lang w:eastAsia="es-MX"/>
      </w:rPr>
      <w:drawing>
        <wp:anchor distT="0" distB="0" distL="114300" distR="114300" simplePos="0" relativeHeight="251660288" behindDoc="0" locked="0" layoutInCell="1" hidden="0" allowOverlap="1" wp14:anchorId="50899B7B" wp14:editId="4A1EA635">
          <wp:simplePos x="0" y="0"/>
          <wp:positionH relativeFrom="page">
            <wp:posOffset>3013202</wp:posOffset>
          </wp:positionH>
          <wp:positionV relativeFrom="page">
            <wp:posOffset>457200</wp:posOffset>
          </wp:positionV>
          <wp:extent cx="1745996" cy="574269"/>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45996" cy="574269"/>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159" w:rsidRDefault="00C32070" w:rsidP="00264159">
    <w:pPr>
      <w:pStyle w:val="Encabezado"/>
      <w:jc w:val="center"/>
      <w:rPr>
        <w:noProof/>
        <w:lang w:eastAsia="es-MX"/>
      </w:rPr>
    </w:pPr>
    <w:r>
      <w:rPr>
        <w:noProof/>
        <w:lang w:eastAsia="es-MX"/>
      </w:rPr>
      <mc:AlternateContent>
        <mc:Choice Requires="wps">
          <w:drawing>
            <wp:anchor distT="0" distB="0" distL="114300" distR="114300" simplePos="0" relativeHeight="251661312" behindDoc="0" locked="0" layoutInCell="1" allowOverlap="1" wp14:anchorId="14DB2802" wp14:editId="369A85A8">
              <wp:simplePos x="0" y="0"/>
              <wp:positionH relativeFrom="column">
                <wp:posOffset>2197100</wp:posOffset>
              </wp:positionH>
              <wp:positionV relativeFrom="paragraph">
                <wp:posOffset>605155</wp:posOffset>
              </wp:positionV>
              <wp:extent cx="1977390" cy="216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rsidR="00264159" w:rsidRPr="00C85FE3" w:rsidRDefault="00C32070" w:rsidP="00264159">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264159" w:rsidRPr="00847C68" w:rsidRDefault="00585571" w:rsidP="00264159">
                          <w:pPr>
                            <w:rPr>
                              <w:rFonts w:ascii="Lato" w:hAnsi="Lato"/>
                              <w:b/>
                              <w:color w:val="692044"/>
                              <w:sz w:val="14"/>
                              <w:szCs w:val="14"/>
                            </w:rPr>
                          </w:pPr>
                        </w:p>
                        <w:p w:rsidR="00264159" w:rsidRPr="00847C68" w:rsidRDefault="00585571" w:rsidP="00264159">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DB2802" id="_x0000_t202" coordsize="21600,21600" o:spt="202" path="m,l,21600r21600,l21600,xe">
              <v:stroke joinstyle="miter"/>
              <v:path gradientshapeok="t" o:connecttype="rect"/>
            </v:shapetype>
            <v:shape id="Cuadro de texto 2" o:spid="_x0000_s1026" type="#_x0000_t202" style="position:absolute;left:0;text-align:left;margin-left:173pt;margin-top:47.65pt;width:155.7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" filled="f" stroked="f">
              <v:textbox>
                <w:txbxContent>
                  <w:p w:rsidR="00264159" w:rsidRPr="00C85FE3" w:rsidRDefault="00C32070" w:rsidP="00264159">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264159" w:rsidRPr="00847C68" w:rsidRDefault="00B8230E" w:rsidP="00264159">
                    <w:pPr>
                      <w:rPr>
                        <w:rFonts w:ascii="Lato" w:hAnsi="Lato"/>
                        <w:b/>
                        <w:color w:val="692044"/>
                        <w:sz w:val="14"/>
                        <w:szCs w:val="14"/>
                      </w:rPr>
                    </w:pPr>
                  </w:p>
                  <w:p w:rsidR="00264159" w:rsidRPr="00847C68" w:rsidRDefault="00B8230E" w:rsidP="00264159">
                    <w:pPr>
                      <w:rPr>
                        <w:rFonts w:ascii="Lato" w:hAnsi="Lato"/>
                        <w:b/>
                        <w:color w:val="692044"/>
                        <w:sz w:val="14"/>
                        <w:szCs w:val="14"/>
                      </w:rPr>
                    </w:pPr>
                  </w:p>
                </w:txbxContent>
              </v:textbox>
            </v:shape>
          </w:pict>
        </mc:Fallback>
      </mc:AlternateContent>
    </w:r>
    <w:r>
      <w:rPr>
        <w:noProof/>
        <w:lang w:eastAsia="es-MX"/>
      </w:rPr>
      <w:drawing>
        <wp:inline distT="0" distB="0" distL="0" distR="0" wp14:anchorId="610648F5" wp14:editId="4929D16B">
          <wp:extent cx="2429170"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282" cy="813971"/>
                  </a:xfrm>
                  <a:prstGeom prst="rect">
                    <a:avLst/>
                  </a:prstGeom>
                  <a:noFill/>
                  <a:ln>
                    <a:noFill/>
                  </a:ln>
                </pic:spPr>
              </pic:pic>
            </a:graphicData>
          </a:graphic>
        </wp:inline>
      </w:drawing>
    </w:r>
  </w:p>
  <w:p w:rsidR="00264159" w:rsidRDefault="00C32070" w:rsidP="00264159">
    <w:pPr>
      <w:pStyle w:val="Encabezado"/>
      <w:spacing w:line="360" w:lineRule="auto"/>
      <w:jc w:val="center"/>
    </w:pPr>
    <w:r>
      <w:rPr>
        <w:b/>
        <w:color w:val="96174A"/>
        <w:sz w:val="16"/>
      </w:rPr>
      <w:t xml:space="preserve"> “2022. Año del Quincentenario de Toluca de Lerdo, Capital del Estado de México”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00F" w:rsidRDefault="00C32070">
    <w:pPr>
      <w:spacing w:after="0"/>
      <w:ind w:left="-1440" w:right="3306"/>
    </w:pPr>
    <w:r>
      <w:rPr>
        <w:noProof/>
        <w:lang w:eastAsia="es-MX"/>
      </w:rPr>
      <w:drawing>
        <wp:anchor distT="0" distB="0" distL="114300" distR="114300" simplePos="0" relativeHeight="251659264" behindDoc="0" locked="0" layoutInCell="1" hidden="0" allowOverlap="1" wp14:anchorId="7A9079C9" wp14:editId="139D041E">
          <wp:simplePos x="0" y="0"/>
          <wp:positionH relativeFrom="page">
            <wp:posOffset>3013202</wp:posOffset>
          </wp:positionH>
          <wp:positionV relativeFrom="page">
            <wp:posOffset>457200</wp:posOffset>
          </wp:positionV>
          <wp:extent cx="1745996" cy="574269"/>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45996" cy="574269"/>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A7A"/>
    <w:rsid w:val="000F5C76"/>
    <w:rsid w:val="001E4368"/>
    <w:rsid w:val="00233B6B"/>
    <w:rsid w:val="0037615A"/>
    <w:rsid w:val="004E30B3"/>
    <w:rsid w:val="00585571"/>
    <w:rsid w:val="00657C67"/>
    <w:rsid w:val="00695C66"/>
    <w:rsid w:val="00835AB4"/>
    <w:rsid w:val="0088714F"/>
    <w:rsid w:val="009E2CC6"/>
    <w:rsid w:val="00A320E8"/>
    <w:rsid w:val="00AA049A"/>
    <w:rsid w:val="00AE0C44"/>
    <w:rsid w:val="00B0402A"/>
    <w:rsid w:val="00B12B5E"/>
    <w:rsid w:val="00B34A7A"/>
    <w:rsid w:val="00B8230E"/>
    <w:rsid w:val="00B91A86"/>
    <w:rsid w:val="00C32070"/>
    <w:rsid w:val="00FA2D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BE6ED9-2F2B-4FF4-91F3-AB9BF9EBD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4A7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B34A7A"/>
    <w:rPr>
      <w:rFonts w:ascii="Calibri" w:eastAsia="Calibri" w:hAnsi="Calibri" w:cs="Calibri"/>
      <w:lang w:eastAsia="es-MX"/>
    </w:rPr>
    <w:tblPr>
      <w:tblCellMar>
        <w:top w:w="0" w:type="dxa"/>
        <w:left w:w="0" w:type="dxa"/>
        <w:bottom w:w="0" w:type="dxa"/>
        <w:right w:w="0" w:type="dxa"/>
      </w:tblCellMar>
    </w:tblPr>
  </w:style>
  <w:style w:type="paragraph" w:styleId="Encabezado">
    <w:name w:val="header"/>
    <w:basedOn w:val="Normal"/>
    <w:link w:val="EncabezadoCar"/>
    <w:uiPriority w:val="99"/>
    <w:unhideWhenUsed/>
    <w:rsid w:val="00B34A7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4A7A"/>
  </w:style>
  <w:style w:type="character" w:customStyle="1" w:styleId="Ninguno">
    <w:name w:val="Ninguno"/>
    <w:rsid w:val="00B34A7A"/>
  </w:style>
  <w:style w:type="paragraph" w:customStyle="1" w:styleId="Predeterminado">
    <w:name w:val="Predeterminado"/>
    <w:rsid w:val="00B34A7A"/>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paragraph" w:styleId="Piedepgina">
    <w:name w:val="footer"/>
    <w:basedOn w:val="Normal"/>
    <w:link w:val="PiedepginaCar"/>
    <w:uiPriority w:val="99"/>
    <w:unhideWhenUsed/>
    <w:rsid w:val="00B34A7A"/>
    <w:pPr>
      <w:tabs>
        <w:tab w:val="center" w:pos="4419"/>
        <w:tab w:val="right" w:pos="8838"/>
      </w:tabs>
      <w:spacing w:after="0" w:line="240" w:lineRule="auto"/>
    </w:pPr>
    <w:rPr>
      <w:rFonts w:ascii="Calibri" w:eastAsia="Calibri" w:hAnsi="Calibri" w:cs="Calibri"/>
      <w:lang w:eastAsia="es-MX"/>
    </w:rPr>
  </w:style>
  <w:style w:type="character" w:customStyle="1" w:styleId="PiedepginaCar">
    <w:name w:val="Pie de página Car"/>
    <w:basedOn w:val="Fuentedeprrafopredeter"/>
    <w:link w:val="Piedepgina"/>
    <w:uiPriority w:val="99"/>
    <w:rsid w:val="00B34A7A"/>
    <w:rPr>
      <w:rFonts w:ascii="Calibri" w:eastAsia="Calibri" w:hAnsi="Calibri" w:cs="Calibri"/>
      <w:lang w:eastAsia="es-MX"/>
    </w:rPr>
  </w:style>
  <w:style w:type="table" w:styleId="Tablaconcuadrcula">
    <w:name w:val="Table Grid"/>
    <w:basedOn w:val="Tablanormal"/>
    <w:uiPriority w:val="59"/>
    <w:rsid w:val="00B34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E0C4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0C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1614</Words>
  <Characters>8878</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cp:lastPrinted>2022-11-24T18:33:00Z</cp:lastPrinted>
  <dcterms:created xsi:type="dcterms:W3CDTF">2022-12-05T19:38:00Z</dcterms:created>
  <dcterms:modified xsi:type="dcterms:W3CDTF">2022-12-05T19:38:00Z</dcterms:modified>
</cp:coreProperties>
</file>