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816" w:rsidRDefault="00D33816">
      <w:pPr>
        <w:widowControl/>
        <w:pBdr>
          <w:top w:val="nil"/>
          <w:left w:val="nil"/>
          <w:bottom w:val="nil"/>
          <w:right w:val="nil"/>
          <w:between w:val="nil"/>
        </w:pBdr>
        <w:spacing w:line="276" w:lineRule="auto"/>
        <w:jc w:val="right"/>
        <w:rPr>
          <w:rFonts w:ascii="Arial" w:eastAsia="Arial" w:hAnsi="Arial" w:cs="Arial"/>
          <w:color w:val="000000"/>
          <w:sz w:val="20"/>
          <w:szCs w:val="20"/>
        </w:rPr>
      </w:pPr>
      <w:bookmarkStart w:id="0" w:name="_GoBack"/>
      <w:bookmarkEnd w:id="0"/>
    </w:p>
    <w:p w:rsidR="00D33816" w:rsidRDefault="00A347B6">
      <w:pPr>
        <w:spacing w:before="200" w:line="360" w:lineRule="auto"/>
        <w:ind w:left="550" w:right="350"/>
        <w:jc w:val="both"/>
        <w:rPr>
          <w:rFonts w:ascii="Arial" w:eastAsia="Arial" w:hAnsi="Arial" w:cs="Arial"/>
          <w:b/>
          <w:bCs/>
          <w:color w:val="000000"/>
          <w:sz w:val="28"/>
          <w:szCs w:val="28"/>
        </w:rPr>
      </w:pPr>
      <w:r>
        <w:rPr>
          <w:rFonts w:ascii="Arial" w:eastAsia="Arial" w:hAnsi="Arial" w:cs="Arial"/>
          <w:b/>
          <w:bCs/>
          <w:color w:val="000000"/>
          <w:sz w:val="28"/>
          <w:szCs w:val="28"/>
        </w:rPr>
        <w:t>Dip. Martha Azucena Camacho Reynoso,</w:t>
      </w:r>
    </w:p>
    <w:p w:rsidR="00D33816" w:rsidRDefault="00A347B6">
      <w:pPr>
        <w:spacing w:before="200" w:line="360" w:lineRule="auto"/>
        <w:ind w:left="550" w:right="4846"/>
        <w:jc w:val="both"/>
        <w:rPr>
          <w:rFonts w:ascii="Arial" w:eastAsia="Arial" w:hAnsi="Arial" w:cs="Arial"/>
          <w:color w:val="000000"/>
          <w:sz w:val="28"/>
          <w:szCs w:val="28"/>
        </w:rPr>
      </w:pPr>
      <w:r>
        <w:rPr>
          <w:rFonts w:ascii="Arial" w:eastAsia="Arial" w:hAnsi="Arial" w:cs="Arial"/>
          <w:b/>
          <w:bCs/>
          <w:color w:val="000000"/>
          <w:sz w:val="28"/>
          <w:szCs w:val="28"/>
        </w:rPr>
        <w:t>Presidenta de la Mesa Directiva de la Cámara de Diputados del Estado de México </w:t>
      </w:r>
    </w:p>
    <w:p w:rsidR="00D33816" w:rsidRDefault="00D33816">
      <w:pPr>
        <w:spacing w:line="360" w:lineRule="auto"/>
        <w:ind w:left="550" w:right="350"/>
        <w:jc w:val="both"/>
        <w:rPr>
          <w:rFonts w:ascii="Arial" w:eastAsia="Arial" w:hAnsi="Arial" w:cs="Arial"/>
          <w:color w:val="000000"/>
        </w:rPr>
      </w:pPr>
    </w:p>
    <w:p w:rsidR="00D33816" w:rsidRDefault="00A347B6">
      <w:pPr>
        <w:spacing w:line="360" w:lineRule="auto"/>
        <w:ind w:left="550" w:right="350"/>
        <w:jc w:val="both"/>
        <w:rPr>
          <w:rFonts w:ascii="Arial" w:eastAsia="Arial" w:hAnsi="Arial" w:cs="Arial"/>
          <w:color w:val="000000"/>
          <w:sz w:val="28"/>
          <w:szCs w:val="28"/>
        </w:rPr>
      </w:pPr>
      <w:bookmarkStart w:id="1" w:name="_heading=h.hqo878l1qnzi" w:colFirst="0" w:colLast="0"/>
      <w:bookmarkEnd w:id="1"/>
      <w:r>
        <w:rPr>
          <w:rFonts w:ascii="Arial" w:eastAsia="Arial" w:hAnsi="Arial" w:cs="Arial"/>
          <w:color w:val="000000"/>
          <w:sz w:val="28"/>
          <w:szCs w:val="28"/>
        </w:rPr>
        <w:t>Octavio Martínez Vargas, Diputado del grupo parlamentario de Morena en la LXII Legislatura del Congreso del Estado Libre y Soberano de México. Con fundamento en lo dispuesto por el artículo 51 fracción II de la Constitución Política del Estado Libre y Sobe</w:t>
      </w:r>
      <w:r>
        <w:rPr>
          <w:rFonts w:ascii="Arial" w:eastAsia="Arial" w:hAnsi="Arial" w:cs="Arial"/>
          <w:color w:val="000000"/>
          <w:sz w:val="28"/>
          <w:szCs w:val="28"/>
        </w:rPr>
        <w:t>rano y los artículos 28 fracción I, 38, 79 y 81 fracciones I, II y III de la Ley Orgánica del Poder Legislativo del Estado de México, someto por su digno conducto, ante esa Honorable Asamblea, la Iniciativa con Proyecto de Decreto por el que se reforman, a</w:t>
      </w:r>
      <w:r>
        <w:rPr>
          <w:rFonts w:ascii="Arial" w:eastAsia="Arial" w:hAnsi="Arial" w:cs="Arial"/>
          <w:color w:val="000000"/>
          <w:sz w:val="28"/>
          <w:szCs w:val="28"/>
        </w:rPr>
        <w:t>dicionan y derogan diversas disposiciones de la Ley de Amnistía del Estado de México, al tenor de la siguiente:</w:t>
      </w:r>
    </w:p>
    <w:p w:rsidR="00D33816" w:rsidRDefault="00A347B6">
      <w:pPr>
        <w:spacing w:line="360" w:lineRule="auto"/>
        <w:ind w:left="550" w:right="350"/>
        <w:jc w:val="center"/>
        <w:rPr>
          <w:rFonts w:ascii="Arial" w:eastAsia="Arial" w:hAnsi="Arial" w:cs="Arial"/>
          <w:b/>
          <w:bCs/>
          <w:sz w:val="28"/>
          <w:szCs w:val="28"/>
        </w:rPr>
      </w:pPr>
      <w:r>
        <w:rPr>
          <w:rFonts w:ascii="Arial" w:eastAsia="Arial" w:hAnsi="Arial" w:cs="Arial"/>
          <w:b/>
          <w:bCs/>
          <w:sz w:val="28"/>
          <w:szCs w:val="28"/>
        </w:rPr>
        <w:t>EXPOSICIÓN DE MOTIVOS</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 xml:space="preserve">Un sistema de justicia se legitima no sólo por su capacidad para sancionar conductas tipificadas como delito, sino por su </w:t>
      </w:r>
      <w:r>
        <w:rPr>
          <w:rFonts w:ascii="Arial" w:eastAsia="Arial" w:hAnsi="Arial" w:cs="Arial"/>
          <w:color w:val="000000"/>
          <w:sz w:val="28"/>
          <w:szCs w:val="28"/>
        </w:rPr>
        <w:t>aptitud para reconocer cuándo el ejercicio del poder punitivo ha dejado de cumplir una función de protección social y se ha transformado en una fuente de agravios, exclusión y daño institucional. Esta premisa ha sido reiterada por organismos internacionale</w:t>
      </w:r>
      <w:r>
        <w:rPr>
          <w:rFonts w:ascii="Arial" w:eastAsia="Arial" w:hAnsi="Arial" w:cs="Arial"/>
          <w:color w:val="000000"/>
          <w:sz w:val="28"/>
          <w:szCs w:val="28"/>
        </w:rPr>
        <w:t xml:space="preserve">s, tales como la </w:t>
      </w:r>
      <w:r>
        <w:rPr>
          <w:rFonts w:ascii="Arial" w:eastAsia="Arial" w:hAnsi="Arial" w:cs="Arial"/>
          <w:color w:val="000000"/>
          <w:sz w:val="28"/>
          <w:szCs w:val="28"/>
        </w:rPr>
        <w:lastRenderedPageBreak/>
        <w:t xml:space="preserve">Comisión Interamericana de Derechos Humanos, que en su Informe sobre el uso de la prisión preventiva en las Américas (2017) advirtió que el castigo, cuando se aplica de manera desproporcionada o acrítica, erosiona la legitimidad y vulnera </w:t>
      </w:r>
      <w:r>
        <w:rPr>
          <w:rFonts w:ascii="Arial" w:eastAsia="Arial" w:hAnsi="Arial" w:cs="Arial"/>
          <w:color w:val="000000"/>
          <w:sz w:val="28"/>
          <w:szCs w:val="28"/>
        </w:rPr>
        <w:t xml:space="preserve">el Estado de derecho.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 xml:space="preserve">En los últimos años, en el Estado de México se ha acumulado evidencia social, jurídica y humana que obliga a replantear los mecanismos mediante los cuales el propio Estado revisa y corrige las consecuencias de su actuación penal. De </w:t>
      </w:r>
      <w:r>
        <w:rPr>
          <w:rFonts w:ascii="Arial" w:eastAsia="Arial" w:hAnsi="Arial" w:cs="Arial"/>
          <w:color w:val="000000"/>
          <w:sz w:val="28"/>
          <w:szCs w:val="28"/>
        </w:rPr>
        <w:t>acuerdo con el Censo Nacional de Sistema Penitenciario Federal y Estatal del INEGI (2023), el Estado de México mantiene de manera constante una de las poblaciones penitenciarias más numerosas del país, con más de 34 mil personas privadas de la libertad, lo</w:t>
      </w:r>
      <w:r>
        <w:rPr>
          <w:rFonts w:ascii="Arial" w:eastAsia="Arial" w:hAnsi="Arial" w:cs="Arial"/>
          <w:color w:val="000000"/>
          <w:sz w:val="28"/>
          <w:szCs w:val="28"/>
        </w:rPr>
        <w:t xml:space="preserve"> que representa aproximadamente una décima parte del total nacional, pese a no concentrar la misma proporción de delitos de alto impacto.</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La operatividad del sistema punitivo ha enfrentado retos estructurales persistentes. Informes de la Comisión Nacional de los Derechos Humanos presentan prácticas recurrentes como detenciones arbitrarias, uso excesivo de la fuerza, integración deficiente de</w:t>
      </w:r>
      <w:r>
        <w:rPr>
          <w:rFonts w:ascii="Arial" w:eastAsia="Arial" w:hAnsi="Arial" w:cs="Arial"/>
          <w:color w:val="000000"/>
          <w:sz w:val="28"/>
          <w:szCs w:val="28"/>
        </w:rPr>
        <w:t xml:space="preserve"> carpetas de investigación y utilización de pruebas obtenidas sin respeto al debido proceso. Estas fallas han sido reconocidas incluso por autoridades judiciales federales, que en resoluciones de </w:t>
      </w:r>
      <w:r>
        <w:rPr>
          <w:rFonts w:ascii="Arial" w:eastAsia="Arial" w:hAnsi="Arial" w:cs="Arial"/>
          <w:color w:val="000000"/>
          <w:sz w:val="28"/>
          <w:szCs w:val="28"/>
        </w:rPr>
        <w:lastRenderedPageBreak/>
        <w:t>amparo han ordenado reposiciones de procedimiento por violac</w:t>
      </w:r>
      <w:r>
        <w:rPr>
          <w:rFonts w:ascii="Arial" w:eastAsia="Arial" w:hAnsi="Arial" w:cs="Arial"/>
          <w:color w:val="000000"/>
          <w:sz w:val="28"/>
          <w:szCs w:val="28"/>
        </w:rPr>
        <w:t xml:space="preserve">iones graves a derechos fundamentales.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En este contexto, la amnistía emerge como una figura de profunda relevancia pública. No se trata de un acto de indulgencia ni de una renuncia a la legalidad, sino de una herramienta institucional de corrección, orien</w:t>
      </w:r>
      <w:r>
        <w:rPr>
          <w:rFonts w:ascii="Arial" w:eastAsia="Arial" w:hAnsi="Arial" w:cs="Arial"/>
          <w:color w:val="000000"/>
          <w:sz w:val="28"/>
          <w:szCs w:val="28"/>
        </w:rPr>
        <w:t>tada a restituir el sentido de justicia cuando la aplicación del derecho ha resultado desproporcionada, injusta o contraria a los derechos humanos.</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Esta necesidad se ha hecho particularmente visible a partir de experiencias recuperadas por asociaciones civ</w:t>
      </w:r>
      <w:r>
        <w:rPr>
          <w:rFonts w:ascii="Arial" w:eastAsia="Arial" w:hAnsi="Arial" w:cs="Arial"/>
          <w:color w:val="000000"/>
          <w:sz w:val="28"/>
          <w:szCs w:val="28"/>
        </w:rPr>
        <w:t>iles, colectivos de defensa de derechos humanos y organismos públicos. Casos de personas privadas de la libertad por procesos viciados, investigaciones sustentadas en pruebas endebles o ilícitas, confesiones obtenidas bajo presión, así como la criminalizac</w:t>
      </w:r>
      <w:r>
        <w:rPr>
          <w:rFonts w:ascii="Arial" w:eastAsia="Arial" w:hAnsi="Arial" w:cs="Arial"/>
          <w:color w:val="000000"/>
          <w:sz w:val="28"/>
          <w:szCs w:val="28"/>
        </w:rPr>
        <w:t>ión de conductas vinculadas a condiciones de vulnerabilidad social, han sido señalados de manera constante como manifestaciones de un problema estructural y no como hechos aislados.</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Quienes carecen de recursos económicos, defensa técnica adecuada o se encu</w:t>
      </w:r>
      <w:r>
        <w:rPr>
          <w:rFonts w:ascii="Arial" w:eastAsia="Arial" w:hAnsi="Arial" w:cs="Arial"/>
          <w:color w:val="000000"/>
          <w:sz w:val="28"/>
          <w:szCs w:val="28"/>
        </w:rPr>
        <w:t>entran en condiciones de discriminación sistemática, enfrentan mayores probabilidades de permanecer en prisión preventiva por periodos prolongados, de aceptar procedimientos abreviados sin pleno conocimiento de sus derechos o de ser sentenciados en proceso</w:t>
      </w:r>
      <w:r>
        <w:rPr>
          <w:rFonts w:ascii="Arial" w:eastAsia="Arial" w:hAnsi="Arial" w:cs="Arial"/>
          <w:color w:val="000000"/>
          <w:sz w:val="28"/>
          <w:szCs w:val="28"/>
        </w:rPr>
        <w:t xml:space="preserve">s donde el debido proceso ha sido seriamente </w:t>
      </w:r>
      <w:r>
        <w:rPr>
          <w:rFonts w:ascii="Arial" w:eastAsia="Arial" w:hAnsi="Arial" w:cs="Arial"/>
          <w:color w:val="000000"/>
          <w:sz w:val="28"/>
          <w:szCs w:val="28"/>
        </w:rPr>
        <w:lastRenderedPageBreak/>
        <w:t>comprometido. Estas realidades han generado un reclamo persistente que exige una reparación desde el ámbito institucional.</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A ello se suma el impacto que determinadas políticas penales han tenido sobre derechos q</w:t>
      </w:r>
      <w:r>
        <w:rPr>
          <w:rFonts w:ascii="Arial" w:eastAsia="Arial" w:hAnsi="Arial" w:cs="Arial"/>
          <w:color w:val="000000"/>
          <w:sz w:val="28"/>
          <w:szCs w:val="28"/>
        </w:rPr>
        <w:t>ue hoy se reconocen, particularmente aquellos vinculados a la autonomía personal, los derechos sexuales y reproductivos, la igualdad sustantiva y la no discriminación. La persecución penal de conductas relacionadas con el aborto, así como la estigmatizació</w:t>
      </w:r>
      <w:r>
        <w:rPr>
          <w:rFonts w:ascii="Arial" w:eastAsia="Arial" w:hAnsi="Arial" w:cs="Arial"/>
          <w:color w:val="000000"/>
          <w:sz w:val="28"/>
          <w:szCs w:val="28"/>
        </w:rPr>
        <w:t>n y sanción de personas que actuaron en contextos de vulnerabilidad, ha sido señalada como una forma de violencia que profundiza la exclusión y flagela la dignidad humana. La experiencia del Estado de México muestra que estas prácticas no han contribuido a</w:t>
      </w:r>
      <w:r>
        <w:rPr>
          <w:rFonts w:ascii="Arial" w:eastAsia="Arial" w:hAnsi="Arial" w:cs="Arial"/>
          <w:color w:val="000000"/>
          <w:sz w:val="28"/>
          <w:szCs w:val="28"/>
        </w:rPr>
        <w:t xml:space="preserve"> la prevención de conductas ni a la cohesión social, pero sí han generado daños personales y familiares de difícil reparación.</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Frente a este escenario, resulta indispensable que el Estado cuente con un mecanismo eficaz, transparente y legítimo para revisar aquellos casos en los que el ejercicio del poder punitivo ha fallado en cumplir su finalidad constitucional. La experiencia ha</w:t>
      </w:r>
      <w:r>
        <w:rPr>
          <w:rFonts w:ascii="Arial" w:eastAsia="Arial" w:hAnsi="Arial" w:cs="Arial"/>
          <w:color w:val="000000"/>
          <w:sz w:val="28"/>
          <w:szCs w:val="28"/>
        </w:rPr>
        <w:t xml:space="preserve"> demostrado que la tramitación de la amnistía exclusivamente en sede judicial tiende a reproducir una lógica estrictamente procesal, que dificulta la identificación de patrones estructurales de injusticia, así como la valoración del contexto social y de de</w:t>
      </w:r>
      <w:r>
        <w:rPr>
          <w:rFonts w:ascii="Arial" w:eastAsia="Arial" w:hAnsi="Arial" w:cs="Arial"/>
          <w:color w:val="000000"/>
          <w:sz w:val="28"/>
          <w:szCs w:val="28"/>
        </w:rPr>
        <w:t>rechos humanos en el que se inscriben los casos.</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lastRenderedPageBreak/>
        <w:t>La intervención del Poder Legislativo en materia de amnistía responde precisamente a esta necesidad y a su deber constitucional. La facultad de conceder amnistía, expresamente prevista en el artículo 61 de l</w:t>
      </w:r>
      <w:r>
        <w:rPr>
          <w:rFonts w:ascii="Arial" w:eastAsia="Arial" w:hAnsi="Arial" w:cs="Arial"/>
          <w:color w:val="000000"/>
          <w:sz w:val="28"/>
          <w:szCs w:val="28"/>
        </w:rPr>
        <w:t xml:space="preserve">a Constitución Política del Estado Libre y Soberano de México, no puede reducirse a la mera expedición de una norma general, pues implica un acto material y concreto de otorgamiento que corresponde directamente al Poder Legislativo.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Pretender que la oblig</w:t>
      </w:r>
      <w:r>
        <w:rPr>
          <w:rFonts w:ascii="Arial" w:eastAsia="Arial" w:hAnsi="Arial" w:cs="Arial"/>
          <w:color w:val="000000"/>
          <w:sz w:val="28"/>
          <w:szCs w:val="28"/>
        </w:rPr>
        <w:t>ación se cumple únicamente con la emisión de la ley es una interpretación restrictiva y contraria al texto constitucional, ya que la norma establece una atribución activa y no meramente declarativa. El Congreso, en su carácter de órgano depositario de la s</w:t>
      </w:r>
      <w:r>
        <w:rPr>
          <w:rFonts w:ascii="Arial" w:eastAsia="Arial" w:hAnsi="Arial" w:cs="Arial"/>
          <w:color w:val="000000"/>
          <w:sz w:val="28"/>
          <w:szCs w:val="28"/>
        </w:rPr>
        <w:t>oberanía popular, debe asumir la responsabilidad de decidir y otorgar la amnistía en cada caso que corresponda, garantizando así el cumplimiento cabal de sus atribuciones y evitando que la disposición constitucional quede vacía de contenido.</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Como órgano re</w:t>
      </w:r>
      <w:r>
        <w:rPr>
          <w:rFonts w:ascii="Arial" w:eastAsia="Arial" w:hAnsi="Arial" w:cs="Arial"/>
          <w:color w:val="000000"/>
          <w:sz w:val="28"/>
          <w:szCs w:val="28"/>
        </w:rPr>
        <w:t>presentativo de la soberanía popular, la Legislatura se encuentra en una posición institucional idónea para evaluar, desde una perspectiva amplia y plural, los efectos reales en la entidad. A diferencia del análisis jurisdiccional, el ámbito legislativo pe</w:t>
      </w:r>
      <w:r>
        <w:rPr>
          <w:rFonts w:ascii="Arial" w:eastAsia="Arial" w:hAnsi="Arial" w:cs="Arial"/>
          <w:color w:val="000000"/>
          <w:sz w:val="28"/>
          <w:szCs w:val="28"/>
        </w:rPr>
        <w:t>rmite integrar información proveniente de asociaciones civiles, organismos de derechos humanos, instituciones académicas y autoridades, así como ponderar el impacto social de las decisiones penales, más allá del caso concreto.</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lastRenderedPageBreak/>
        <w:t>En el Estado de México, donde</w:t>
      </w:r>
      <w:r>
        <w:rPr>
          <w:rFonts w:ascii="Arial" w:eastAsia="Arial" w:hAnsi="Arial" w:cs="Arial"/>
          <w:color w:val="000000"/>
          <w:sz w:val="28"/>
          <w:szCs w:val="28"/>
        </w:rPr>
        <w:t xml:space="preserve"> la magnitud del sistema penal y la carga sobre las instituciones de justicia han evidenciado límites estructurales, resulta particularmente relevante que la corrección de injusticias no dependa exclusivamente de litigios individuales prolongados, sino que</w:t>
      </w:r>
      <w:r>
        <w:rPr>
          <w:rFonts w:ascii="Arial" w:eastAsia="Arial" w:hAnsi="Arial" w:cs="Arial"/>
          <w:color w:val="000000"/>
          <w:sz w:val="28"/>
          <w:szCs w:val="28"/>
        </w:rPr>
        <w:t xml:space="preserve"> pueda articularse mediante decisiones institucionales con respaldo democrático. La reasignación de la facultad de amnistía al Poder Legislativo no busca sustituir al Poder Judicial ni menoscabar su independencia, sino asumir, desde el ámbito que correspon</w:t>
      </w:r>
      <w:r>
        <w:rPr>
          <w:rFonts w:ascii="Arial" w:eastAsia="Arial" w:hAnsi="Arial" w:cs="Arial"/>
          <w:color w:val="000000"/>
          <w:sz w:val="28"/>
          <w:szCs w:val="28"/>
        </w:rPr>
        <w:t xml:space="preserve">de, la responsabilidad política de revisar y corregir los efectos del castigo cuando estos se apartan de los principios de justicia, proporcionalidad y respeto a los derechos humanos, fungiendo, al unísono como un contrapeso.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 xml:space="preserve">El contenido del proyecto de </w:t>
      </w:r>
      <w:r>
        <w:rPr>
          <w:rFonts w:ascii="Arial" w:eastAsia="Arial" w:hAnsi="Arial" w:cs="Arial"/>
          <w:color w:val="000000"/>
          <w:sz w:val="28"/>
          <w:szCs w:val="28"/>
        </w:rPr>
        <w:t>reforma que se propone responde directamente a estas limitaciones. Al redefinir la amnistía como una facultad cuya conducción principal corresponde al Poder Legislativo, se apuesta por un cambio de paradigma: la amnistía deja de concebirse como una excepci</w:t>
      </w:r>
      <w:r>
        <w:rPr>
          <w:rFonts w:ascii="Arial" w:eastAsia="Arial" w:hAnsi="Arial" w:cs="Arial"/>
          <w:color w:val="000000"/>
          <w:sz w:val="28"/>
          <w:szCs w:val="28"/>
        </w:rPr>
        <w:t xml:space="preserve">ón procesal para convertirse en una decisión adoptada desde el órgano representativo de la soberanía popular.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La creación de una Comisión Legislativa de Amnistía permite institucionalizar un espacio de análisis plural, técnico y transparente, con capacida</w:t>
      </w:r>
      <w:r>
        <w:rPr>
          <w:rFonts w:ascii="Arial" w:eastAsia="Arial" w:hAnsi="Arial" w:cs="Arial"/>
          <w:color w:val="000000"/>
          <w:sz w:val="28"/>
          <w:szCs w:val="28"/>
        </w:rPr>
        <w:t xml:space="preserve">d para recibir solicitudes, requerir información, valorar contextos de violaciones a derechos humanos y emitir dictámenes sustentados, retomando, de manera expresa, </w:t>
      </w:r>
      <w:r>
        <w:rPr>
          <w:rFonts w:ascii="Arial" w:eastAsia="Arial" w:hAnsi="Arial" w:cs="Arial"/>
          <w:color w:val="000000"/>
          <w:sz w:val="28"/>
          <w:szCs w:val="28"/>
        </w:rPr>
        <w:lastRenderedPageBreak/>
        <w:t>supuestos que han sido ampliamente señalados por asociaciones civiles y organismos de derec</w:t>
      </w:r>
      <w:r>
        <w:rPr>
          <w:rFonts w:ascii="Arial" w:eastAsia="Arial" w:hAnsi="Arial" w:cs="Arial"/>
          <w:color w:val="000000"/>
          <w:sz w:val="28"/>
          <w:szCs w:val="28"/>
        </w:rPr>
        <w:t xml:space="preserve">hos humanos, tales como la existencia de indicios razonables de fabricación de delitos, el uso de pruebas ilícitas o manipuladas y las violaciones graves al debido proceso, así como el incumplimiento al marco constitucional.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 xml:space="preserve">Asimismo, se amplía y precisa </w:t>
      </w:r>
      <w:r>
        <w:rPr>
          <w:rFonts w:ascii="Arial" w:eastAsia="Arial" w:hAnsi="Arial" w:cs="Arial"/>
          <w:color w:val="000000"/>
          <w:sz w:val="28"/>
          <w:szCs w:val="28"/>
        </w:rPr>
        <w:t xml:space="preserve">los supuestos de amnistía relacionados con el delito de aborto. Esta modificación señala la necesidad de abandonar enfoques punitivos que reproducen desigualdad y violencia institucional, así como un lenguaje restrictivo que no contempla la diversidad.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El</w:t>
      </w:r>
      <w:r>
        <w:rPr>
          <w:rFonts w:ascii="Arial" w:eastAsia="Arial" w:hAnsi="Arial" w:cs="Arial"/>
          <w:color w:val="000000"/>
          <w:sz w:val="28"/>
          <w:szCs w:val="28"/>
        </w:rPr>
        <w:t xml:space="preserve"> diseño normativo adjunto establece con claridad las competencias de cada autoridad involucrada, delimitando el papel del Poder Ejecutivo, de la Fiscalía General de Justicia, de la Comisión de Derechos Humanos del Estado de México y del Instituto de la Def</w:t>
      </w:r>
      <w:r>
        <w:rPr>
          <w:rFonts w:ascii="Arial" w:eastAsia="Arial" w:hAnsi="Arial" w:cs="Arial"/>
          <w:color w:val="000000"/>
          <w:sz w:val="28"/>
          <w:szCs w:val="28"/>
        </w:rPr>
        <w:t>ensoría Pública, pero reservando al Poder Legislativo la decisión final mediante la emisión de decretos de amnistía. Además, se prevé un esquema que fortalece la rendición de cuentas, al requerir informes públicos periódicos y procedimientos transparentes.</w:t>
      </w:r>
      <w:r>
        <w:rPr>
          <w:rFonts w:ascii="Arial" w:eastAsia="Arial" w:hAnsi="Arial" w:cs="Arial"/>
          <w:color w:val="000000"/>
          <w:sz w:val="28"/>
          <w:szCs w:val="28"/>
        </w:rPr>
        <w:t xml:space="preserve"> </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En el contexto específico del Estado de México, donde la magnitud del sistema penal y la desconfianza ciudadana hacia las instituciones de justicia han sido ampliamente documentadas, resulta particularmente relevante que la Legislatura asuma un papel act</w:t>
      </w:r>
      <w:r>
        <w:rPr>
          <w:rFonts w:ascii="Arial" w:eastAsia="Arial" w:hAnsi="Arial" w:cs="Arial"/>
          <w:color w:val="000000"/>
          <w:sz w:val="28"/>
          <w:szCs w:val="28"/>
        </w:rPr>
        <w:t xml:space="preserve">ivo en la corrección de injusticias. La amnistía, </w:t>
      </w:r>
      <w:r>
        <w:rPr>
          <w:rFonts w:ascii="Arial" w:eastAsia="Arial" w:hAnsi="Arial" w:cs="Arial"/>
          <w:color w:val="000000"/>
          <w:sz w:val="28"/>
          <w:szCs w:val="28"/>
        </w:rPr>
        <w:lastRenderedPageBreak/>
        <w:t>concebida como una facultad legislativa, permite atender de manera estructural la dignificación de las personas afectadas por un uso indebido del poder punitivo.</w:t>
      </w:r>
    </w:p>
    <w:p w:rsidR="00D33816" w:rsidRDefault="00A347B6">
      <w:pPr>
        <w:widowControl/>
        <w:pBdr>
          <w:top w:val="nil"/>
          <w:left w:val="nil"/>
          <w:bottom w:val="nil"/>
          <w:right w:val="nil"/>
          <w:between w:val="nil"/>
        </w:pBdr>
        <w:spacing w:before="280" w:after="28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Reformar la regulación de la amnistía confor</w:t>
      </w:r>
      <w:r>
        <w:rPr>
          <w:rFonts w:ascii="Arial" w:eastAsia="Arial" w:hAnsi="Arial" w:cs="Arial"/>
          <w:color w:val="000000"/>
          <w:sz w:val="28"/>
          <w:szCs w:val="28"/>
        </w:rPr>
        <w:t xml:space="preserve">me a lo propuesto en el documento adjunto implica reconocer que la justicia no se agota en la imposición de sanciones, sino que se construye también a partir de la capacidad institucional de escuchar a las víctimas del sistema penal, de corregir errores y </w:t>
      </w:r>
      <w:r>
        <w:rPr>
          <w:rFonts w:ascii="Arial" w:eastAsia="Arial" w:hAnsi="Arial" w:cs="Arial"/>
          <w:color w:val="000000"/>
          <w:sz w:val="28"/>
          <w:szCs w:val="28"/>
        </w:rPr>
        <w:t>de garantizar que el ejercicio del castigo se mantenga dentro de los límites que impone la dignidad humana y el Estado constitucional de derecho.</w:t>
      </w:r>
    </w:p>
    <w:p w:rsidR="00D33816" w:rsidRDefault="00A347B6">
      <w:pPr>
        <w:widowControl/>
        <w:pBdr>
          <w:top w:val="nil"/>
          <w:left w:val="nil"/>
          <w:bottom w:val="nil"/>
          <w:right w:val="nil"/>
          <w:between w:val="nil"/>
        </w:pBdr>
        <w:spacing w:before="280" w:after="160" w:line="360" w:lineRule="auto"/>
        <w:ind w:left="550" w:right="350"/>
        <w:jc w:val="both"/>
        <w:rPr>
          <w:rFonts w:ascii="Arial" w:eastAsia="Arial" w:hAnsi="Arial" w:cs="Arial"/>
          <w:color w:val="000000"/>
          <w:sz w:val="28"/>
          <w:szCs w:val="28"/>
        </w:rPr>
      </w:pPr>
      <w:r>
        <w:rPr>
          <w:rFonts w:ascii="Arial" w:eastAsia="Arial" w:hAnsi="Arial" w:cs="Arial"/>
          <w:color w:val="000000"/>
          <w:sz w:val="28"/>
          <w:szCs w:val="28"/>
        </w:rPr>
        <w:t>Por lo anteriormente expuesto, se somete a consideración de esta H.  Soberanía la presente iniciativa, a efecto de que, de estimarse procedente y acorde con el interés público, se sirva aprobarla en los siguientes términos:</w:t>
      </w:r>
    </w:p>
    <w:p w:rsidR="00D33816" w:rsidRDefault="00D33816">
      <w:pPr>
        <w:widowControl/>
        <w:pBdr>
          <w:top w:val="nil"/>
          <w:left w:val="nil"/>
          <w:bottom w:val="nil"/>
          <w:right w:val="nil"/>
          <w:between w:val="nil"/>
        </w:pBdr>
        <w:spacing w:before="280" w:after="160" w:line="360" w:lineRule="auto"/>
        <w:ind w:left="550" w:right="350"/>
        <w:jc w:val="both"/>
        <w:rPr>
          <w:rFonts w:ascii="Arial" w:eastAsia="Arial" w:hAnsi="Arial" w:cs="Arial"/>
          <w:color w:val="000000"/>
          <w:sz w:val="28"/>
          <w:szCs w:val="28"/>
        </w:rPr>
      </w:pPr>
    </w:p>
    <w:tbl>
      <w:tblPr>
        <w:tblStyle w:val="a"/>
        <w:tblW w:w="99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6"/>
        <w:gridCol w:w="4857"/>
      </w:tblGrid>
      <w:tr w:rsidR="00D33816">
        <w:trPr>
          <w:jc w:val="center"/>
        </w:trPr>
        <w:tc>
          <w:tcPr>
            <w:tcW w:w="9973" w:type="dxa"/>
            <w:gridSpan w:val="2"/>
          </w:tcPr>
          <w:p w:rsidR="00D33816" w:rsidRDefault="00A347B6">
            <w:pPr>
              <w:spacing w:line="360" w:lineRule="auto"/>
              <w:jc w:val="center"/>
              <w:rPr>
                <w:rFonts w:ascii="Arial" w:eastAsia="Arial" w:hAnsi="Arial" w:cs="Arial"/>
                <w:b/>
                <w:bCs/>
                <w:sz w:val="28"/>
                <w:szCs w:val="28"/>
              </w:rPr>
            </w:pPr>
            <w:r>
              <w:rPr>
                <w:rFonts w:ascii="Arial" w:eastAsia="Arial" w:hAnsi="Arial" w:cs="Arial"/>
                <w:b/>
                <w:bCs/>
                <w:sz w:val="28"/>
                <w:szCs w:val="28"/>
              </w:rPr>
              <w:t>Ley de Amnistía del Estado de M</w:t>
            </w:r>
            <w:r>
              <w:rPr>
                <w:rFonts w:ascii="Arial" w:eastAsia="Arial" w:hAnsi="Arial" w:cs="Arial"/>
                <w:b/>
                <w:bCs/>
                <w:sz w:val="28"/>
                <w:szCs w:val="28"/>
              </w:rPr>
              <w:t>éxico</w:t>
            </w:r>
          </w:p>
        </w:tc>
      </w:tr>
      <w:tr w:rsidR="00D33816">
        <w:trPr>
          <w:jc w:val="center"/>
        </w:trPr>
        <w:tc>
          <w:tcPr>
            <w:tcW w:w="5116" w:type="dxa"/>
          </w:tcPr>
          <w:p w:rsidR="00D33816" w:rsidRDefault="00A347B6">
            <w:pPr>
              <w:spacing w:line="360" w:lineRule="auto"/>
              <w:jc w:val="center"/>
              <w:rPr>
                <w:rFonts w:ascii="Arial" w:eastAsia="Arial" w:hAnsi="Arial" w:cs="Arial"/>
                <w:sz w:val="28"/>
                <w:szCs w:val="28"/>
              </w:rPr>
            </w:pPr>
            <w:r>
              <w:rPr>
                <w:rFonts w:ascii="Arial" w:eastAsia="Arial" w:hAnsi="Arial" w:cs="Arial"/>
                <w:sz w:val="28"/>
                <w:szCs w:val="28"/>
              </w:rPr>
              <w:t>Texto Vigente</w:t>
            </w:r>
          </w:p>
        </w:tc>
        <w:tc>
          <w:tcPr>
            <w:tcW w:w="4857" w:type="dxa"/>
            <w:vAlign w:val="center"/>
          </w:tcPr>
          <w:p w:rsidR="00D33816" w:rsidRDefault="00A347B6">
            <w:pPr>
              <w:spacing w:line="360" w:lineRule="auto"/>
              <w:jc w:val="center"/>
              <w:rPr>
                <w:rFonts w:ascii="Arial" w:eastAsia="Arial" w:hAnsi="Arial" w:cs="Arial"/>
                <w:sz w:val="28"/>
                <w:szCs w:val="28"/>
              </w:rPr>
            </w:pPr>
            <w:r>
              <w:rPr>
                <w:rFonts w:ascii="Arial" w:eastAsia="Arial" w:hAnsi="Arial" w:cs="Arial"/>
                <w:sz w:val="28"/>
                <w:szCs w:val="28"/>
              </w:rPr>
              <w:t xml:space="preserve">Texto Propuesto </w:t>
            </w: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 xml:space="preserve">Artículo 1. </w:t>
            </w:r>
            <w:r>
              <w:rPr>
                <w:rFonts w:ascii="Arial" w:eastAsia="Arial" w:hAnsi="Arial" w:cs="Arial"/>
                <w:sz w:val="28"/>
                <w:szCs w:val="28"/>
              </w:rPr>
              <w:t xml:space="preserve">La presente Ley es de orden público, interés social y de observancia general y obligatoria en el Estado de México, y tiene por objeto establecer las bases para decretar amnistía en favor </w:t>
            </w:r>
            <w:r>
              <w:rPr>
                <w:rFonts w:ascii="Arial" w:eastAsia="Arial" w:hAnsi="Arial" w:cs="Arial"/>
                <w:sz w:val="28"/>
                <w:szCs w:val="28"/>
              </w:rPr>
              <w:lastRenderedPageBreak/>
              <w:t xml:space="preserve">de las personas en contra de quienes estén vinculadas a proceso o se </w:t>
            </w:r>
            <w:r>
              <w:rPr>
                <w:rFonts w:ascii="Arial" w:eastAsia="Arial" w:hAnsi="Arial" w:cs="Arial"/>
                <w:sz w:val="28"/>
                <w:szCs w:val="28"/>
              </w:rPr>
              <w:t>les haya dictado sentencia firme ante los tribunales del orden común, por los delitos previstos en ésta Ley, cometidos hasta la fecha de entrada en vigor de la misma, siempre y cuando no sean reincidentes por el delito que se beneficiará.</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Artículo 1.  La p</w:t>
            </w:r>
            <w:r>
              <w:rPr>
                <w:rFonts w:ascii="Arial" w:eastAsia="Arial" w:hAnsi="Arial" w:cs="Arial"/>
                <w:b/>
                <w:bCs/>
                <w:sz w:val="28"/>
                <w:szCs w:val="28"/>
              </w:rPr>
              <w:t>resente Ley es de orden público, interés social y de observancia general en el Estado de México.</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Su objeto es establecer las bases para decretar amnistía en favor de las personas que se encuentren vinculadas a proceso o hayan recibido sentencia firme por l</w:t>
            </w:r>
            <w:r>
              <w:rPr>
                <w:rFonts w:ascii="Arial" w:eastAsia="Arial" w:hAnsi="Arial" w:cs="Arial"/>
                <w:b/>
                <w:bCs/>
                <w:sz w:val="28"/>
                <w:szCs w:val="28"/>
              </w:rPr>
              <w:t>os tribunales del fuero común, respecto de los delitos previstos en esta Ley, cometidos hasta la fecha y posterior a su entrada en vigor,</w:t>
            </w:r>
            <w:r>
              <w:rPr>
                <w:rFonts w:ascii="Arial" w:eastAsia="Arial" w:hAnsi="Arial" w:cs="Arial"/>
                <w:sz w:val="28"/>
                <w:szCs w:val="28"/>
              </w:rPr>
              <w:t xml:space="preserve"> </w:t>
            </w:r>
            <w:r>
              <w:rPr>
                <w:rFonts w:ascii="Arial" w:eastAsia="Arial" w:hAnsi="Arial" w:cs="Arial"/>
                <w:b/>
                <w:bCs/>
                <w:sz w:val="28"/>
                <w:szCs w:val="28"/>
              </w:rPr>
              <w:t>siempre que no sean reincidentes en el delito por el cual se otorgue el beneficio.</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Son supletorias de esta Ley en lo q</w:t>
            </w:r>
            <w:r>
              <w:rPr>
                <w:rFonts w:ascii="Arial" w:eastAsia="Arial" w:hAnsi="Arial" w:cs="Arial"/>
                <w:b/>
                <w:bCs/>
                <w:sz w:val="28"/>
                <w:szCs w:val="28"/>
              </w:rPr>
              <w:t>ue correspondan, el Código Nacional de Procedimientos Penales y la Ley Nacional de Ejecución Penal.</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lastRenderedPageBreak/>
              <w:t xml:space="preserve">Artículo 2. </w:t>
            </w:r>
            <w:r>
              <w:rPr>
                <w:rFonts w:ascii="Arial" w:eastAsia="Arial" w:hAnsi="Arial" w:cs="Arial"/>
                <w:sz w:val="28"/>
                <w:szCs w:val="28"/>
              </w:rPr>
              <w:t xml:space="preserve">Son autoridades encargadas de la aplicación de esta Ley, las siguientes: </w:t>
            </w:r>
          </w:p>
          <w:p w:rsidR="00D33816" w:rsidRDefault="00A347B6">
            <w:pPr>
              <w:widowControl w:val="0"/>
              <w:numPr>
                <w:ilvl w:val="0"/>
                <w:numId w:val="14"/>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El Poder Legislativo; </w:t>
            </w:r>
          </w:p>
          <w:p w:rsidR="00D33816" w:rsidRDefault="00A347B6">
            <w:pPr>
              <w:widowControl w:val="0"/>
              <w:numPr>
                <w:ilvl w:val="0"/>
                <w:numId w:val="14"/>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lastRenderedPageBreak/>
              <w:t xml:space="preserve">El Poder Ejecutivo; </w:t>
            </w:r>
          </w:p>
          <w:p w:rsidR="00D33816" w:rsidRDefault="00A347B6">
            <w:pPr>
              <w:widowControl w:val="0"/>
              <w:numPr>
                <w:ilvl w:val="0"/>
                <w:numId w:val="14"/>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El Poder Judicial; </w:t>
            </w:r>
          </w:p>
          <w:p w:rsidR="00D33816" w:rsidRDefault="00A347B6">
            <w:pPr>
              <w:widowControl w:val="0"/>
              <w:numPr>
                <w:ilvl w:val="0"/>
                <w:numId w:val="14"/>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La Fiscalía General de Justicia del Estado de México.</w:t>
            </w:r>
          </w:p>
        </w:tc>
        <w:tc>
          <w:tcPr>
            <w:tcW w:w="4857"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lastRenderedPageBreak/>
              <w:t>Artículo 2.</w:t>
            </w:r>
            <w:r>
              <w:rPr>
                <w:rFonts w:ascii="Arial" w:eastAsia="Arial" w:hAnsi="Arial" w:cs="Arial"/>
                <w:sz w:val="28"/>
                <w:szCs w:val="28"/>
              </w:rPr>
              <w:t xml:space="preserve"> … </w:t>
            </w: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widowControl w:val="0"/>
              <w:numPr>
                <w:ilvl w:val="0"/>
                <w:numId w:val="15"/>
              </w:numPr>
              <w:pBdr>
                <w:top w:val="nil"/>
                <w:left w:val="nil"/>
                <w:bottom w:val="nil"/>
                <w:right w:val="nil"/>
                <w:between w:val="nil"/>
              </w:pBdr>
              <w:spacing w:line="360" w:lineRule="auto"/>
              <w:jc w:val="both"/>
              <w:rPr>
                <w:rFonts w:ascii="Arial" w:eastAsia="Arial" w:hAnsi="Arial" w:cs="Arial"/>
                <w:b/>
                <w:bCs/>
                <w:color w:val="000000"/>
                <w:sz w:val="28"/>
                <w:szCs w:val="28"/>
              </w:rPr>
            </w:pPr>
          </w:p>
          <w:p w:rsidR="00D33816" w:rsidRDefault="00D33816">
            <w:pPr>
              <w:widowControl w:val="0"/>
              <w:numPr>
                <w:ilvl w:val="0"/>
                <w:numId w:val="15"/>
              </w:numPr>
              <w:pBdr>
                <w:top w:val="nil"/>
                <w:left w:val="nil"/>
                <w:bottom w:val="nil"/>
                <w:right w:val="nil"/>
                <w:between w:val="nil"/>
              </w:pBdr>
              <w:spacing w:line="360" w:lineRule="auto"/>
              <w:jc w:val="both"/>
              <w:rPr>
                <w:rFonts w:ascii="Arial" w:eastAsia="Arial" w:hAnsi="Arial" w:cs="Arial"/>
                <w:b/>
                <w:bCs/>
                <w:color w:val="000000"/>
                <w:sz w:val="28"/>
                <w:szCs w:val="28"/>
              </w:rPr>
            </w:pPr>
          </w:p>
          <w:p w:rsidR="00D33816" w:rsidRDefault="00A347B6">
            <w:pPr>
              <w:widowControl w:val="0"/>
              <w:numPr>
                <w:ilvl w:val="0"/>
                <w:numId w:val="15"/>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Derogado.</w:t>
            </w:r>
          </w:p>
          <w:p w:rsidR="00D33816" w:rsidRDefault="00A347B6">
            <w:pPr>
              <w:widowControl w:val="0"/>
              <w:numPr>
                <w:ilvl w:val="0"/>
                <w:numId w:val="1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D33816">
            <w:pPr>
              <w:widowControl w:val="0"/>
              <w:pBdr>
                <w:top w:val="nil"/>
                <w:left w:val="nil"/>
                <w:bottom w:val="nil"/>
                <w:right w:val="nil"/>
                <w:between w:val="nil"/>
              </w:pBdr>
              <w:spacing w:line="360" w:lineRule="auto"/>
              <w:ind w:left="1080"/>
              <w:jc w:val="both"/>
              <w:rPr>
                <w:rFonts w:ascii="Arial" w:eastAsia="Arial" w:hAnsi="Arial" w:cs="Arial"/>
                <w:color w:val="000000"/>
                <w:sz w:val="28"/>
                <w:szCs w:val="28"/>
              </w:rPr>
            </w:pPr>
          </w:p>
          <w:p w:rsidR="00D33816" w:rsidRDefault="00A347B6">
            <w:pPr>
              <w:widowControl w:val="0"/>
              <w:numPr>
                <w:ilvl w:val="0"/>
                <w:numId w:val="15"/>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La Comisión de Derechos Humanos del Estado de México.</w:t>
            </w:r>
          </w:p>
          <w:p w:rsidR="00D33816" w:rsidRDefault="00A347B6">
            <w:pPr>
              <w:widowControl w:val="0"/>
              <w:numPr>
                <w:ilvl w:val="0"/>
                <w:numId w:val="15"/>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El Instituto de la Defensoría Pública del Estado de México.</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lastRenderedPageBreak/>
              <w:t>Sin correlativo.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2 Bis.   Corresponde al Poder Legislativo:</w:t>
            </w:r>
          </w:p>
          <w:p w:rsidR="00D33816" w:rsidRDefault="00A347B6">
            <w:pPr>
              <w:widowControl w:val="0"/>
              <w:numPr>
                <w:ilvl w:val="0"/>
                <w:numId w:val="16"/>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Integrar una Comisión Legislativa de Amnistía, encargada de recibir, analizar, dictaminar y someter a consideración del Pleno las solicitudes de amnistía que se tengan por presentadas por encuadrar en sup</w:t>
            </w:r>
            <w:r>
              <w:rPr>
                <w:rFonts w:ascii="Arial" w:eastAsia="Arial" w:hAnsi="Arial" w:cs="Arial"/>
                <w:b/>
                <w:bCs/>
                <w:color w:val="000000"/>
                <w:sz w:val="28"/>
                <w:szCs w:val="28"/>
              </w:rPr>
              <w:t xml:space="preserve">uestos </w:t>
            </w:r>
            <w:r>
              <w:rPr>
                <w:rFonts w:ascii="Arial" w:eastAsia="Arial" w:hAnsi="Arial" w:cs="Arial"/>
                <w:b/>
                <w:bCs/>
                <w:color w:val="000000"/>
                <w:sz w:val="28"/>
                <w:szCs w:val="28"/>
              </w:rPr>
              <w:lastRenderedPageBreak/>
              <w:t>de violación de derechos o fallas en la aplicación de alguno de los principios penales del sistema acusatorio, o la plena presunción de fabricación de delitos;</w:t>
            </w:r>
          </w:p>
          <w:p w:rsidR="00D33816" w:rsidRDefault="00A347B6">
            <w:pPr>
              <w:widowControl w:val="0"/>
              <w:numPr>
                <w:ilvl w:val="0"/>
                <w:numId w:val="16"/>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Emitir el dictamen correspondiente y, en su caso, aprobar mediante Decreto Legislativo el otorgamiento de la amnistía, en los términos establecidos en esta Ley; y</w:t>
            </w:r>
          </w:p>
          <w:p w:rsidR="00D33816" w:rsidRDefault="00A347B6">
            <w:pPr>
              <w:widowControl w:val="0"/>
              <w:numPr>
                <w:ilvl w:val="0"/>
                <w:numId w:val="16"/>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Vigilar el cumplimiento del Decreto de Amnistía por parte de las autoridades obligadas a su e</w:t>
            </w:r>
            <w:r>
              <w:rPr>
                <w:rFonts w:ascii="Arial" w:eastAsia="Arial" w:hAnsi="Arial" w:cs="Arial"/>
                <w:b/>
                <w:bCs/>
                <w:color w:val="000000"/>
                <w:sz w:val="28"/>
                <w:szCs w:val="28"/>
              </w:rPr>
              <w:t>jecución, en el ámbito de sus atribuciones.</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lastRenderedPageBreak/>
              <w:t>Sin correlativo.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2 Ter.  Corresponde al Poder Ejecutivo:</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I. Cumplir y ejecutar, de manera inmediata y obligatoria, los Decretos de Amnistía emitidos por el Poder Legislativo, en los términos en que haya</w:t>
            </w:r>
            <w:r>
              <w:rPr>
                <w:rFonts w:ascii="Arial" w:eastAsia="Arial" w:hAnsi="Arial" w:cs="Arial"/>
                <w:b/>
                <w:bCs/>
                <w:sz w:val="28"/>
                <w:szCs w:val="28"/>
              </w:rPr>
              <w:t>n sido aprobados conforme a la presente Ley.</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Sin correlativo.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2 Quáter.  Corresponde a la Fiscalía General de Justicia del Estado de México:</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I. Cumplir y ejecutar, en el ámbito de sus atribuciones, los Decretos de Amnistía emitidos por el Poder L</w:t>
            </w:r>
            <w:r>
              <w:rPr>
                <w:rFonts w:ascii="Arial" w:eastAsia="Arial" w:hAnsi="Arial" w:cs="Arial"/>
                <w:b/>
                <w:bCs/>
                <w:sz w:val="28"/>
                <w:szCs w:val="28"/>
              </w:rPr>
              <w:t>egislativo del Estado de México, realizando los actos ministeriales que resulten necesarios para hacer efectivos sus efectos jurídicos.</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lastRenderedPageBreak/>
              <w:t>Sin correlativo.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2 Quinquies. Corresponde a la Comisión de Derechos Humanos del Estado de México:</w:t>
            </w:r>
          </w:p>
          <w:p w:rsidR="00D33816" w:rsidRDefault="00A347B6">
            <w:pPr>
              <w:widowControl w:val="0"/>
              <w:numPr>
                <w:ilvl w:val="0"/>
                <w:numId w:val="17"/>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Proporcionar orientación jurídica especializada a las personas solicitantes de amnistía, respecto de la identificación de posibles violaciones a derechos humanos o al debido proceso, y</w:t>
            </w:r>
          </w:p>
          <w:p w:rsidR="00D33816" w:rsidRDefault="00A347B6">
            <w:pPr>
              <w:widowControl w:val="0"/>
              <w:numPr>
                <w:ilvl w:val="0"/>
                <w:numId w:val="17"/>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Emitir opiniones técnicas o consultivas a solicitud del Poder Legislati</w:t>
            </w:r>
            <w:r>
              <w:rPr>
                <w:rFonts w:ascii="Arial" w:eastAsia="Arial" w:hAnsi="Arial" w:cs="Arial"/>
                <w:b/>
                <w:bCs/>
                <w:color w:val="000000"/>
                <w:sz w:val="28"/>
                <w:szCs w:val="28"/>
              </w:rPr>
              <w:t>vo.</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Sin correlativo.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Articulo 2 Sexies. Corresponde al Instituto de la Defensoría Pública del Estado de México:</w:t>
            </w:r>
          </w:p>
          <w:p w:rsidR="00D33816" w:rsidRDefault="00A347B6">
            <w:pPr>
              <w:widowControl w:val="0"/>
              <w:numPr>
                <w:ilvl w:val="0"/>
                <w:numId w:val="18"/>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 xml:space="preserve">Proporcionar asesoría jurídica y defensa técnica a las personas solicitantes de amnistía que así lo </w:t>
            </w:r>
            <w:r>
              <w:rPr>
                <w:rFonts w:ascii="Arial" w:eastAsia="Arial" w:hAnsi="Arial" w:cs="Arial"/>
                <w:b/>
                <w:bCs/>
                <w:color w:val="000000"/>
                <w:sz w:val="28"/>
                <w:szCs w:val="28"/>
              </w:rPr>
              <w:lastRenderedPageBreak/>
              <w:t>requieran, conforme a la legislación aplicable, y</w:t>
            </w:r>
          </w:p>
          <w:p w:rsidR="00D33816" w:rsidRDefault="00A347B6">
            <w:pPr>
              <w:widowControl w:val="0"/>
              <w:numPr>
                <w:ilvl w:val="0"/>
                <w:numId w:val="18"/>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Ejercer la representación legal de las personas solicitantes o beneficiarias ante las autoridades competen</w:t>
            </w:r>
            <w:r>
              <w:rPr>
                <w:rFonts w:ascii="Arial" w:eastAsia="Arial" w:hAnsi="Arial" w:cs="Arial"/>
                <w:b/>
                <w:bCs/>
                <w:color w:val="000000"/>
                <w:sz w:val="28"/>
                <w:szCs w:val="28"/>
              </w:rPr>
              <w:t>tes, cuando proceda.</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lastRenderedPageBreak/>
              <w:t xml:space="preserve">Artículo 3. </w:t>
            </w:r>
            <w:r>
              <w:rPr>
                <w:rFonts w:ascii="Arial" w:eastAsia="Arial" w:hAnsi="Arial" w:cs="Arial"/>
                <w:sz w:val="28"/>
                <w:szCs w:val="28"/>
              </w:rPr>
              <w:t>Para los efectos de esta Ley, se entenderá por:</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Juez Competente: Al juez que está llamado a resolver o pronunciarse, dentro de su competencia, cualquier asunto que le haya atribuido expresamente el legislador, en cuyo caso y dependiendo del </w:t>
            </w:r>
            <w:r>
              <w:rPr>
                <w:rFonts w:ascii="Arial" w:eastAsia="Arial" w:hAnsi="Arial" w:cs="Arial"/>
                <w:color w:val="000000"/>
                <w:sz w:val="28"/>
                <w:szCs w:val="28"/>
              </w:rPr>
              <w:lastRenderedPageBreak/>
              <w:t>sistema penal tradicional o penal acusatorio, conozca del asunt</w:t>
            </w:r>
            <w:r>
              <w:rPr>
                <w:rFonts w:ascii="Arial" w:eastAsia="Arial" w:hAnsi="Arial" w:cs="Arial"/>
                <w:color w:val="000000"/>
                <w:sz w:val="28"/>
                <w:szCs w:val="28"/>
              </w:rPr>
              <w:t>o.</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 </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 </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 </w:t>
            </w:r>
          </w:p>
        </w:tc>
        <w:tc>
          <w:tcPr>
            <w:tcW w:w="4857"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lastRenderedPageBreak/>
              <w:t xml:space="preserve">Artículo 3. </w:t>
            </w:r>
            <w:r>
              <w:rPr>
                <w:rFonts w:ascii="Arial" w:eastAsia="Arial" w:hAnsi="Arial" w:cs="Arial"/>
                <w:sz w:val="28"/>
                <w:szCs w:val="28"/>
              </w:rPr>
              <w:t>Para los efectos de esta Ley, se entenderá por:</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b/>
                <w:bCs/>
                <w:color w:val="000000"/>
                <w:sz w:val="28"/>
                <w:szCs w:val="28"/>
              </w:rPr>
              <w:t>Derogado.</w:t>
            </w:r>
          </w:p>
          <w:p w:rsidR="00D33816" w:rsidRDefault="00D33816">
            <w:pPr>
              <w:widowControl w:val="0"/>
              <w:pBdr>
                <w:top w:val="nil"/>
                <w:left w:val="nil"/>
                <w:bottom w:val="nil"/>
                <w:right w:val="nil"/>
                <w:between w:val="nil"/>
              </w:pBdr>
              <w:spacing w:line="360" w:lineRule="auto"/>
              <w:jc w:val="both"/>
              <w:rPr>
                <w:rFonts w:ascii="Arial" w:eastAsia="Arial" w:hAnsi="Arial" w:cs="Arial"/>
                <w:color w:val="000000"/>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 </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12"/>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4. </w:t>
            </w:r>
            <w:r>
              <w:rPr>
                <w:rFonts w:ascii="Arial" w:eastAsia="Arial" w:hAnsi="Arial" w:cs="Arial"/>
                <w:sz w:val="28"/>
                <w:szCs w:val="28"/>
              </w:rPr>
              <w:t>Se decretará amnistía en los siguientes supuestos:</w:t>
            </w:r>
            <w:r>
              <w:rPr>
                <w:rFonts w:ascii="Arial" w:eastAsia="Arial" w:hAnsi="Arial" w:cs="Arial"/>
                <w:b/>
                <w:bCs/>
                <w:sz w:val="28"/>
                <w:szCs w:val="28"/>
              </w:rPr>
              <w:t xml:space="preserve"> </w:t>
            </w:r>
          </w:p>
          <w:p w:rsidR="00D33816" w:rsidRDefault="00A347B6">
            <w:pPr>
              <w:widowControl w:val="0"/>
              <w:numPr>
                <w:ilvl w:val="0"/>
                <w:numId w:val="10"/>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Por el delito de aborto, en cualquiera de sus modalidades, previsto en el Código Penal, cuando:</w:t>
            </w:r>
          </w:p>
          <w:p w:rsidR="00D33816" w:rsidRDefault="00A347B6">
            <w:pPr>
              <w:widowControl w:val="0"/>
              <w:numPr>
                <w:ilvl w:val="0"/>
                <w:numId w:val="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Se impute a la madre del producto del embarazo interrumpido.</w:t>
            </w:r>
          </w:p>
          <w:p w:rsidR="00D33816" w:rsidRDefault="00D33816">
            <w:pPr>
              <w:widowControl w:val="0"/>
              <w:pBdr>
                <w:top w:val="nil"/>
                <w:left w:val="nil"/>
                <w:bottom w:val="nil"/>
                <w:right w:val="nil"/>
                <w:between w:val="nil"/>
              </w:pBdr>
              <w:spacing w:line="360" w:lineRule="auto"/>
              <w:ind w:left="1800"/>
              <w:jc w:val="both"/>
              <w:rPr>
                <w:rFonts w:ascii="Arial" w:eastAsia="Arial" w:hAnsi="Arial" w:cs="Arial"/>
                <w:color w:val="000000"/>
                <w:sz w:val="28"/>
                <w:szCs w:val="28"/>
              </w:rPr>
            </w:pPr>
          </w:p>
          <w:p w:rsidR="00D33816" w:rsidRDefault="00A347B6">
            <w:pPr>
              <w:widowControl w:val="0"/>
              <w:numPr>
                <w:ilvl w:val="0"/>
                <w:numId w:val="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Se impute a las y los médicos, cirujanos, comadronas o parteras, u otro personal autorizado de servicios </w:t>
            </w:r>
            <w:r>
              <w:rPr>
                <w:rFonts w:ascii="Arial" w:eastAsia="Arial" w:hAnsi="Arial" w:cs="Arial"/>
                <w:color w:val="000000"/>
                <w:sz w:val="28"/>
                <w:szCs w:val="28"/>
              </w:rPr>
              <w:lastRenderedPageBreak/>
              <w:t>de la salud, que hayan auxiliado en la interrupción del embarazo, siempre que la conducta delictiva se haya llevado a cabo sin violencia y con el conse</w:t>
            </w:r>
            <w:r>
              <w:rPr>
                <w:rFonts w:ascii="Arial" w:eastAsia="Arial" w:hAnsi="Arial" w:cs="Arial"/>
                <w:color w:val="000000"/>
                <w:sz w:val="28"/>
                <w:szCs w:val="28"/>
              </w:rPr>
              <w:t>ntimiento de la madre del producto del embarazo interrumpido.</w:t>
            </w:r>
          </w:p>
          <w:p w:rsidR="00D33816" w:rsidRDefault="00A347B6">
            <w:pPr>
              <w:widowControl w:val="0"/>
              <w:numPr>
                <w:ilvl w:val="0"/>
                <w:numId w:val="1"/>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Se impute a los parientes consanguíneos de la madre del producto que hayan auxiliado en la interrupción del embarazo, y exista consentimiento de la madre para dicha circunstancia.</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lastRenderedPageBreak/>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widowControl w:val="0"/>
              <w:numPr>
                <w:ilvl w:val="0"/>
                <w:numId w:val="5"/>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Sin correlativo.</w:t>
            </w:r>
          </w:p>
          <w:p w:rsidR="00D33816" w:rsidRDefault="00D33816">
            <w:pPr>
              <w:widowControl w:val="0"/>
              <w:pBdr>
                <w:top w:val="nil"/>
                <w:left w:val="nil"/>
                <w:bottom w:val="nil"/>
                <w:right w:val="nil"/>
                <w:between w:val="nil"/>
              </w:pBdr>
              <w:spacing w:line="360" w:lineRule="auto"/>
              <w:jc w:val="both"/>
              <w:rPr>
                <w:rFonts w:ascii="Arial" w:eastAsia="Arial" w:hAnsi="Arial" w:cs="Arial"/>
                <w:color w:val="000000"/>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 xml:space="preserve">Los organismos a que se refiere el párrafo anterior podrán remitir para análisis y resolución del Poder Judicial, los casos que sean hechos de su conocimiento y consideren que son objeto de aplicación de la presente Ley. </w:t>
            </w: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4. </w:t>
            </w:r>
            <w:r>
              <w:rPr>
                <w:rFonts w:ascii="Arial" w:eastAsia="Arial" w:hAnsi="Arial" w:cs="Arial"/>
                <w:sz w:val="28"/>
                <w:szCs w:val="28"/>
              </w:rPr>
              <w:t>Se decretará amnistí</w:t>
            </w:r>
            <w:r>
              <w:rPr>
                <w:rFonts w:ascii="Arial" w:eastAsia="Arial" w:hAnsi="Arial" w:cs="Arial"/>
                <w:sz w:val="28"/>
                <w:szCs w:val="28"/>
              </w:rPr>
              <w:t>a en los siguientes supuestos:</w:t>
            </w:r>
            <w:r>
              <w:rPr>
                <w:rFonts w:ascii="Arial" w:eastAsia="Arial" w:hAnsi="Arial" w:cs="Arial"/>
                <w:b/>
                <w:bCs/>
                <w:sz w:val="28"/>
                <w:szCs w:val="28"/>
              </w:rPr>
              <w:t xml:space="preserve"> </w:t>
            </w:r>
          </w:p>
          <w:p w:rsidR="00D33816" w:rsidRDefault="00A347B6">
            <w:pPr>
              <w:widowControl w:val="0"/>
              <w:numPr>
                <w:ilvl w:val="0"/>
                <w:numId w:val="2"/>
              </w:numPr>
              <w:pBdr>
                <w:top w:val="nil"/>
                <w:left w:val="nil"/>
                <w:bottom w:val="nil"/>
                <w:right w:val="nil"/>
                <w:between w:val="nil"/>
              </w:pBdr>
              <w:spacing w:line="360" w:lineRule="auto"/>
              <w:ind w:left="1021" w:hanging="709"/>
              <w:jc w:val="both"/>
              <w:rPr>
                <w:rFonts w:ascii="Arial" w:eastAsia="Arial" w:hAnsi="Arial" w:cs="Arial"/>
                <w:color w:val="000000"/>
                <w:sz w:val="28"/>
                <w:szCs w:val="28"/>
              </w:rPr>
            </w:pPr>
            <w:r>
              <w:rPr>
                <w:rFonts w:ascii="Arial" w:eastAsia="Arial" w:hAnsi="Arial" w:cs="Arial"/>
                <w:color w:val="000000"/>
                <w:sz w:val="28"/>
                <w:szCs w:val="28"/>
              </w:rPr>
              <w:t>Por el delito de aborto, en cualquiera de sus modalidades, previsto en el Código Penal, cuando:</w:t>
            </w:r>
          </w:p>
          <w:p w:rsidR="00D33816" w:rsidRDefault="00A347B6">
            <w:pPr>
              <w:widowControl w:val="0"/>
              <w:numPr>
                <w:ilvl w:val="0"/>
                <w:numId w:val="3"/>
              </w:numPr>
              <w:pBdr>
                <w:top w:val="nil"/>
                <w:left w:val="nil"/>
                <w:bottom w:val="nil"/>
                <w:right w:val="nil"/>
                <w:between w:val="nil"/>
              </w:pBdr>
              <w:spacing w:line="360" w:lineRule="auto"/>
              <w:ind w:left="1730"/>
              <w:jc w:val="both"/>
              <w:rPr>
                <w:rFonts w:ascii="Arial" w:eastAsia="Arial" w:hAnsi="Arial" w:cs="Arial"/>
                <w:b/>
                <w:bCs/>
                <w:color w:val="000000"/>
                <w:sz w:val="28"/>
                <w:szCs w:val="28"/>
              </w:rPr>
            </w:pPr>
            <w:r>
              <w:rPr>
                <w:rFonts w:ascii="Arial" w:eastAsia="Arial" w:hAnsi="Arial" w:cs="Arial"/>
                <w:b/>
                <w:bCs/>
                <w:color w:val="000000"/>
                <w:sz w:val="28"/>
                <w:szCs w:val="28"/>
              </w:rPr>
              <w:t>Se impute a la persona gestante del producto del embarazo interrumpido.</w:t>
            </w:r>
          </w:p>
          <w:p w:rsidR="00D33816" w:rsidRDefault="00A347B6">
            <w:pPr>
              <w:widowControl w:val="0"/>
              <w:numPr>
                <w:ilvl w:val="0"/>
                <w:numId w:val="3"/>
              </w:numPr>
              <w:pBdr>
                <w:top w:val="nil"/>
                <w:left w:val="nil"/>
                <w:bottom w:val="nil"/>
                <w:right w:val="nil"/>
                <w:between w:val="nil"/>
              </w:pBdr>
              <w:spacing w:line="360" w:lineRule="auto"/>
              <w:ind w:left="1730"/>
              <w:jc w:val="both"/>
              <w:rPr>
                <w:rFonts w:ascii="Arial" w:eastAsia="Arial" w:hAnsi="Arial" w:cs="Arial"/>
                <w:b/>
                <w:bCs/>
                <w:color w:val="000000"/>
                <w:sz w:val="28"/>
                <w:szCs w:val="28"/>
              </w:rPr>
            </w:pPr>
            <w:r>
              <w:rPr>
                <w:rFonts w:ascii="Arial" w:eastAsia="Arial" w:hAnsi="Arial" w:cs="Arial"/>
                <w:b/>
                <w:bCs/>
                <w:color w:val="000000"/>
                <w:sz w:val="28"/>
                <w:szCs w:val="28"/>
              </w:rPr>
              <w:t xml:space="preserve">Se impute a las y los médicos, cirujanos, comadronas o parteras, u otro </w:t>
            </w:r>
            <w:r>
              <w:rPr>
                <w:rFonts w:ascii="Arial" w:eastAsia="Arial" w:hAnsi="Arial" w:cs="Arial"/>
                <w:b/>
                <w:bCs/>
                <w:color w:val="000000"/>
                <w:sz w:val="28"/>
                <w:szCs w:val="28"/>
              </w:rPr>
              <w:lastRenderedPageBreak/>
              <w:t>personal autorizado de servicios de la salud, que hayan auxiliado en la interrupción del embarazo, siempre que esta se haya llevado a cabo sin violencia y con el consentimiento de la p</w:t>
            </w:r>
            <w:r>
              <w:rPr>
                <w:rFonts w:ascii="Arial" w:eastAsia="Arial" w:hAnsi="Arial" w:cs="Arial"/>
                <w:b/>
                <w:bCs/>
                <w:color w:val="000000"/>
                <w:sz w:val="28"/>
                <w:szCs w:val="28"/>
              </w:rPr>
              <w:t>ersona gestante del producto del embarazo interrumpido.</w:t>
            </w:r>
          </w:p>
          <w:p w:rsidR="00D33816" w:rsidRDefault="00A347B6">
            <w:pPr>
              <w:widowControl w:val="0"/>
              <w:numPr>
                <w:ilvl w:val="0"/>
                <w:numId w:val="3"/>
              </w:numPr>
              <w:pBdr>
                <w:top w:val="nil"/>
                <w:left w:val="nil"/>
                <w:bottom w:val="nil"/>
                <w:right w:val="nil"/>
                <w:between w:val="nil"/>
              </w:pBdr>
              <w:spacing w:line="360" w:lineRule="auto"/>
              <w:ind w:left="1730"/>
              <w:jc w:val="both"/>
              <w:rPr>
                <w:rFonts w:ascii="Arial" w:eastAsia="Arial" w:hAnsi="Arial" w:cs="Arial"/>
                <w:b/>
                <w:bCs/>
                <w:color w:val="000000"/>
                <w:sz w:val="28"/>
                <w:szCs w:val="28"/>
              </w:rPr>
            </w:pPr>
            <w:r>
              <w:rPr>
                <w:rFonts w:ascii="Arial" w:eastAsia="Arial" w:hAnsi="Arial" w:cs="Arial"/>
                <w:b/>
                <w:bCs/>
                <w:color w:val="000000"/>
                <w:sz w:val="28"/>
                <w:szCs w:val="28"/>
              </w:rPr>
              <w:t xml:space="preserve">Se impute a las personas que hayan auxiliado, con previo consentimiento de la persona gestante del producto, en la interrupción del </w:t>
            </w:r>
            <w:r>
              <w:rPr>
                <w:rFonts w:ascii="Arial" w:eastAsia="Arial" w:hAnsi="Arial" w:cs="Arial"/>
                <w:b/>
                <w:bCs/>
                <w:color w:val="000000"/>
                <w:sz w:val="28"/>
                <w:szCs w:val="28"/>
              </w:rPr>
              <w:lastRenderedPageBreak/>
              <w:t>embarazo.</w:t>
            </w:r>
          </w:p>
          <w:p w:rsidR="00D33816" w:rsidRDefault="00D33816">
            <w:pPr>
              <w:spacing w:line="360" w:lineRule="auto"/>
              <w:jc w:val="both"/>
              <w:rPr>
                <w:rFonts w:ascii="Arial" w:eastAsia="Arial" w:hAnsi="Arial" w:cs="Arial"/>
                <w:b/>
                <w:bCs/>
                <w:sz w:val="28"/>
                <w:szCs w:val="28"/>
              </w:rPr>
            </w:pP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w:t>
            </w:r>
          </w:p>
          <w:p w:rsidR="00D33816" w:rsidRDefault="00A347B6">
            <w:pPr>
              <w:widowControl w:val="0"/>
              <w:numPr>
                <w:ilvl w:val="0"/>
                <w:numId w:val="4"/>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 xml:space="preserve">Cuando, en relación con el delito imputado, existan indicios razonables de que el proceso penal se haya iniciado o sostenido con base en hechos falsos, pruebas ilícitas, simuladas o manipuladas, o mediante </w:t>
            </w:r>
            <w:r>
              <w:rPr>
                <w:rFonts w:ascii="Arial" w:eastAsia="Arial" w:hAnsi="Arial" w:cs="Arial"/>
                <w:b/>
                <w:bCs/>
                <w:color w:val="000000"/>
                <w:sz w:val="28"/>
                <w:szCs w:val="28"/>
              </w:rPr>
              <w:lastRenderedPageBreak/>
              <w:t>actuaciones ministeriales o policiales irregulares</w:t>
            </w:r>
            <w:r>
              <w:rPr>
                <w:rFonts w:ascii="Arial" w:eastAsia="Arial" w:hAnsi="Arial" w:cs="Arial"/>
                <w:b/>
                <w:bCs/>
                <w:color w:val="000000"/>
                <w:sz w:val="28"/>
                <w:szCs w:val="28"/>
              </w:rPr>
              <w:t xml:space="preserve"> e ilegales, así como por violaciones graves al debido proceso, y tales circunstancias hayan dado lugar a la privación de la libertad, a la vinculación a proceso o a la emisión de una sentencia.</w:t>
            </w:r>
          </w:p>
          <w:p w:rsidR="00D33816" w:rsidRDefault="00D33816">
            <w:pPr>
              <w:spacing w:line="360" w:lineRule="auto"/>
              <w:jc w:val="both"/>
              <w:rPr>
                <w:rFonts w:ascii="Arial" w:eastAsia="Arial" w:hAnsi="Arial" w:cs="Arial"/>
                <w:b/>
                <w:bCs/>
                <w:sz w:val="28"/>
                <w:szCs w:val="28"/>
              </w:rPr>
            </w:pP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Los organismos a que se refiere la fracción XII podrán remit</w:t>
            </w:r>
            <w:r>
              <w:rPr>
                <w:rFonts w:ascii="Arial" w:eastAsia="Arial" w:hAnsi="Arial" w:cs="Arial"/>
                <w:b/>
                <w:bCs/>
                <w:sz w:val="28"/>
                <w:szCs w:val="28"/>
              </w:rPr>
              <w:t>ir para análisis y resolución del Poder Legislativo, los casos que sean hechos de su conocimiento y consideren que son objeto de aplicación de la presente Ley.</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w:t>
            </w: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5. </w:t>
            </w:r>
            <w:r>
              <w:rPr>
                <w:rFonts w:ascii="Arial" w:eastAsia="Arial" w:hAnsi="Arial" w:cs="Arial"/>
                <w:sz w:val="28"/>
                <w:szCs w:val="28"/>
              </w:rPr>
              <w:t xml:space="preserve">El Consejo de la Judicatura del Poder Judicial Poder Judicial del </w:t>
            </w:r>
            <w:r>
              <w:rPr>
                <w:rFonts w:ascii="Arial" w:eastAsia="Arial" w:hAnsi="Arial" w:cs="Arial"/>
                <w:sz w:val="28"/>
                <w:szCs w:val="28"/>
              </w:rPr>
              <w:lastRenderedPageBreak/>
              <w:t>Estado estará f</w:t>
            </w:r>
            <w:r>
              <w:rPr>
                <w:rFonts w:ascii="Arial" w:eastAsia="Arial" w:hAnsi="Arial" w:cs="Arial"/>
                <w:sz w:val="28"/>
                <w:szCs w:val="28"/>
              </w:rPr>
              <w:t>acultado para emitir acuerdos generales a efecto de normar el procedimiento, fijando plazos para sustanciar las solicitudes de amnistía ajustándose a los que se encuentran previstos en esta Ley, para su debido cumplimiento.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Artículo 5. La Comisión Legislat</w:t>
            </w:r>
            <w:r>
              <w:rPr>
                <w:rFonts w:ascii="Arial" w:eastAsia="Arial" w:hAnsi="Arial" w:cs="Arial"/>
                <w:b/>
                <w:bCs/>
                <w:sz w:val="28"/>
                <w:szCs w:val="28"/>
              </w:rPr>
              <w:t xml:space="preserve">iva de Amnistía es el órgano </w:t>
            </w:r>
            <w:r>
              <w:rPr>
                <w:rFonts w:ascii="Arial" w:eastAsia="Arial" w:hAnsi="Arial" w:cs="Arial"/>
                <w:b/>
                <w:bCs/>
                <w:sz w:val="28"/>
                <w:szCs w:val="28"/>
              </w:rPr>
              <w:lastRenderedPageBreak/>
              <w:t>legislativo encargado de conocer, analizar y dictaminar las solicitudes de amnistía previstas en la presente Ley.</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La Comisión Legislativa de Amnistía se integrará conforme a lo dispuesto en la Ley Orgánica y el Reglamento del P</w:t>
            </w:r>
            <w:r>
              <w:rPr>
                <w:rFonts w:ascii="Arial" w:eastAsia="Arial" w:hAnsi="Arial" w:cs="Arial"/>
                <w:b/>
                <w:bCs/>
                <w:sz w:val="28"/>
                <w:szCs w:val="28"/>
              </w:rPr>
              <w:t>oder Legislativo del Estado de México, a propuesta de la Junta de Coordinación Política y con aprobación del Pleno.</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En su integración se considerará la participación de los distintos grupos parlamentarios, respetando en todo momento los principios de plura</w:t>
            </w:r>
            <w:r>
              <w:rPr>
                <w:rFonts w:ascii="Arial" w:eastAsia="Arial" w:hAnsi="Arial" w:cs="Arial"/>
                <w:b/>
                <w:bCs/>
                <w:sz w:val="28"/>
                <w:szCs w:val="28"/>
              </w:rPr>
              <w:t>lidad, paridad y proporcionalidad.</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lastRenderedPageBreak/>
              <w:t xml:space="preserve">Artículo 6. </w:t>
            </w:r>
            <w:r>
              <w:rPr>
                <w:rFonts w:ascii="Arial" w:eastAsia="Arial" w:hAnsi="Arial" w:cs="Arial"/>
                <w:sz w:val="28"/>
                <w:szCs w:val="28"/>
              </w:rPr>
              <w:t xml:space="preserve">La persona interesada o su defensa, podrá solicitar ante el Juez Competente, la aplicación de la </w:t>
            </w:r>
            <w:r>
              <w:rPr>
                <w:rFonts w:ascii="Arial" w:eastAsia="Arial" w:hAnsi="Arial" w:cs="Arial"/>
                <w:sz w:val="28"/>
                <w:szCs w:val="28"/>
              </w:rPr>
              <w:lastRenderedPageBreak/>
              <w:t>amnistía respecto de los delitos establecidos en esta Ley, quien se pronunciará respecto a la procedencia de la misma, para lo cual:</w:t>
            </w:r>
          </w:p>
          <w:p w:rsidR="00D33816" w:rsidRDefault="00A347B6">
            <w:pPr>
              <w:widowControl w:val="0"/>
              <w:numPr>
                <w:ilvl w:val="0"/>
                <w:numId w:val="6"/>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Tratándose de personas vinculadas o sujetas a proceso o indiciadas pero prófugas, se notificará a la Fiscalía General de Justicia del Estado de México, el desistimiento de la acción penal;</w:t>
            </w:r>
          </w:p>
          <w:p w:rsidR="00D33816" w:rsidRDefault="00A347B6">
            <w:pPr>
              <w:widowControl w:val="0"/>
              <w:numPr>
                <w:ilvl w:val="0"/>
                <w:numId w:val="6"/>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Tratándose de personas con sentencia firme, se realizarán las actua</w:t>
            </w:r>
            <w:r>
              <w:rPr>
                <w:rFonts w:ascii="Arial" w:eastAsia="Arial" w:hAnsi="Arial" w:cs="Arial"/>
                <w:color w:val="000000"/>
                <w:sz w:val="28"/>
                <w:szCs w:val="28"/>
              </w:rPr>
              <w:t>ciones conducentes para, en su caso, ordenar su inmediata liberación.</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6. La Comisión Legislativa de Amnistía contará, cuando la naturaleza, complejidad o </w:t>
            </w:r>
            <w:r>
              <w:rPr>
                <w:rFonts w:ascii="Arial" w:eastAsia="Arial" w:hAnsi="Arial" w:cs="Arial"/>
                <w:b/>
                <w:bCs/>
                <w:sz w:val="28"/>
                <w:szCs w:val="28"/>
              </w:rPr>
              <w:lastRenderedPageBreak/>
              <w:t>relevancia del asunto lo amerite, con la participación de personas expertas reconocidas a niv</w:t>
            </w:r>
            <w:r>
              <w:rPr>
                <w:rFonts w:ascii="Arial" w:eastAsia="Arial" w:hAnsi="Arial" w:cs="Arial"/>
                <w:b/>
                <w:bCs/>
                <w:sz w:val="28"/>
                <w:szCs w:val="28"/>
              </w:rPr>
              <w:t>el nacional o internacional en las materias vinculadas con los supuestos previstos en la presente Ley. Su intervención tendrá fines de asesoría técnica o especializada, con derecho a voz, pero sin voto.</w:t>
            </w: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7. </w:t>
            </w:r>
            <w:r>
              <w:rPr>
                <w:rFonts w:ascii="Arial" w:eastAsia="Arial" w:hAnsi="Arial" w:cs="Arial"/>
                <w:sz w:val="28"/>
                <w:szCs w:val="28"/>
              </w:rPr>
              <w:t>Las solicitudes también podrán ser prese</w:t>
            </w:r>
            <w:r>
              <w:rPr>
                <w:rFonts w:ascii="Arial" w:eastAsia="Arial" w:hAnsi="Arial" w:cs="Arial"/>
                <w:sz w:val="28"/>
                <w:szCs w:val="28"/>
              </w:rPr>
              <w:t xml:space="preserve">ntadas por personas que tengan relación de parentesco por consanguinidad o afinidad hasta el cuarto grado con el interesado, o bien por organizaciones u organismos </w:t>
            </w:r>
            <w:r>
              <w:rPr>
                <w:rFonts w:ascii="Arial" w:eastAsia="Arial" w:hAnsi="Arial" w:cs="Arial"/>
                <w:sz w:val="28"/>
                <w:szCs w:val="28"/>
              </w:rPr>
              <w:lastRenderedPageBreak/>
              <w:t>públicos defensores de derechos humanos debidamente registrados y sin fines de lucro.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Artícu</w:t>
            </w:r>
            <w:r>
              <w:rPr>
                <w:rFonts w:ascii="Arial" w:eastAsia="Arial" w:hAnsi="Arial" w:cs="Arial"/>
                <w:b/>
                <w:bCs/>
                <w:sz w:val="28"/>
                <w:szCs w:val="28"/>
              </w:rPr>
              <w:t>lo 7. Se encuentran legitimadas para promover la solicitud de amnistía:</w:t>
            </w:r>
          </w:p>
          <w:p w:rsidR="00D33816" w:rsidRDefault="00A347B6">
            <w:pPr>
              <w:widowControl w:val="0"/>
              <w:numPr>
                <w:ilvl w:val="0"/>
                <w:numId w:val="7"/>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La persona a favor de quien se solicite;</w:t>
            </w:r>
          </w:p>
          <w:p w:rsidR="00D33816" w:rsidRDefault="00A347B6">
            <w:pPr>
              <w:widowControl w:val="0"/>
              <w:numPr>
                <w:ilvl w:val="0"/>
                <w:numId w:val="7"/>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Su defensa legal;</w:t>
            </w:r>
          </w:p>
          <w:p w:rsidR="00D33816" w:rsidRDefault="00A347B6">
            <w:pPr>
              <w:widowControl w:val="0"/>
              <w:numPr>
                <w:ilvl w:val="0"/>
                <w:numId w:val="7"/>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lastRenderedPageBreak/>
              <w:t>Las personas con parentesco por consanguinidad o afinidad hasta el cuarto grado;</w:t>
            </w:r>
          </w:p>
          <w:p w:rsidR="00D33816" w:rsidRDefault="00A347B6">
            <w:pPr>
              <w:widowControl w:val="0"/>
              <w:numPr>
                <w:ilvl w:val="0"/>
                <w:numId w:val="7"/>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La Comisión de Derechos Humanos del Estado de México y demás organismos públicos defensores de derechos humanos;</w:t>
            </w:r>
          </w:p>
          <w:p w:rsidR="00D33816" w:rsidRDefault="00A347B6">
            <w:pPr>
              <w:widowControl w:val="0"/>
              <w:numPr>
                <w:ilvl w:val="0"/>
                <w:numId w:val="7"/>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Las organizaciones de la sociedad civil legalmente constituidas sin fines de lucro cuyo objeto sea la defensa o promoción de los derechos human</w:t>
            </w:r>
            <w:r>
              <w:rPr>
                <w:rFonts w:ascii="Arial" w:eastAsia="Arial" w:hAnsi="Arial" w:cs="Arial"/>
                <w:b/>
                <w:bCs/>
                <w:color w:val="000000"/>
                <w:sz w:val="28"/>
                <w:szCs w:val="28"/>
              </w:rPr>
              <w:t>os.</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lastRenderedPageBreak/>
              <w:t>Artículo 8.</w:t>
            </w:r>
            <w:r>
              <w:rPr>
                <w:rFonts w:ascii="Arial" w:eastAsia="Arial" w:hAnsi="Arial" w:cs="Arial"/>
                <w:sz w:val="28"/>
                <w:szCs w:val="28"/>
              </w:rPr>
              <w:t xml:space="preserve"> La solicitud de amnistía deberá ser presentada por escrito o por medios electrónicos habilitados para tal efecto, ante el Juez Competente, debiendo acreditar la calidad con la que acude a solicitar amnistía, el supuesto </w:t>
            </w:r>
            <w:r>
              <w:rPr>
                <w:rFonts w:ascii="Arial" w:eastAsia="Arial" w:hAnsi="Arial" w:cs="Arial"/>
                <w:sz w:val="28"/>
                <w:szCs w:val="28"/>
              </w:rPr>
              <w:lastRenderedPageBreak/>
              <w:t>por el que se consi</w:t>
            </w:r>
            <w:r>
              <w:rPr>
                <w:rFonts w:ascii="Arial" w:eastAsia="Arial" w:hAnsi="Arial" w:cs="Arial"/>
                <w:sz w:val="28"/>
                <w:szCs w:val="28"/>
              </w:rPr>
              <w:t xml:space="preserve">dera podría ser beneficiario de la misma, adjuntando medios de prueba en los que sustente su petición y, en su caso, solicitando se integren aquellos que no estén a su alcance por no estar facultados para tenerlas. </w:t>
            </w:r>
          </w:p>
          <w:p w:rsidR="00D33816" w:rsidRDefault="00D33816">
            <w:pPr>
              <w:spacing w:line="360" w:lineRule="auto"/>
              <w:jc w:val="both"/>
              <w:rPr>
                <w:rFonts w:ascii="Arial" w:eastAsia="Arial" w:hAnsi="Arial" w:cs="Arial"/>
                <w:sz w:val="28"/>
                <w:szCs w:val="28"/>
              </w:rPr>
            </w:pP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La autoridad judicial dentro del plazo de tres días hábiles posteriores a la recepción de la solicitud, emitirá un acuerdo en cualquiera de los siguientes sentidos:</w:t>
            </w:r>
          </w:p>
          <w:p w:rsidR="00D33816" w:rsidRDefault="00D33816">
            <w:pPr>
              <w:spacing w:line="360" w:lineRule="auto"/>
              <w:jc w:val="both"/>
              <w:rPr>
                <w:rFonts w:ascii="Arial" w:eastAsia="Arial" w:hAnsi="Arial" w:cs="Arial"/>
                <w:sz w:val="28"/>
                <w:szCs w:val="28"/>
              </w:rPr>
            </w:pPr>
          </w:p>
          <w:p w:rsidR="00D33816" w:rsidRDefault="00A347B6">
            <w:pPr>
              <w:widowControl w:val="0"/>
              <w:numPr>
                <w:ilvl w:val="0"/>
                <w:numId w:val="8"/>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Admitir e iniciar el trámite; </w:t>
            </w:r>
          </w:p>
          <w:p w:rsidR="00D33816" w:rsidRDefault="00D33816">
            <w:pPr>
              <w:widowControl w:val="0"/>
              <w:pBdr>
                <w:top w:val="nil"/>
                <w:left w:val="nil"/>
                <w:bottom w:val="nil"/>
                <w:right w:val="nil"/>
                <w:between w:val="nil"/>
              </w:pBdr>
              <w:spacing w:line="360" w:lineRule="auto"/>
              <w:ind w:left="720"/>
              <w:jc w:val="both"/>
              <w:rPr>
                <w:rFonts w:ascii="Arial" w:eastAsia="Arial" w:hAnsi="Arial" w:cs="Arial"/>
                <w:color w:val="000000"/>
                <w:sz w:val="28"/>
                <w:szCs w:val="28"/>
              </w:rPr>
            </w:pPr>
          </w:p>
          <w:p w:rsidR="00D33816" w:rsidRDefault="00A347B6">
            <w:pPr>
              <w:widowControl w:val="0"/>
              <w:numPr>
                <w:ilvl w:val="0"/>
                <w:numId w:val="8"/>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Prevenir para que aclare o corrija la solicitud, dentro del término de tres días, siguientes a su notificación;</w:t>
            </w: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A347B6">
            <w:pPr>
              <w:widowControl w:val="0"/>
              <w:numPr>
                <w:ilvl w:val="0"/>
                <w:numId w:val="8"/>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w:t>
            </w: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Artículo 8.</w:t>
            </w:r>
            <w:r>
              <w:rPr>
                <w:rFonts w:ascii="Arial" w:eastAsia="Arial" w:hAnsi="Arial" w:cs="Arial"/>
                <w:sz w:val="28"/>
                <w:szCs w:val="28"/>
              </w:rPr>
              <w:t xml:space="preserve"> La solicitud de amnistía deberá ser presentada por escrito o por medios electrónicos habilitados para tal efecto, </w:t>
            </w:r>
            <w:r>
              <w:rPr>
                <w:rFonts w:ascii="Arial" w:eastAsia="Arial" w:hAnsi="Arial" w:cs="Arial"/>
                <w:b/>
                <w:bCs/>
                <w:sz w:val="28"/>
                <w:szCs w:val="28"/>
              </w:rPr>
              <w:t>ante la</w:t>
            </w:r>
            <w:r>
              <w:rPr>
                <w:rFonts w:ascii="Arial" w:eastAsia="Arial" w:hAnsi="Arial" w:cs="Arial"/>
                <w:b/>
                <w:bCs/>
                <w:sz w:val="28"/>
                <w:szCs w:val="28"/>
              </w:rPr>
              <w:t xml:space="preserve"> Comisión Legislativa de Amnistía.</w:t>
            </w: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 xml:space="preserve">La Comisión Legislativa de Amnistía, dentro del plazo de tres días posteriores a la recepción de la solicitud, deberá: </w:t>
            </w:r>
          </w:p>
          <w:p w:rsidR="00D33816" w:rsidRDefault="00D33816">
            <w:pPr>
              <w:spacing w:line="360" w:lineRule="auto"/>
              <w:jc w:val="both"/>
              <w:rPr>
                <w:rFonts w:ascii="Arial" w:eastAsia="Arial" w:hAnsi="Arial" w:cs="Arial"/>
                <w:b/>
                <w:bCs/>
                <w:sz w:val="28"/>
                <w:szCs w:val="28"/>
              </w:rPr>
            </w:pPr>
          </w:p>
          <w:p w:rsidR="00D33816" w:rsidRDefault="00A347B6">
            <w:pPr>
              <w:widowControl w:val="0"/>
              <w:numPr>
                <w:ilvl w:val="0"/>
                <w:numId w:val="9"/>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Admitir e iniciar los trabajos para la emisión del dictamen;</w:t>
            </w:r>
          </w:p>
          <w:p w:rsidR="00D33816" w:rsidRDefault="00A347B6">
            <w:pPr>
              <w:widowControl w:val="0"/>
              <w:numPr>
                <w:ilvl w:val="0"/>
                <w:numId w:val="9"/>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 xml:space="preserve">Prevenir a la persona solicitante para que aclare o corrija la solicitud, dentro del término de diez días hábiles, contados a partir de su notificación, cuando advierta omisiones, imprecisiones o </w:t>
            </w:r>
            <w:r>
              <w:rPr>
                <w:rFonts w:ascii="Arial" w:eastAsia="Arial" w:hAnsi="Arial" w:cs="Arial"/>
                <w:b/>
                <w:bCs/>
                <w:color w:val="000000"/>
                <w:sz w:val="28"/>
                <w:szCs w:val="28"/>
              </w:rPr>
              <w:lastRenderedPageBreak/>
              <w:t>defectos formales en la misma;</w:t>
            </w:r>
          </w:p>
          <w:p w:rsidR="00D33816" w:rsidRDefault="00A347B6">
            <w:pPr>
              <w:widowControl w:val="0"/>
              <w:numPr>
                <w:ilvl w:val="0"/>
                <w:numId w:val="9"/>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w:t>
            </w: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w:t>
            </w:r>
          </w:p>
          <w:p w:rsidR="00D33816" w:rsidRDefault="00A347B6">
            <w:pPr>
              <w:spacing w:line="360" w:lineRule="auto"/>
              <w:jc w:val="both"/>
              <w:rPr>
                <w:rFonts w:ascii="Arial" w:eastAsia="Arial" w:hAnsi="Arial" w:cs="Arial"/>
                <w:b/>
                <w:bCs/>
                <w:sz w:val="28"/>
                <w:szCs w:val="28"/>
              </w:rPr>
            </w:pPr>
            <w:r>
              <w:rPr>
                <w:rFonts w:ascii="Arial" w:eastAsia="Arial" w:hAnsi="Arial" w:cs="Arial"/>
                <w:sz w:val="28"/>
                <w:szCs w:val="28"/>
              </w:rPr>
              <w:t>…</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lastRenderedPageBreak/>
              <w:t>Sin correlativo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8 Bis.  La solicitud de amnistía deberá contener, cuando menos:</w:t>
            </w:r>
          </w:p>
          <w:p w:rsidR="00D33816" w:rsidRDefault="00A347B6">
            <w:pPr>
              <w:widowControl w:val="0"/>
              <w:numPr>
                <w:ilvl w:val="1"/>
                <w:numId w:val="3"/>
              </w:numPr>
              <w:pBdr>
                <w:top w:val="nil"/>
                <w:left w:val="nil"/>
                <w:bottom w:val="nil"/>
                <w:right w:val="nil"/>
                <w:between w:val="nil"/>
              </w:pBdr>
              <w:spacing w:line="360" w:lineRule="auto"/>
              <w:ind w:left="879" w:hanging="425"/>
              <w:jc w:val="both"/>
              <w:rPr>
                <w:rFonts w:ascii="Arial" w:eastAsia="Arial" w:hAnsi="Arial" w:cs="Arial"/>
                <w:b/>
                <w:bCs/>
                <w:color w:val="000000"/>
                <w:sz w:val="28"/>
                <w:szCs w:val="28"/>
              </w:rPr>
            </w:pPr>
            <w:r>
              <w:rPr>
                <w:rFonts w:ascii="Arial" w:eastAsia="Arial" w:hAnsi="Arial" w:cs="Arial"/>
                <w:b/>
                <w:bCs/>
                <w:color w:val="000000"/>
                <w:sz w:val="28"/>
                <w:szCs w:val="28"/>
              </w:rPr>
              <w:t>Los datos de identificación de la persona solicitante y, en su caso, de la persona a favor de quien se promueve;</w:t>
            </w:r>
          </w:p>
          <w:p w:rsidR="00D33816" w:rsidRDefault="00A347B6">
            <w:pPr>
              <w:widowControl w:val="0"/>
              <w:numPr>
                <w:ilvl w:val="1"/>
                <w:numId w:val="3"/>
              </w:numPr>
              <w:pBdr>
                <w:top w:val="nil"/>
                <w:left w:val="nil"/>
                <w:bottom w:val="nil"/>
                <w:right w:val="nil"/>
                <w:between w:val="nil"/>
              </w:pBdr>
              <w:spacing w:line="360" w:lineRule="auto"/>
              <w:ind w:left="879" w:hanging="425"/>
              <w:jc w:val="both"/>
              <w:rPr>
                <w:rFonts w:ascii="Arial" w:eastAsia="Arial" w:hAnsi="Arial" w:cs="Arial"/>
                <w:b/>
                <w:bCs/>
                <w:color w:val="000000"/>
                <w:sz w:val="28"/>
                <w:szCs w:val="28"/>
              </w:rPr>
            </w:pPr>
            <w:r>
              <w:rPr>
                <w:rFonts w:ascii="Arial" w:eastAsia="Arial" w:hAnsi="Arial" w:cs="Arial"/>
                <w:b/>
                <w:bCs/>
                <w:color w:val="000000"/>
                <w:sz w:val="28"/>
                <w:szCs w:val="28"/>
              </w:rPr>
              <w:t>La referencia precisa del proceso penal, causa penal o sentencia firme</w:t>
            </w:r>
            <w:r>
              <w:rPr>
                <w:rFonts w:ascii="Arial" w:eastAsia="Arial" w:hAnsi="Arial" w:cs="Arial"/>
                <w:b/>
                <w:bCs/>
                <w:color w:val="000000"/>
                <w:sz w:val="28"/>
                <w:szCs w:val="28"/>
              </w:rPr>
              <w:t xml:space="preserve"> respecto de la cual se solicita la amnistía;</w:t>
            </w:r>
          </w:p>
          <w:p w:rsidR="00D33816" w:rsidRDefault="00A347B6">
            <w:pPr>
              <w:widowControl w:val="0"/>
              <w:numPr>
                <w:ilvl w:val="1"/>
                <w:numId w:val="3"/>
              </w:numPr>
              <w:pBdr>
                <w:top w:val="nil"/>
                <w:left w:val="nil"/>
                <w:bottom w:val="nil"/>
                <w:right w:val="nil"/>
                <w:between w:val="nil"/>
              </w:pBdr>
              <w:spacing w:line="360" w:lineRule="auto"/>
              <w:ind w:left="879" w:hanging="425"/>
              <w:jc w:val="both"/>
              <w:rPr>
                <w:rFonts w:ascii="Arial" w:eastAsia="Arial" w:hAnsi="Arial" w:cs="Arial"/>
                <w:b/>
                <w:bCs/>
                <w:color w:val="000000"/>
                <w:sz w:val="28"/>
                <w:szCs w:val="28"/>
              </w:rPr>
            </w:pPr>
            <w:r>
              <w:rPr>
                <w:rFonts w:ascii="Arial" w:eastAsia="Arial" w:hAnsi="Arial" w:cs="Arial"/>
                <w:b/>
                <w:bCs/>
                <w:color w:val="000000"/>
                <w:sz w:val="28"/>
                <w:szCs w:val="28"/>
              </w:rPr>
              <w:t xml:space="preserve">La identificación del supuesto o supuestos de </w:t>
            </w:r>
            <w:r>
              <w:rPr>
                <w:rFonts w:ascii="Arial" w:eastAsia="Arial" w:hAnsi="Arial" w:cs="Arial"/>
                <w:b/>
                <w:bCs/>
                <w:color w:val="000000"/>
                <w:sz w:val="28"/>
                <w:szCs w:val="28"/>
              </w:rPr>
              <w:lastRenderedPageBreak/>
              <w:t>procedencia previstos en la presente Ley;</w:t>
            </w:r>
          </w:p>
          <w:p w:rsidR="00D33816" w:rsidRDefault="00A347B6">
            <w:pPr>
              <w:widowControl w:val="0"/>
              <w:numPr>
                <w:ilvl w:val="1"/>
                <w:numId w:val="3"/>
              </w:numPr>
              <w:pBdr>
                <w:top w:val="nil"/>
                <w:left w:val="nil"/>
                <w:bottom w:val="nil"/>
                <w:right w:val="nil"/>
                <w:between w:val="nil"/>
              </w:pBdr>
              <w:spacing w:line="360" w:lineRule="auto"/>
              <w:ind w:left="879" w:hanging="425"/>
              <w:jc w:val="both"/>
              <w:rPr>
                <w:rFonts w:ascii="Arial" w:eastAsia="Arial" w:hAnsi="Arial" w:cs="Arial"/>
                <w:b/>
                <w:bCs/>
                <w:color w:val="000000"/>
                <w:sz w:val="28"/>
                <w:szCs w:val="28"/>
              </w:rPr>
            </w:pPr>
            <w:r>
              <w:rPr>
                <w:rFonts w:ascii="Arial" w:eastAsia="Arial" w:hAnsi="Arial" w:cs="Arial"/>
                <w:b/>
                <w:bCs/>
                <w:color w:val="000000"/>
                <w:sz w:val="28"/>
                <w:szCs w:val="28"/>
              </w:rPr>
              <w:t>La exposición de los hechos y razones que sustenten la procedencia de la amnistía;</w:t>
            </w:r>
          </w:p>
          <w:p w:rsidR="00D33816" w:rsidRDefault="00A347B6">
            <w:pPr>
              <w:widowControl w:val="0"/>
              <w:numPr>
                <w:ilvl w:val="1"/>
                <w:numId w:val="3"/>
              </w:numPr>
              <w:pBdr>
                <w:top w:val="nil"/>
                <w:left w:val="nil"/>
                <w:bottom w:val="nil"/>
                <w:right w:val="nil"/>
                <w:between w:val="nil"/>
              </w:pBdr>
              <w:spacing w:line="360" w:lineRule="auto"/>
              <w:ind w:left="879" w:hanging="425"/>
              <w:jc w:val="both"/>
              <w:rPr>
                <w:rFonts w:ascii="Arial" w:eastAsia="Arial" w:hAnsi="Arial" w:cs="Arial"/>
                <w:b/>
                <w:bCs/>
                <w:color w:val="000000"/>
                <w:sz w:val="28"/>
                <w:szCs w:val="28"/>
              </w:rPr>
            </w:pPr>
            <w:r>
              <w:rPr>
                <w:rFonts w:ascii="Arial" w:eastAsia="Arial" w:hAnsi="Arial" w:cs="Arial"/>
                <w:b/>
                <w:bCs/>
                <w:color w:val="000000"/>
                <w:sz w:val="28"/>
                <w:szCs w:val="28"/>
              </w:rPr>
              <w:t>Los elementos documentales o de informa</w:t>
            </w:r>
            <w:r>
              <w:rPr>
                <w:rFonts w:ascii="Arial" w:eastAsia="Arial" w:hAnsi="Arial" w:cs="Arial"/>
                <w:b/>
                <w:bCs/>
                <w:color w:val="000000"/>
                <w:sz w:val="28"/>
                <w:szCs w:val="28"/>
              </w:rPr>
              <w:t>ción disponibles que acompañen la solicitud.</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La omisión de alguno de los elementos señalados no determinará por sí misma la improcedencia, siempre que resulte posible su subsanación.</w:t>
            </w: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9. </w:t>
            </w:r>
            <w:r>
              <w:rPr>
                <w:rFonts w:ascii="Arial" w:eastAsia="Arial" w:hAnsi="Arial" w:cs="Arial"/>
                <w:sz w:val="28"/>
                <w:szCs w:val="28"/>
              </w:rPr>
              <w:t>Una vez admitida la solicitud, dentro del plazo de treinta d</w:t>
            </w:r>
            <w:r>
              <w:rPr>
                <w:rFonts w:ascii="Arial" w:eastAsia="Arial" w:hAnsi="Arial" w:cs="Arial"/>
                <w:sz w:val="28"/>
                <w:szCs w:val="28"/>
              </w:rPr>
              <w:t xml:space="preserve">ías hábiles, el Juez Competente, deberá determinar la procedencia o improcedencia de la amnistía, pudiendo prorrogarse dicho plazo hasta por </w:t>
            </w:r>
            <w:r>
              <w:rPr>
                <w:rFonts w:ascii="Arial" w:eastAsia="Arial" w:hAnsi="Arial" w:cs="Arial"/>
                <w:sz w:val="28"/>
                <w:szCs w:val="28"/>
              </w:rPr>
              <w:lastRenderedPageBreak/>
              <w:t>treinta días más, atendiendo las circunstancias del caso.</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Artículo 9. Admitida la solicitud, la Comisión Legislativ</w:t>
            </w:r>
            <w:r>
              <w:rPr>
                <w:rFonts w:ascii="Arial" w:eastAsia="Arial" w:hAnsi="Arial" w:cs="Arial"/>
                <w:b/>
                <w:bCs/>
                <w:sz w:val="28"/>
                <w:szCs w:val="28"/>
              </w:rPr>
              <w:t xml:space="preserve">a de Amnistía procederá, a propuesta de la persona presidenta, a turnarla a un integrante de la Comisión, para efectos de estudio, análisis y </w:t>
            </w:r>
            <w:r>
              <w:rPr>
                <w:rFonts w:ascii="Arial" w:eastAsia="Arial" w:hAnsi="Arial" w:cs="Arial"/>
                <w:b/>
                <w:bCs/>
                <w:sz w:val="28"/>
                <w:szCs w:val="28"/>
              </w:rPr>
              <w:lastRenderedPageBreak/>
              <w:t>elaboración de la propuesta de dictamen correspondiente.</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La propuesta de dictamen deberá ser presentada ante la Comisión dentro del plazo de treinta días hábiles, contados a partir de la admisión de la solicitud; dicho plazo podrá prorrogarse por una sola ocasión y hasta por treinta días hábiles más, cuando la n</w:t>
            </w:r>
            <w:r>
              <w:rPr>
                <w:rFonts w:ascii="Arial" w:eastAsia="Arial" w:hAnsi="Arial" w:cs="Arial"/>
                <w:b/>
                <w:bCs/>
                <w:sz w:val="28"/>
                <w:szCs w:val="28"/>
              </w:rPr>
              <w:t>aturaleza o complejidad del asunto así lo justifique.</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La Comisión examinará, discutirá y, en su caso, aprobará la propuesta de dictamen, para su remisión al Pleno de la Legislatura, a efecto de que éste emita el Decreto que corresponda, conforme a lo dispu</w:t>
            </w:r>
            <w:r>
              <w:rPr>
                <w:rFonts w:ascii="Arial" w:eastAsia="Arial" w:hAnsi="Arial" w:cs="Arial"/>
                <w:b/>
                <w:bCs/>
                <w:sz w:val="28"/>
                <w:szCs w:val="28"/>
              </w:rPr>
              <w:t>esto en la presente Ley.</w:t>
            </w: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10. </w:t>
            </w:r>
            <w:r>
              <w:rPr>
                <w:rFonts w:ascii="Arial" w:eastAsia="Arial" w:hAnsi="Arial" w:cs="Arial"/>
                <w:sz w:val="28"/>
                <w:szCs w:val="28"/>
              </w:rPr>
              <w:t>En la determinación que otorgue la amnistía, la autoridad judicial ordenará a las autoridades competentes que decreten la libertad o el desistimiento del ejercicio de la acción penal, según corresponda.</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10. E</w:t>
            </w:r>
            <w:r>
              <w:rPr>
                <w:rFonts w:ascii="Arial" w:eastAsia="Arial" w:hAnsi="Arial" w:cs="Arial"/>
                <w:b/>
                <w:bCs/>
                <w:sz w:val="28"/>
                <w:szCs w:val="28"/>
              </w:rPr>
              <w:t>l Decreto de Amnistía, aprobado por el Pleno de la Legislatura del Estado de México, ordenará a las autoridades competentes, según corresponda, la libertad inmediata de la persona beneficiaria o el desistimiento del ejercicio de la acción penal.</w:t>
            </w:r>
          </w:p>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Dicho Decr</w:t>
            </w:r>
            <w:r>
              <w:rPr>
                <w:rFonts w:ascii="Arial" w:eastAsia="Arial" w:hAnsi="Arial" w:cs="Arial"/>
                <w:b/>
                <w:bCs/>
                <w:sz w:val="28"/>
                <w:szCs w:val="28"/>
              </w:rPr>
              <w:t>eto será remitido al Poder Ejecutivo para su publicación en el Periódico Oficial “Gaceta del Gobierno”, así como para los efectos legales conducentes.</w:t>
            </w:r>
          </w:p>
          <w:p w:rsidR="00D33816" w:rsidRDefault="00D33816">
            <w:pPr>
              <w:spacing w:line="360" w:lineRule="auto"/>
              <w:jc w:val="both"/>
              <w:rPr>
                <w:rFonts w:ascii="Arial" w:eastAsia="Arial" w:hAnsi="Arial" w:cs="Arial"/>
                <w:b/>
                <w:bCs/>
                <w:sz w:val="28"/>
                <w:szCs w:val="28"/>
              </w:rPr>
            </w:pP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 xml:space="preserve">Artículo 12. </w:t>
            </w:r>
            <w:r>
              <w:rPr>
                <w:rFonts w:ascii="Arial" w:eastAsia="Arial" w:hAnsi="Arial" w:cs="Arial"/>
                <w:sz w:val="28"/>
                <w:szCs w:val="28"/>
              </w:rPr>
              <w:t>Los efectos de esta Ley se producirán a partir de que la autoridad judicial se pronuncie s</w:t>
            </w:r>
            <w:r>
              <w:rPr>
                <w:rFonts w:ascii="Arial" w:eastAsia="Arial" w:hAnsi="Arial" w:cs="Arial"/>
                <w:sz w:val="28"/>
                <w:szCs w:val="28"/>
              </w:rPr>
              <w:t>obre el otorgamiento de la amnistía.</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 xml:space="preserve">Artículo 12. Los efectos de esta Ley se producirán a partir de que el Decreto de Amnistía sea aprobado por el Pleno de la Legislatura del Estado de México. </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lastRenderedPageBreak/>
              <w:t>Artículo 16.</w:t>
            </w:r>
            <w:r>
              <w:rPr>
                <w:rFonts w:ascii="Arial" w:eastAsia="Arial" w:hAnsi="Arial" w:cs="Arial"/>
                <w:sz w:val="28"/>
                <w:szCs w:val="28"/>
              </w:rPr>
              <w:t xml:space="preserve"> La LX Legislatura del Estado de México con base </w:t>
            </w:r>
            <w:r>
              <w:rPr>
                <w:rFonts w:ascii="Arial" w:eastAsia="Arial" w:hAnsi="Arial" w:cs="Arial"/>
                <w:sz w:val="28"/>
                <w:szCs w:val="28"/>
              </w:rPr>
              <w:t>en su normatividad, integrará una Comisión Especial, con el fin de dar seguimiento a lo ordenado en esta ley, así como para conocer de aquellos casos que por su relevancia son puestos a su consideración por medio de las personas a que se refiere el artícul</w:t>
            </w:r>
            <w:r>
              <w:rPr>
                <w:rFonts w:ascii="Arial" w:eastAsia="Arial" w:hAnsi="Arial" w:cs="Arial"/>
                <w:sz w:val="28"/>
                <w:szCs w:val="28"/>
              </w:rPr>
              <w:t>o 7 de esta Ley y organismos defensores de derechos humanos, por encuadrar en supuestos de violación de derechos o fallas en la aplicación de alguno de los principios penales del sistema acusatorio, o la plena presunción de fabricación de delitos.</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16. La Comisión Legislativa de Amnistía, deberá elaborar informes periódicos sobre el estado que guarda la tramitación de las solicitudes de amnistía. Dichos informes serán públicos y se remitirán al Pleno de la Legislatura, a fin de garantizar la</w:t>
            </w:r>
            <w:r>
              <w:rPr>
                <w:rFonts w:ascii="Arial" w:eastAsia="Arial" w:hAnsi="Arial" w:cs="Arial"/>
                <w:b/>
                <w:bCs/>
                <w:sz w:val="28"/>
                <w:szCs w:val="28"/>
              </w:rPr>
              <w:t xml:space="preserve"> transparencia, la rendición de cuentas y el respeto a los derechos humanos de las personas solicitantes y beneficiarias.</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t xml:space="preserve">Artículo 17. </w:t>
            </w:r>
            <w:r>
              <w:rPr>
                <w:rFonts w:ascii="Arial" w:eastAsia="Arial" w:hAnsi="Arial" w:cs="Arial"/>
                <w:sz w:val="28"/>
                <w:szCs w:val="28"/>
              </w:rPr>
              <w:t>La Comisión al conocer de la solicitud a que se refiere el artículo anterior, solicitará la opinión consultiva de la Com</w:t>
            </w:r>
            <w:r>
              <w:rPr>
                <w:rFonts w:ascii="Arial" w:eastAsia="Arial" w:hAnsi="Arial" w:cs="Arial"/>
                <w:sz w:val="28"/>
                <w:szCs w:val="28"/>
              </w:rPr>
              <w:t xml:space="preserve">isión de Derechos Humanos del Estado de México, de la Fiscalía </w:t>
            </w:r>
            <w:r>
              <w:rPr>
                <w:rFonts w:ascii="Arial" w:eastAsia="Arial" w:hAnsi="Arial" w:cs="Arial"/>
                <w:sz w:val="28"/>
                <w:szCs w:val="28"/>
              </w:rPr>
              <w:lastRenderedPageBreak/>
              <w:t>General de Justicia del Estado de México, del Poder Judicial del Estado de México y del Ejecutivo estatal a través de la Secretaría de Justicia y Derechos Humanos, así como de Organizaciones de</w:t>
            </w:r>
            <w:r>
              <w:rPr>
                <w:rFonts w:ascii="Arial" w:eastAsia="Arial" w:hAnsi="Arial" w:cs="Arial"/>
                <w:sz w:val="28"/>
                <w:szCs w:val="28"/>
              </w:rPr>
              <w:t xml:space="preserve"> la Sociedad Civil debidamente registradas, cuyo objeto sea la protección y defensa de derechos humanos, quienes deberán emitir la opinión en un plazo razonable.</w:t>
            </w: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t xml:space="preserve">… </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17. La Comisión Legislativa de Amnistía, al conocer de la solicitud a que se refiere el artículo anterior, deberá garantizar un procedimiento transparente, </w:t>
            </w:r>
            <w:r>
              <w:rPr>
                <w:rFonts w:ascii="Arial" w:eastAsia="Arial" w:hAnsi="Arial" w:cs="Arial"/>
                <w:b/>
                <w:bCs/>
                <w:sz w:val="28"/>
                <w:szCs w:val="28"/>
              </w:rPr>
              <w:lastRenderedPageBreak/>
              <w:t>imparcial y con perspectiva de derechos humanos. Para tal efecto, deberá:</w:t>
            </w: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D33816">
            <w:pPr>
              <w:spacing w:line="360" w:lineRule="auto"/>
              <w:jc w:val="both"/>
              <w:rPr>
                <w:rFonts w:ascii="Arial" w:eastAsia="Arial" w:hAnsi="Arial" w:cs="Arial"/>
                <w:b/>
                <w:bCs/>
                <w:sz w:val="28"/>
                <w:szCs w:val="28"/>
              </w:rPr>
            </w:pPr>
          </w:p>
          <w:p w:rsidR="00D33816" w:rsidRDefault="00A347B6">
            <w:pPr>
              <w:widowControl w:val="0"/>
              <w:numPr>
                <w:ilvl w:val="0"/>
                <w:numId w:val="13"/>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 xml:space="preserve">Requerir información, documentación o informes a las autoridades correspondientes del Poder Ejecutivo, del Poder Judicial y de la Fiscalía General de Justicia del Estado de México, así como de cualquier otra autoridad estatal o municipal, cuando </w:t>
            </w:r>
            <w:r>
              <w:rPr>
                <w:rFonts w:ascii="Arial" w:eastAsia="Arial" w:hAnsi="Arial" w:cs="Arial"/>
                <w:b/>
                <w:bCs/>
                <w:color w:val="000000"/>
                <w:sz w:val="28"/>
                <w:szCs w:val="28"/>
              </w:rPr>
              <w:lastRenderedPageBreak/>
              <w:t>resulten n</w:t>
            </w:r>
            <w:r>
              <w:rPr>
                <w:rFonts w:ascii="Arial" w:eastAsia="Arial" w:hAnsi="Arial" w:cs="Arial"/>
                <w:b/>
                <w:bCs/>
                <w:color w:val="000000"/>
                <w:sz w:val="28"/>
                <w:szCs w:val="28"/>
              </w:rPr>
              <w:t>ecesarios para el análisis de las solicitudes;</w:t>
            </w:r>
          </w:p>
          <w:p w:rsidR="00D33816" w:rsidRDefault="00A347B6">
            <w:pPr>
              <w:widowControl w:val="0"/>
              <w:numPr>
                <w:ilvl w:val="0"/>
                <w:numId w:val="13"/>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Solicitar la opinión consultiva de la Comisión de Derechos Humanos del Estado de México, de la Fiscalía General de Justicia del Estado de México, del Poder Judicial del Estado de México y del Ejecutivo estatal</w:t>
            </w:r>
            <w:r>
              <w:rPr>
                <w:rFonts w:ascii="Arial" w:eastAsia="Arial" w:hAnsi="Arial" w:cs="Arial"/>
                <w:b/>
                <w:bCs/>
                <w:color w:val="000000"/>
                <w:sz w:val="28"/>
                <w:szCs w:val="28"/>
              </w:rPr>
              <w:t xml:space="preserve">, a través de la Consejería Jurídica, así como de instituciones académicas y Organizaciones de la Sociedad Civil debidamente registradas, cuyo objeto sea la protección y defensa de derechos humanos, quienes deberán emitir la opinión en un plazo razonable; </w:t>
            </w:r>
          </w:p>
          <w:p w:rsidR="00D33816" w:rsidRDefault="00A347B6">
            <w:pPr>
              <w:widowControl w:val="0"/>
              <w:numPr>
                <w:ilvl w:val="0"/>
                <w:numId w:val="13"/>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 xml:space="preserve">Convocar la participación de </w:t>
            </w:r>
            <w:r>
              <w:rPr>
                <w:rFonts w:ascii="Arial" w:eastAsia="Arial" w:hAnsi="Arial" w:cs="Arial"/>
                <w:b/>
                <w:bCs/>
                <w:color w:val="000000"/>
                <w:sz w:val="28"/>
                <w:szCs w:val="28"/>
              </w:rPr>
              <w:lastRenderedPageBreak/>
              <w:t>personas expertas, instituciones académicas y organizaciones de la sociedad civil, cuando la naturaleza del asunto lo amerite;</w:t>
            </w:r>
          </w:p>
          <w:p w:rsidR="00D33816" w:rsidRDefault="00A347B6">
            <w:pPr>
              <w:widowControl w:val="0"/>
              <w:numPr>
                <w:ilvl w:val="0"/>
                <w:numId w:val="13"/>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Incorporar criterios de igualdad de género, no discriminación y debido proceso en la elaboración de</w:t>
            </w:r>
            <w:r>
              <w:rPr>
                <w:rFonts w:ascii="Arial" w:eastAsia="Arial" w:hAnsi="Arial" w:cs="Arial"/>
                <w:b/>
                <w:bCs/>
                <w:color w:val="000000"/>
                <w:sz w:val="28"/>
                <w:szCs w:val="28"/>
              </w:rPr>
              <w:t xml:space="preserve"> sus dictámenes; y</w:t>
            </w:r>
          </w:p>
          <w:p w:rsidR="00D33816" w:rsidRDefault="00A347B6">
            <w:pPr>
              <w:widowControl w:val="0"/>
              <w:numPr>
                <w:ilvl w:val="0"/>
                <w:numId w:val="13"/>
              </w:numPr>
              <w:pBdr>
                <w:top w:val="nil"/>
                <w:left w:val="nil"/>
                <w:bottom w:val="nil"/>
                <w:right w:val="nil"/>
                <w:between w:val="nil"/>
              </w:pBdr>
              <w:spacing w:line="360" w:lineRule="auto"/>
              <w:jc w:val="both"/>
              <w:rPr>
                <w:rFonts w:ascii="Arial" w:eastAsia="Arial" w:hAnsi="Arial" w:cs="Arial"/>
                <w:b/>
                <w:bCs/>
                <w:color w:val="000000"/>
                <w:sz w:val="28"/>
                <w:szCs w:val="28"/>
              </w:rPr>
            </w:pPr>
            <w:r>
              <w:rPr>
                <w:rFonts w:ascii="Arial" w:eastAsia="Arial" w:hAnsi="Arial" w:cs="Arial"/>
                <w:b/>
                <w:bCs/>
                <w:color w:val="000000"/>
                <w:sz w:val="28"/>
                <w:szCs w:val="28"/>
              </w:rPr>
              <w:t>Garantizar la protección, confidencialidad y tratamiento adecuado de los datos personales de las personas solicitantes y beneficiarias de la amnistía, conforme a la legislación en materia de protección de datos personales y acceso a la i</w:t>
            </w:r>
            <w:r>
              <w:rPr>
                <w:rFonts w:ascii="Arial" w:eastAsia="Arial" w:hAnsi="Arial" w:cs="Arial"/>
                <w:b/>
                <w:bCs/>
                <w:color w:val="000000"/>
                <w:sz w:val="28"/>
                <w:szCs w:val="28"/>
              </w:rPr>
              <w:t>nformación pública.</w:t>
            </w:r>
          </w:p>
          <w:p w:rsidR="00D33816" w:rsidRDefault="00A347B6">
            <w:pPr>
              <w:spacing w:line="360" w:lineRule="auto"/>
              <w:jc w:val="both"/>
              <w:rPr>
                <w:rFonts w:ascii="Arial" w:eastAsia="Arial" w:hAnsi="Arial" w:cs="Arial"/>
                <w:sz w:val="28"/>
                <w:szCs w:val="28"/>
              </w:rPr>
            </w:pPr>
            <w:r>
              <w:rPr>
                <w:rFonts w:ascii="Arial" w:eastAsia="Arial" w:hAnsi="Arial" w:cs="Arial"/>
                <w:sz w:val="28"/>
                <w:szCs w:val="28"/>
              </w:rPr>
              <w:lastRenderedPageBreak/>
              <w:t>…</w:t>
            </w:r>
          </w:p>
          <w:p w:rsidR="00D33816" w:rsidRDefault="00D33816">
            <w:pPr>
              <w:spacing w:line="360" w:lineRule="auto"/>
              <w:jc w:val="both"/>
              <w:rPr>
                <w:rFonts w:ascii="Arial" w:eastAsia="Arial" w:hAnsi="Arial" w:cs="Arial"/>
                <w:sz w:val="28"/>
                <w:szCs w:val="28"/>
              </w:rPr>
            </w:pPr>
          </w:p>
        </w:tc>
      </w:tr>
      <w:tr w:rsidR="00D33816">
        <w:trPr>
          <w:jc w:val="center"/>
        </w:trPr>
        <w:tc>
          <w:tcPr>
            <w:tcW w:w="5116"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 xml:space="preserve">Artículo 18. </w:t>
            </w:r>
            <w:r>
              <w:rPr>
                <w:rFonts w:ascii="Arial" w:eastAsia="Arial" w:hAnsi="Arial" w:cs="Arial"/>
                <w:sz w:val="28"/>
                <w:szCs w:val="28"/>
              </w:rPr>
              <w:t>La determinación que resulte del análisis de cada caso, será turnado a la autoridad judicial o procuradora de justicia a efecto de que atienda la recomendación legislativa y resuelva lo procedente. También se hará del c</w:t>
            </w:r>
            <w:r>
              <w:rPr>
                <w:rFonts w:ascii="Arial" w:eastAsia="Arial" w:hAnsi="Arial" w:cs="Arial"/>
                <w:sz w:val="28"/>
                <w:szCs w:val="28"/>
              </w:rPr>
              <w:t>onocimiento del Titular del Ejecutivo para que, en ejercicio de sus atribuciones, determine lo conducente</w:t>
            </w:r>
            <w:r>
              <w:rPr>
                <w:rFonts w:ascii="Arial" w:eastAsia="Arial" w:hAnsi="Arial" w:cs="Arial"/>
                <w:b/>
                <w:bCs/>
                <w:sz w:val="28"/>
                <w:szCs w:val="28"/>
              </w:rPr>
              <w:t>.</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t>Artículo 18. Derogado.</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t xml:space="preserve">Artículo 19. </w:t>
            </w:r>
            <w:r>
              <w:rPr>
                <w:rFonts w:ascii="Arial" w:eastAsia="Arial" w:hAnsi="Arial" w:cs="Arial"/>
                <w:sz w:val="28"/>
                <w:szCs w:val="28"/>
              </w:rPr>
              <w:t xml:space="preserve">El Poder Judicial ordenará el archivo de la solicitud de amnistía, cuando se logre la liberación del solicitante o el desistimiento del ejercicio de la acción penal. </w:t>
            </w:r>
          </w:p>
          <w:p w:rsidR="00D33816" w:rsidRDefault="00A347B6">
            <w:pPr>
              <w:spacing w:line="360" w:lineRule="auto"/>
              <w:jc w:val="both"/>
              <w:rPr>
                <w:rFonts w:ascii="Arial" w:eastAsia="Arial" w:hAnsi="Arial" w:cs="Arial"/>
                <w:b/>
                <w:bCs/>
                <w:sz w:val="28"/>
                <w:szCs w:val="28"/>
              </w:rPr>
            </w:pPr>
            <w:r>
              <w:rPr>
                <w:rFonts w:ascii="Arial" w:eastAsia="Arial" w:hAnsi="Arial" w:cs="Arial"/>
                <w:sz w:val="28"/>
                <w:szCs w:val="28"/>
              </w:rPr>
              <w:t xml:space="preserve">… </w:t>
            </w:r>
          </w:p>
        </w:tc>
        <w:tc>
          <w:tcPr>
            <w:tcW w:w="4857"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t xml:space="preserve">Artículo 19. </w:t>
            </w:r>
            <w:r>
              <w:rPr>
                <w:rFonts w:ascii="Arial" w:eastAsia="Arial" w:hAnsi="Arial" w:cs="Arial"/>
                <w:sz w:val="28"/>
                <w:szCs w:val="28"/>
              </w:rPr>
              <w:t xml:space="preserve">El Poder </w:t>
            </w:r>
            <w:r>
              <w:rPr>
                <w:rFonts w:ascii="Arial" w:eastAsia="Arial" w:hAnsi="Arial" w:cs="Arial"/>
                <w:b/>
                <w:bCs/>
                <w:sz w:val="28"/>
                <w:szCs w:val="28"/>
              </w:rPr>
              <w:t>Legislativo</w:t>
            </w:r>
            <w:r>
              <w:rPr>
                <w:rFonts w:ascii="Arial" w:eastAsia="Arial" w:hAnsi="Arial" w:cs="Arial"/>
                <w:sz w:val="28"/>
                <w:szCs w:val="28"/>
              </w:rPr>
              <w:t xml:space="preserve"> ordenará el archivo de la solicitud de amnistía, cua</w:t>
            </w:r>
            <w:r>
              <w:rPr>
                <w:rFonts w:ascii="Arial" w:eastAsia="Arial" w:hAnsi="Arial" w:cs="Arial"/>
                <w:sz w:val="28"/>
                <w:szCs w:val="28"/>
              </w:rPr>
              <w:t xml:space="preserve">ndo se logre la liberación del solicitante o el desistimiento del ejercicio de la acción penal. </w:t>
            </w:r>
          </w:p>
          <w:p w:rsidR="00D33816" w:rsidRDefault="00A347B6">
            <w:pPr>
              <w:spacing w:line="360" w:lineRule="auto"/>
              <w:jc w:val="both"/>
              <w:rPr>
                <w:rFonts w:ascii="Arial" w:eastAsia="Arial" w:hAnsi="Arial" w:cs="Arial"/>
                <w:b/>
                <w:bCs/>
                <w:sz w:val="28"/>
                <w:szCs w:val="28"/>
              </w:rPr>
            </w:pPr>
            <w:r>
              <w:rPr>
                <w:rFonts w:ascii="Arial" w:eastAsia="Arial" w:hAnsi="Arial" w:cs="Arial"/>
                <w:sz w:val="28"/>
                <w:szCs w:val="28"/>
              </w:rPr>
              <w:t xml:space="preserve">… </w:t>
            </w:r>
          </w:p>
        </w:tc>
      </w:tr>
      <w:tr w:rsidR="00D33816">
        <w:trPr>
          <w:jc w:val="center"/>
        </w:trPr>
        <w:tc>
          <w:tcPr>
            <w:tcW w:w="5116" w:type="dxa"/>
          </w:tcPr>
          <w:p w:rsidR="00D33816" w:rsidRDefault="00A347B6">
            <w:pPr>
              <w:spacing w:line="360" w:lineRule="auto"/>
              <w:jc w:val="both"/>
              <w:rPr>
                <w:rFonts w:ascii="Arial" w:eastAsia="Arial" w:hAnsi="Arial" w:cs="Arial"/>
                <w:sz w:val="28"/>
                <w:szCs w:val="28"/>
              </w:rPr>
            </w:pPr>
            <w:r>
              <w:rPr>
                <w:rFonts w:ascii="Arial" w:eastAsia="Arial" w:hAnsi="Arial" w:cs="Arial"/>
                <w:b/>
                <w:bCs/>
                <w:sz w:val="28"/>
                <w:szCs w:val="28"/>
              </w:rPr>
              <w:t>Artículo 20.</w:t>
            </w:r>
            <w:r>
              <w:rPr>
                <w:rFonts w:ascii="Arial" w:eastAsia="Arial" w:hAnsi="Arial" w:cs="Arial"/>
                <w:sz w:val="28"/>
                <w:szCs w:val="28"/>
              </w:rPr>
              <w:t xml:space="preserve"> El Poder Judicial deberá incluir en su informe anual de actividades, las solicitudes de amnistía </w:t>
            </w:r>
            <w:r>
              <w:rPr>
                <w:rFonts w:ascii="Arial" w:eastAsia="Arial" w:hAnsi="Arial" w:cs="Arial"/>
                <w:sz w:val="28"/>
                <w:szCs w:val="28"/>
              </w:rPr>
              <w:lastRenderedPageBreak/>
              <w:t>recibidas, resueltas y pendientes de resolver.</w:t>
            </w:r>
          </w:p>
        </w:tc>
        <w:tc>
          <w:tcPr>
            <w:tcW w:w="4857" w:type="dxa"/>
          </w:tcPr>
          <w:p w:rsidR="00D33816" w:rsidRDefault="00A347B6">
            <w:pPr>
              <w:spacing w:line="360" w:lineRule="auto"/>
              <w:jc w:val="both"/>
              <w:rPr>
                <w:rFonts w:ascii="Arial" w:eastAsia="Arial" w:hAnsi="Arial" w:cs="Arial"/>
                <w:b/>
                <w:bCs/>
                <w:sz w:val="28"/>
                <w:szCs w:val="28"/>
              </w:rPr>
            </w:pPr>
            <w:r>
              <w:rPr>
                <w:rFonts w:ascii="Arial" w:eastAsia="Arial" w:hAnsi="Arial" w:cs="Arial"/>
                <w:b/>
                <w:bCs/>
                <w:sz w:val="28"/>
                <w:szCs w:val="28"/>
              </w:rPr>
              <w:lastRenderedPageBreak/>
              <w:t>Artículo 20.</w:t>
            </w:r>
            <w:r>
              <w:rPr>
                <w:rFonts w:ascii="Arial" w:eastAsia="Arial" w:hAnsi="Arial" w:cs="Arial"/>
                <w:sz w:val="28"/>
                <w:szCs w:val="28"/>
              </w:rPr>
              <w:t xml:space="preserve"> El Poder </w:t>
            </w:r>
            <w:r>
              <w:rPr>
                <w:rFonts w:ascii="Arial" w:eastAsia="Arial" w:hAnsi="Arial" w:cs="Arial"/>
                <w:b/>
                <w:bCs/>
                <w:sz w:val="28"/>
                <w:szCs w:val="28"/>
              </w:rPr>
              <w:t xml:space="preserve">Legislativo </w:t>
            </w:r>
            <w:r>
              <w:rPr>
                <w:rFonts w:ascii="Arial" w:eastAsia="Arial" w:hAnsi="Arial" w:cs="Arial"/>
                <w:sz w:val="28"/>
                <w:szCs w:val="28"/>
              </w:rPr>
              <w:t xml:space="preserve">deberá incluir en su informe anual de actividades, las solicitudes de </w:t>
            </w:r>
            <w:r>
              <w:rPr>
                <w:rFonts w:ascii="Arial" w:eastAsia="Arial" w:hAnsi="Arial" w:cs="Arial"/>
                <w:sz w:val="28"/>
                <w:szCs w:val="28"/>
              </w:rPr>
              <w:lastRenderedPageBreak/>
              <w:t>amnistí</w:t>
            </w:r>
            <w:r>
              <w:rPr>
                <w:rFonts w:ascii="Arial" w:eastAsia="Arial" w:hAnsi="Arial" w:cs="Arial"/>
                <w:sz w:val="28"/>
                <w:szCs w:val="28"/>
              </w:rPr>
              <w:t>a recibidas, resueltas y pendientes de resolver.</w:t>
            </w:r>
          </w:p>
        </w:tc>
      </w:tr>
    </w:tbl>
    <w:p w:rsidR="00D33816" w:rsidRDefault="00D33816">
      <w:pPr>
        <w:widowControl/>
        <w:pBdr>
          <w:top w:val="nil"/>
          <w:left w:val="nil"/>
          <w:bottom w:val="nil"/>
          <w:right w:val="nil"/>
          <w:between w:val="nil"/>
        </w:pBdr>
        <w:spacing w:after="160" w:line="360" w:lineRule="auto"/>
        <w:ind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D3381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p>
    <w:p w:rsidR="00D33816" w:rsidRDefault="00A347B6">
      <w:pPr>
        <w:widowControl/>
        <w:pBdr>
          <w:top w:val="nil"/>
          <w:left w:val="nil"/>
          <w:bottom w:val="nil"/>
          <w:right w:val="nil"/>
          <w:between w:val="nil"/>
        </w:pBdr>
        <w:spacing w:after="160" w:line="360" w:lineRule="auto"/>
        <w:ind w:left="567" w:right="310"/>
        <w:jc w:val="both"/>
        <w:rPr>
          <w:rFonts w:ascii="Arial" w:eastAsia="Arial" w:hAnsi="Arial" w:cs="Arial"/>
          <w:b/>
          <w:bCs/>
          <w:color w:val="000000"/>
          <w:sz w:val="28"/>
          <w:szCs w:val="28"/>
        </w:rPr>
      </w:pPr>
      <w:r>
        <w:rPr>
          <w:rFonts w:ascii="Arial" w:eastAsia="Arial" w:hAnsi="Arial" w:cs="Arial"/>
          <w:b/>
          <w:bCs/>
          <w:color w:val="000000"/>
          <w:sz w:val="28"/>
          <w:szCs w:val="28"/>
        </w:rPr>
        <w:t>DECRETO NÚMERO _______</w:t>
      </w:r>
    </w:p>
    <w:p w:rsidR="00D33816" w:rsidRDefault="00A347B6">
      <w:pPr>
        <w:widowControl/>
        <w:pBdr>
          <w:top w:val="nil"/>
          <w:left w:val="nil"/>
          <w:bottom w:val="nil"/>
          <w:right w:val="nil"/>
          <w:between w:val="nil"/>
        </w:pBdr>
        <w:spacing w:after="160" w:line="276" w:lineRule="auto"/>
        <w:ind w:left="567" w:right="310"/>
        <w:jc w:val="both"/>
        <w:rPr>
          <w:rFonts w:ascii="Arial" w:eastAsia="Arial" w:hAnsi="Arial" w:cs="Arial"/>
          <w:b/>
          <w:bCs/>
          <w:color w:val="000000"/>
          <w:sz w:val="28"/>
          <w:szCs w:val="28"/>
        </w:rPr>
      </w:pPr>
      <w:r>
        <w:rPr>
          <w:rFonts w:ascii="Arial" w:eastAsia="Arial" w:hAnsi="Arial" w:cs="Arial"/>
          <w:b/>
          <w:bCs/>
          <w:color w:val="000000"/>
          <w:sz w:val="28"/>
          <w:szCs w:val="28"/>
        </w:rPr>
        <w:t>LA H. “LXII” LEGISLATURA DEL ESTADO LIBRE Y SOBERANO DE MÉXICO</w:t>
      </w:r>
    </w:p>
    <w:p w:rsidR="00D33816" w:rsidRDefault="00A347B6">
      <w:pPr>
        <w:widowControl/>
        <w:pBdr>
          <w:top w:val="nil"/>
          <w:left w:val="nil"/>
          <w:bottom w:val="nil"/>
          <w:right w:val="nil"/>
          <w:between w:val="nil"/>
        </w:pBdr>
        <w:spacing w:after="160" w:line="276" w:lineRule="auto"/>
        <w:ind w:left="567" w:right="310"/>
        <w:jc w:val="both"/>
        <w:rPr>
          <w:rFonts w:ascii="Arial" w:eastAsia="Arial" w:hAnsi="Arial" w:cs="Arial"/>
          <w:b/>
          <w:bCs/>
          <w:color w:val="000000"/>
          <w:sz w:val="28"/>
          <w:szCs w:val="28"/>
        </w:rPr>
      </w:pPr>
      <w:r>
        <w:rPr>
          <w:rFonts w:ascii="Arial" w:eastAsia="Arial" w:hAnsi="Arial" w:cs="Arial"/>
          <w:b/>
          <w:bCs/>
          <w:color w:val="000000"/>
          <w:sz w:val="28"/>
          <w:szCs w:val="28"/>
        </w:rPr>
        <w:t>DECRETA:</w:t>
      </w:r>
    </w:p>
    <w:p w:rsidR="00D33816" w:rsidRDefault="00A347B6">
      <w:pPr>
        <w:spacing w:line="360" w:lineRule="auto"/>
        <w:ind w:left="550" w:right="350"/>
        <w:jc w:val="both"/>
        <w:rPr>
          <w:rFonts w:ascii="Arial" w:eastAsia="Arial" w:hAnsi="Arial" w:cs="Arial"/>
          <w:b/>
          <w:bCs/>
          <w:color w:val="000000"/>
          <w:sz w:val="28"/>
          <w:szCs w:val="28"/>
        </w:rPr>
      </w:pPr>
      <w:r>
        <w:rPr>
          <w:rFonts w:ascii="Arial" w:eastAsia="Arial" w:hAnsi="Arial" w:cs="Arial"/>
          <w:b/>
          <w:bCs/>
          <w:color w:val="000000"/>
          <w:sz w:val="28"/>
          <w:szCs w:val="28"/>
        </w:rPr>
        <w:t xml:space="preserve">Decreto por el que se reforman, adicionan y derogan diversas </w:t>
      </w:r>
      <w:r>
        <w:rPr>
          <w:rFonts w:ascii="Arial" w:eastAsia="Arial" w:hAnsi="Arial" w:cs="Arial"/>
          <w:b/>
          <w:bCs/>
          <w:color w:val="000000"/>
          <w:sz w:val="28"/>
          <w:szCs w:val="28"/>
        </w:rPr>
        <w:lastRenderedPageBreak/>
        <w:t xml:space="preserve">disposiciones de la Ley de Amnistía del Estado de México.  </w:t>
      </w:r>
    </w:p>
    <w:p w:rsidR="00D33816" w:rsidRDefault="00D33816">
      <w:pPr>
        <w:widowControl/>
        <w:pBdr>
          <w:top w:val="nil"/>
          <w:left w:val="nil"/>
          <w:bottom w:val="nil"/>
          <w:right w:val="nil"/>
          <w:between w:val="nil"/>
        </w:pBdr>
        <w:spacing w:after="160" w:line="276" w:lineRule="auto"/>
        <w:ind w:left="567" w:right="310"/>
        <w:jc w:val="both"/>
        <w:rPr>
          <w:rFonts w:ascii="Arial" w:eastAsia="Arial" w:hAnsi="Arial" w:cs="Arial"/>
          <w:b/>
          <w:bCs/>
          <w:color w:val="000000"/>
          <w:sz w:val="28"/>
          <w:szCs w:val="28"/>
        </w:rPr>
      </w:pPr>
    </w:p>
    <w:p w:rsidR="00D33816" w:rsidRDefault="00A347B6">
      <w:pPr>
        <w:spacing w:line="360" w:lineRule="auto"/>
        <w:ind w:left="550" w:right="350"/>
        <w:jc w:val="both"/>
        <w:rPr>
          <w:rFonts w:ascii="Arial" w:eastAsia="Arial" w:hAnsi="Arial" w:cs="Arial"/>
          <w:b/>
          <w:bCs/>
          <w:color w:val="000000"/>
          <w:sz w:val="28"/>
          <w:szCs w:val="28"/>
        </w:rPr>
      </w:pPr>
      <w:r>
        <w:rPr>
          <w:rFonts w:ascii="Arial" w:eastAsia="Arial" w:hAnsi="Arial" w:cs="Arial"/>
          <w:b/>
          <w:bCs/>
          <w:sz w:val="28"/>
          <w:szCs w:val="28"/>
        </w:rPr>
        <w:t>ARTÍCULO ÚNICO: S</w:t>
      </w:r>
      <w:r>
        <w:rPr>
          <w:rFonts w:ascii="Arial" w:eastAsia="Arial" w:hAnsi="Arial" w:cs="Arial"/>
          <w:b/>
          <w:bCs/>
          <w:color w:val="000000"/>
          <w:sz w:val="28"/>
          <w:szCs w:val="28"/>
        </w:rPr>
        <w:t>e reforman, adicionan y derogan diversas disposiciones de la Ley de Amnistía del Estado de México. para quedar como s</w:t>
      </w:r>
      <w:r>
        <w:rPr>
          <w:rFonts w:ascii="Arial" w:eastAsia="Arial" w:hAnsi="Arial" w:cs="Arial"/>
          <w:b/>
          <w:bCs/>
          <w:color w:val="000000"/>
          <w:sz w:val="28"/>
          <w:szCs w:val="28"/>
        </w:rPr>
        <w:t>igue</w:t>
      </w:r>
      <w:r>
        <w:rPr>
          <w:rFonts w:ascii="Arial" w:eastAsia="Arial" w:hAnsi="Arial" w:cs="Arial"/>
          <w:color w:val="000000"/>
          <w:sz w:val="28"/>
          <w:szCs w:val="28"/>
        </w:rPr>
        <w:t xml:space="preserve">: </w:t>
      </w:r>
    </w:p>
    <w:p w:rsidR="00D33816" w:rsidRDefault="00D33816">
      <w:pPr>
        <w:spacing w:line="360" w:lineRule="auto"/>
        <w:ind w:left="550" w:right="350"/>
        <w:jc w:val="both"/>
        <w:rPr>
          <w:rFonts w:ascii="Arial" w:eastAsia="Arial" w:hAnsi="Arial" w:cs="Arial"/>
          <w:b/>
          <w:bCs/>
          <w:color w:val="000000"/>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1.  La presente Ley es de orden público, interés social y de observancia general en el Estado de México.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Su objeto es establecer las bases para decretar amnistía en favor de las personas que se encuentren vinculadas a proceso o hayan recib</w:t>
      </w:r>
      <w:r>
        <w:rPr>
          <w:rFonts w:ascii="Arial" w:eastAsia="Arial" w:hAnsi="Arial" w:cs="Arial"/>
          <w:b/>
          <w:bCs/>
          <w:sz w:val="28"/>
          <w:szCs w:val="28"/>
        </w:rPr>
        <w:t>ido sentencia firme por los tribunales del fuero común, respecto de los delitos previstos en esta Ley, cometidos hasta la fecha y posterior a su entrada en vigor, siempre que no sean reincidentes en el delito por el cual se otorgue el beneficio.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Son suplet</w:t>
      </w:r>
      <w:r>
        <w:rPr>
          <w:rFonts w:ascii="Arial" w:eastAsia="Arial" w:hAnsi="Arial" w:cs="Arial"/>
          <w:b/>
          <w:bCs/>
          <w:sz w:val="28"/>
          <w:szCs w:val="28"/>
        </w:rPr>
        <w:t>orias de esta Ley en lo que correspondan, el Código Nacional de Procedimientos Penales y la Ley Nacional de Ejecución Penal.</w:t>
      </w:r>
    </w:p>
    <w:p w:rsidR="00D33816" w:rsidRDefault="00D33816">
      <w:pPr>
        <w:widowControl/>
        <w:spacing w:after="160" w:line="259" w:lineRule="auto"/>
        <w:ind w:left="567" w:right="310"/>
        <w:jc w:val="both"/>
        <w:rPr>
          <w:rFonts w:ascii="Arial" w:eastAsia="Arial" w:hAnsi="Arial" w:cs="Arial"/>
          <w:sz w:val="28"/>
          <w:szCs w:val="28"/>
        </w:rPr>
      </w:pP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 xml:space="preserve">Artículo 2. … </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 xml:space="preserve">I a II. …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III.</w:t>
      </w:r>
      <w:r>
        <w:rPr>
          <w:rFonts w:ascii="Arial" w:eastAsia="Arial" w:hAnsi="Arial" w:cs="Arial"/>
          <w:b/>
          <w:bCs/>
          <w:sz w:val="28"/>
          <w:szCs w:val="28"/>
        </w:rPr>
        <w:tab/>
        <w:t>Derogado.</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IV.</w:t>
      </w:r>
      <w:r>
        <w:rPr>
          <w:rFonts w:ascii="Arial" w:eastAsia="Arial" w:hAnsi="Arial" w:cs="Arial"/>
          <w:sz w:val="28"/>
          <w:szCs w:val="28"/>
        </w:rPr>
        <w:tab/>
        <w:t>…</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V.</w:t>
      </w:r>
      <w:r>
        <w:rPr>
          <w:rFonts w:ascii="Arial" w:eastAsia="Arial" w:hAnsi="Arial" w:cs="Arial"/>
          <w:b/>
          <w:bCs/>
          <w:sz w:val="28"/>
          <w:szCs w:val="28"/>
        </w:rPr>
        <w:tab/>
        <w:t>La Comisión de Derechos Humanos del Estado de México.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VI.</w:t>
      </w:r>
      <w:r>
        <w:rPr>
          <w:rFonts w:ascii="Arial" w:eastAsia="Arial" w:hAnsi="Arial" w:cs="Arial"/>
          <w:b/>
          <w:bCs/>
          <w:sz w:val="28"/>
          <w:szCs w:val="28"/>
        </w:rPr>
        <w:tab/>
      </w:r>
      <w:r>
        <w:rPr>
          <w:rFonts w:ascii="Arial" w:eastAsia="Arial" w:hAnsi="Arial" w:cs="Arial"/>
          <w:b/>
          <w:bCs/>
          <w:sz w:val="28"/>
          <w:szCs w:val="28"/>
        </w:rPr>
        <w:t>El Instituto de la Defensoría Pública del Estado de México.</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2 Bis.   Corresponde al Poder Legislativo: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 Integrar una Comisión Legislativa de Amnistía, encargada de recibir, analizar, dictaminar y someter a consideración del Pleno las solicitude</w:t>
      </w:r>
      <w:r>
        <w:rPr>
          <w:rFonts w:ascii="Arial" w:eastAsia="Arial" w:hAnsi="Arial" w:cs="Arial"/>
          <w:b/>
          <w:bCs/>
          <w:sz w:val="28"/>
          <w:szCs w:val="28"/>
        </w:rPr>
        <w:t>s de amnistía que se tengan por presentadas por encuadrar en supuestos de violación de derechos o fallas en la aplicación de alguno de los principios penales del sistema acusatorio, o la plena presunción de fabricación de delitos;</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  Emitir el dictamen c</w:t>
      </w:r>
      <w:r>
        <w:rPr>
          <w:rFonts w:ascii="Arial" w:eastAsia="Arial" w:hAnsi="Arial" w:cs="Arial"/>
          <w:b/>
          <w:bCs/>
          <w:sz w:val="28"/>
          <w:szCs w:val="28"/>
        </w:rPr>
        <w:t>orrespondiente y, en su caso, aprobar mediante Decreto Legislativo el otorgamiento de la amnistía, en los términos establecidos en esta Ley; y</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III.  Vigilar el cumplimiento del Decreto de Amnistía por parte de las autoridades obligadas a su ejecución, en el ámbito de sus atribuciones.</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2 Ter.  Corresponde al Poder Ejecutivo: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 Cumplir y ejecutar, de manera inmediata y obligatoria, los D</w:t>
      </w:r>
      <w:r>
        <w:rPr>
          <w:rFonts w:ascii="Arial" w:eastAsia="Arial" w:hAnsi="Arial" w:cs="Arial"/>
          <w:b/>
          <w:bCs/>
          <w:sz w:val="28"/>
          <w:szCs w:val="28"/>
        </w:rPr>
        <w:t>ecretos de Amnistía emitidos por el Poder Legislativo, en los términos en que hayan sido aprobados conforme a la presente Ley.</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2 Quáter.  Corresponde a la Fiscalía General de Justicia del Estado de México: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 Cumplir y ejecutar, en el ámbito de s</w:t>
      </w:r>
      <w:r>
        <w:rPr>
          <w:rFonts w:ascii="Arial" w:eastAsia="Arial" w:hAnsi="Arial" w:cs="Arial"/>
          <w:b/>
          <w:bCs/>
          <w:sz w:val="28"/>
          <w:szCs w:val="28"/>
        </w:rPr>
        <w:t>us atribuciones, los Decretos de Amnistía emitidos por el Poder Legislativo del Estado de México, realizando los actos ministeriales que resulten necesarios para hacer efectivos sus efectos jurídicos.</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2 Quinquies. Corresponde a la Comisión de Der</w:t>
      </w:r>
      <w:r>
        <w:rPr>
          <w:rFonts w:ascii="Arial" w:eastAsia="Arial" w:hAnsi="Arial" w:cs="Arial"/>
          <w:b/>
          <w:bCs/>
          <w:sz w:val="28"/>
          <w:szCs w:val="28"/>
        </w:rPr>
        <w:t>echos Humanos del Estado de México: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  Proporcionar orientación jurídica especializada a las personas solicitantes de amnistía, respecto de la identificación de posibles violaciones a derechos humanos o al debido proceso, y</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 xml:space="preserve">II.  Emitir opiniones técnicas </w:t>
      </w:r>
      <w:r>
        <w:rPr>
          <w:rFonts w:ascii="Arial" w:eastAsia="Arial" w:hAnsi="Arial" w:cs="Arial"/>
          <w:b/>
          <w:bCs/>
          <w:sz w:val="28"/>
          <w:szCs w:val="28"/>
        </w:rPr>
        <w:t>o consultivas a solicitud del Poder Legislativo.</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Articulo 2 Sexies. Corresponde al Instituto de la Defensoría Pública del Estado de México: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 xml:space="preserve">I.  Proporcionar asesoría jurídica y defensa técnica a las personas solicitantes de amnistía que así lo requieran, </w:t>
      </w:r>
      <w:r>
        <w:rPr>
          <w:rFonts w:ascii="Arial" w:eastAsia="Arial" w:hAnsi="Arial" w:cs="Arial"/>
          <w:b/>
          <w:bCs/>
          <w:sz w:val="28"/>
          <w:szCs w:val="28"/>
        </w:rPr>
        <w:t>conforme a la legislación aplicable, y</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  Ejercer la representación legal de las personas solicitantes o beneficiarias ante las autoridades competentes, cuando proceda.</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3. Para los efectos de esta Ley, se entenderá por:</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I a IV.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V.</w:t>
      </w:r>
      <w:r>
        <w:rPr>
          <w:rFonts w:ascii="Arial" w:eastAsia="Arial" w:hAnsi="Arial" w:cs="Arial"/>
          <w:b/>
          <w:bCs/>
          <w:sz w:val="28"/>
          <w:szCs w:val="28"/>
        </w:rPr>
        <w:tab/>
        <w:t>Derogado.</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V</w:t>
      </w:r>
      <w:r>
        <w:rPr>
          <w:rFonts w:ascii="Arial" w:eastAsia="Arial" w:hAnsi="Arial" w:cs="Arial"/>
          <w:sz w:val="28"/>
          <w:szCs w:val="28"/>
        </w:rPr>
        <w:t xml:space="preserve">I a IX. …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 xml:space="preserve">Artículo 4. Se decretará amnistía en los siguientes supuestos: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w:t>
      </w:r>
      <w:r>
        <w:rPr>
          <w:rFonts w:ascii="Arial" w:eastAsia="Arial" w:hAnsi="Arial" w:cs="Arial"/>
          <w:b/>
          <w:bCs/>
          <w:sz w:val="28"/>
          <w:szCs w:val="28"/>
        </w:rPr>
        <w:tab/>
        <w:t>Por el delito de aborto, en cualquiera de sus modalidades, previsto en el Código Penal, cuando: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lastRenderedPageBreak/>
        <w:t>a)</w:t>
      </w:r>
      <w:r>
        <w:rPr>
          <w:rFonts w:ascii="Arial" w:eastAsia="Arial" w:hAnsi="Arial" w:cs="Arial"/>
          <w:b/>
          <w:bCs/>
          <w:sz w:val="28"/>
          <w:szCs w:val="28"/>
        </w:rPr>
        <w:tab/>
        <w:t>Se impute a la persona gestante del producto del embarazo interrumpido.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b)</w:t>
      </w:r>
      <w:r>
        <w:rPr>
          <w:rFonts w:ascii="Arial" w:eastAsia="Arial" w:hAnsi="Arial" w:cs="Arial"/>
          <w:b/>
          <w:bCs/>
          <w:sz w:val="28"/>
          <w:szCs w:val="28"/>
        </w:rPr>
        <w:tab/>
        <w:t>Se i</w:t>
      </w:r>
      <w:r>
        <w:rPr>
          <w:rFonts w:ascii="Arial" w:eastAsia="Arial" w:hAnsi="Arial" w:cs="Arial"/>
          <w:b/>
          <w:bCs/>
          <w:sz w:val="28"/>
          <w:szCs w:val="28"/>
        </w:rPr>
        <w:t>mpute a las y los médicos, cirujanos, comadronas o parteras, u otro personal autorizado de servicios de la salud, que hayan auxiliado en la interrupción del embarazo, siempre que esta se haya llevado a cabo sin violencia y con el consentimiento de la perso</w:t>
      </w:r>
      <w:r>
        <w:rPr>
          <w:rFonts w:ascii="Arial" w:eastAsia="Arial" w:hAnsi="Arial" w:cs="Arial"/>
          <w:b/>
          <w:bCs/>
          <w:sz w:val="28"/>
          <w:szCs w:val="28"/>
        </w:rPr>
        <w:t>na gestante del producto del embarazo interrumpido.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c)</w:t>
      </w:r>
      <w:r>
        <w:rPr>
          <w:rFonts w:ascii="Arial" w:eastAsia="Arial" w:hAnsi="Arial" w:cs="Arial"/>
          <w:b/>
          <w:bCs/>
          <w:sz w:val="28"/>
          <w:szCs w:val="28"/>
        </w:rPr>
        <w:tab/>
        <w:t>Se impute a las personas que hayan auxiliado, con previo consentimiento de la persona gestante del producto, en la interrupción del embarazo.</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 xml:space="preserve">II a XXII. …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XIII.</w:t>
      </w:r>
      <w:r>
        <w:rPr>
          <w:rFonts w:ascii="Arial" w:eastAsia="Arial" w:hAnsi="Arial" w:cs="Arial"/>
          <w:b/>
          <w:bCs/>
          <w:sz w:val="28"/>
          <w:szCs w:val="28"/>
        </w:rPr>
        <w:tab/>
        <w:t>Cuando, en relación con el delito imput</w:t>
      </w:r>
      <w:r>
        <w:rPr>
          <w:rFonts w:ascii="Arial" w:eastAsia="Arial" w:hAnsi="Arial" w:cs="Arial"/>
          <w:b/>
          <w:bCs/>
          <w:sz w:val="28"/>
          <w:szCs w:val="28"/>
        </w:rPr>
        <w:t>ado, existan indicios razonables de que el proceso penal se haya iniciado o sostenido con base en hechos falsos, pruebas ilícitas, simuladas o manipuladas, o mediante actuaciones ministeriales o policiales irregulares e ilegales, así como por violaciones g</w:t>
      </w:r>
      <w:r>
        <w:rPr>
          <w:rFonts w:ascii="Arial" w:eastAsia="Arial" w:hAnsi="Arial" w:cs="Arial"/>
          <w:b/>
          <w:bCs/>
          <w:sz w:val="28"/>
          <w:szCs w:val="28"/>
        </w:rPr>
        <w:t>raves al debido proceso, y tales circunstancias hayan dado lugar a la privación de la libertad, a la vinculación a proceso o a la emisión de una sentencia.</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Los organismos a que se refiere la fracción XII podrán remitir para análisis y resolución del Poder Legislativo, los casos que sean hechos de su conocimiento y consideren que son objeto de aplicación de la presente Ley.</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lastRenderedPageBreak/>
        <w:t>Artículo 5. La Comisión Legislati</w:t>
      </w:r>
      <w:r>
        <w:rPr>
          <w:rFonts w:ascii="Arial" w:eastAsia="Arial" w:hAnsi="Arial" w:cs="Arial"/>
          <w:b/>
          <w:bCs/>
          <w:sz w:val="28"/>
          <w:szCs w:val="28"/>
        </w:rPr>
        <w:t>va de Amnistía es el órgano legislativo encargado de conocer, analizar y dictaminar las solicitudes de amnistía previstas en la presente Ley.</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La Comisión Legislativa de Amnistía se integrará conforme a lo dispuesto en la Ley Orgánica y el Reglamento del Po</w:t>
      </w:r>
      <w:r>
        <w:rPr>
          <w:rFonts w:ascii="Arial" w:eastAsia="Arial" w:hAnsi="Arial" w:cs="Arial"/>
          <w:b/>
          <w:bCs/>
          <w:sz w:val="28"/>
          <w:szCs w:val="28"/>
        </w:rPr>
        <w:t>der Legislativo del Estado de México, a propuesta de la Junta de Coordinación Política y con aprobación del Pleno.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En su integración se considerará la participación de los distintos grupos parlamentarios, respetando en todo momento los principios de plural</w:t>
      </w:r>
      <w:r>
        <w:rPr>
          <w:rFonts w:ascii="Arial" w:eastAsia="Arial" w:hAnsi="Arial" w:cs="Arial"/>
          <w:b/>
          <w:bCs/>
          <w:sz w:val="28"/>
          <w:szCs w:val="28"/>
        </w:rPr>
        <w:t>idad, paridad y proporcionalidad.</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 xml:space="preserve">Artículo 6. La Comisión Legislativa de Amnistía contará, cuando la naturaleza, complejidad o relevancia del asunto lo amerite, con la participación de personas expertas reconocidas a nivel nacional o internacional en las </w:t>
      </w:r>
      <w:r>
        <w:rPr>
          <w:rFonts w:ascii="Arial" w:eastAsia="Arial" w:hAnsi="Arial" w:cs="Arial"/>
          <w:b/>
          <w:bCs/>
          <w:sz w:val="28"/>
          <w:szCs w:val="28"/>
        </w:rPr>
        <w:t>materias vinculadas con los supuestos previstos en la presente Ley. Su intervención tendrá fines de asesoría técnica o especializada, con derecho a voz, pero sin voto.</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7. Se encuentran legitimadas para promover la solicitud de amnistía:</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w:t>
      </w:r>
      <w:r>
        <w:rPr>
          <w:rFonts w:ascii="Arial" w:eastAsia="Arial" w:hAnsi="Arial" w:cs="Arial"/>
          <w:b/>
          <w:bCs/>
          <w:sz w:val="28"/>
          <w:szCs w:val="28"/>
        </w:rPr>
        <w:tab/>
        <w:t>La per</w:t>
      </w:r>
      <w:r>
        <w:rPr>
          <w:rFonts w:ascii="Arial" w:eastAsia="Arial" w:hAnsi="Arial" w:cs="Arial"/>
          <w:b/>
          <w:bCs/>
          <w:sz w:val="28"/>
          <w:szCs w:val="28"/>
        </w:rPr>
        <w:t>sona a favor de quien se solicite;</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w:t>
      </w:r>
      <w:r>
        <w:rPr>
          <w:rFonts w:ascii="Arial" w:eastAsia="Arial" w:hAnsi="Arial" w:cs="Arial"/>
          <w:b/>
          <w:bCs/>
          <w:sz w:val="28"/>
          <w:szCs w:val="28"/>
        </w:rPr>
        <w:tab/>
        <w:t>Su defensa legal;</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III.</w:t>
      </w:r>
      <w:r>
        <w:rPr>
          <w:rFonts w:ascii="Arial" w:eastAsia="Arial" w:hAnsi="Arial" w:cs="Arial"/>
          <w:b/>
          <w:bCs/>
          <w:sz w:val="28"/>
          <w:szCs w:val="28"/>
        </w:rPr>
        <w:tab/>
        <w:t>Las personas con parentesco por consanguinidad o afinidad hasta el cuarto grado;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lastRenderedPageBreak/>
        <w:t>IV.</w:t>
      </w:r>
      <w:r>
        <w:rPr>
          <w:rFonts w:ascii="Arial" w:eastAsia="Arial" w:hAnsi="Arial" w:cs="Arial"/>
          <w:b/>
          <w:bCs/>
          <w:sz w:val="28"/>
          <w:szCs w:val="28"/>
        </w:rPr>
        <w:tab/>
      </w:r>
      <w:r>
        <w:rPr>
          <w:rFonts w:ascii="Arial" w:eastAsia="Arial" w:hAnsi="Arial" w:cs="Arial"/>
          <w:b/>
          <w:bCs/>
          <w:sz w:val="28"/>
          <w:szCs w:val="28"/>
        </w:rPr>
        <w:t>La Comisión de Derechos Humanos del Estado de México y demás organismos públicos defensores de derechos humanos;</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V.</w:t>
      </w:r>
      <w:r>
        <w:rPr>
          <w:rFonts w:ascii="Arial" w:eastAsia="Arial" w:hAnsi="Arial" w:cs="Arial"/>
          <w:b/>
          <w:bCs/>
          <w:sz w:val="28"/>
          <w:szCs w:val="28"/>
        </w:rPr>
        <w:tab/>
        <w:t>Las organizaciones de la sociedad civil legalmente constituidas sin fines de lucro cuyo objeto sea la defensa o promoción de los derechos hu</w:t>
      </w:r>
      <w:r>
        <w:rPr>
          <w:rFonts w:ascii="Arial" w:eastAsia="Arial" w:hAnsi="Arial" w:cs="Arial"/>
          <w:b/>
          <w:bCs/>
          <w:sz w:val="28"/>
          <w:szCs w:val="28"/>
        </w:rPr>
        <w:t>manos.</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8. La solicitud de amnistía deberá ser presentada por escrito o por medios electrónicos habilitados para tal efecto, ante la Comisión Legislativa de Amnistía.</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La Comisión Legislativa de Amnistía, dentro del plazo de tres días posteriores a</w:t>
      </w:r>
      <w:r>
        <w:rPr>
          <w:rFonts w:ascii="Arial" w:eastAsia="Arial" w:hAnsi="Arial" w:cs="Arial"/>
          <w:b/>
          <w:bCs/>
          <w:sz w:val="28"/>
          <w:szCs w:val="28"/>
        </w:rPr>
        <w:t xml:space="preserve"> la recepción de la solicitud, deberá: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w:t>
      </w:r>
      <w:r>
        <w:rPr>
          <w:rFonts w:ascii="Arial" w:eastAsia="Arial" w:hAnsi="Arial" w:cs="Arial"/>
          <w:b/>
          <w:bCs/>
          <w:sz w:val="28"/>
          <w:szCs w:val="28"/>
        </w:rPr>
        <w:tab/>
        <w:t>Admitir e iniciar los trabajos para la emisión del dictamen;</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w:t>
      </w:r>
      <w:r>
        <w:rPr>
          <w:rFonts w:ascii="Arial" w:eastAsia="Arial" w:hAnsi="Arial" w:cs="Arial"/>
          <w:b/>
          <w:bCs/>
          <w:sz w:val="28"/>
          <w:szCs w:val="28"/>
        </w:rPr>
        <w:tab/>
        <w:t>Prevenir a la persona solicitante para que aclare o corrija la solicitud, dentro del término de diez días hábiles, contados a partir de su notificac</w:t>
      </w:r>
      <w:r>
        <w:rPr>
          <w:rFonts w:ascii="Arial" w:eastAsia="Arial" w:hAnsi="Arial" w:cs="Arial"/>
          <w:b/>
          <w:bCs/>
          <w:sz w:val="28"/>
          <w:szCs w:val="28"/>
        </w:rPr>
        <w:t>ión, cuando advierta omisiones, imprecisiones o defectos formales en la misma;</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 xml:space="preserve">III. </w:t>
      </w:r>
      <w:r>
        <w:rPr>
          <w:rFonts w:ascii="Arial" w:eastAsia="Arial" w:hAnsi="Arial" w:cs="Arial"/>
          <w:sz w:val="28"/>
          <w:szCs w:val="28"/>
        </w:rPr>
        <w:tab/>
        <w:t xml:space="preserve"> … </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8 Bis.  La solicitud de amnistía deberá contener, cuando menos:</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w:t>
      </w:r>
      <w:r>
        <w:rPr>
          <w:rFonts w:ascii="Arial" w:eastAsia="Arial" w:hAnsi="Arial" w:cs="Arial"/>
          <w:b/>
          <w:bCs/>
          <w:sz w:val="28"/>
          <w:szCs w:val="28"/>
        </w:rPr>
        <w:tab/>
        <w:t>Los datos de identificación de la persona solicitante y, en su caso, de la persona a fav</w:t>
      </w:r>
      <w:r>
        <w:rPr>
          <w:rFonts w:ascii="Arial" w:eastAsia="Arial" w:hAnsi="Arial" w:cs="Arial"/>
          <w:b/>
          <w:bCs/>
          <w:sz w:val="28"/>
          <w:szCs w:val="28"/>
        </w:rPr>
        <w:t>or de quien se promueve;</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w:t>
      </w:r>
      <w:r>
        <w:rPr>
          <w:rFonts w:ascii="Arial" w:eastAsia="Arial" w:hAnsi="Arial" w:cs="Arial"/>
          <w:b/>
          <w:bCs/>
          <w:sz w:val="28"/>
          <w:szCs w:val="28"/>
        </w:rPr>
        <w:tab/>
        <w:t>La referencia precisa del proceso penal, causa penal o sentencia firme respecto de la cual se solicita la amnistía;</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lastRenderedPageBreak/>
        <w:t>III.</w:t>
      </w:r>
      <w:r>
        <w:rPr>
          <w:rFonts w:ascii="Arial" w:eastAsia="Arial" w:hAnsi="Arial" w:cs="Arial"/>
          <w:b/>
          <w:bCs/>
          <w:sz w:val="28"/>
          <w:szCs w:val="28"/>
        </w:rPr>
        <w:tab/>
        <w:t>La identificación del supuesto o supuestos de procedencia previstos en la presente Ley;</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IV.</w:t>
      </w:r>
      <w:r>
        <w:rPr>
          <w:rFonts w:ascii="Arial" w:eastAsia="Arial" w:hAnsi="Arial" w:cs="Arial"/>
          <w:b/>
          <w:bCs/>
          <w:sz w:val="28"/>
          <w:szCs w:val="28"/>
        </w:rPr>
        <w:tab/>
      </w:r>
      <w:r>
        <w:rPr>
          <w:rFonts w:ascii="Arial" w:eastAsia="Arial" w:hAnsi="Arial" w:cs="Arial"/>
          <w:b/>
          <w:bCs/>
          <w:sz w:val="28"/>
          <w:szCs w:val="28"/>
        </w:rPr>
        <w:t>La exposición de los hechos y razones que sustenten la procedencia de la amnistía;</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V.</w:t>
      </w:r>
      <w:r>
        <w:rPr>
          <w:rFonts w:ascii="Arial" w:eastAsia="Arial" w:hAnsi="Arial" w:cs="Arial"/>
          <w:b/>
          <w:bCs/>
          <w:sz w:val="28"/>
          <w:szCs w:val="28"/>
        </w:rPr>
        <w:tab/>
        <w:t>Los elementos documentales o de información disponibles que acompañen la solicitud.</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La omisión de alguno de los elementos señalados no determinará por sí misma la improce</w:t>
      </w:r>
      <w:r>
        <w:rPr>
          <w:rFonts w:ascii="Arial" w:eastAsia="Arial" w:hAnsi="Arial" w:cs="Arial"/>
          <w:b/>
          <w:bCs/>
          <w:sz w:val="28"/>
          <w:szCs w:val="28"/>
        </w:rPr>
        <w:t>dencia, siempre que resulte posible su subsanación.</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9. Admitida la solicitud, la Comisión Legislativa de Amnistía procederá, a propuesta de la persona presidenta, a turnarla a un integrante de la Comisión, para efectos de estudio, análisis y elab</w:t>
      </w:r>
      <w:r>
        <w:rPr>
          <w:rFonts w:ascii="Arial" w:eastAsia="Arial" w:hAnsi="Arial" w:cs="Arial"/>
          <w:b/>
          <w:bCs/>
          <w:sz w:val="28"/>
          <w:szCs w:val="28"/>
        </w:rPr>
        <w:t>oración de la propuesta de dictamen correspondiente.</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La propuesta de dictamen deberá ser presentada ante la Comisión dentro del plazo de treinta días hábiles, contados a partir de la admisión de la solicitud; dicho plazo podrá prorrogarse por una sola ocas</w:t>
      </w:r>
      <w:r>
        <w:rPr>
          <w:rFonts w:ascii="Arial" w:eastAsia="Arial" w:hAnsi="Arial" w:cs="Arial"/>
          <w:b/>
          <w:bCs/>
          <w:sz w:val="28"/>
          <w:szCs w:val="28"/>
        </w:rPr>
        <w:t>ión y hasta por treinta días hábiles más, cuando la naturaleza o complejidad del asunto así lo justifique.</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 xml:space="preserve">La Comisión examinará, discutirá y, en su caso, aprobará la propuesta de dictamen, para su remisión al Pleno de la Legislatura, a efecto de que éste </w:t>
      </w:r>
      <w:r>
        <w:rPr>
          <w:rFonts w:ascii="Arial" w:eastAsia="Arial" w:hAnsi="Arial" w:cs="Arial"/>
          <w:b/>
          <w:bCs/>
          <w:sz w:val="28"/>
          <w:szCs w:val="28"/>
        </w:rPr>
        <w:t>emita el Decreto que corresponda, conforme a lo dispuesto en la presente Ley.</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 xml:space="preserve">Artículo 10. El Decreto de Amnistía, aprobado por el Pleno de la Legislatura del Estado de México, ordenará a las autoridades competentes, según </w:t>
      </w:r>
      <w:r>
        <w:rPr>
          <w:rFonts w:ascii="Arial" w:eastAsia="Arial" w:hAnsi="Arial" w:cs="Arial"/>
          <w:b/>
          <w:bCs/>
          <w:sz w:val="28"/>
          <w:szCs w:val="28"/>
        </w:rPr>
        <w:lastRenderedPageBreak/>
        <w:t>corresponda, la libertad inmedia</w:t>
      </w:r>
      <w:r>
        <w:rPr>
          <w:rFonts w:ascii="Arial" w:eastAsia="Arial" w:hAnsi="Arial" w:cs="Arial"/>
          <w:b/>
          <w:bCs/>
          <w:sz w:val="28"/>
          <w:szCs w:val="28"/>
        </w:rPr>
        <w:t>ta de la persona beneficiaria o el desistimiento del ejercicio de la acción penal.</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Dicho Decreto será remitido al Poder Ejecutivo para su publicación en el Periódico Oficial “Gaceta del Gobierno”, así como para los efectos legales conducentes.</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12.</w:t>
      </w:r>
      <w:r>
        <w:rPr>
          <w:rFonts w:ascii="Arial" w:eastAsia="Arial" w:hAnsi="Arial" w:cs="Arial"/>
          <w:b/>
          <w:bCs/>
          <w:sz w:val="28"/>
          <w:szCs w:val="28"/>
        </w:rPr>
        <w:t xml:space="preserve"> Los efectos de esta Ley se producirán a partir de que el Decreto de Amnistía sea aprobado por el Pleno de la Legislatura del Estado de México. </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16. La Comisión Legislativa de Amnistía, deberá elaborar informes periódicos sobre el estado que guar</w:t>
      </w:r>
      <w:r>
        <w:rPr>
          <w:rFonts w:ascii="Arial" w:eastAsia="Arial" w:hAnsi="Arial" w:cs="Arial"/>
          <w:b/>
          <w:bCs/>
          <w:sz w:val="28"/>
          <w:szCs w:val="28"/>
        </w:rPr>
        <w:t>da la tramitación de las solicitudes de amnistía. Dichos informes serán públicos y se remitirán al Pleno de la Legislatura, a fin de garantizar la transparencia, la rendición de cuentas y el respeto a los derechos humanos de las personas solicitantes y ben</w:t>
      </w:r>
      <w:r>
        <w:rPr>
          <w:rFonts w:ascii="Arial" w:eastAsia="Arial" w:hAnsi="Arial" w:cs="Arial"/>
          <w:b/>
          <w:bCs/>
          <w:sz w:val="28"/>
          <w:szCs w:val="28"/>
        </w:rPr>
        <w:t>eficiarias.</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17. La Comisión Legislativa de Amnistía, al conocer de la solicitud a que se refiere el artículo anterior, deberá garantizar un procedimiento transparente, imparcial y con perspectiva de derechos humanos. Para tal efecto, deberá:</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w:t>
      </w:r>
      <w:r>
        <w:rPr>
          <w:rFonts w:ascii="Arial" w:eastAsia="Arial" w:hAnsi="Arial" w:cs="Arial"/>
          <w:b/>
          <w:bCs/>
          <w:sz w:val="28"/>
          <w:szCs w:val="28"/>
        </w:rPr>
        <w:tab/>
        <w:t>R</w:t>
      </w:r>
      <w:r>
        <w:rPr>
          <w:rFonts w:ascii="Arial" w:eastAsia="Arial" w:hAnsi="Arial" w:cs="Arial"/>
          <w:b/>
          <w:bCs/>
          <w:sz w:val="28"/>
          <w:szCs w:val="28"/>
        </w:rPr>
        <w:t>equerir información, documentación o informes a las autoridades correspondientes del Poder Ejecutivo, del Poder Judicial y de la Fiscalía General de Justicia del Estado de México, así como de cualquier otra autoridad estatal o municipal, cuando resulten ne</w:t>
      </w:r>
      <w:r>
        <w:rPr>
          <w:rFonts w:ascii="Arial" w:eastAsia="Arial" w:hAnsi="Arial" w:cs="Arial"/>
          <w:b/>
          <w:bCs/>
          <w:sz w:val="28"/>
          <w:szCs w:val="28"/>
        </w:rPr>
        <w:t>cesarios para el análisis de las solicitudes;</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lastRenderedPageBreak/>
        <w:t>II.</w:t>
      </w:r>
      <w:r>
        <w:rPr>
          <w:rFonts w:ascii="Arial" w:eastAsia="Arial" w:hAnsi="Arial" w:cs="Arial"/>
          <w:b/>
          <w:bCs/>
          <w:sz w:val="28"/>
          <w:szCs w:val="28"/>
        </w:rPr>
        <w:tab/>
        <w:t>Solicitar la opinión consultiva de la Comisión de Derechos Humanos del Estado de México, de la Fiscalía General de Justicia del Estado de México, del Poder Judicial del Estado de México y del Ejecutivo esta</w:t>
      </w:r>
      <w:r>
        <w:rPr>
          <w:rFonts w:ascii="Arial" w:eastAsia="Arial" w:hAnsi="Arial" w:cs="Arial"/>
          <w:b/>
          <w:bCs/>
          <w:sz w:val="28"/>
          <w:szCs w:val="28"/>
        </w:rPr>
        <w:t>tal, a través de la Consejería Jurídica, así como de instituciones académicas y Organizaciones de la Sociedad Civil debidamente registradas, cuyo objeto sea la protección y defensa de derechos humanos, quienes deberán emitir la opinión en un plazo razonabl</w:t>
      </w:r>
      <w:r>
        <w:rPr>
          <w:rFonts w:ascii="Arial" w:eastAsia="Arial" w:hAnsi="Arial" w:cs="Arial"/>
          <w:b/>
          <w:bCs/>
          <w:sz w:val="28"/>
          <w:szCs w:val="28"/>
        </w:rPr>
        <w:t xml:space="preserve">e;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III.</w:t>
      </w:r>
      <w:r>
        <w:rPr>
          <w:rFonts w:ascii="Arial" w:eastAsia="Arial" w:hAnsi="Arial" w:cs="Arial"/>
          <w:b/>
          <w:bCs/>
          <w:sz w:val="28"/>
          <w:szCs w:val="28"/>
        </w:rPr>
        <w:tab/>
        <w:t>Convocar la participación de personas expertas, instituciones académicas y organizaciones de la sociedad civil, cuando la naturaleza del asunto lo amerite;</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IV.</w:t>
      </w:r>
      <w:r>
        <w:rPr>
          <w:rFonts w:ascii="Arial" w:eastAsia="Arial" w:hAnsi="Arial" w:cs="Arial"/>
          <w:b/>
          <w:bCs/>
          <w:sz w:val="28"/>
          <w:szCs w:val="28"/>
        </w:rPr>
        <w:tab/>
        <w:t>Incorporar criterios de igualdad de género, no discriminación y debido proceso en la el</w:t>
      </w:r>
      <w:r>
        <w:rPr>
          <w:rFonts w:ascii="Arial" w:eastAsia="Arial" w:hAnsi="Arial" w:cs="Arial"/>
          <w:b/>
          <w:bCs/>
          <w:sz w:val="28"/>
          <w:szCs w:val="28"/>
        </w:rPr>
        <w:t>aboración de sus dictámenes; y</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V.</w:t>
      </w:r>
      <w:r>
        <w:rPr>
          <w:rFonts w:ascii="Arial" w:eastAsia="Arial" w:hAnsi="Arial" w:cs="Arial"/>
          <w:b/>
          <w:bCs/>
          <w:sz w:val="28"/>
          <w:szCs w:val="28"/>
        </w:rPr>
        <w:tab/>
        <w:t xml:space="preserve">Garantizar la protección, confidencialidad y tratamiento adecuado de los datos personales de las personas solicitantes y beneficiarias de la amnistía, conforme a la legislación en materia de protección de datos personales </w:t>
      </w:r>
      <w:r>
        <w:rPr>
          <w:rFonts w:ascii="Arial" w:eastAsia="Arial" w:hAnsi="Arial" w:cs="Arial"/>
          <w:b/>
          <w:bCs/>
          <w:sz w:val="28"/>
          <w:szCs w:val="28"/>
        </w:rPr>
        <w:t>y acceso a la información pública.</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w:t>
      </w:r>
    </w:p>
    <w:p w:rsidR="00D33816" w:rsidRDefault="00D33816">
      <w:pPr>
        <w:widowControl/>
        <w:spacing w:after="160" w:line="259" w:lineRule="auto"/>
        <w:ind w:left="567" w:right="310"/>
        <w:jc w:val="both"/>
        <w:rPr>
          <w:rFonts w:ascii="Arial" w:eastAsia="Arial" w:hAnsi="Arial" w:cs="Arial"/>
          <w:b/>
          <w:bCs/>
          <w:sz w:val="28"/>
          <w:szCs w:val="28"/>
        </w:rPr>
      </w:pP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Artículo 18. Derogado.</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t xml:space="preserve">Artículo 19. El Poder Legislativo ordenará el archivo de la solicitud de amnistía, cuando se logre la liberación del solicitante o el desistimiento del ejercicio de la acción penal. </w:t>
      </w:r>
    </w:p>
    <w:p w:rsidR="00D33816" w:rsidRDefault="00A347B6">
      <w:pPr>
        <w:widowControl/>
        <w:spacing w:after="160" w:line="259" w:lineRule="auto"/>
        <w:ind w:left="567" w:right="310"/>
        <w:jc w:val="both"/>
        <w:rPr>
          <w:rFonts w:ascii="Arial" w:eastAsia="Arial" w:hAnsi="Arial" w:cs="Arial"/>
          <w:sz w:val="28"/>
          <w:szCs w:val="28"/>
        </w:rPr>
      </w:pPr>
      <w:r>
        <w:rPr>
          <w:rFonts w:ascii="Arial" w:eastAsia="Arial" w:hAnsi="Arial" w:cs="Arial"/>
          <w:sz w:val="28"/>
          <w:szCs w:val="28"/>
        </w:rPr>
        <w:t xml:space="preserve">… </w:t>
      </w:r>
    </w:p>
    <w:p w:rsidR="00D33816" w:rsidRDefault="00A347B6">
      <w:pPr>
        <w:widowControl/>
        <w:spacing w:after="160" w:line="259" w:lineRule="auto"/>
        <w:ind w:left="567" w:right="310"/>
        <w:jc w:val="both"/>
        <w:rPr>
          <w:rFonts w:ascii="Arial" w:eastAsia="Arial" w:hAnsi="Arial" w:cs="Arial"/>
          <w:b/>
          <w:bCs/>
          <w:sz w:val="28"/>
          <w:szCs w:val="28"/>
        </w:rPr>
      </w:pPr>
      <w:r>
        <w:rPr>
          <w:rFonts w:ascii="Arial" w:eastAsia="Arial" w:hAnsi="Arial" w:cs="Arial"/>
          <w:b/>
          <w:bCs/>
          <w:sz w:val="28"/>
          <w:szCs w:val="28"/>
        </w:rPr>
        <w:lastRenderedPageBreak/>
        <w:t xml:space="preserve">Artículo </w:t>
      </w:r>
      <w:r>
        <w:rPr>
          <w:rFonts w:ascii="Arial" w:eastAsia="Arial" w:hAnsi="Arial" w:cs="Arial"/>
          <w:b/>
          <w:bCs/>
          <w:sz w:val="28"/>
          <w:szCs w:val="28"/>
        </w:rPr>
        <w:t>20. El Poder Legislativo deberá incluir en su informe anual de actividades, las solicitudes de amnistía recibidas, resueltas y pendientes de resolver.</w:t>
      </w:r>
    </w:p>
    <w:p w:rsidR="00D33816" w:rsidRDefault="00D33816">
      <w:pPr>
        <w:spacing w:line="276" w:lineRule="auto"/>
        <w:ind w:left="567" w:right="310"/>
        <w:jc w:val="center"/>
        <w:rPr>
          <w:rFonts w:ascii="Arial" w:eastAsia="Arial" w:hAnsi="Arial" w:cs="Arial"/>
          <w:b/>
          <w:bCs/>
          <w:sz w:val="28"/>
          <w:szCs w:val="28"/>
        </w:rPr>
      </w:pPr>
    </w:p>
    <w:p w:rsidR="00D33816" w:rsidRDefault="00A347B6">
      <w:pPr>
        <w:spacing w:line="276" w:lineRule="auto"/>
        <w:ind w:left="567" w:right="310"/>
        <w:jc w:val="center"/>
        <w:rPr>
          <w:rFonts w:ascii="Arial" w:eastAsia="Arial" w:hAnsi="Arial" w:cs="Arial"/>
          <w:b/>
          <w:bCs/>
          <w:sz w:val="28"/>
          <w:szCs w:val="28"/>
        </w:rPr>
      </w:pPr>
      <w:r>
        <w:rPr>
          <w:rFonts w:ascii="Arial" w:eastAsia="Arial" w:hAnsi="Arial" w:cs="Arial"/>
          <w:b/>
          <w:bCs/>
          <w:sz w:val="28"/>
          <w:szCs w:val="28"/>
        </w:rPr>
        <w:t>T R A N S I T O R I O S</w:t>
      </w:r>
    </w:p>
    <w:p w:rsidR="00D33816" w:rsidRDefault="00D33816">
      <w:pPr>
        <w:widowControl/>
        <w:pBdr>
          <w:top w:val="nil"/>
          <w:left w:val="nil"/>
          <w:bottom w:val="nil"/>
          <w:right w:val="nil"/>
          <w:between w:val="nil"/>
        </w:pBdr>
        <w:spacing w:after="160" w:line="276" w:lineRule="auto"/>
        <w:ind w:left="567" w:right="310"/>
        <w:jc w:val="both"/>
        <w:rPr>
          <w:rFonts w:ascii="Arial" w:eastAsia="Arial" w:hAnsi="Arial" w:cs="Arial"/>
          <w:b/>
          <w:bCs/>
          <w:color w:val="000000"/>
          <w:sz w:val="28"/>
          <w:szCs w:val="28"/>
        </w:rPr>
      </w:pPr>
    </w:p>
    <w:p w:rsidR="00D33816" w:rsidRDefault="00A347B6">
      <w:pPr>
        <w:widowControl/>
        <w:pBdr>
          <w:top w:val="nil"/>
          <w:left w:val="nil"/>
          <w:bottom w:val="nil"/>
          <w:right w:val="nil"/>
          <w:between w:val="nil"/>
        </w:pBdr>
        <w:spacing w:after="160" w:line="276" w:lineRule="auto"/>
        <w:ind w:left="567" w:right="310"/>
        <w:jc w:val="both"/>
        <w:rPr>
          <w:rFonts w:ascii="Arial" w:eastAsia="Arial" w:hAnsi="Arial" w:cs="Arial"/>
          <w:color w:val="000000"/>
          <w:sz w:val="28"/>
          <w:szCs w:val="28"/>
        </w:rPr>
      </w:pPr>
      <w:r>
        <w:rPr>
          <w:rFonts w:ascii="Arial" w:eastAsia="Arial" w:hAnsi="Arial" w:cs="Arial"/>
          <w:b/>
          <w:bCs/>
          <w:color w:val="000000"/>
          <w:sz w:val="28"/>
          <w:szCs w:val="28"/>
        </w:rPr>
        <w:t>PRIMERO.</w:t>
      </w:r>
      <w:r>
        <w:rPr>
          <w:rFonts w:ascii="Arial" w:eastAsia="Arial" w:hAnsi="Arial" w:cs="Arial"/>
          <w:color w:val="000000"/>
          <w:sz w:val="28"/>
          <w:szCs w:val="28"/>
        </w:rPr>
        <w:t xml:space="preserve"> Publíquese el presente Decreto en el periódico oficial "Gaceta del Gobierno".</w:t>
      </w:r>
    </w:p>
    <w:p w:rsidR="00D33816" w:rsidRDefault="00A347B6">
      <w:pPr>
        <w:widowControl/>
        <w:pBdr>
          <w:top w:val="nil"/>
          <w:left w:val="nil"/>
          <w:bottom w:val="nil"/>
          <w:right w:val="nil"/>
          <w:between w:val="nil"/>
        </w:pBdr>
        <w:spacing w:after="160" w:line="276" w:lineRule="auto"/>
        <w:ind w:left="567" w:right="310"/>
        <w:jc w:val="both"/>
        <w:rPr>
          <w:rFonts w:ascii="Arial" w:eastAsia="Arial" w:hAnsi="Arial" w:cs="Arial"/>
          <w:color w:val="000000"/>
          <w:sz w:val="28"/>
          <w:szCs w:val="28"/>
        </w:rPr>
      </w:pPr>
      <w:r>
        <w:rPr>
          <w:rFonts w:ascii="Arial" w:eastAsia="Arial" w:hAnsi="Arial" w:cs="Arial"/>
          <w:b/>
          <w:bCs/>
          <w:color w:val="000000"/>
          <w:sz w:val="28"/>
          <w:szCs w:val="28"/>
        </w:rPr>
        <w:t>SEGUNDO.</w:t>
      </w:r>
      <w:r>
        <w:rPr>
          <w:rFonts w:ascii="Arial" w:eastAsia="Arial" w:hAnsi="Arial" w:cs="Arial"/>
          <w:color w:val="000000"/>
          <w:sz w:val="28"/>
          <w:szCs w:val="28"/>
        </w:rPr>
        <w:t xml:space="preserve"> El presente Decreto entrará en vigor al día siguiente de su publicación en el periódico oficial "Gaceta del Gobierno".</w:t>
      </w:r>
    </w:p>
    <w:p w:rsidR="00D33816" w:rsidRDefault="00A347B6">
      <w:pPr>
        <w:widowControl/>
        <w:pBdr>
          <w:top w:val="nil"/>
          <w:left w:val="nil"/>
          <w:bottom w:val="nil"/>
          <w:right w:val="nil"/>
          <w:between w:val="nil"/>
        </w:pBdr>
        <w:spacing w:after="160" w:line="276" w:lineRule="auto"/>
        <w:ind w:left="567" w:right="310"/>
        <w:jc w:val="both"/>
        <w:rPr>
          <w:rFonts w:ascii="Arial" w:eastAsia="Arial" w:hAnsi="Arial" w:cs="Arial"/>
          <w:color w:val="000000"/>
          <w:sz w:val="28"/>
          <w:szCs w:val="28"/>
        </w:rPr>
      </w:pPr>
      <w:r>
        <w:rPr>
          <w:rFonts w:ascii="Arial" w:eastAsia="Arial" w:hAnsi="Arial" w:cs="Arial"/>
          <w:b/>
          <w:bCs/>
          <w:color w:val="000000"/>
          <w:sz w:val="28"/>
          <w:szCs w:val="28"/>
        </w:rPr>
        <w:t>TERCERO.</w:t>
      </w:r>
      <w:r>
        <w:rPr>
          <w:rFonts w:ascii="Arial" w:eastAsia="Arial" w:hAnsi="Arial" w:cs="Arial"/>
          <w:color w:val="000000"/>
          <w:sz w:val="28"/>
          <w:szCs w:val="28"/>
        </w:rPr>
        <w:t xml:space="preserve"> Deberá adecuarse la normativa aplicable </w:t>
      </w:r>
      <w:r>
        <w:rPr>
          <w:rFonts w:ascii="Arial" w:eastAsia="Arial" w:hAnsi="Arial" w:cs="Arial"/>
          <w:color w:val="000000"/>
          <w:sz w:val="28"/>
          <w:szCs w:val="28"/>
        </w:rPr>
        <w:t xml:space="preserve">en un plazo no mayor a 120 días naturales a la entrada en vigor del presente Decreto. </w:t>
      </w:r>
    </w:p>
    <w:p w:rsidR="00D33816" w:rsidRDefault="00A347B6">
      <w:pPr>
        <w:widowControl/>
        <w:pBdr>
          <w:top w:val="nil"/>
          <w:left w:val="nil"/>
          <w:bottom w:val="nil"/>
          <w:right w:val="nil"/>
          <w:between w:val="nil"/>
        </w:pBdr>
        <w:spacing w:after="160" w:line="276" w:lineRule="auto"/>
        <w:ind w:left="567" w:right="310"/>
        <w:jc w:val="both"/>
        <w:rPr>
          <w:rFonts w:ascii="Arial" w:eastAsia="Arial" w:hAnsi="Arial" w:cs="Arial"/>
          <w:color w:val="000000"/>
          <w:sz w:val="28"/>
          <w:szCs w:val="28"/>
        </w:rPr>
      </w:pPr>
      <w:r>
        <w:rPr>
          <w:rFonts w:ascii="Arial" w:eastAsia="Arial" w:hAnsi="Arial" w:cs="Arial"/>
          <w:b/>
          <w:bCs/>
          <w:color w:val="000000"/>
          <w:sz w:val="28"/>
          <w:szCs w:val="28"/>
        </w:rPr>
        <w:t xml:space="preserve">CUARTO. </w:t>
      </w:r>
      <w:r>
        <w:rPr>
          <w:rFonts w:ascii="Arial" w:eastAsia="Arial" w:hAnsi="Arial" w:cs="Arial"/>
          <w:color w:val="000000"/>
          <w:sz w:val="28"/>
          <w:szCs w:val="28"/>
        </w:rPr>
        <w:t>Se derogan las disposiciones de igual o menor jerarquía que se opongan a las establecidas en el presente decreto.</w:t>
      </w:r>
    </w:p>
    <w:p w:rsidR="00D33816" w:rsidRDefault="00D33816">
      <w:pPr>
        <w:widowControl/>
        <w:pBdr>
          <w:top w:val="nil"/>
          <w:left w:val="nil"/>
          <w:bottom w:val="nil"/>
          <w:right w:val="nil"/>
          <w:between w:val="nil"/>
        </w:pBdr>
        <w:spacing w:after="160" w:line="276" w:lineRule="auto"/>
        <w:ind w:left="567" w:right="310"/>
        <w:jc w:val="both"/>
        <w:rPr>
          <w:rFonts w:ascii="Arial" w:eastAsia="Arial" w:hAnsi="Arial" w:cs="Arial"/>
          <w:color w:val="000000"/>
          <w:sz w:val="28"/>
          <w:szCs w:val="28"/>
        </w:rPr>
      </w:pPr>
    </w:p>
    <w:p w:rsidR="00D33816" w:rsidRDefault="00A347B6">
      <w:pPr>
        <w:widowControl/>
        <w:pBdr>
          <w:top w:val="nil"/>
          <w:left w:val="nil"/>
          <w:bottom w:val="nil"/>
          <w:right w:val="nil"/>
          <w:between w:val="nil"/>
        </w:pBdr>
        <w:spacing w:before="280" w:after="160" w:line="360" w:lineRule="auto"/>
        <w:jc w:val="center"/>
        <w:rPr>
          <w:rFonts w:ascii="Arial" w:eastAsia="Arial" w:hAnsi="Arial" w:cs="Arial"/>
          <w:color w:val="000000"/>
          <w:sz w:val="28"/>
          <w:szCs w:val="28"/>
        </w:rPr>
        <w:sectPr w:rsidR="00D33816">
          <w:headerReference w:type="default" r:id="rId8"/>
          <w:footerReference w:type="default" r:id="rId9"/>
          <w:pgSz w:w="12240" w:h="15840"/>
          <w:pgMar w:top="640" w:right="720" w:bottom="1985" w:left="720" w:header="720" w:footer="720" w:gutter="0"/>
          <w:pgNumType w:start="1"/>
          <w:cols w:space="720"/>
        </w:sectPr>
      </w:pPr>
      <w:r>
        <w:rPr>
          <w:rFonts w:ascii="Arial" w:eastAsia="Arial" w:hAnsi="Arial" w:cs="Arial"/>
          <w:b/>
          <w:bCs/>
          <w:color w:val="000000"/>
          <w:sz w:val="28"/>
          <w:szCs w:val="28"/>
        </w:rPr>
        <w:t>Dip. Octavio Martínez Vargas</w:t>
      </w:r>
    </w:p>
    <w:p w:rsidR="00D33816" w:rsidRDefault="00D33816">
      <w:pPr>
        <w:spacing w:before="269"/>
        <w:rPr>
          <w:rFonts w:ascii="Times New Roman" w:eastAsia="Times New Roman" w:hAnsi="Times New Roman" w:cs="Times New Roman"/>
          <w:sz w:val="28"/>
          <w:szCs w:val="28"/>
        </w:rPr>
      </w:pPr>
    </w:p>
    <w:sectPr w:rsidR="00D33816">
      <w:type w:val="continuous"/>
      <w:pgSz w:w="12240" w:h="15840"/>
      <w:pgMar w:top="640" w:right="720" w:bottom="0" w:left="720" w:header="720" w:footer="720" w:gutter="0"/>
      <w:cols w:num="2" w:space="720" w:equalWidth="0">
        <w:col w:w="3190" w:space="4419"/>
        <w:col w:w="3190"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347B6">
      <w:r>
        <w:separator/>
      </w:r>
    </w:p>
  </w:endnote>
  <w:endnote w:type="continuationSeparator" w:id="0">
    <w:p w:rsidR="00000000" w:rsidRDefault="00A34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5E65C1D-9580-4821-AD43-2675B450D0F1}"/>
    <w:embedBold r:id="rId2" w:fontKey="{C6CAFA75-7177-4DDB-B8DC-EF9858E0F9C3}"/>
  </w:font>
  <w:font w:name="Segoe UI">
    <w:panose1 w:val="020B0502040204020203"/>
    <w:charset w:val="00"/>
    <w:family w:val="swiss"/>
    <w:pitch w:val="variable"/>
    <w:sig w:usb0="E4002EFF" w:usb1="C000E47F" w:usb2="00000009" w:usb3="00000000" w:csb0="000001FF" w:csb1="00000000"/>
    <w:embedRegular r:id="rId3" w:fontKey="{7B7CF8CF-00AC-44EE-9540-02572A4847AB}"/>
  </w:font>
  <w:font w:name="Georgia">
    <w:panose1 w:val="02040502050405020303"/>
    <w:charset w:val="00"/>
    <w:family w:val="roman"/>
    <w:pitch w:val="variable"/>
    <w:sig w:usb0="00000287" w:usb1="00000000" w:usb2="00000000" w:usb3="00000000" w:csb0="0000009F" w:csb1="00000000"/>
    <w:embedItalic r:id="rId4" w:fontKey="{7D2C5AEB-35B6-45AD-8346-442CB652324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CE630A8-850B-422F-AC17-8015994564EE}"/>
  </w:font>
  <w:font w:name="Calibri">
    <w:panose1 w:val="020F0502020204030204"/>
    <w:charset w:val="00"/>
    <w:family w:val="swiss"/>
    <w:pitch w:val="variable"/>
    <w:sig w:usb0="E4002EFF" w:usb1="C000247B" w:usb2="00000009" w:usb3="00000000" w:csb0="000001FF" w:csb1="00000000"/>
    <w:embedRegular r:id="rId6" w:fontKey="{0659F57A-F944-4A02-B201-66FC5FAAE87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816" w:rsidRDefault="00A347B6">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0" distR="0" simplePos="0" relativeHeight="251663360" behindDoc="1" locked="0" layoutInCell="1" hidden="0" allowOverlap="1">
              <wp:simplePos x="0" y="0"/>
              <wp:positionH relativeFrom="column">
                <wp:posOffset>-467246</wp:posOffset>
              </wp:positionH>
              <wp:positionV relativeFrom="paragraph">
                <wp:posOffset>8847574</wp:posOffset>
              </wp:positionV>
              <wp:extent cx="7772400" cy="1198880"/>
              <wp:effectExtent l="0" t="0" r="0" b="0"/>
              <wp:wrapNone/>
              <wp:docPr id="219" name=""/>
              <wp:cNvGraphicFramePr/>
              <a:graphic xmlns:a="http://schemas.openxmlformats.org/drawingml/2006/main">
                <a:graphicData uri="http://schemas.microsoft.com/office/word/2010/wordprocessingGroup">
                  <wpg:wgp>
                    <wpg:cNvGrpSpPr/>
                    <wpg:grpSpPr>
                      <a:xfrm>
                        <a:off x="0" y="0"/>
                        <a:ext cx="7772400" cy="1198880"/>
                        <a:chOff x="1459800" y="3180550"/>
                        <a:chExt cx="7772400" cy="1198900"/>
                      </a:xfrm>
                    </wpg:grpSpPr>
                    <wpg:grpSp>
                      <wpg:cNvPr id="2" name="Grupo 2"/>
                      <wpg:cNvGrpSpPr/>
                      <wpg:grpSpPr>
                        <a:xfrm>
                          <a:off x="1459800" y="3180560"/>
                          <a:ext cx="7772400" cy="1198880"/>
                          <a:chOff x="0" y="0"/>
                          <a:chExt cx="7772400" cy="1199107"/>
                        </a:xfrm>
                      </wpg:grpSpPr>
                      <wps:wsp>
                        <wps:cNvPr id="3" name="Rectángulo 3"/>
                        <wps:cNvSpPr/>
                        <wps:spPr>
                          <a:xfrm>
                            <a:off x="0" y="0"/>
                            <a:ext cx="7772400" cy="1199100"/>
                          </a:xfrm>
                          <a:prstGeom prst="rect">
                            <a:avLst/>
                          </a:prstGeom>
                          <a:noFill/>
                          <a:ln>
                            <a:noFill/>
                          </a:ln>
                        </wps:spPr>
                        <wps:txbx>
                          <w:txbxContent>
                            <w:p w:rsidR="00D33816" w:rsidRDefault="00D33816">
                              <w:pPr>
                                <w:textDirection w:val="btLr"/>
                              </w:pPr>
                            </w:p>
                          </w:txbxContent>
                        </wps:txbx>
                        <wps:bodyPr spcFirstLastPara="1" wrap="square" lIns="91425" tIns="91425" rIns="91425" bIns="91425" anchor="ctr" anchorCtr="0">
                          <a:noAutofit/>
                        </wps:bodyPr>
                      </wps:wsp>
                      <wps:wsp>
                        <wps:cNvPr id="4" name="Forma libre 4"/>
                        <wps:cNvSpPr/>
                        <wps:spPr>
                          <a:xfrm>
                            <a:off x="0" y="353923"/>
                            <a:ext cx="7772400" cy="845184"/>
                          </a:xfrm>
                          <a:custGeom>
                            <a:avLst/>
                            <a:gdLst/>
                            <a:ahLst/>
                            <a:cxnLst/>
                            <a:rect l="l" t="t" r="r" b="b"/>
                            <a:pathLst>
                              <a:path w="7772400" h="845185" extrusionOk="0">
                                <a:moveTo>
                                  <a:pt x="7771777" y="0"/>
                                </a:moveTo>
                                <a:lnTo>
                                  <a:pt x="0" y="0"/>
                                </a:lnTo>
                                <a:lnTo>
                                  <a:pt x="0" y="844689"/>
                                </a:lnTo>
                                <a:lnTo>
                                  <a:pt x="7771777" y="844689"/>
                                </a:lnTo>
                                <a:lnTo>
                                  <a:pt x="7771777" y="0"/>
                                </a:lnTo>
                                <a:close/>
                              </a:path>
                            </a:pathLst>
                          </a:custGeom>
                          <a:solidFill>
                            <a:srgbClr val="B28D5E"/>
                          </a:solidFill>
                          <a:ln>
                            <a:noFill/>
                          </a:ln>
                        </wps:spPr>
                        <wps:bodyPr spcFirstLastPara="1" wrap="square" lIns="91425" tIns="91425" rIns="91425" bIns="91425" anchor="ctr" anchorCtr="0">
                          <a:noAutofit/>
                        </wps:bodyPr>
                      </wps:wsp>
                      <wps:wsp>
                        <wps:cNvPr id="5" name="Forma libre 5"/>
                        <wps:cNvSpPr/>
                        <wps:spPr>
                          <a:xfrm>
                            <a:off x="0" y="299338"/>
                            <a:ext cx="7772400" cy="54610"/>
                          </a:xfrm>
                          <a:custGeom>
                            <a:avLst/>
                            <a:gdLst/>
                            <a:ahLst/>
                            <a:cxnLst/>
                            <a:rect l="l" t="t" r="r" b="b"/>
                            <a:pathLst>
                              <a:path w="7772400" h="54610" extrusionOk="0">
                                <a:moveTo>
                                  <a:pt x="7771777" y="0"/>
                                </a:moveTo>
                                <a:lnTo>
                                  <a:pt x="0" y="0"/>
                                </a:lnTo>
                                <a:lnTo>
                                  <a:pt x="0" y="54584"/>
                                </a:lnTo>
                                <a:lnTo>
                                  <a:pt x="7771777" y="54584"/>
                                </a:lnTo>
                                <a:lnTo>
                                  <a:pt x="7771777" y="0"/>
                                </a:lnTo>
                                <a:close/>
                              </a:path>
                            </a:pathLst>
                          </a:custGeom>
                          <a:solidFill>
                            <a:srgbClr val="901250"/>
                          </a:solidFill>
                          <a:ln>
                            <a:noFill/>
                          </a:ln>
                        </wps:spPr>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1">
                            <a:alphaModFix/>
                          </a:blip>
                          <a:srcRect/>
                          <a:stretch/>
                        </pic:blipFill>
                        <pic:spPr>
                          <a:xfrm>
                            <a:off x="3831779" y="845144"/>
                            <a:ext cx="107899" cy="108978"/>
                          </a:xfrm>
                          <a:prstGeom prst="rect">
                            <a:avLst/>
                          </a:prstGeom>
                          <a:noFill/>
                          <a:ln>
                            <a:noFill/>
                          </a:ln>
                        </pic:spPr>
                      </pic:pic>
                      <wps:wsp>
                        <wps:cNvPr id="6" name="Forma libre 6"/>
                        <wps:cNvSpPr/>
                        <wps:spPr>
                          <a:xfrm>
                            <a:off x="3640086" y="1009781"/>
                            <a:ext cx="494030" cy="63500"/>
                          </a:xfrm>
                          <a:custGeom>
                            <a:avLst/>
                            <a:gdLst/>
                            <a:ahLst/>
                            <a:cxnLst/>
                            <a:rect l="l" t="t" r="r" b="b"/>
                            <a:pathLst>
                              <a:path w="494030" h="63500" extrusionOk="0">
                                <a:moveTo>
                                  <a:pt x="114858" y="55092"/>
                                </a:moveTo>
                                <a:lnTo>
                                  <a:pt x="113538" y="51904"/>
                                </a:lnTo>
                                <a:lnTo>
                                  <a:pt x="69253" y="7620"/>
                                </a:lnTo>
                                <a:lnTo>
                                  <a:pt x="61633" y="0"/>
                                </a:lnTo>
                                <a:lnTo>
                                  <a:pt x="53225" y="0"/>
                                </a:lnTo>
                                <a:lnTo>
                                  <a:pt x="1320" y="51904"/>
                                </a:lnTo>
                                <a:lnTo>
                                  <a:pt x="0" y="55092"/>
                                </a:lnTo>
                                <a:lnTo>
                                  <a:pt x="0" y="61899"/>
                                </a:lnTo>
                                <a:lnTo>
                                  <a:pt x="546" y="63207"/>
                                </a:lnTo>
                                <a:lnTo>
                                  <a:pt x="8699" y="63207"/>
                                </a:lnTo>
                                <a:lnTo>
                                  <a:pt x="7188" y="61709"/>
                                </a:lnTo>
                                <a:lnTo>
                                  <a:pt x="6540" y="60159"/>
                                </a:lnTo>
                                <a:lnTo>
                                  <a:pt x="6540" y="56845"/>
                                </a:lnTo>
                                <a:lnTo>
                                  <a:pt x="7188" y="55295"/>
                                </a:lnTo>
                                <a:lnTo>
                                  <a:pt x="54216" y="8267"/>
                                </a:lnTo>
                                <a:lnTo>
                                  <a:pt x="55778" y="7620"/>
                                </a:lnTo>
                                <a:lnTo>
                                  <a:pt x="59080" y="7620"/>
                                </a:lnTo>
                                <a:lnTo>
                                  <a:pt x="60642" y="8267"/>
                                </a:lnTo>
                                <a:lnTo>
                                  <a:pt x="107670" y="55295"/>
                                </a:lnTo>
                                <a:lnTo>
                                  <a:pt x="108318" y="56845"/>
                                </a:lnTo>
                                <a:lnTo>
                                  <a:pt x="108318" y="60159"/>
                                </a:lnTo>
                                <a:lnTo>
                                  <a:pt x="107670" y="61709"/>
                                </a:lnTo>
                                <a:lnTo>
                                  <a:pt x="106159" y="63207"/>
                                </a:lnTo>
                                <a:lnTo>
                                  <a:pt x="114312" y="63207"/>
                                </a:lnTo>
                                <a:lnTo>
                                  <a:pt x="114858" y="61899"/>
                                </a:lnTo>
                                <a:lnTo>
                                  <a:pt x="114858" y="55092"/>
                                </a:lnTo>
                                <a:close/>
                              </a:path>
                              <a:path w="494030" h="63500" extrusionOk="0">
                                <a:moveTo>
                                  <a:pt x="493458" y="55410"/>
                                </a:moveTo>
                                <a:lnTo>
                                  <a:pt x="446100" y="8051"/>
                                </a:lnTo>
                                <a:lnTo>
                                  <a:pt x="438835" y="787"/>
                                </a:lnTo>
                                <a:lnTo>
                                  <a:pt x="430758" y="787"/>
                                </a:lnTo>
                                <a:lnTo>
                                  <a:pt x="376135" y="55410"/>
                                </a:lnTo>
                                <a:lnTo>
                                  <a:pt x="376135" y="63207"/>
                                </a:lnTo>
                                <a:lnTo>
                                  <a:pt x="385102" y="63207"/>
                                </a:lnTo>
                                <a:lnTo>
                                  <a:pt x="383311" y="61417"/>
                                </a:lnTo>
                                <a:lnTo>
                                  <a:pt x="383311" y="57492"/>
                                </a:lnTo>
                                <a:lnTo>
                                  <a:pt x="432752" y="8051"/>
                                </a:lnTo>
                                <a:lnTo>
                                  <a:pt x="436841" y="8051"/>
                                </a:lnTo>
                                <a:lnTo>
                                  <a:pt x="486283" y="57492"/>
                                </a:lnTo>
                                <a:lnTo>
                                  <a:pt x="486283" y="61417"/>
                                </a:lnTo>
                                <a:lnTo>
                                  <a:pt x="484479" y="63207"/>
                                </a:lnTo>
                                <a:lnTo>
                                  <a:pt x="493458" y="63207"/>
                                </a:lnTo>
                                <a:lnTo>
                                  <a:pt x="493458" y="55410"/>
                                </a:lnTo>
                                <a:close/>
                              </a:path>
                            </a:pathLst>
                          </a:custGeom>
                          <a:solidFill>
                            <a:srgbClr val="FFFFFF"/>
                          </a:solidFill>
                          <a:ln>
                            <a:noFill/>
                          </a:ln>
                        </wps:spPr>
                        <wps:bodyPr spcFirstLastPara="1" wrap="square" lIns="91425" tIns="91425" rIns="91425" bIns="91425" anchor="ctr" anchorCtr="0">
                          <a:noAutofit/>
                        </wps:bodyPr>
                      </wps:wsp>
                      <pic:pic xmlns:pic="http://schemas.openxmlformats.org/drawingml/2006/picture">
                        <pic:nvPicPr>
                          <pic:cNvPr id="9" name="Shape 9"/>
                          <pic:cNvPicPr preferRelativeResize="0"/>
                        </pic:nvPicPr>
                        <pic:blipFill rotWithShape="1">
                          <a:blip r:embed="rId2">
                            <a:alphaModFix/>
                          </a:blip>
                          <a:srcRect/>
                          <a:stretch/>
                        </pic:blipFill>
                        <pic:spPr>
                          <a:xfrm>
                            <a:off x="3726588" y="915261"/>
                            <a:ext cx="321129" cy="162753"/>
                          </a:xfrm>
                          <a:prstGeom prst="rect">
                            <a:avLst/>
                          </a:prstGeom>
                          <a:noFill/>
                          <a:ln>
                            <a:noFill/>
                          </a:ln>
                        </pic:spPr>
                      </pic:pic>
                      <wps:wsp>
                        <wps:cNvPr id="8" name="Forma libre 8"/>
                        <wps:cNvSpPr/>
                        <wps:spPr>
                          <a:xfrm>
                            <a:off x="3559561" y="0"/>
                            <a:ext cx="653415" cy="653415"/>
                          </a:xfrm>
                          <a:custGeom>
                            <a:avLst/>
                            <a:gdLst/>
                            <a:ahLst/>
                            <a:cxnLst/>
                            <a:rect l="l" t="t" r="r" b="b"/>
                            <a:pathLst>
                              <a:path w="653415" h="653415" extrusionOk="0">
                                <a:moveTo>
                                  <a:pt x="326478" y="0"/>
                                </a:moveTo>
                                <a:lnTo>
                                  <a:pt x="278235" y="3539"/>
                                </a:lnTo>
                                <a:lnTo>
                                  <a:pt x="232190" y="13822"/>
                                </a:lnTo>
                                <a:lnTo>
                                  <a:pt x="188846" y="30342"/>
                                </a:lnTo>
                                <a:lnTo>
                                  <a:pt x="148710" y="52596"/>
                                </a:lnTo>
                                <a:lnTo>
                                  <a:pt x="112287" y="80077"/>
                                </a:lnTo>
                                <a:lnTo>
                                  <a:pt x="80082" y="112282"/>
                                </a:lnTo>
                                <a:lnTo>
                                  <a:pt x="52599" y="148705"/>
                                </a:lnTo>
                                <a:lnTo>
                                  <a:pt x="30344" y="188841"/>
                                </a:lnTo>
                                <a:lnTo>
                                  <a:pt x="13823" y="232185"/>
                                </a:lnTo>
                                <a:lnTo>
                                  <a:pt x="3540" y="278233"/>
                                </a:lnTo>
                                <a:lnTo>
                                  <a:pt x="0" y="326478"/>
                                </a:lnTo>
                                <a:lnTo>
                                  <a:pt x="3540" y="374724"/>
                                </a:lnTo>
                                <a:lnTo>
                                  <a:pt x="13823" y="420772"/>
                                </a:lnTo>
                                <a:lnTo>
                                  <a:pt x="30344" y="464116"/>
                                </a:lnTo>
                                <a:lnTo>
                                  <a:pt x="52599" y="504252"/>
                                </a:lnTo>
                                <a:lnTo>
                                  <a:pt x="80082" y="540675"/>
                                </a:lnTo>
                                <a:lnTo>
                                  <a:pt x="112287" y="572879"/>
                                </a:lnTo>
                                <a:lnTo>
                                  <a:pt x="148710" y="600361"/>
                                </a:lnTo>
                                <a:lnTo>
                                  <a:pt x="188846" y="622614"/>
                                </a:lnTo>
                                <a:lnTo>
                                  <a:pt x="232190" y="639135"/>
                                </a:lnTo>
                                <a:lnTo>
                                  <a:pt x="278235" y="649418"/>
                                </a:lnTo>
                                <a:lnTo>
                                  <a:pt x="326478" y="652957"/>
                                </a:lnTo>
                                <a:lnTo>
                                  <a:pt x="374724" y="649418"/>
                                </a:lnTo>
                                <a:lnTo>
                                  <a:pt x="420772" y="639135"/>
                                </a:lnTo>
                                <a:lnTo>
                                  <a:pt x="464116" y="622614"/>
                                </a:lnTo>
                                <a:lnTo>
                                  <a:pt x="504252" y="600361"/>
                                </a:lnTo>
                                <a:lnTo>
                                  <a:pt x="540675" y="572879"/>
                                </a:lnTo>
                                <a:lnTo>
                                  <a:pt x="572879" y="540675"/>
                                </a:lnTo>
                                <a:lnTo>
                                  <a:pt x="600361" y="504252"/>
                                </a:lnTo>
                                <a:lnTo>
                                  <a:pt x="622614" y="464116"/>
                                </a:lnTo>
                                <a:lnTo>
                                  <a:pt x="639135" y="420772"/>
                                </a:lnTo>
                                <a:lnTo>
                                  <a:pt x="649418" y="374724"/>
                                </a:lnTo>
                                <a:lnTo>
                                  <a:pt x="652957" y="326478"/>
                                </a:lnTo>
                                <a:lnTo>
                                  <a:pt x="649418" y="278233"/>
                                </a:lnTo>
                                <a:lnTo>
                                  <a:pt x="639135" y="232185"/>
                                </a:lnTo>
                                <a:lnTo>
                                  <a:pt x="622614" y="188841"/>
                                </a:lnTo>
                                <a:lnTo>
                                  <a:pt x="600361" y="148705"/>
                                </a:lnTo>
                                <a:lnTo>
                                  <a:pt x="572879" y="112282"/>
                                </a:lnTo>
                                <a:lnTo>
                                  <a:pt x="540675" y="80077"/>
                                </a:lnTo>
                                <a:lnTo>
                                  <a:pt x="504252" y="52596"/>
                                </a:lnTo>
                                <a:lnTo>
                                  <a:pt x="464116" y="30342"/>
                                </a:lnTo>
                                <a:lnTo>
                                  <a:pt x="420772" y="13822"/>
                                </a:lnTo>
                                <a:lnTo>
                                  <a:pt x="374724" y="3539"/>
                                </a:lnTo>
                                <a:lnTo>
                                  <a:pt x="326478" y="0"/>
                                </a:lnTo>
                                <a:close/>
                              </a:path>
                            </a:pathLst>
                          </a:custGeom>
                          <a:solidFill>
                            <a:srgbClr val="B32F29"/>
                          </a:solidFill>
                          <a:ln>
                            <a:noFill/>
                          </a:ln>
                        </wps:spPr>
                        <wps:bodyPr spcFirstLastPara="1" wrap="square" lIns="91425" tIns="91425" rIns="91425" bIns="91425" anchor="ctr" anchorCtr="0">
                          <a:noAutofit/>
                        </wps:bodyPr>
                      </wps:wsp>
                      <wps:wsp>
                        <wps:cNvPr id="10" name="Forma libre 10"/>
                        <wps:cNvSpPr/>
                        <wps:spPr>
                          <a:xfrm>
                            <a:off x="3616208" y="279234"/>
                            <a:ext cx="539750" cy="94615"/>
                          </a:xfrm>
                          <a:custGeom>
                            <a:avLst/>
                            <a:gdLst/>
                            <a:ahLst/>
                            <a:cxnLst/>
                            <a:rect l="l" t="t" r="r" b="b"/>
                            <a:pathLst>
                              <a:path w="539750" h="94615" extrusionOk="0">
                                <a:moveTo>
                                  <a:pt x="175691" y="2159"/>
                                </a:moveTo>
                                <a:lnTo>
                                  <a:pt x="157950" y="5592"/>
                                </a:lnTo>
                                <a:lnTo>
                                  <a:pt x="144526" y="15147"/>
                                </a:lnTo>
                                <a:lnTo>
                                  <a:pt x="136026" y="29708"/>
                                </a:lnTo>
                                <a:lnTo>
                                  <a:pt x="133057" y="48158"/>
                                </a:lnTo>
                                <a:lnTo>
                                  <a:pt x="135995" y="66613"/>
                                </a:lnTo>
                                <a:lnTo>
                                  <a:pt x="144445" y="81173"/>
                                </a:lnTo>
                                <a:lnTo>
                                  <a:pt x="157859" y="90726"/>
                                </a:lnTo>
                                <a:lnTo>
                                  <a:pt x="175691" y="94157"/>
                                </a:lnTo>
                                <a:lnTo>
                                  <a:pt x="193651" y="90726"/>
                                </a:lnTo>
                                <a:lnTo>
                                  <a:pt x="207133" y="81173"/>
                                </a:lnTo>
                                <a:lnTo>
                                  <a:pt x="210414" y="75539"/>
                                </a:lnTo>
                                <a:lnTo>
                                  <a:pt x="175691" y="75539"/>
                                </a:lnTo>
                                <a:lnTo>
                                  <a:pt x="167604" y="73124"/>
                                </a:lnTo>
                                <a:lnTo>
                                  <a:pt x="162504" y="66816"/>
                                </a:lnTo>
                                <a:lnTo>
                                  <a:pt x="159845" y="58024"/>
                                </a:lnTo>
                                <a:lnTo>
                                  <a:pt x="159080" y="48158"/>
                                </a:lnTo>
                                <a:lnTo>
                                  <a:pt x="159845" y="38272"/>
                                </a:lnTo>
                                <a:lnTo>
                                  <a:pt x="162485" y="29708"/>
                                </a:lnTo>
                                <a:lnTo>
                                  <a:pt x="167604" y="23548"/>
                                </a:lnTo>
                                <a:lnTo>
                                  <a:pt x="175691" y="21234"/>
                                </a:lnTo>
                                <a:lnTo>
                                  <a:pt x="210617" y="21234"/>
                                </a:lnTo>
                                <a:lnTo>
                                  <a:pt x="207052" y="15147"/>
                                </a:lnTo>
                                <a:lnTo>
                                  <a:pt x="193560" y="5592"/>
                                </a:lnTo>
                                <a:lnTo>
                                  <a:pt x="175691" y="2159"/>
                                </a:lnTo>
                                <a:close/>
                              </a:path>
                              <a:path w="539750" h="94615" extrusionOk="0">
                                <a:moveTo>
                                  <a:pt x="210617" y="21234"/>
                                </a:moveTo>
                                <a:lnTo>
                                  <a:pt x="175691" y="21234"/>
                                </a:lnTo>
                                <a:lnTo>
                                  <a:pt x="183873" y="23548"/>
                                </a:lnTo>
                                <a:lnTo>
                                  <a:pt x="188976" y="29708"/>
                                </a:lnTo>
                                <a:lnTo>
                                  <a:pt x="191559" y="38272"/>
                                </a:lnTo>
                                <a:lnTo>
                                  <a:pt x="192290" y="48158"/>
                                </a:lnTo>
                                <a:lnTo>
                                  <a:pt x="191559" y="58024"/>
                                </a:lnTo>
                                <a:lnTo>
                                  <a:pt x="189018" y="66613"/>
                                </a:lnTo>
                                <a:lnTo>
                                  <a:pt x="188958" y="66816"/>
                                </a:lnTo>
                                <a:lnTo>
                                  <a:pt x="183873" y="73124"/>
                                </a:lnTo>
                                <a:lnTo>
                                  <a:pt x="175691" y="75539"/>
                                </a:lnTo>
                                <a:lnTo>
                                  <a:pt x="210414" y="75539"/>
                                </a:lnTo>
                                <a:lnTo>
                                  <a:pt x="215492" y="66816"/>
                                </a:lnTo>
                                <a:lnTo>
                                  <a:pt x="215611" y="66613"/>
                                </a:lnTo>
                                <a:lnTo>
                                  <a:pt x="218554" y="48158"/>
                                </a:lnTo>
                                <a:lnTo>
                                  <a:pt x="215580" y="29708"/>
                                </a:lnTo>
                                <a:lnTo>
                                  <a:pt x="210617" y="21234"/>
                                </a:lnTo>
                                <a:close/>
                              </a:path>
                              <a:path w="539750" h="94615" extrusionOk="0">
                                <a:moveTo>
                                  <a:pt x="246913" y="2247"/>
                                </a:moveTo>
                                <a:lnTo>
                                  <a:pt x="238379" y="3149"/>
                                </a:lnTo>
                                <a:lnTo>
                                  <a:pt x="236131" y="3594"/>
                                </a:lnTo>
                                <a:lnTo>
                                  <a:pt x="232765" y="3822"/>
                                </a:lnTo>
                                <a:lnTo>
                                  <a:pt x="228955" y="4267"/>
                                </a:lnTo>
                                <a:lnTo>
                                  <a:pt x="228955" y="92456"/>
                                </a:lnTo>
                                <a:lnTo>
                                  <a:pt x="254762" y="92456"/>
                                </a:lnTo>
                                <a:lnTo>
                                  <a:pt x="254762" y="27165"/>
                                </a:lnTo>
                                <a:lnTo>
                                  <a:pt x="267779" y="24460"/>
                                </a:lnTo>
                                <a:lnTo>
                                  <a:pt x="276072" y="24460"/>
                                </a:lnTo>
                                <a:lnTo>
                                  <a:pt x="278086" y="9880"/>
                                </a:lnTo>
                                <a:lnTo>
                                  <a:pt x="251625" y="9880"/>
                                </a:lnTo>
                                <a:lnTo>
                                  <a:pt x="246913" y="2247"/>
                                </a:lnTo>
                                <a:close/>
                              </a:path>
                              <a:path w="539750" h="94615" extrusionOk="0">
                                <a:moveTo>
                                  <a:pt x="279450" y="0"/>
                                </a:moveTo>
                                <a:lnTo>
                                  <a:pt x="251625" y="9880"/>
                                </a:lnTo>
                                <a:lnTo>
                                  <a:pt x="278086" y="9880"/>
                                </a:lnTo>
                                <a:lnTo>
                                  <a:pt x="279450" y="0"/>
                                </a:lnTo>
                                <a:close/>
                              </a:path>
                              <a:path w="539750" h="94615" extrusionOk="0">
                                <a:moveTo>
                                  <a:pt x="319836" y="2247"/>
                                </a:moveTo>
                                <a:lnTo>
                                  <a:pt x="303649" y="5238"/>
                                </a:lnTo>
                                <a:lnTo>
                                  <a:pt x="291020" y="14055"/>
                                </a:lnTo>
                                <a:lnTo>
                                  <a:pt x="282810" y="28469"/>
                                </a:lnTo>
                                <a:lnTo>
                                  <a:pt x="279948" y="47802"/>
                                </a:lnTo>
                                <a:lnTo>
                                  <a:pt x="279882" y="48247"/>
                                </a:lnTo>
                                <a:lnTo>
                                  <a:pt x="282889" y="68027"/>
                                </a:lnTo>
                                <a:lnTo>
                                  <a:pt x="291136" y="82634"/>
                                </a:lnTo>
                                <a:lnTo>
                                  <a:pt x="303462" y="91604"/>
                                </a:lnTo>
                                <a:lnTo>
                                  <a:pt x="318706" y="94475"/>
                                </a:lnTo>
                                <a:lnTo>
                                  <a:pt x="330990" y="94092"/>
                                </a:lnTo>
                                <a:lnTo>
                                  <a:pt x="338731" y="93076"/>
                                </a:lnTo>
                                <a:lnTo>
                                  <a:pt x="345209" y="90630"/>
                                </a:lnTo>
                                <a:lnTo>
                                  <a:pt x="353707" y="85953"/>
                                </a:lnTo>
                                <a:lnTo>
                                  <a:pt x="352236" y="74510"/>
                                </a:lnTo>
                                <a:lnTo>
                                  <a:pt x="325221" y="74510"/>
                                </a:lnTo>
                                <a:lnTo>
                                  <a:pt x="317753" y="73177"/>
                                </a:lnTo>
                                <a:lnTo>
                                  <a:pt x="311754" y="69234"/>
                                </a:lnTo>
                                <a:lnTo>
                                  <a:pt x="307606" y="62766"/>
                                </a:lnTo>
                                <a:lnTo>
                                  <a:pt x="305784" y="54305"/>
                                </a:lnTo>
                                <a:lnTo>
                                  <a:pt x="305689" y="53860"/>
                                </a:lnTo>
                                <a:lnTo>
                                  <a:pt x="355251" y="53860"/>
                                </a:lnTo>
                                <a:lnTo>
                                  <a:pt x="356184" y="51612"/>
                                </a:lnTo>
                                <a:lnTo>
                                  <a:pt x="356400" y="50723"/>
                                </a:lnTo>
                                <a:lnTo>
                                  <a:pt x="356628" y="50495"/>
                                </a:lnTo>
                                <a:lnTo>
                                  <a:pt x="357085" y="49593"/>
                                </a:lnTo>
                                <a:lnTo>
                                  <a:pt x="357248" y="48247"/>
                                </a:lnTo>
                                <a:lnTo>
                                  <a:pt x="357530" y="45339"/>
                                </a:lnTo>
                                <a:lnTo>
                                  <a:pt x="357530" y="43091"/>
                                </a:lnTo>
                                <a:lnTo>
                                  <a:pt x="356719" y="37477"/>
                                </a:lnTo>
                                <a:lnTo>
                                  <a:pt x="306146" y="37477"/>
                                </a:lnTo>
                                <a:lnTo>
                                  <a:pt x="307035" y="21551"/>
                                </a:lnTo>
                                <a:lnTo>
                                  <a:pt x="314667" y="21107"/>
                                </a:lnTo>
                                <a:lnTo>
                                  <a:pt x="352538" y="21107"/>
                                </a:lnTo>
                                <a:lnTo>
                                  <a:pt x="347518" y="12487"/>
                                </a:lnTo>
                                <a:lnTo>
                                  <a:pt x="335665" y="4811"/>
                                </a:lnTo>
                                <a:lnTo>
                                  <a:pt x="319836" y="2247"/>
                                </a:lnTo>
                                <a:close/>
                              </a:path>
                              <a:path w="539750" h="94615" extrusionOk="0">
                                <a:moveTo>
                                  <a:pt x="351688" y="70243"/>
                                </a:moveTo>
                                <a:lnTo>
                                  <a:pt x="347301" y="71285"/>
                                </a:lnTo>
                                <a:lnTo>
                                  <a:pt x="340640" y="72710"/>
                                </a:lnTo>
                                <a:lnTo>
                                  <a:pt x="332887" y="73969"/>
                                </a:lnTo>
                                <a:lnTo>
                                  <a:pt x="325221" y="74510"/>
                                </a:lnTo>
                                <a:lnTo>
                                  <a:pt x="352236" y="74510"/>
                                </a:lnTo>
                                <a:lnTo>
                                  <a:pt x="351688" y="70243"/>
                                </a:lnTo>
                                <a:close/>
                              </a:path>
                              <a:path w="539750" h="94615" extrusionOk="0">
                                <a:moveTo>
                                  <a:pt x="355251" y="53860"/>
                                </a:moveTo>
                                <a:lnTo>
                                  <a:pt x="305689" y="53860"/>
                                </a:lnTo>
                                <a:lnTo>
                                  <a:pt x="354838" y="54978"/>
                                </a:lnTo>
                                <a:lnTo>
                                  <a:pt x="355066" y="54305"/>
                                </a:lnTo>
                                <a:lnTo>
                                  <a:pt x="355251" y="53860"/>
                                </a:lnTo>
                                <a:close/>
                              </a:path>
                              <a:path w="539750" h="94615" extrusionOk="0">
                                <a:moveTo>
                                  <a:pt x="352538" y="21107"/>
                                </a:moveTo>
                                <a:lnTo>
                                  <a:pt x="325894" y="21107"/>
                                </a:lnTo>
                                <a:lnTo>
                                  <a:pt x="331050" y="26479"/>
                                </a:lnTo>
                                <a:lnTo>
                                  <a:pt x="331952" y="37477"/>
                                </a:lnTo>
                                <a:lnTo>
                                  <a:pt x="356719" y="37477"/>
                                </a:lnTo>
                                <a:lnTo>
                                  <a:pt x="354953" y="25254"/>
                                </a:lnTo>
                                <a:lnTo>
                                  <a:pt x="352538" y="21107"/>
                                </a:lnTo>
                                <a:close/>
                              </a:path>
                              <a:path w="539750" h="94615" extrusionOk="0">
                                <a:moveTo>
                                  <a:pt x="385140" y="2044"/>
                                </a:moveTo>
                                <a:lnTo>
                                  <a:pt x="366925" y="4324"/>
                                </a:lnTo>
                                <a:lnTo>
                                  <a:pt x="367182" y="4324"/>
                                </a:lnTo>
                                <a:lnTo>
                                  <a:pt x="367182" y="92252"/>
                                </a:lnTo>
                                <a:lnTo>
                                  <a:pt x="393217" y="92252"/>
                                </a:lnTo>
                                <a:lnTo>
                                  <a:pt x="393217" y="23583"/>
                                </a:lnTo>
                                <a:lnTo>
                                  <a:pt x="400621" y="22009"/>
                                </a:lnTo>
                                <a:lnTo>
                                  <a:pt x="442922" y="22009"/>
                                </a:lnTo>
                                <a:lnTo>
                                  <a:pt x="442753" y="21172"/>
                                </a:lnTo>
                                <a:lnTo>
                                  <a:pt x="435459" y="10855"/>
                                </a:lnTo>
                                <a:lnTo>
                                  <a:pt x="430364" y="7658"/>
                                </a:lnTo>
                                <a:lnTo>
                                  <a:pt x="389851" y="7658"/>
                                </a:lnTo>
                                <a:lnTo>
                                  <a:pt x="385140" y="2044"/>
                                </a:lnTo>
                                <a:close/>
                              </a:path>
                              <a:path w="539750" h="94615" extrusionOk="0">
                                <a:moveTo>
                                  <a:pt x="442922" y="22009"/>
                                </a:moveTo>
                                <a:lnTo>
                                  <a:pt x="414083" y="22009"/>
                                </a:lnTo>
                                <a:lnTo>
                                  <a:pt x="419239" y="23812"/>
                                </a:lnTo>
                                <a:lnTo>
                                  <a:pt x="419239" y="92252"/>
                                </a:lnTo>
                                <a:lnTo>
                                  <a:pt x="445503" y="92252"/>
                                </a:lnTo>
                                <a:lnTo>
                                  <a:pt x="445503" y="34810"/>
                                </a:lnTo>
                                <a:lnTo>
                                  <a:pt x="442922" y="22009"/>
                                </a:lnTo>
                                <a:close/>
                              </a:path>
                              <a:path w="539750" h="94615" extrusionOk="0">
                                <a:moveTo>
                                  <a:pt x="412965" y="2044"/>
                                </a:moveTo>
                                <a:lnTo>
                                  <a:pt x="401523" y="2044"/>
                                </a:lnTo>
                                <a:lnTo>
                                  <a:pt x="393661" y="5638"/>
                                </a:lnTo>
                                <a:lnTo>
                                  <a:pt x="389851" y="7658"/>
                                </a:lnTo>
                                <a:lnTo>
                                  <a:pt x="430364" y="7658"/>
                                </a:lnTo>
                                <a:lnTo>
                                  <a:pt x="425052" y="4324"/>
                                </a:lnTo>
                                <a:lnTo>
                                  <a:pt x="412965" y="2044"/>
                                </a:lnTo>
                                <a:close/>
                              </a:path>
                              <a:path w="539750" h="94615" extrusionOk="0">
                                <a:moveTo>
                                  <a:pt x="539516" y="87096"/>
                                </a:moveTo>
                                <a:lnTo>
                                  <a:pt x="505790" y="87096"/>
                                </a:lnTo>
                                <a:lnTo>
                                  <a:pt x="511619" y="94500"/>
                                </a:lnTo>
                                <a:lnTo>
                                  <a:pt x="517677" y="94272"/>
                                </a:lnTo>
                                <a:lnTo>
                                  <a:pt x="526427" y="94056"/>
                                </a:lnTo>
                                <a:lnTo>
                                  <a:pt x="539673" y="87769"/>
                                </a:lnTo>
                                <a:lnTo>
                                  <a:pt x="539516" y="87096"/>
                                </a:lnTo>
                                <a:close/>
                              </a:path>
                              <a:path w="539750" h="94615" extrusionOk="0">
                                <a:moveTo>
                                  <a:pt x="492328" y="39751"/>
                                </a:moveTo>
                                <a:lnTo>
                                  <a:pt x="483565" y="39751"/>
                                </a:lnTo>
                                <a:lnTo>
                                  <a:pt x="473079" y="41595"/>
                                </a:lnTo>
                                <a:lnTo>
                                  <a:pt x="463792" y="46931"/>
                                </a:lnTo>
                                <a:lnTo>
                                  <a:pt x="457156" y="55465"/>
                                </a:lnTo>
                                <a:lnTo>
                                  <a:pt x="454621" y="66903"/>
                                </a:lnTo>
                                <a:lnTo>
                                  <a:pt x="457135" y="78279"/>
                                </a:lnTo>
                                <a:lnTo>
                                  <a:pt x="463626" y="86898"/>
                                </a:lnTo>
                                <a:lnTo>
                                  <a:pt x="472516" y="92362"/>
                                </a:lnTo>
                                <a:lnTo>
                                  <a:pt x="482231" y="94272"/>
                                </a:lnTo>
                                <a:lnTo>
                                  <a:pt x="491871" y="94272"/>
                                </a:lnTo>
                                <a:lnTo>
                                  <a:pt x="501294" y="89789"/>
                                </a:lnTo>
                                <a:lnTo>
                                  <a:pt x="505790" y="87096"/>
                                </a:lnTo>
                                <a:lnTo>
                                  <a:pt x="539516" y="87096"/>
                                </a:lnTo>
                                <a:lnTo>
                                  <a:pt x="536570" y="74523"/>
                                </a:lnTo>
                                <a:lnTo>
                                  <a:pt x="484695" y="74523"/>
                                </a:lnTo>
                                <a:lnTo>
                                  <a:pt x="480885" y="69811"/>
                                </a:lnTo>
                                <a:lnTo>
                                  <a:pt x="480885" y="60388"/>
                                </a:lnTo>
                                <a:lnTo>
                                  <a:pt x="484695" y="56794"/>
                                </a:lnTo>
                                <a:lnTo>
                                  <a:pt x="528904" y="56794"/>
                                </a:lnTo>
                                <a:lnTo>
                                  <a:pt x="528904" y="41097"/>
                                </a:lnTo>
                                <a:lnTo>
                                  <a:pt x="503326" y="41097"/>
                                </a:lnTo>
                                <a:lnTo>
                                  <a:pt x="492328" y="39751"/>
                                </a:lnTo>
                                <a:close/>
                              </a:path>
                              <a:path w="539750" h="94615" extrusionOk="0">
                                <a:moveTo>
                                  <a:pt x="528904" y="56794"/>
                                </a:moveTo>
                                <a:lnTo>
                                  <a:pt x="503326" y="56794"/>
                                </a:lnTo>
                                <a:lnTo>
                                  <a:pt x="503326" y="72948"/>
                                </a:lnTo>
                                <a:lnTo>
                                  <a:pt x="495465" y="74523"/>
                                </a:lnTo>
                                <a:lnTo>
                                  <a:pt x="536570" y="74523"/>
                                </a:lnTo>
                                <a:lnTo>
                                  <a:pt x="536308" y="73406"/>
                                </a:lnTo>
                                <a:lnTo>
                                  <a:pt x="528904" y="73406"/>
                                </a:lnTo>
                                <a:lnTo>
                                  <a:pt x="528904" y="56794"/>
                                </a:lnTo>
                                <a:close/>
                              </a:path>
                              <a:path w="539750" h="94615" extrusionOk="0">
                                <a:moveTo>
                                  <a:pt x="526896" y="22009"/>
                                </a:moveTo>
                                <a:lnTo>
                                  <a:pt x="498602" y="22009"/>
                                </a:lnTo>
                                <a:lnTo>
                                  <a:pt x="503326" y="26060"/>
                                </a:lnTo>
                                <a:lnTo>
                                  <a:pt x="503326" y="41097"/>
                                </a:lnTo>
                                <a:lnTo>
                                  <a:pt x="528904" y="41097"/>
                                </a:lnTo>
                                <a:lnTo>
                                  <a:pt x="528904" y="30099"/>
                                </a:lnTo>
                                <a:lnTo>
                                  <a:pt x="526896" y="22009"/>
                                </a:lnTo>
                                <a:close/>
                              </a:path>
                              <a:path w="539750" h="94615" extrusionOk="0">
                                <a:moveTo>
                                  <a:pt x="496595" y="2044"/>
                                </a:moveTo>
                                <a:lnTo>
                                  <a:pt x="489761" y="2184"/>
                                </a:lnTo>
                                <a:lnTo>
                                  <a:pt x="484023" y="3165"/>
                                </a:lnTo>
                                <a:lnTo>
                                  <a:pt x="476269" y="5827"/>
                                </a:lnTo>
                                <a:lnTo>
                                  <a:pt x="463384" y="11010"/>
                                </a:lnTo>
                                <a:lnTo>
                                  <a:pt x="469658" y="26733"/>
                                </a:lnTo>
                                <a:lnTo>
                                  <a:pt x="487172" y="22009"/>
                                </a:lnTo>
                                <a:lnTo>
                                  <a:pt x="526896" y="22009"/>
                                </a:lnTo>
                                <a:lnTo>
                                  <a:pt x="525841" y="17759"/>
                                </a:lnTo>
                                <a:lnTo>
                                  <a:pt x="518045" y="8999"/>
                                </a:lnTo>
                                <a:lnTo>
                                  <a:pt x="507601" y="3776"/>
                                </a:lnTo>
                                <a:lnTo>
                                  <a:pt x="496595" y="2044"/>
                                </a:lnTo>
                                <a:close/>
                              </a:path>
                              <a:path w="539750" h="94615" extrusionOk="0">
                                <a:moveTo>
                                  <a:pt x="17716" y="2159"/>
                                </a:moveTo>
                                <a:lnTo>
                                  <a:pt x="0" y="4406"/>
                                </a:lnTo>
                                <a:lnTo>
                                  <a:pt x="0" y="92367"/>
                                </a:lnTo>
                                <a:lnTo>
                                  <a:pt x="26022" y="92367"/>
                                </a:lnTo>
                                <a:lnTo>
                                  <a:pt x="26022" y="23926"/>
                                </a:lnTo>
                                <a:lnTo>
                                  <a:pt x="33870" y="22123"/>
                                </a:lnTo>
                                <a:lnTo>
                                  <a:pt x="87947" y="22123"/>
                                </a:lnTo>
                                <a:lnTo>
                                  <a:pt x="94018" y="21678"/>
                                </a:lnTo>
                                <a:lnTo>
                                  <a:pt x="117953" y="21678"/>
                                </a:lnTo>
                                <a:lnTo>
                                  <a:pt x="116727" y="15221"/>
                                </a:lnTo>
                                <a:lnTo>
                                  <a:pt x="110926" y="8674"/>
                                </a:lnTo>
                                <a:lnTo>
                                  <a:pt x="65062" y="8674"/>
                                </a:lnTo>
                                <a:lnTo>
                                  <a:pt x="64157" y="7988"/>
                                </a:lnTo>
                                <a:lnTo>
                                  <a:pt x="22428" y="7988"/>
                                </a:lnTo>
                                <a:lnTo>
                                  <a:pt x="17716" y="2159"/>
                                </a:lnTo>
                                <a:close/>
                              </a:path>
                              <a:path w="539750" h="94615" extrusionOk="0">
                                <a:moveTo>
                                  <a:pt x="81445" y="22123"/>
                                </a:moveTo>
                                <a:lnTo>
                                  <a:pt x="41287" y="22123"/>
                                </a:lnTo>
                                <a:lnTo>
                                  <a:pt x="47345" y="22580"/>
                                </a:lnTo>
                                <a:lnTo>
                                  <a:pt x="47345" y="92367"/>
                                </a:lnTo>
                                <a:lnTo>
                                  <a:pt x="73139" y="92367"/>
                                </a:lnTo>
                                <a:lnTo>
                                  <a:pt x="73139" y="23926"/>
                                </a:lnTo>
                                <a:lnTo>
                                  <a:pt x="81445" y="22123"/>
                                </a:lnTo>
                                <a:close/>
                              </a:path>
                              <a:path w="539750" h="94615" extrusionOk="0">
                                <a:moveTo>
                                  <a:pt x="117953" y="21678"/>
                                </a:moveTo>
                                <a:lnTo>
                                  <a:pt x="94018" y="21678"/>
                                </a:lnTo>
                                <a:lnTo>
                                  <a:pt x="94018" y="92367"/>
                                </a:lnTo>
                                <a:lnTo>
                                  <a:pt x="120040" y="92367"/>
                                </a:lnTo>
                                <a:lnTo>
                                  <a:pt x="120040" y="32677"/>
                                </a:lnTo>
                                <a:lnTo>
                                  <a:pt x="118124" y="22580"/>
                                </a:lnTo>
                                <a:lnTo>
                                  <a:pt x="118037" y="22123"/>
                                </a:lnTo>
                                <a:lnTo>
                                  <a:pt x="117953" y="21678"/>
                                </a:lnTo>
                                <a:close/>
                              </a:path>
                              <a:path w="539750" h="94615" extrusionOk="0">
                                <a:moveTo>
                                  <a:pt x="89750" y="2159"/>
                                </a:moveTo>
                                <a:lnTo>
                                  <a:pt x="82771" y="2698"/>
                                </a:lnTo>
                                <a:lnTo>
                                  <a:pt x="82992" y="2698"/>
                                </a:lnTo>
                                <a:lnTo>
                                  <a:pt x="76568" y="4068"/>
                                </a:lnTo>
                                <a:lnTo>
                                  <a:pt x="70436" y="6140"/>
                                </a:lnTo>
                                <a:lnTo>
                                  <a:pt x="65062" y="8674"/>
                                </a:lnTo>
                                <a:lnTo>
                                  <a:pt x="110926" y="8674"/>
                                </a:lnTo>
                                <a:lnTo>
                                  <a:pt x="108681" y="6140"/>
                                </a:lnTo>
                                <a:lnTo>
                                  <a:pt x="98743" y="2698"/>
                                </a:lnTo>
                                <a:lnTo>
                                  <a:pt x="89750" y="2159"/>
                                </a:lnTo>
                                <a:close/>
                              </a:path>
                              <a:path w="539750" h="94615" extrusionOk="0">
                                <a:moveTo>
                                  <a:pt x="49809" y="2159"/>
                                </a:moveTo>
                                <a:lnTo>
                                  <a:pt x="35445" y="2159"/>
                                </a:lnTo>
                                <a:lnTo>
                                  <a:pt x="27584" y="5295"/>
                                </a:lnTo>
                                <a:lnTo>
                                  <a:pt x="22428" y="7988"/>
                                </a:lnTo>
                                <a:lnTo>
                                  <a:pt x="64157" y="7988"/>
                                </a:lnTo>
                                <a:lnTo>
                                  <a:pt x="57658" y="3060"/>
                                </a:lnTo>
                                <a:lnTo>
                                  <a:pt x="49809" y="2159"/>
                                </a:lnTo>
                                <a:close/>
                              </a:path>
                            </a:pathLst>
                          </a:custGeom>
                          <a:solidFill>
                            <a:srgbClr val="FFFFFF"/>
                          </a:solidFill>
                          <a:ln>
                            <a:noFill/>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-467246</wp:posOffset>
              </wp:positionH>
              <wp:positionV relativeFrom="paragraph">
                <wp:posOffset>8847574</wp:posOffset>
              </wp:positionV>
              <wp:extent cx="7772400" cy="1198880"/>
              <wp:effectExtent b="0" l="0" r="0" t="0"/>
              <wp:wrapNone/>
              <wp:docPr id="219"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7772400" cy="1198880"/>
                      </a:xfrm>
                      <a:prstGeom prst="rect"/>
                      <a:ln/>
                    </pic:spPr>
                  </pic:pic>
                </a:graphicData>
              </a:graphic>
            </wp:anchor>
          </w:drawing>
        </mc:Fallback>
      </mc:AlternateContent>
    </w:r>
    <w:r>
      <w:rPr>
        <w:noProof/>
      </w:rPr>
      <mc:AlternateContent>
        <mc:Choice Requires="wpg">
          <w:drawing>
            <wp:anchor distT="45720" distB="45720" distL="114300" distR="114300" simplePos="0" relativeHeight="251664384" behindDoc="0" locked="0" layoutInCell="1" hidden="0" allowOverlap="1">
              <wp:simplePos x="0" y="0"/>
              <wp:positionH relativeFrom="column">
                <wp:posOffset>4258628</wp:posOffset>
              </wp:positionH>
              <wp:positionV relativeFrom="paragraph">
                <wp:posOffset>-33336</wp:posOffset>
              </wp:positionV>
              <wp:extent cx="2370455" cy="1414145"/>
              <wp:effectExtent l="0" t="0" r="0" b="0"/>
              <wp:wrapSquare wrapText="bothSides" distT="45720" distB="45720" distL="114300" distR="114300"/>
              <wp:docPr id="220" name=""/>
              <wp:cNvGraphicFramePr/>
              <a:graphic xmlns:a="http://schemas.openxmlformats.org/drawingml/2006/main">
                <a:graphicData uri="http://schemas.microsoft.com/office/word/2010/wordprocessingShape">
                  <wps:wsp>
                    <wps:cNvSpPr/>
                    <wps:spPr>
                      <a:xfrm>
                        <a:off x="4165535" y="3077690"/>
                        <a:ext cx="2360930" cy="1404620"/>
                      </a:xfrm>
                      <a:prstGeom prst="rect">
                        <a:avLst/>
                      </a:prstGeom>
                      <a:noFill/>
                      <a:ln>
                        <a:noFill/>
                      </a:ln>
                    </wps:spPr>
                    <wps:txbx>
                      <w:txbxContent>
                        <w:p w:rsidR="00D33816" w:rsidRDefault="00A347B6">
                          <w:pPr>
                            <w:spacing w:before="116" w:line="218" w:lineRule="auto"/>
                            <w:ind w:left="60" w:right="63" w:firstLine="745"/>
                            <w:jc w:val="both"/>
                            <w:textDirection w:val="btLr"/>
                          </w:pPr>
                          <w:r>
                            <w:rPr>
                              <w:color w:val="FFFFFF"/>
                              <w:sz w:val="20"/>
                            </w:rPr>
                            <w:t>Plaza Hidalgo s/n. Col. Centro. Toluca, Estado de México, C.P. 50000 Tels. 722 279 6400 y 722 279 6500</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4258628</wp:posOffset>
              </wp:positionH>
              <wp:positionV relativeFrom="paragraph">
                <wp:posOffset>-33336</wp:posOffset>
              </wp:positionV>
              <wp:extent cx="2370455" cy="1414145"/>
              <wp:effectExtent b="0" l="0" r="0" t="0"/>
              <wp:wrapSquare wrapText="bothSides" distB="45720" distT="45720" distL="114300" distR="114300"/>
              <wp:docPr id="220"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2370455" cy="1414145"/>
                      </a:xfrm>
                      <a:prstGeom prst="rect"/>
                      <a:ln/>
                    </pic:spPr>
                  </pic:pic>
                </a:graphicData>
              </a:graphic>
            </wp:anchor>
          </w:drawing>
        </mc:Fallback>
      </mc:AlternateContent>
    </w:r>
    <w:r>
      <w:rPr>
        <w:noProof/>
      </w:rPr>
      <mc:AlternateContent>
        <mc:Choice Requires="wpg">
          <w:drawing>
            <wp:anchor distT="45720" distB="45720" distL="114300" distR="114300" simplePos="0" relativeHeight="251665408" behindDoc="0" locked="0" layoutInCell="1" hidden="0" allowOverlap="1">
              <wp:simplePos x="0" y="0"/>
              <wp:positionH relativeFrom="column">
                <wp:posOffset>-195016</wp:posOffset>
              </wp:positionH>
              <wp:positionV relativeFrom="paragraph">
                <wp:posOffset>7709</wp:posOffset>
              </wp:positionV>
              <wp:extent cx="2370455" cy="1414145"/>
              <wp:effectExtent l="0" t="0" r="0" b="0"/>
              <wp:wrapSquare wrapText="bothSides" distT="45720" distB="45720" distL="114300" distR="114300"/>
              <wp:docPr id="218" name=""/>
              <wp:cNvGraphicFramePr/>
              <a:graphic xmlns:a="http://schemas.openxmlformats.org/drawingml/2006/main">
                <a:graphicData uri="http://schemas.microsoft.com/office/word/2010/wordprocessingShape">
                  <wps:wsp>
                    <wps:cNvSpPr/>
                    <wps:spPr>
                      <a:xfrm>
                        <a:off x="4165535" y="3077690"/>
                        <a:ext cx="2360930" cy="1404620"/>
                      </a:xfrm>
                      <a:prstGeom prst="rect">
                        <a:avLst/>
                      </a:prstGeom>
                      <a:noFill/>
                      <a:ln>
                        <a:noFill/>
                      </a:ln>
                    </wps:spPr>
                    <wps:txbx>
                      <w:txbxContent>
                        <w:p w:rsidR="00D33816" w:rsidRDefault="00A347B6">
                          <w:pPr>
                            <w:spacing w:before="268"/>
                            <w:ind w:left="60" w:firstLine="60"/>
                            <w:textDirection w:val="btLr"/>
                          </w:pPr>
                          <w:r>
                            <w:rPr>
                              <w:rFonts w:ascii="Times New Roman" w:eastAsia="Times New Roman" w:hAnsi="Times New Roman" w:cs="Times New Roman"/>
                              <w:color w:val="FFFFFF"/>
                              <w:sz w:val="28"/>
                            </w:rPr>
                            <w:t>CongresoEdomex.gob.mx</w:t>
                          </w:r>
                        </w:p>
                        <w:p w:rsidR="00D33816" w:rsidRDefault="00D3381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-195016</wp:posOffset>
              </wp:positionH>
              <wp:positionV relativeFrom="paragraph">
                <wp:posOffset>7709</wp:posOffset>
              </wp:positionV>
              <wp:extent cx="2370455" cy="1414145"/>
              <wp:effectExtent b="0" l="0" r="0" t="0"/>
              <wp:wrapSquare wrapText="bothSides" distB="45720" distT="45720" distL="114300" distR="114300"/>
              <wp:docPr id="218"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2370455" cy="1414145"/>
                      </a:xfrm>
                      <a:prstGeom prst="rect"/>
                      <a:ln/>
                    </pic:spPr>
                  </pic:pic>
                </a:graphicData>
              </a:graphic>
            </wp:anchor>
          </w:drawing>
        </mc:Fallback>
      </mc:AlternateContent>
    </w:r>
  </w:p>
  <w:p w:rsidR="00D33816" w:rsidRDefault="00D33816">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347B6">
      <w:r>
        <w:separator/>
      </w:r>
    </w:p>
  </w:footnote>
  <w:footnote w:type="continuationSeparator" w:id="0">
    <w:p w:rsidR="00000000" w:rsidRDefault="00A347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816" w:rsidRDefault="00A347B6">
    <w:pPr>
      <w:pStyle w:val="Ttulo"/>
      <w:spacing w:line="235" w:lineRule="auto"/>
    </w:pPr>
    <w:sdt>
      <w:sdtPr>
        <w:rPr>
          <w:color w:val="3D4041"/>
        </w:rPr>
        <w:id w:val="1937628596"/>
        <w:docPartObj>
          <w:docPartGallery w:val="Page Numbers (Margins)"/>
          <w:docPartUnique/>
        </w:docPartObj>
      </w:sdtPr>
      <w:sdtContent>
        <w:r w:rsidRPr="00A347B6">
          <w:rPr>
            <w:noProof/>
            <w:color w:val="3D4041"/>
          </w:rPr>
          <mc:AlternateContent>
            <mc:Choice Requires="wps">
              <w:drawing>
                <wp:anchor distT="0" distB="0" distL="114300" distR="114300" simplePos="0" relativeHeight="251667456" behindDoc="0" locked="0" layoutInCell="0" allowOverlap="1">
                  <wp:simplePos x="0" y="0"/>
                  <wp:positionH relativeFrom="rightMargin">
                    <wp:align>center</wp:align>
                  </wp:positionH>
                  <wp:positionV relativeFrom="page">
                    <wp:align>center</wp:align>
                  </wp:positionV>
                  <wp:extent cx="762000" cy="89535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rsidR="00A347B6" w:rsidRDefault="00A347B6">
                                  <w:pPr>
                                    <w:jc w:val="center"/>
                                    <w:rPr>
                                      <w:rFonts w:asciiTheme="majorHAnsi" w:eastAsiaTheme="majorEastAsia" w:hAnsiTheme="majorHAnsi" w:cstheme="majorBidi"/>
                                      <w:sz w:val="72"/>
                                      <w:szCs w:val="72"/>
                                    </w:rPr>
                                  </w:pP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Pr="00A347B6">
                                    <w:rPr>
                                      <w:rFonts w:asciiTheme="majorHAnsi" w:eastAsiaTheme="majorEastAsia" w:hAnsiTheme="majorHAnsi" w:cstheme="majorBidi"/>
                                      <w:noProof/>
                                      <w:sz w:val="48"/>
                                      <w:szCs w:val="48"/>
                                      <w:lang w:val="es-ES"/>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1" o:spid="_x0000_s1026" style="position:absolute;left:0;text-align:left;margin-left:0;margin-top:0;width:60pt;height:70.5pt;z-index:251667456;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rsidR="00A347B6" w:rsidRDefault="00A347B6">
                            <w:pPr>
                              <w:jc w:val="center"/>
                              <w:rPr>
                                <w:rFonts w:asciiTheme="majorHAnsi" w:eastAsiaTheme="majorEastAsia" w:hAnsiTheme="majorHAnsi" w:cstheme="majorBidi"/>
                                <w:sz w:val="72"/>
                                <w:szCs w:val="72"/>
                              </w:rPr>
                            </w:pP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Pr="00A347B6">
                              <w:rPr>
                                <w:rFonts w:asciiTheme="majorHAnsi" w:eastAsiaTheme="majorEastAsia" w:hAnsiTheme="majorHAnsi" w:cstheme="majorBidi"/>
                                <w:noProof/>
                                <w:sz w:val="48"/>
                                <w:szCs w:val="48"/>
                                <w:lang w:val="es-ES"/>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Pr>
        <w:color w:val="3D4041"/>
      </w:rPr>
      <w:t>Dip. Octavio Martínez Vargas</w:t>
    </w:r>
    <w:r>
      <w:rPr>
        <w:noProof/>
      </w:rPr>
      <w:drawing>
        <wp:anchor distT="0" distB="0" distL="0" distR="0" simplePos="0" relativeHeight="251659264" behindDoc="0" locked="0" layoutInCell="1" hidden="0" allowOverlap="1">
          <wp:simplePos x="0" y="0"/>
          <wp:positionH relativeFrom="column">
            <wp:posOffset>970397</wp:posOffset>
          </wp:positionH>
          <wp:positionV relativeFrom="paragraph">
            <wp:posOffset>95263</wp:posOffset>
          </wp:positionV>
          <wp:extent cx="625678" cy="647700"/>
          <wp:effectExtent l="0" t="0" r="0" b="0"/>
          <wp:wrapNone/>
          <wp:docPr id="2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25678" cy="647700"/>
                  </a:xfrm>
                  <a:prstGeom prst="rect">
                    <a:avLst/>
                  </a:prstGeom>
                  <a:ln/>
                </pic:spPr>
              </pic:pic>
            </a:graphicData>
          </a:graphic>
        </wp:anchor>
      </w:drawing>
    </w:r>
    <w:r>
      <w:rPr>
        <w:noProof/>
      </w:rPr>
      <w:drawing>
        <wp:anchor distT="0" distB="0" distL="0" distR="0" simplePos="0" relativeHeight="251660288" behindDoc="0" locked="0" layoutInCell="1" hidden="0" allowOverlap="1">
          <wp:simplePos x="0" y="0"/>
          <wp:positionH relativeFrom="column">
            <wp:posOffset>1669535</wp:posOffset>
          </wp:positionH>
          <wp:positionV relativeFrom="paragraph">
            <wp:posOffset>206775</wp:posOffset>
          </wp:positionV>
          <wp:extent cx="1037230" cy="424818"/>
          <wp:effectExtent l="0" t="0" r="0" b="0"/>
          <wp:wrapNone/>
          <wp:docPr id="2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37230" cy="424818"/>
                  </a:xfrm>
                  <a:prstGeom prst="rect">
                    <a:avLst/>
                  </a:prstGeom>
                  <a:ln/>
                </pic:spPr>
              </pic:pic>
            </a:graphicData>
          </a:graphic>
        </wp:anchor>
      </w:drawing>
    </w:r>
    <w:r>
      <w:rPr>
        <w:noProof/>
      </w:rPr>
      <w:drawing>
        <wp:anchor distT="0" distB="0" distL="0" distR="0" simplePos="0" relativeHeight="251661312" behindDoc="0" locked="0" layoutInCell="1" hidden="0" allowOverlap="1">
          <wp:simplePos x="0" y="0"/>
          <wp:positionH relativeFrom="column">
            <wp:posOffset>36435</wp:posOffset>
          </wp:positionH>
          <wp:positionV relativeFrom="paragraph">
            <wp:posOffset>93607</wp:posOffset>
          </wp:positionV>
          <wp:extent cx="654761" cy="654773"/>
          <wp:effectExtent l="0" t="0" r="0" b="0"/>
          <wp:wrapNone/>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654761" cy="654773"/>
                  </a:xfrm>
                  <a:prstGeom prst="rect">
                    <a:avLst/>
                  </a:prstGeom>
                  <a:ln/>
                </pic:spPr>
              </pic:pic>
            </a:graphicData>
          </a:graphic>
        </wp:anchor>
      </w:drawing>
    </w:r>
    <w:r>
      <w:rPr>
        <w:noProof/>
      </w:rPr>
      <mc:AlternateContent>
        <mc:Choice Requires="wps">
          <w:drawing>
            <wp:anchor distT="0" distB="0" distL="0" distR="0" simplePos="0" relativeHeight="251662336" behindDoc="0" locked="0" layoutInCell="1" hidden="0" allowOverlap="1">
              <wp:simplePos x="0" y="0"/>
              <wp:positionH relativeFrom="column">
                <wp:posOffset>828941</wp:posOffset>
              </wp:positionH>
              <wp:positionV relativeFrom="paragraph">
                <wp:posOffset>88900</wp:posOffset>
              </wp:positionV>
              <wp:extent cx="3175" cy="645795"/>
              <wp:effectExtent l="0" t="0" r="0" b="0"/>
              <wp:wrapNone/>
              <wp:docPr id="221" name=""/>
              <wp:cNvGraphicFramePr/>
              <a:graphic xmlns:a="http://schemas.openxmlformats.org/drawingml/2006/main">
                <a:graphicData uri="http://schemas.microsoft.com/office/word/2010/wordprocessingShape">
                  <wps:wsp>
                    <wps:cNvSpPr/>
                    <wps:spPr>
                      <a:xfrm>
                        <a:off x="5344413" y="3457103"/>
                        <a:ext cx="3175" cy="645795"/>
                      </a:xfrm>
                      <a:custGeom>
                        <a:avLst/>
                        <a:gdLst/>
                        <a:ahLst/>
                        <a:cxnLst/>
                        <a:rect l="l" t="t" r="r" b="b"/>
                        <a:pathLst>
                          <a:path w="3175" h="645795" extrusionOk="0">
                            <a:moveTo>
                              <a:pt x="2933" y="0"/>
                            </a:moveTo>
                            <a:lnTo>
                              <a:pt x="0" y="0"/>
                            </a:lnTo>
                            <a:lnTo>
                              <a:pt x="0" y="645769"/>
                            </a:lnTo>
                            <a:lnTo>
                              <a:pt x="2933" y="645769"/>
                            </a:lnTo>
                            <a:lnTo>
                              <a:pt x="2933" y="0"/>
                            </a:lnTo>
                            <a:close/>
                          </a:path>
                        </a:pathLst>
                      </a:custGeom>
                      <a:solidFill>
                        <a:srgbClr val="7D8286"/>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828941</wp:posOffset>
              </wp:positionH>
              <wp:positionV relativeFrom="paragraph">
                <wp:posOffset>88900</wp:posOffset>
              </wp:positionV>
              <wp:extent cx="3175" cy="645795"/>
              <wp:effectExtent b="0" l="0" r="0" t="0"/>
              <wp:wrapNone/>
              <wp:docPr id="221" name="image7.png"/>
              <a:graphic>
                <a:graphicData uri="http://schemas.openxmlformats.org/drawingml/2006/picture">
                  <pic:pic>
                    <pic:nvPicPr>
                      <pic:cNvPr id="0" name="image7.png"/>
                      <pic:cNvPicPr preferRelativeResize="0"/>
                    </pic:nvPicPr>
                    <pic:blipFill>
                      <a:blip r:embed="rId4"/>
                      <a:srcRect/>
                      <a:stretch>
                        <a:fillRect/>
                      </a:stretch>
                    </pic:blipFill>
                    <pic:spPr>
                      <a:xfrm>
                        <a:off x="0" y="0"/>
                        <a:ext cx="3175" cy="645795"/>
                      </a:xfrm>
                      <a:prstGeom prst="rect"/>
                      <a:ln/>
                    </pic:spPr>
                  </pic:pic>
                </a:graphicData>
              </a:graphic>
            </wp:anchor>
          </w:drawing>
        </mc:Fallback>
      </mc:AlternateContent>
    </w:r>
  </w:p>
  <w:p w:rsidR="00D33816" w:rsidRDefault="00A347B6">
    <w:pPr>
      <w:spacing w:before="133"/>
      <w:ind w:right="64"/>
      <w:jc w:val="right"/>
      <w:rPr>
        <w:rFonts w:ascii="Times New Roman" w:eastAsia="Times New Roman" w:hAnsi="Times New Roman" w:cs="Times New Roman"/>
        <w:b/>
        <w:bCs/>
        <w:sz w:val="17"/>
        <w:szCs w:val="17"/>
      </w:rPr>
    </w:pPr>
    <w:r>
      <w:rPr>
        <w:rFonts w:ascii="Times New Roman" w:eastAsia="Times New Roman" w:hAnsi="Times New Roman" w:cs="Times New Roman"/>
        <w:b/>
        <w:bCs/>
        <w:color w:val="3D4041"/>
        <w:sz w:val="17"/>
        <w:szCs w:val="17"/>
      </w:rPr>
      <w:t>Distrito VI-Ecatepec de Morelos</w:t>
    </w:r>
  </w:p>
  <w:p w:rsidR="00D33816" w:rsidRDefault="00D33816">
    <w:pPr>
      <w:pBdr>
        <w:top w:val="nil"/>
        <w:left w:val="nil"/>
        <w:bottom w:val="nil"/>
        <w:right w:val="nil"/>
        <w:between w:val="nil"/>
      </w:pBdr>
      <w:tabs>
        <w:tab w:val="center" w:pos="4419"/>
        <w:tab w:val="right" w:pos="8838"/>
      </w:tabs>
      <w:jc w:val="center"/>
      <w:rPr>
        <w:rFonts w:ascii="Arial" w:eastAsia="Arial" w:hAnsi="Arial" w:cs="Arial"/>
        <w:color w:val="000000"/>
        <w:sz w:val="18"/>
        <w:szCs w:val="18"/>
      </w:rPr>
    </w:pPr>
  </w:p>
  <w:p w:rsidR="00D33816" w:rsidRDefault="00A347B6">
    <w:pPr>
      <w:tabs>
        <w:tab w:val="center" w:pos="4419"/>
        <w:tab w:val="right" w:pos="8838"/>
      </w:tabs>
      <w:spacing w:after="240"/>
      <w:jc w:val="center"/>
      <w:rPr>
        <w:rFonts w:ascii="Arial" w:eastAsia="Arial" w:hAnsi="Arial" w:cs="Arial"/>
        <w:b/>
        <w:bCs/>
        <w:sz w:val="18"/>
        <w:szCs w:val="18"/>
      </w:rPr>
    </w:pPr>
    <w:r>
      <w:rPr>
        <w:rFonts w:ascii="Arial" w:eastAsia="Arial" w:hAnsi="Arial" w:cs="Arial"/>
        <w:b/>
        <w:bCs/>
        <w:sz w:val="18"/>
        <w:szCs w:val="18"/>
      </w:rPr>
      <w:t>“2026. AÑO DEL HUMANISMO MEXICANO EN EL ESTADO DE MÉXICO”.</w:t>
    </w:r>
  </w:p>
  <w:p w:rsidR="00D33816" w:rsidRDefault="00D33816">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858D1"/>
    <w:multiLevelType w:val="multilevel"/>
    <w:tmpl w:val="03FE667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FB441F"/>
    <w:multiLevelType w:val="multilevel"/>
    <w:tmpl w:val="3B1E586C"/>
    <w:lvl w:ilvl="0">
      <w:start w:val="2"/>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2354A4"/>
    <w:multiLevelType w:val="multilevel"/>
    <w:tmpl w:val="99CEDFF4"/>
    <w:lvl w:ilvl="0">
      <w:start w:val="2"/>
      <w:numFmt w:val="upperRoman"/>
      <w:lvlText w:val="%1."/>
      <w:lvlJc w:val="righ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631352"/>
    <w:multiLevelType w:val="multilevel"/>
    <w:tmpl w:val="B75CD1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530260E"/>
    <w:multiLevelType w:val="multilevel"/>
    <w:tmpl w:val="64964A8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9E37871"/>
    <w:multiLevelType w:val="multilevel"/>
    <w:tmpl w:val="B9625DA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C33DDD"/>
    <w:multiLevelType w:val="multilevel"/>
    <w:tmpl w:val="EF227F1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644779"/>
    <w:multiLevelType w:val="multilevel"/>
    <w:tmpl w:val="6FD0F51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2B4C55"/>
    <w:multiLevelType w:val="multilevel"/>
    <w:tmpl w:val="1FB8263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5B043F"/>
    <w:multiLevelType w:val="multilevel"/>
    <w:tmpl w:val="4EB6FA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16D02FD"/>
    <w:multiLevelType w:val="multilevel"/>
    <w:tmpl w:val="85581964"/>
    <w:lvl w:ilvl="0">
      <w:start w:val="1"/>
      <w:numFmt w:val="lowerLetter"/>
      <w:lvlText w:val="%1)"/>
      <w:lvlJc w:val="left"/>
      <w:pPr>
        <w:ind w:left="1800" w:hanging="360"/>
      </w:pPr>
    </w:lvl>
    <w:lvl w:ilvl="1">
      <w:start w:val="1"/>
      <w:numFmt w:val="upperRoman"/>
      <w:lvlText w:val="%2."/>
      <w:lvlJc w:val="left"/>
      <w:pPr>
        <w:ind w:left="2880" w:hanging="72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59491159"/>
    <w:multiLevelType w:val="multilevel"/>
    <w:tmpl w:val="5A2E158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D234AE1"/>
    <w:multiLevelType w:val="multilevel"/>
    <w:tmpl w:val="B1105CAA"/>
    <w:lvl w:ilvl="0">
      <w:start w:val="1"/>
      <w:numFmt w:val="lowerLetter"/>
      <w:lvlText w:val="%1)"/>
      <w:lvlJc w:val="left"/>
      <w:pPr>
        <w:ind w:left="720" w:hanging="360"/>
      </w:pPr>
    </w:lvl>
    <w:lvl w:ilvl="1">
      <w:start w:val="1"/>
      <w:numFmt w:val="upperRoman"/>
      <w:lvlText w:val="%2."/>
      <w:lvlJc w:val="left"/>
      <w:pPr>
        <w:ind w:left="2430" w:hanging="135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F115272"/>
    <w:multiLevelType w:val="multilevel"/>
    <w:tmpl w:val="6A223A3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145D6B"/>
    <w:multiLevelType w:val="multilevel"/>
    <w:tmpl w:val="566841B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BE44B3F"/>
    <w:multiLevelType w:val="multilevel"/>
    <w:tmpl w:val="DAACA88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E685721"/>
    <w:multiLevelType w:val="multilevel"/>
    <w:tmpl w:val="869805E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0EF4838"/>
    <w:multiLevelType w:val="multilevel"/>
    <w:tmpl w:val="B8065D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4"/>
  </w:num>
  <w:num w:numId="3">
    <w:abstractNumId w:val="12"/>
  </w:num>
  <w:num w:numId="4">
    <w:abstractNumId w:val="2"/>
  </w:num>
  <w:num w:numId="5">
    <w:abstractNumId w:val="1"/>
  </w:num>
  <w:num w:numId="6">
    <w:abstractNumId w:val="9"/>
  </w:num>
  <w:num w:numId="7">
    <w:abstractNumId w:val="11"/>
  </w:num>
  <w:num w:numId="8">
    <w:abstractNumId w:val="8"/>
  </w:num>
  <w:num w:numId="9">
    <w:abstractNumId w:val="14"/>
  </w:num>
  <w:num w:numId="10">
    <w:abstractNumId w:val="16"/>
  </w:num>
  <w:num w:numId="11">
    <w:abstractNumId w:val="7"/>
  </w:num>
  <w:num w:numId="12">
    <w:abstractNumId w:val="0"/>
  </w:num>
  <w:num w:numId="13">
    <w:abstractNumId w:val="17"/>
  </w:num>
  <w:num w:numId="14">
    <w:abstractNumId w:val="5"/>
  </w:num>
  <w:num w:numId="15">
    <w:abstractNumId w:val="13"/>
  </w:num>
  <w:num w:numId="16">
    <w:abstractNumId w:val="3"/>
  </w:num>
  <w:num w:numId="17">
    <w:abstractNumId w:val="15"/>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816"/>
    <w:rsid w:val="00A347B6"/>
    <w:rsid w:val="00D338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08DD2DA-E150-4A0A-836C-E07AA466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2"/>
        <w:szCs w:val="22"/>
        <w:lang w:val="es-MX" w:eastAsia="es-MX"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spacing w:before="70"/>
      <w:ind w:left="8515" w:right="64" w:firstLine="497"/>
      <w:jc w:val="right"/>
    </w:pPr>
    <w:rPr>
      <w:rFonts w:ascii="Times New Roman" w:eastAsia="Times New Roman" w:hAnsi="Times New Roman" w:cs="Times New Roman"/>
      <w:b/>
      <w:bCs/>
      <w:sz w:val="32"/>
      <w:szCs w:val="3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850762"/>
    <w:pPr>
      <w:tabs>
        <w:tab w:val="center" w:pos="4419"/>
        <w:tab w:val="right" w:pos="8838"/>
      </w:tabs>
    </w:pPr>
  </w:style>
  <w:style w:type="character" w:customStyle="1" w:styleId="EncabezadoCar">
    <w:name w:val="Encabezado Car"/>
    <w:basedOn w:val="Fuentedeprrafopredeter"/>
    <w:link w:val="Encabezado"/>
    <w:uiPriority w:val="99"/>
    <w:rsid w:val="00850762"/>
    <w:rPr>
      <w:rFonts w:ascii="Tahoma" w:eastAsia="Tahoma" w:hAnsi="Tahoma" w:cs="Tahoma"/>
      <w:lang w:val="es-ES"/>
    </w:rPr>
  </w:style>
  <w:style w:type="paragraph" w:styleId="Piedepgina">
    <w:name w:val="footer"/>
    <w:basedOn w:val="Normal"/>
    <w:link w:val="PiedepginaCar"/>
    <w:uiPriority w:val="99"/>
    <w:unhideWhenUsed/>
    <w:rsid w:val="00850762"/>
    <w:pPr>
      <w:tabs>
        <w:tab w:val="center" w:pos="4419"/>
        <w:tab w:val="right" w:pos="8838"/>
      </w:tabs>
    </w:pPr>
  </w:style>
  <w:style w:type="character" w:customStyle="1" w:styleId="PiedepginaCar">
    <w:name w:val="Pie de página Car"/>
    <w:basedOn w:val="Fuentedeprrafopredeter"/>
    <w:link w:val="Piedepgina"/>
    <w:uiPriority w:val="99"/>
    <w:rsid w:val="00850762"/>
    <w:rPr>
      <w:rFonts w:ascii="Tahoma" w:eastAsia="Tahoma" w:hAnsi="Tahoma" w:cs="Tahoma"/>
      <w:lang w:val="es-ES"/>
    </w:rPr>
  </w:style>
  <w:style w:type="paragraph" w:styleId="Sinespaciado">
    <w:name w:val="No Spacing"/>
    <w:link w:val="SinespaciadoCar"/>
    <w:uiPriority w:val="1"/>
    <w:qFormat/>
    <w:rsid w:val="00F82DA3"/>
    <w:pPr>
      <w:widowControl/>
    </w:pPr>
    <w:rPr>
      <w:rFonts w:ascii="Times New Roman" w:eastAsia="Times New Roman" w:hAnsi="Times New Roman" w:cs="Times New Roman"/>
      <w:sz w:val="24"/>
      <w:szCs w:val="24"/>
      <w:lang w:val="es-ES" w:eastAsia="es-ES"/>
    </w:rPr>
  </w:style>
  <w:style w:type="character" w:customStyle="1" w:styleId="SinespaciadoCar">
    <w:name w:val="Sin espaciado Car"/>
    <w:link w:val="Sinespaciado"/>
    <w:uiPriority w:val="1"/>
    <w:qFormat/>
    <w:rsid w:val="00F82DA3"/>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9D684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684A"/>
    <w:rPr>
      <w:rFonts w:ascii="Segoe UI" w:eastAsia="Tahoma" w:hAnsi="Segoe UI" w:cs="Segoe UI"/>
      <w:sz w:val="18"/>
      <w:szCs w:val="18"/>
      <w:lang w:val="es-ES"/>
    </w:rPr>
  </w:style>
  <w:style w:type="paragraph" w:customStyle="1" w:styleId="p1">
    <w:name w:val="p1"/>
    <w:basedOn w:val="Normal"/>
    <w:rsid w:val="00D54A24"/>
    <w:pPr>
      <w:widowControl/>
      <w:spacing w:before="100" w:beforeAutospacing="1" w:after="100" w:afterAutospacing="1"/>
    </w:pPr>
    <w:rPr>
      <w:rFonts w:ascii="Times New Roman" w:eastAsiaTheme="minorEastAsia" w:hAnsi="Times New Roman" w:cs="Times New Roman"/>
      <w:sz w:val="24"/>
      <w:szCs w:val="24"/>
    </w:rPr>
  </w:style>
  <w:style w:type="character" w:customStyle="1" w:styleId="s1">
    <w:name w:val="s1"/>
    <w:basedOn w:val="Fuentedeprrafopredeter"/>
    <w:rsid w:val="00D54A24"/>
  </w:style>
  <w:style w:type="paragraph" w:customStyle="1" w:styleId="p2">
    <w:name w:val="p2"/>
    <w:basedOn w:val="Normal"/>
    <w:rsid w:val="00D54A24"/>
    <w:pPr>
      <w:widowControl/>
      <w:spacing w:before="100" w:beforeAutospacing="1" w:after="100" w:afterAutospacing="1"/>
    </w:pPr>
    <w:rPr>
      <w:rFonts w:ascii="Times New Roman" w:eastAsiaTheme="minorEastAsia" w:hAnsi="Times New Roman" w:cs="Times New Roman"/>
      <w:sz w:val="24"/>
      <w:szCs w:val="24"/>
    </w:rPr>
  </w:style>
  <w:style w:type="character" w:customStyle="1" w:styleId="s2">
    <w:name w:val="s2"/>
    <w:basedOn w:val="Fuentedeprrafopredeter"/>
    <w:rsid w:val="00D54A24"/>
  </w:style>
  <w:style w:type="table" w:styleId="Tablaconcuadrcula">
    <w:name w:val="Table Grid"/>
    <w:basedOn w:val="Tablanormal"/>
    <w:uiPriority w:val="39"/>
    <w:rsid w:val="00D54A24"/>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pPr>
      <w:widowControl/>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EmGlIQ8FnxnwLolyrT8pCsnkLw==">CgMxLjAyDmguaHFvODc4bDFxbnppOAByITFfY0lMZHVqMGlPOFNkRUhsNFdWMG9HUEt1bmtrbjhGZA==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6078</Words>
  <Characters>33433</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LEGISLATURA</dc:creator>
  <cp:lastModifiedBy>LEGISLATURA</cp:lastModifiedBy>
  <cp:revision>2</cp:revision>
  <cp:lastPrinted>2026-01-29T23:42:00Z</cp:lastPrinted>
  <dcterms:created xsi:type="dcterms:W3CDTF">2026-01-26T02:45:00Z</dcterms:created>
  <dcterms:modified xsi:type="dcterms:W3CDTF">2026-01-29T23:46:00Z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2025-04-03T00:00:00Z</vt:filetime>
  </property>
  <property fmtid="{D5CDD505-2E9C-101B-9397-08002B2CF9AE}" pid="3" name="Creator">
    <vt:lpwstr>Adobe Illustrator 29.4 (Macintosh)</vt:lpwstr>
  </property>
  <property fmtid="{D5CDD505-2E9C-101B-9397-08002B2CF9AE}" pid="4" name="LastSaved">
    <vt:filetime>2025-04-21T00:00:00Z</vt:filetime>
  </property>
  <property fmtid="{D5CDD505-2E9C-101B-9397-08002B2CF9AE}" pid="5" name="Producer">
    <vt:lpwstr>Adobe PDF library 17.00</vt:lpwstr>
  </property>
</Properties>
</file>