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65F" w:rsidRDefault="00154655" w:rsidP="00154655">
      <w:pPr>
        <w:widowControl/>
        <w:pBdr>
          <w:top w:val="nil"/>
          <w:left w:val="nil"/>
          <w:bottom w:val="nil"/>
          <w:right w:val="nil"/>
          <w:between w:val="nil"/>
        </w:pBdr>
        <w:spacing w:line="360" w:lineRule="auto"/>
        <w:ind w:right="735"/>
        <w:jc w:val="right"/>
        <w:rPr>
          <w:rFonts w:ascii="Arial" w:eastAsia="Arial" w:hAnsi="Arial" w:cs="Arial"/>
          <w:color w:val="000000"/>
          <w:sz w:val="24"/>
          <w:szCs w:val="24"/>
        </w:rPr>
      </w:pPr>
      <w:r>
        <w:rPr>
          <w:rFonts w:ascii="Arial" w:eastAsia="Arial" w:hAnsi="Arial" w:cs="Arial"/>
          <w:color w:val="000000"/>
          <w:sz w:val="24"/>
          <w:szCs w:val="24"/>
        </w:rPr>
        <w:t xml:space="preserve">Toluca de Lerdo, México </w:t>
      </w:r>
      <w:proofErr w:type="spellStart"/>
      <w:r>
        <w:rPr>
          <w:rFonts w:ascii="Arial" w:eastAsia="Arial" w:hAnsi="Arial" w:cs="Arial"/>
          <w:color w:val="000000"/>
          <w:sz w:val="24"/>
          <w:szCs w:val="24"/>
        </w:rPr>
        <w:t>a</w:t>
      </w:r>
      <w:proofErr w:type="spellEnd"/>
      <w:r>
        <w:rPr>
          <w:rFonts w:ascii="Arial" w:eastAsia="Arial" w:hAnsi="Arial" w:cs="Arial"/>
          <w:color w:val="000000"/>
          <w:sz w:val="24"/>
          <w:szCs w:val="24"/>
        </w:rPr>
        <w:t xml:space="preserve"> </w:t>
      </w:r>
      <w:r w:rsidR="00E42899">
        <w:rPr>
          <w:rFonts w:ascii="Arial" w:eastAsia="Arial" w:hAnsi="Arial" w:cs="Arial"/>
          <w:color w:val="000000"/>
          <w:sz w:val="24"/>
          <w:szCs w:val="24"/>
        </w:rPr>
        <w:t xml:space="preserve">    de </w:t>
      </w:r>
      <w:r>
        <w:rPr>
          <w:rFonts w:ascii="Arial" w:eastAsia="Arial" w:hAnsi="Arial" w:cs="Arial"/>
          <w:color w:val="000000"/>
          <w:sz w:val="24"/>
          <w:szCs w:val="24"/>
        </w:rPr>
        <w:t xml:space="preserve">marzo </w:t>
      </w:r>
      <w:r w:rsidR="00E42899">
        <w:rPr>
          <w:rFonts w:ascii="Arial" w:eastAsia="Arial" w:hAnsi="Arial" w:cs="Arial"/>
          <w:color w:val="000000"/>
          <w:sz w:val="24"/>
          <w:szCs w:val="24"/>
        </w:rPr>
        <w:t>de 2026.</w:t>
      </w:r>
    </w:p>
    <w:p w:rsidR="0092265F" w:rsidRDefault="0092265F">
      <w:pPr>
        <w:widowControl/>
        <w:pBdr>
          <w:top w:val="nil"/>
          <w:left w:val="nil"/>
          <w:bottom w:val="nil"/>
          <w:right w:val="nil"/>
          <w:between w:val="nil"/>
        </w:pBdr>
        <w:tabs>
          <w:tab w:val="left" w:pos="9923"/>
        </w:tabs>
        <w:spacing w:line="360" w:lineRule="auto"/>
        <w:ind w:left="567" w:right="735"/>
        <w:jc w:val="right"/>
        <w:rPr>
          <w:rFonts w:ascii="Arial" w:eastAsia="Arial" w:hAnsi="Arial" w:cs="Arial"/>
          <w:color w:val="000000"/>
          <w:sz w:val="28"/>
          <w:szCs w:val="28"/>
        </w:rPr>
      </w:pPr>
    </w:p>
    <w:p w:rsidR="0092265F" w:rsidRDefault="00E42899">
      <w:pPr>
        <w:tabs>
          <w:tab w:val="left" w:pos="9923"/>
        </w:tabs>
        <w:spacing w:before="240" w:after="240" w:line="360" w:lineRule="auto"/>
        <w:ind w:right="350" w:firstLine="720"/>
        <w:jc w:val="both"/>
        <w:rPr>
          <w:rFonts w:ascii="Arial" w:eastAsia="Arial" w:hAnsi="Arial" w:cs="Arial"/>
          <w:b/>
          <w:bCs/>
          <w:color w:val="000000"/>
          <w:sz w:val="28"/>
          <w:szCs w:val="28"/>
        </w:rPr>
      </w:pPr>
      <w:proofErr w:type="spellStart"/>
      <w:r>
        <w:rPr>
          <w:rFonts w:ascii="Arial" w:eastAsia="Arial" w:hAnsi="Arial" w:cs="Arial"/>
          <w:b/>
          <w:bCs/>
          <w:color w:val="000000"/>
          <w:sz w:val="28"/>
          <w:szCs w:val="28"/>
        </w:rPr>
        <w:t>Dip</w:t>
      </w:r>
      <w:proofErr w:type="spellEnd"/>
      <w:r>
        <w:rPr>
          <w:rFonts w:ascii="Arial" w:eastAsia="Arial" w:hAnsi="Arial" w:cs="Arial"/>
          <w:b/>
          <w:bCs/>
          <w:color w:val="000000"/>
          <w:sz w:val="28"/>
          <w:szCs w:val="28"/>
        </w:rPr>
        <w:t>. Martha Azucena Camacho Reynoso</w:t>
      </w:r>
    </w:p>
    <w:p w:rsidR="0092265F" w:rsidRDefault="00E42899">
      <w:pPr>
        <w:tabs>
          <w:tab w:val="left" w:pos="9923"/>
        </w:tabs>
        <w:spacing w:before="240" w:after="240" w:line="360" w:lineRule="auto"/>
        <w:ind w:left="720" w:right="4704"/>
        <w:jc w:val="both"/>
        <w:rPr>
          <w:rFonts w:ascii="Arial" w:eastAsia="Arial" w:hAnsi="Arial" w:cs="Arial"/>
          <w:b/>
          <w:bCs/>
          <w:color w:val="000000"/>
          <w:sz w:val="28"/>
          <w:szCs w:val="28"/>
        </w:rPr>
      </w:pPr>
      <w:r>
        <w:rPr>
          <w:rFonts w:ascii="Arial" w:eastAsia="Arial" w:hAnsi="Arial" w:cs="Arial"/>
          <w:b/>
          <w:bCs/>
          <w:color w:val="000000"/>
          <w:sz w:val="28"/>
          <w:szCs w:val="28"/>
        </w:rPr>
        <w:t>Presidenta de la Mesa Directiva del Segundo Año de Ejercicio Constitucional de la LXII Legislatura del Estado Libre y Soberano de México</w:t>
      </w:r>
    </w:p>
    <w:p w:rsidR="0092265F" w:rsidRDefault="00E42899">
      <w:pPr>
        <w:tabs>
          <w:tab w:val="left" w:pos="9923"/>
        </w:tabs>
        <w:spacing w:before="200" w:after="200" w:line="360" w:lineRule="auto"/>
        <w:ind w:left="720"/>
        <w:jc w:val="both"/>
        <w:rPr>
          <w:rFonts w:ascii="Arial" w:eastAsia="Arial" w:hAnsi="Arial" w:cs="Arial"/>
          <w:color w:val="000000"/>
          <w:sz w:val="28"/>
          <w:szCs w:val="28"/>
        </w:rPr>
      </w:pPr>
      <w:r>
        <w:rPr>
          <w:rFonts w:ascii="Arial" w:eastAsia="Arial" w:hAnsi="Arial" w:cs="Arial"/>
          <w:color w:val="000000"/>
          <w:sz w:val="28"/>
          <w:szCs w:val="28"/>
        </w:rPr>
        <w:t>Octavio Martínez Vargas, diputado del grupo parlamentario de morena de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w:t>
      </w:r>
      <w:r>
        <w:rPr>
          <w:rFonts w:ascii="Arial" w:eastAsia="Arial" w:hAnsi="Arial" w:cs="Arial"/>
          <w:sz w:val="28"/>
          <w:szCs w:val="28"/>
        </w:rPr>
        <w:t xml:space="preserve"> reforman diversas disposiciones de la Ley de Contratación Pública del Estado de México y Municipios, y el Reglamento de la Ley de Contratación Pública del Estado de México y Municipios, </w:t>
      </w:r>
      <w:r>
        <w:rPr>
          <w:rFonts w:ascii="Arial" w:eastAsia="Arial" w:hAnsi="Arial" w:cs="Arial"/>
          <w:color w:val="000000"/>
          <w:sz w:val="28"/>
          <w:szCs w:val="28"/>
        </w:rPr>
        <w:t>al tenor de la siguiente:</w:t>
      </w:r>
    </w:p>
    <w:p w:rsidR="0092265F" w:rsidRDefault="00E42899">
      <w:pPr>
        <w:tabs>
          <w:tab w:val="left" w:pos="9923"/>
        </w:tabs>
        <w:spacing w:before="240" w:line="360" w:lineRule="auto"/>
        <w:jc w:val="center"/>
        <w:rPr>
          <w:rFonts w:ascii="Arial" w:eastAsia="Arial" w:hAnsi="Arial" w:cs="Arial"/>
          <w:b/>
          <w:bCs/>
          <w:sz w:val="28"/>
          <w:szCs w:val="28"/>
        </w:rPr>
      </w:pPr>
      <w:r>
        <w:rPr>
          <w:rFonts w:ascii="Arial" w:eastAsia="Arial" w:hAnsi="Arial" w:cs="Arial"/>
          <w:b/>
          <w:bCs/>
          <w:sz w:val="28"/>
          <w:szCs w:val="28"/>
        </w:rPr>
        <w:t>EXPOSICIÓN DE MOTIVOS</w:t>
      </w:r>
    </w:p>
    <w:p w:rsidR="0092265F" w:rsidRDefault="00E42899">
      <w:pPr>
        <w:tabs>
          <w:tab w:val="left" w:pos="9923"/>
        </w:tabs>
        <w:spacing w:before="240" w:line="360" w:lineRule="auto"/>
        <w:ind w:left="709"/>
        <w:jc w:val="both"/>
        <w:rPr>
          <w:rFonts w:ascii="Arial" w:eastAsia="Arial" w:hAnsi="Arial" w:cs="Arial"/>
          <w:sz w:val="28"/>
          <w:szCs w:val="28"/>
        </w:rPr>
      </w:pPr>
      <w:r>
        <w:rPr>
          <w:rFonts w:ascii="Arial" w:eastAsia="Arial" w:hAnsi="Arial" w:cs="Arial"/>
          <w:sz w:val="28"/>
          <w:szCs w:val="28"/>
        </w:rPr>
        <w:t xml:space="preserve">La contratación pública constituye uno de los ámbitos más sensibles del ejercicio del gasto gubernamental, en tanto concentra una parte significativa de los recursos públicos y representa un área de alto riesgo para la comisión de </w:t>
      </w:r>
      <w:r>
        <w:rPr>
          <w:rFonts w:ascii="Arial" w:eastAsia="Arial" w:hAnsi="Arial" w:cs="Arial"/>
          <w:sz w:val="28"/>
          <w:szCs w:val="28"/>
        </w:rPr>
        <w:lastRenderedPageBreak/>
        <w:t>irregularidades administrativas y el desvío de recursos. En este contexto, el fortalecimiento de los mecanismos normativos que aseguren la máxima publicidad, trazabilidad y control de los procedimientos de contratación resulta una obligación ineludible del Estado.</w:t>
      </w:r>
    </w:p>
    <w:p w:rsidR="0092265F" w:rsidRDefault="00E42899">
      <w:pPr>
        <w:tabs>
          <w:tab w:val="left" w:pos="9923"/>
        </w:tabs>
        <w:spacing w:before="240" w:line="360" w:lineRule="auto"/>
        <w:ind w:left="709"/>
        <w:jc w:val="both"/>
        <w:rPr>
          <w:rFonts w:ascii="Arial" w:eastAsia="Arial" w:hAnsi="Arial" w:cs="Arial"/>
          <w:sz w:val="28"/>
          <w:szCs w:val="28"/>
        </w:rPr>
      </w:pPr>
      <w:r>
        <w:rPr>
          <w:rFonts w:ascii="Arial" w:eastAsia="Arial" w:hAnsi="Arial" w:cs="Arial"/>
          <w:sz w:val="28"/>
          <w:szCs w:val="28"/>
        </w:rPr>
        <w:t>El Órgano Superior de Fiscalización del Estado de México (</w:t>
      </w:r>
      <w:proofErr w:type="spellStart"/>
      <w:r>
        <w:rPr>
          <w:rFonts w:ascii="Arial" w:eastAsia="Arial" w:hAnsi="Arial" w:cs="Arial"/>
          <w:sz w:val="28"/>
          <w:szCs w:val="28"/>
        </w:rPr>
        <w:t>OSFEM</w:t>
      </w:r>
      <w:proofErr w:type="spellEnd"/>
      <w:r>
        <w:rPr>
          <w:rFonts w:ascii="Arial" w:eastAsia="Arial" w:hAnsi="Arial" w:cs="Arial"/>
          <w:sz w:val="28"/>
          <w:szCs w:val="28"/>
        </w:rPr>
        <w:t>), en diversos informes de resultados de la fiscalización superior de las cuentas públicas estatales y municipales, ha identificado de manera reiterada observaciones relacionadas con deficiencias en los procedimientos de adquisiciones, arrendamientos y servicios, particularmente en materia de adjudicaciones directas, falta de documentación comprobatoria, ausencia de justificación suficiente de las excepciones a la licitación pública, así como inconsistencias en la integración de expedientes y en la publicación de la información correspondiente. Dichas observaciones han derivado, en múltiples casos, en promociones de responsabilidad administrativa y en recomendaciones orientadas a reforzar los mecanismos de control y transparencia.</w:t>
      </w:r>
    </w:p>
    <w:p w:rsidR="0092265F" w:rsidRDefault="00E42899">
      <w:pPr>
        <w:tabs>
          <w:tab w:val="left" w:pos="9923"/>
        </w:tabs>
        <w:spacing w:before="240" w:line="360" w:lineRule="auto"/>
        <w:ind w:left="709"/>
        <w:jc w:val="both"/>
        <w:rPr>
          <w:rFonts w:ascii="Arial" w:eastAsia="Arial" w:hAnsi="Arial" w:cs="Arial"/>
          <w:sz w:val="28"/>
          <w:szCs w:val="28"/>
        </w:rPr>
      </w:pPr>
      <w:r>
        <w:rPr>
          <w:rFonts w:ascii="Arial" w:eastAsia="Arial" w:hAnsi="Arial" w:cs="Arial"/>
          <w:sz w:val="28"/>
          <w:szCs w:val="28"/>
        </w:rPr>
        <w:t xml:space="preserve">De acuerdo con los criterios sostenidos por el </w:t>
      </w:r>
      <w:proofErr w:type="spellStart"/>
      <w:r>
        <w:rPr>
          <w:rFonts w:ascii="Arial" w:eastAsia="Arial" w:hAnsi="Arial" w:cs="Arial"/>
          <w:sz w:val="28"/>
          <w:szCs w:val="28"/>
        </w:rPr>
        <w:t>OSFEM</w:t>
      </w:r>
      <w:proofErr w:type="spellEnd"/>
      <w:r>
        <w:rPr>
          <w:rFonts w:ascii="Arial" w:eastAsia="Arial" w:hAnsi="Arial" w:cs="Arial"/>
          <w:sz w:val="28"/>
          <w:szCs w:val="28"/>
        </w:rPr>
        <w:t>, la opacidad en los procedimientos de contratación y la dispersión de la información relativa a los mismos incrementan los riesgos de discrecionalidad en la toma de decisiones, limitan la competencia económica y dificultan las labores de fiscalización y rendición de cuentas. En particular, el uso recurrente de la adjudicación directa, sin un adecuado soporte documental y sin mecanismos efectivos de publicidad, ha sido señalado como uno de los principales</w:t>
      </w:r>
      <w:r w:rsidR="00154655">
        <w:rPr>
          <w:rFonts w:ascii="Arial" w:eastAsia="Arial" w:hAnsi="Arial" w:cs="Arial"/>
          <w:sz w:val="28"/>
          <w:szCs w:val="28"/>
        </w:rPr>
        <w:t xml:space="preserve"> focos de riesgo en el manejo de</w:t>
      </w:r>
      <w:r>
        <w:rPr>
          <w:rFonts w:ascii="Arial" w:eastAsia="Arial" w:hAnsi="Arial" w:cs="Arial"/>
          <w:sz w:val="28"/>
          <w:szCs w:val="28"/>
        </w:rPr>
        <w:t xml:space="preserve"> </w:t>
      </w:r>
      <w:r>
        <w:rPr>
          <w:rFonts w:ascii="Arial" w:eastAsia="Arial" w:hAnsi="Arial" w:cs="Arial"/>
          <w:sz w:val="28"/>
          <w:szCs w:val="28"/>
        </w:rPr>
        <w:lastRenderedPageBreak/>
        <w:t>los recursos públicos a nivel estatal y municipal.</w:t>
      </w:r>
    </w:p>
    <w:p w:rsidR="0092265F" w:rsidRDefault="00E42899">
      <w:pPr>
        <w:tabs>
          <w:tab w:val="left" w:pos="9923"/>
        </w:tabs>
        <w:spacing w:before="240" w:line="360" w:lineRule="auto"/>
        <w:ind w:left="709"/>
        <w:jc w:val="both"/>
        <w:rPr>
          <w:rFonts w:ascii="Arial" w:eastAsia="Arial" w:hAnsi="Arial" w:cs="Arial"/>
          <w:sz w:val="28"/>
          <w:szCs w:val="28"/>
        </w:rPr>
      </w:pPr>
      <w:r>
        <w:rPr>
          <w:rFonts w:ascii="Arial" w:eastAsia="Arial" w:hAnsi="Arial" w:cs="Arial"/>
          <w:sz w:val="28"/>
          <w:szCs w:val="28"/>
        </w:rPr>
        <w:t xml:space="preserve">Si bien la Ley de Contratación Pública del Estado de México y Municipios, y su Reglamento, contemplan actualmente el uso del sistema </w:t>
      </w:r>
      <w:proofErr w:type="spellStart"/>
      <w:r>
        <w:rPr>
          <w:rFonts w:ascii="Arial" w:eastAsia="Arial" w:hAnsi="Arial" w:cs="Arial"/>
          <w:sz w:val="28"/>
          <w:szCs w:val="28"/>
        </w:rPr>
        <w:t>COMPRAMEX</w:t>
      </w:r>
      <w:proofErr w:type="spellEnd"/>
      <w:r>
        <w:rPr>
          <w:rFonts w:ascii="Arial" w:eastAsia="Arial" w:hAnsi="Arial" w:cs="Arial"/>
          <w:sz w:val="28"/>
          <w:szCs w:val="28"/>
        </w:rPr>
        <w:t xml:space="preserve"> como un medio preferente para la realización de los procedimientos de contratación, dicha redacción ha permitido interpretaciones discrecionales y excepciones injustificadas que debilitan su eficacia como herramienta de control. Esta situación contraviene los principios de máxima publicidad, transparencia y rendición de cuentas previstos en la Constitución Política de los Estados Unidos Mexicanos, así como en la legislación local en materia de transparencia y responsabilidades administrativas.</w:t>
      </w:r>
    </w:p>
    <w:p w:rsidR="0092265F" w:rsidRDefault="00E42899">
      <w:pPr>
        <w:tabs>
          <w:tab w:val="left" w:pos="9923"/>
        </w:tabs>
        <w:spacing w:before="240" w:line="360" w:lineRule="auto"/>
        <w:ind w:left="709"/>
        <w:jc w:val="both"/>
        <w:rPr>
          <w:rFonts w:ascii="Arial" w:eastAsia="Arial" w:hAnsi="Arial" w:cs="Arial"/>
          <w:sz w:val="28"/>
          <w:szCs w:val="28"/>
        </w:rPr>
      </w:pPr>
      <w:r>
        <w:rPr>
          <w:rFonts w:ascii="Arial" w:eastAsia="Arial" w:hAnsi="Arial" w:cs="Arial"/>
          <w:sz w:val="28"/>
          <w:szCs w:val="28"/>
        </w:rPr>
        <w:t xml:space="preserve">La presente iniciativa tiene como propósito cerrar dichos espacios de discrecionalidad mediante el establecimiento expreso de la obligatoriedad del uso del sistema </w:t>
      </w:r>
      <w:proofErr w:type="spellStart"/>
      <w:r>
        <w:rPr>
          <w:rFonts w:ascii="Arial" w:eastAsia="Arial" w:hAnsi="Arial" w:cs="Arial"/>
          <w:sz w:val="28"/>
          <w:szCs w:val="28"/>
        </w:rPr>
        <w:t>COMPRAMEX</w:t>
      </w:r>
      <w:proofErr w:type="spellEnd"/>
      <w:r>
        <w:rPr>
          <w:rFonts w:ascii="Arial" w:eastAsia="Arial" w:hAnsi="Arial" w:cs="Arial"/>
          <w:sz w:val="28"/>
          <w:szCs w:val="28"/>
        </w:rPr>
        <w:t xml:space="preserve"> en los procedimientos de licitación pública y adjudicación directa, tanto para las dependencias y entidades de la administración pública estatal como para los ayuntamientos. Asimismo, se incorpora la obligación de publicar, dentro de plazos ciertos y razonables, todos los actos que integran los procedimientos de contratación, desde la convocatoria hasta la formalización y seguimiento de los contratos, garantizando el acceso público a la información, con las únicas limitaciones previstas en la legislación aplicable en materia de transparencia y protección de datos personales.</w:t>
      </w:r>
    </w:p>
    <w:p w:rsidR="0092265F" w:rsidRDefault="00E42899">
      <w:pPr>
        <w:tabs>
          <w:tab w:val="left" w:pos="9923"/>
        </w:tabs>
        <w:spacing w:before="240" w:line="360" w:lineRule="auto"/>
        <w:ind w:left="709"/>
        <w:jc w:val="both"/>
        <w:rPr>
          <w:rFonts w:ascii="Arial" w:eastAsia="Arial" w:hAnsi="Arial" w:cs="Arial"/>
          <w:sz w:val="28"/>
          <w:szCs w:val="28"/>
        </w:rPr>
      </w:pPr>
      <w:r>
        <w:rPr>
          <w:rFonts w:ascii="Arial" w:eastAsia="Arial" w:hAnsi="Arial" w:cs="Arial"/>
          <w:sz w:val="28"/>
          <w:szCs w:val="28"/>
        </w:rPr>
        <w:t xml:space="preserve">De manera particular, la reforma atiende las recomendaciones del </w:t>
      </w:r>
      <w:proofErr w:type="spellStart"/>
      <w:r>
        <w:rPr>
          <w:rFonts w:ascii="Arial" w:eastAsia="Arial" w:hAnsi="Arial" w:cs="Arial"/>
          <w:sz w:val="28"/>
          <w:szCs w:val="28"/>
        </w:rPr>
        <w:t>OSFEM</w:t>
      </w:r>
      <w:proofErr w:type="spellEnd"/>
      <w:r>
        <w:rPr>
          <w:rFonts w:ascii="Arial" w:eastAsia="Arial" w:hAnsi="Arial" w:cs="Arial"/>
          <w:sz w:val="28"/>
          <w:szCs w:val="28"/>
        </w:rPr>
        <w:t xml:space="preserve"> en el sentido de fortalecer los expedientes electrónicos de contratación, facilitar la </w:t>
      </w:r>
      <w:r>
        <w:rPr>
          <w:rFonts w:ascii="Arial" w:eastAsia="Arial" w:hAnsi="Arial" w:cs="Arial"/>
          <w:sz w:val="28"/>
          <w:szCs w:val="28"/>
        </w:rPr>
        <w:lastRenderedPageBreak/>
        <w:t xml:space="preserve">fiscalización posterior y preventiva, y asegurar la trazabilidad de cada etapa del procedimiento. La incorporación de plazos específicos para la publicación de la información en </w:t>
      </w:r>
      <w:proofErr w:type="spellStart"/>
      <w:r>
        <w:rPr>
          <w:rFonts w:ascii="Arial" w:eastAsia="Arial" w:hAnsi="Arial" w:cs="Arial"/>
          <w:sz w:val="28"/>
          <w:szCs w:val="28"/>
        </w:rPr>
        <w:t>COMPRAMEX</w:t>
      </w:r>
      <w:proofErr w:type="spellEnd"/>
      <w:r>
        <w:rPr>
          <w:rFonts w:ascii="Arial" w:eastAsia="Arial" w:hAnsi="Arial" w:cs="Arial"/>
          <w:sz w:val="28"/>
          <w:szCs w:val="28"/>
        </w:rPr>
        <w:t xml:space="preserve"> permite, además, homologar criterios, reducir márgenes de interpretación y generar certeza jurídica tanto para las autoridades contratantes como para los proveedores y la ciudadanía en general.</w:t>
      </w:r>
    </w:p>
    <w:p w:rsidR="0092265F" w:rsidRDefault="00E42899" w:rsidP="00154655">
      <w:pPr>
        <w:tabs>
          <w:tab w:val="left" w:pos="9923"/>
        </w:tabs>
        <w:spacing w:before="240" w:line="360" w:lineRule="auto"/>
        <w:ind w:left="709"/>
        <w:jc w:val="both"/>
        <w:rPr>
          <w:rFonts w:ascii="Arial" w:eastAsia="Arial" w:hAnsi="Arial" w:cs="Arial"/>
          <w:sz w:val="28"/>
          <w:szCs w:val="28"/>
        </w:rPr>
      </w:pPr>
      <w:r>
        <w:rPr>
          <w:rFonts w:ascii="Arial" w:eastAsia="Arial" w:hAnsi="Arial" w:cs="Arial"/>
          <w:sz w:val="28"/>
          <w:szCs w:val="28"/>
        </w:rPr>
        <w:t>En suma, las reformas propuestas a la Ley de Contratación Pública del Estado de México y Municipios y a su Reglamento constituyen una medida preventiva y correctiva orientada a inhibir prácticas irregulares, prevenir el desvío de recursos públicos, fortalecer la competencia y consolidar un modelo de contratación pública basado en la transparencia, la rendición de cuentas y el uso estratégico de herramientas tecnológicas, en congruencia con los principios rectores de la fiscalización superior y con las mejores prácticas en la gestión del gasto público, por lo anterior la presente iniciativa de ley se presenta para aprobar en los siguientes términos:</w:t>
      </w:r>
    </w:p>
    <w:tbl>
      <w:tblPr>
        <w:tblStyle w:val="a"/>
        <w:tblW w:w="1008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8"/>
        <w:gridCol w:w="5158"/>
      </w:tblGrid>
      <w:tr w:rsidR="0092265F" w:rsidTr="00154655">
        <w:trPr>
          <w:tblHeader/>
        </w:trPr>
        <w:tc>
          <w:tcPr>
            <w:tcW w:w="4928" w:type="dxa"/>
            <w:shd w:val="clear" w:color="auto" w:fill="F2F2F2" w:themeFill="background1" w:themeFillShade="F2"/>
          </w:tcPr>
          <w:p w:rsidR="0092265F" w:rsidRDefault="00E42899">
            <w:pPr>
              <w:tabs>
                <w:tab w:val="left" w:pos="9923"/>
              </w:tabs>
              <w:spacing w:before="240" w:line="360" w:lineRule="auto"/>
              <w:jc w:val="center"/>
              <w:rPr>
                <w:rFonts w:ascii="Arial" w:eastAsia="Arial" w:hAnsi="Arial" w:cs="Arial"/>
                <w:b/>
                <w:bCs/>
                <w:sz w:val="28"/>
                <w:szCs w:val="28"/>
              </w:rPr>
            </w:pPr>
            <w:r>
              <w:rPr>
                <w:rFonts w:ascii="Arial" w:eastAsia="Arial" w:hAnsi="Arial" w:cs="Arial"/>
                <w:b/>
                <w:bCs/>
                <w:sz w:val="28"/>
                <w:szCs w:val="28"/>
              </w:rPr>
              <w:t>Texto Vigente</w:t>
            </w:r>
          </w:p>
        </w:tc>
        <w:tc>
          <w:tcPr>
            <w:tcW w:w="5158" w:type="dxa"/>
            <w:shd w:val="clear" w:color="auto" w:fill="F2F2F2" w:themeFill="background1" w:themeFillShade="F2"/>
          </w:tcPr>
          <w:p w:rsidR="0092265F" w:rsidRDefault="00E42899">
            <w:pPr>
              <w:tabs>
                <w:tab w:val="left" w:pos="9923"/>
              </w:tabs>
              <w:spacing w:before="240" w:line="360" w:lineRule="auto"/>
              <w:jc w:val="center"/>
              <w:rPr>
                <w:rFonts w:ascii="Arial" w:eastAsia="Arial" w:hAnsi="Arial" w:cs="Arial"/>
                <w:b/>
                <w:bCs/>
                <w:sz w:val="28"/>
                <w:szCs w:val="28"/>
              </w:rPr>
            </w:pPr>
            <w:r>
              <w:rPr>
                <w:rFonts w:ascii="Arial" w:eastAsia="Arial" w:hAnsi="Arial" w:cs="Arial"/>
                <w:b/>
                <w:bCs/>
                <w:sz w:val="28"/>
                <w:szCs w:val="28"/>
              </w:rPr>
              <w:t>Texto propuesto</w:t>
            </w:r>
          </w:p>
        </w:tc>
      </w:tr>
      <w:tr w:rsidR="0092265F">
        <w:trPr>
          <w:trHeight w:val="1079"/>
        </w:trPr>
        <w:tc>
          <w:tcPr>
            <w:tcW w:w="4928" w:type="dxa"/>
          </w:tcPr>
          <w:p w:rsidR="0092265F" w:rsidRDefault="00E42899">
            <w:pPr>
              <w:pBdr>
                <w:top w:val="nil"/>
                <w:left w:val="nil"/>
                <w:bottom w:val="nil"/>
                <w:right w:val="nil"/>
                <w:between w:val="nil"/>
              </w:pBdr>
              <w:spacing w:after="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t xml:space="preserve">Ley de Contratación Pública del Estado de México y Municipios </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b/>
                <w:bCs/>
                <w:color w:val="000000"/>
                <w:sz w:val="28"/>
                <w:szCs w:val="28"/>
              </w:rPr>
              <w:t xml:space="preserve">Artículo 18.- </w:t>
            </w:r>
            <w:r>
              <w:rPr>
                <w:rFonts w:ascii="Arial" w:eastAsia="Arial" w:hAnsi="Arial" w:cs="Arial"/>
                <w:color w:val="000000"/>
                <w:sz w:val="28"/>
                <w:szCs w:val="28"/>
              </w:rPr>
              <w:t xml:space="preserve"> Los procedimientos de adquisiciones, arrendamientos y servicios, que se realicen con cargo a recursos estatales, total o </w:t>
            </w:r>
            <w:r>
              <w:rPr>
                <w:rFonts w:ascii="Arial" w:eastAsia="Arial" w:hAnsi="Arial" w:cs="Arial"/>
                <w:color w:val="000000"/>
                <w:sz w:val="28"/>
                <w:szCs w:val="28"/>
              </w:rPr>
              <w:lastRenderedPageBreak/>
              <w:t xml:space="preserve">parcialmente, deberán desahogarse preferentemente por conducto del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salvo en los casos en que así lo determine el comité de adquisiciones y servicios. Lo mismo aplicará a los ayuntamientos cuando se trate de actos, contratos o convenios que se celebren con cargo a recursos municipales.</w:t>
            </w:r>
          </w:p>
          <w:p w:rsidR="0092265F" w:rsidRDefault="00E42899">
            <w:pPr>
              <w:pBdr>
                <w:top w:val="nil"/>
                <w:left w:val="nil"/>
                <w:bottom w:val="nil"/>
                <w:right w:val="nil"/>
                <w:between w:val="nil"/>
              </w:pBdr>
              <w:spacing w:before="280" w:line="360" w:lineRule="auto"/>
              <w:jc w:val="both"/>
              <w:rPr>
                <w:rFonts w:ascii="Arial" w:eastAsia="Arial" w:hAnsi="Arial" w:cs="Arial"/>
                <w:color w:val="000000"/>
                <w:sz w:val="28"/>
                <w:szCs w:val="28"/>
              </w:rPr>
            </w:pPr>
            <w:r>
              <w:rPr>
                <w:rFonts w:ascii="Arial" w:eastAsia="Arial" w:hAnsi="Arial" w:cs="Arial"/>
                <w:color w:val="000000"/>
                <w:sz w:val="28"/>
                <w:szCs w:val="28"/>
              </w:rPr>
              <w:t>El Reglamento de la presente Ley establecerá las modalidades bajo las cuales se desahogarán dichos procedimientos, atendiendo a la normatividad aplicable a cada uno de ellos.</w:t>
            </w:r>
          </w:p>
        </w:tc>
        <w:tc>
          <w:tcPr>
            <w:tcW w:w="5158" w:type="dxa"/>
          </w:tcPr>
          <w:p w:rsidR="0092265F" w:rsidRDefault="00E42899">
            <w:pPr>
              <w:pBdr>
                <w:top w:val="nil"/>
                <w:left w:val="nil"/>
                <w:bottom w:val="nil"/>
                <w:right w:val="nil"/>
                <w:between w:val="nil"/>
              </w:pBdr>
              <w:spacing w:after="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lastRenderedPageBreak/>
              <w:t xml:space="preserve">Ley de Contratación Pública del Estado de México y Municipios </w:t>
            </w:r>
          </w:p>
          <w:p w:rsidR="0092265F" w:rsidRDefault="00E42899">
            <w:pPr>
              <w:pBdr>
                <w:top w:val="nil"/>
                <w:left w:val="nil"/>
                <w:bottom w:val="nil"/>
                <w:right w:val="nil"/>
                <w:between w:val="nil"/>
              </w:pBdr>
              <w:spacing w:before="280" w:after="280" w:line="360" w:lineRule="auto"/>
              <w:jc w:val="both"/>
              <w:rPr>
                <w:rFonts w:ascii="Arial" w:eastAsia="Arial" w:hAnsi="Arial" w:cs="Arial"/>
                <w:b/>
                <w:bCs/>
                <w:strike/>
                <w:color w:val="000000"/>
                <w:sz w:val="28"/>
                <w:szCs w:val="28"/>
              </w:rPr>
            </w:pPr>
            <w:r>
              <w:rPr>
                <w:rFonts w:ascii="Arial" w:eastAsia="Arial" w:hAnsi="Arial" w:cs="Arial"/>
                <w:b/>
                <w:bCs/>
                <w:color w:val="000000"/>
                <w:sz w:val="28"/>
                <w:szCs w:val="28"/>
              </w:rPr>
              <w:t xml:space="preserve">Artículo 18.- </w:t>
            </w:r>
            <w:r>
              <w:rPr>
                <w:rFonts w:ascii="Arial" w:eastAsia="Arial" w:hAnsi="Arial" w:cs="Arial"/>
                <w:color w:val="000000"/>
                <w:sz w:val="28"/>
                <w:szCs w:val="28"/>
              </w:rPr>
              <w:t xml:space="preserve"> Los procedimientos de adquisiciones, arrendamientos y servicios, que se realicen con cargo a recursos estatales, total o parcialmente, </w:t>
            </w:r>
            <w:r>
              <w:rPr>
                <w:rFonts w:ascii="Arial" w:eastAsia="Arial" w:hAnsi="Arial" w:cs="Arial"/>
                <w:color w:val="000000"/>
                <w:sz w:val="28"/>
                <w:szCs w:val="28"/>
              </w:rPr>
              <w:lastRenderedPageBreak/>
              <w:t xml:space="preserve">deberán desahogarse </w:t>
            </w:r>
            <w:r>
              <w:rPr>
                <w:rFonts w:ascii="Arial" w:eastAsia="Arial" w:hAnsi="Arial" w:cs="Arial"/>
                <w:b/>
                <w:bCs/>
                <w:color w:val="000000"/>
                <w:sz w:val="28"/>
                <w:szCs w:val="28"/>
              </w:rPr>
              <w:t>de manera obligatoria</w:t>
            </w:r>
            <w:r>
              <w:rPr>
                <w:rFonts w:ascii="Arial" w:eastAsia="Arial" w:hAnsi="Arial" w:cs="Arial"/>
                <w:color w:val="000000"/>
                <w:sz w:val="28"/>
                <w:szCs w:val="28"/>
              </w:rPr>
              <w:t xml:space="preserve"> </w:t>
            </w:r>
            <w:r>
              <w:rPr>
                <w:rFonts w:ascii="Arial" w:eastAsia="Arial" w:hAnsi="Arial" w:cs="Arial"/>
                <w:b/>
                <w:bCs/>
                <w:color w:val="000000"/>
                <w:sz w:val="28"/>
                <w:szCs w:val="28"/>
              </w:rPr>
              <w:t xml:space="preserve">por conducto del </w:t>
            </w:r>
            <w:proofErr w:type="spellStart"/>
            <w:r>
              <w:rPr>
                <w:rFonts w:ascii="Arial" w:eastAsia="Arial" w:hAnsi="Arial" w:cs="Arial"/>
                <w:b/>
                <w:bCs/>
                <w:color w:val="000000"/>
                <w:sz w:val="28"/>
                <w:szCs w:val="28"/>
              </w:rPr>
              <w:t>COMPRAMEX</w:t>
            </w:r>
            <w:proofErr w:type="spellEnd"/>
            <w:r>
              <w:rPr>
                <w:rFonts w:ascii="Arial" w:eastAsia="Arial" w:hAnsi="Arial" w:cs="Arial"/>
                <w:b/>
                <w:bCs/>
                <w:color w:val="000000"/>
                <w:sz w:val="28"/>
                <w:szCs w:val="28"/>
              </w:rPr>
              <w:t>.</w:t>
            </w:r>
            <w:r>
              <w:rPr>
                <w:rFonts w:ascii="Arial" w:eastAsia="Arial" w:hAnsi="Arial" w:cs="Arial"/>
                <w:color w:val="000000"/>
                <w:sz w:val="28"/>
                <w:szCs w:val="28"/>
              </w:rPr>
              <w:t xml:space="preserve"> </w:t>
            </w:r>
            <w:r>
              <w:rPr>
                <w:rFonts w:ascii="Arial" w:eastAsia="Arial" w:hAnsi="Arial" w:cs="Arial"/>
                <w:b/>
                <w:bCs/>
                <w:color w:val="000000"/>
                <w:sz w:val="28"/>
                <w:szCs w:val="28"/>
              </w:rPr>
              <w:t>En el caso de los ayuntamientos, los actos, contratos o convenios que se celebren con cargo a recursos municipales,</w:t>
            </w:r>
            <w:r>
              <w:rPr>
                <w:rFonts w:ascii="Arial" w:eastAsia="Arial" w:hAnsi="Arial" w:cs="Arial"/>
                <w:color w:val="000000"/>
                <w:sz w:val="28"/>
                <w:szCs w:val="28"/>
              </w:rPr>
              <w:t xml:space="preserve"> </w:t>
            </w:r>
            <w:proofErr w:type="spellStart"/>
            <w:r>
              <w:rPr>
                <w:rFonts w:ascii="Arial" w:eastAsia="Arial" w:hAnsi="Arial" w:cs="Arial"/>
                <w:b/>
                <w:bCs/>
                <w:color w:val="000000"/>
                <w:sz w:val="28"/>
                <w:szCs w:val="28"/>
              </w:rPr>
              <w:t>deberan</w:t>
            </w:r>
            <w:proofErr w:type="spellEnd"/>
            <w:r>
              <w:rPr>
                <w:rFonts w:ascii="Arial" w:eastAsia="Arial" w:hAnsi="Arial" w:cs="Arial"/>
                <w:b/>
                <w:bCs/>
                <w:color w:val="000000"/>
                <w:sz w:val="28"/>
                <w:szCs w:val="28"/>
              </w:rPr>
              <w:t xml:space="preserve"> publicarse en el sistema </w:t>
            </w:r>
            <w:proofErr w:type="spellStart"/>
            <w:r>
              <w:rPr>
                <w:rFonts w:ascii="Arial" w:eastAsia="Arial" w:hAnsi="Arial" w:cs="Arial"/>
                <w:b/>
                <w:bCs/>
                <w:color w:val="000000"/>
                <w:sz w:val="28"/>
                <w:szCs w:val="28"/>
              </w:rPr>
              <w:t>COMPRAMEX</w:t>
            </w:r>
            <w:proofErr w:type="spellEnd"/>
            <w:r>
              <w:rPr>
                <w:rFonts w:ascii="Arial" w:eastAsia="Arial" w:hAnsi="Arial" w:cs="Arial"/>
                <w:b/>
                <w:bCs/>
                <w:color w:val="000000"/>
                <w:sz w:val="28"/>
                <w:szCs w:val="28"/>
              </w:rPr>
              <w:t>, dentro de los plazos previstos en la presente Ley, garantizando el acceso público a la información, salvo las excepciones establecidas en la legislación aplicable en materia de transparencia y protección de datos personales.</w:t>
            </w:r>
          </w:p>
          <w:p w:rsidR="0092265F" w:rsidRDefault="00E42899">
            <w:pPr>
              <w:pBdr>
                <w:top w:val="nil"/>
                <w:left w:val="nil"/>
                <w:bottom w:val="nil"/>
                <w:right w:val="nil"/>
                <w:between w:val="nil"/>
              </w:pBdr>
              <w:spacing w:before="280" w:line="360" w:lineRule="auto"/>
              <w:jc w:val="both"/>
              <w:rPr>
                <w:rFonts w:ascii="Arial" w:eastAsia="Arial" w:hAnsi="Arial" w:cs="Arial"/>
                <w:color w:val="000000"/>
                <w:sz w:val="28"/>
                <w:szCs w:val="28"/>
              </w:rPr>
            </w:pPr>
            <w:r>
              <w:rPr>
                <w:rFonts w:ascii="Arial" w:eastAsia="Arial" w:hAnsi="Arial" w:cs="Arial"/>
                <w:color w:val="000000"/>
                <w:sz w:val="28"/>
                <w:szCs w:val="28"/>
              </w:rPr>
              <w:t>El Reglamento de la presente Ley establecerá las modalidades bajo las cuales se desahogarán dichos procedimientos, atendiendo a la normatividad aplicable a cada uno de ellos.</w:t>
            </w:r>
          </w:p>
        </w:tc>
      </w:tr>
      <w:tr w:rsidR="0092265F">
        <w:trPr>
          <w:trHeight w:val="1079"/>
        </w:trPr>
        <w:tc>
          <w:tcPr>
            <w:tcW w:w="4928" w:type="dxa"/>
          </w:tcPr>
          <w:p w:rsidR="0092265F" w:rsidRDefault="00E42899">
            <w:pPr>
              <w:pBdr>
                <w:top w:val="nil"/>
                <w:left w:val="nil"/>
                <w:bottom w:val="nil"/>
                <w:right w:val="nil"/>
                <w:between w:val="nil"/>
              </w:pBdr>
              <w:spacing w:after="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lastRenderedPageBreak/>
              <w:t xml:space="preserve">Artículo 26.- </w:t>
            </w:r>
            <w:r>
              <w:rPr>
                <w:rFonts w:ascii="Arial" w:eastAsia="Arial" w:hAnsi="Arial" w:cs="Arial"/>
                <w:color w:val="000000"/>
                <w:sz w:val="28"/>
                <w:szCs w:val="28"/>
              </w:rPr>
              <w:t>Las adquisiciones, arrendamientos y servicios se adjudicarán a través de licitaciones públicas, mediante convocatoria pública.</w:t>
            </w:r>
          </w:p>
          <w:p w:rsidR="0092265F" w:rsidRDefault="0092265F">
            <w:pPr>
              <w:pBdr>
                <w:top w:val="nil"/>
                <w:left w:val="nil"/>
                <w:bottom w:val="nil"/>
                <w:right w:val="nil"/>
                <w:between w:val="nil"/>
              </w:pBdr>
              <w:spacing w:before="280" w:line="360" w:lineRule="auto"/>
              <w:jc w:val="both"/>
              <w:rPr>
                <w:rFonts w:ascii="Arial" w:eastAsia="Arial" w:hAnsi="Arial" w:cs="Arial"/>
                <w:b/>
                <w:bCs/>
                <w:color w:val="000000"/>
                <w:sz w:val="28"/>
                <w:szCs w:val="28"/>
              </w:rPr>
            </w:pPr>
          </w:p>
        </w:tc>
        <w:tc>
          <w:tcPr>
            <w:tcW w:w="5158" w:type="dxa"/>
          </w:tcPr>
          <w:p w:rsidR="0092265F" w:rsidRDefault="00E42899">
            <w:pPr>
              <w:pBdr>
                <w:top w:val="nil"/>
                <w:left w:val="nil"/>
                <w:bottom w:val="nil"/>
                <w:right w:val="nil"/>
                <w:between w:val="nil"/>
              </w:pBdr>
              <w:spacing w:after="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t xml:space="preserve">Artículo 26.- </w:t>
            </w:r>
            <w:r>
              <w:rPr>
                <w:rFonts w:ascii="Arial" w:eastAsia="Arial" w:hAnsi="Arial" w:cs="Arial"/>
                <w:color w:val="000000"/>
                <w:sz w:val="28"/>
                <w:szCs w:val="28"/>
              </w:rPr>
              <w:t>Las adquisiciones, arrendamientos y servicios se adjudicarán a través de licitaciones públicas, mediante convocatoria pública.</w:t>
            </w:r>
          </w:p>
          <w:p w:rsidR="0092265F" w:rsidRDefault="00E42899">
            <w:pPr>
              <w:pBdr>
                <w:top w:val="nil"/>
                <w:left w:val="nil"/>
                <w:bottom w:val="nil"/>
                <w:right w:val="nil"/>
                <w:between w:val="nil"/>
              </w:pBdr>
              <w:spacing w:before="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t>La licitación pública será la regla general para la adquisición de bienes, contratación de servicios y obra pública.</w:t>
            </w:r>
          </w:p>
        </w:tc>
      </w:tr>
      <w:tr w:rsidR="0092265F">
        <w:trPr>
          <w:trHeight w:val="2181"/>
        </w:trPr>
        <w:tc>
          <w:tcPr>
            <w:tcW w:w="4928" w:type="dxa"/>
          </w:tcPr>
          <w:p w:rsidR="0092265F" w:rsidRDefault="00E42899">
            <w:pPr>
              <w:pBdr>
                <w:top w:val="nil"/>
                <w:left w:val="nil"/>
                <w:bottom w:val="nil"/>
                <w:right w:val="nil"/>
                <w:between w:val="nil"/>
              </w:pBdr>
              <w:spacing w:after="280" w:line="360" w:lineRule="auto"/>
              <w:jc w:val="both"/>
              <w:rPr>
                <w:rFonts w:ascii="Arial" w:eastAsia="Arial" w:hAnsi="Arial" w:cs="Arial"/>
                <w:color w:val="000000"/>
                <w:sz w:val="28"/>
                <w:szCs w:val="28"/>
              </w:rPr>
            </w:pPr>
            <w:r>
              <w:rPr>
                <w:rFonts w:ascii="Arial" w:eastAsia="Arial" w:hAnsi="Arial" w:cs="Arial"/>
                <w:b/>
                <w:bCs/>
                <w:color w:val="000000"/>
                <w:sz w:val="28"/>
                <w:szCs w:val="28"/>
              </w:rPr>
              <w:t>Artículo 28.-</w:t>
            </w:r>
            <w:r>
              <w:rPr>
                <w:rFonts w:ascii="Arial" w:eastAsia="Arial" w:hAnsi="Arial" w:cs="Arial"/>
                <w:color w:val="000000"/>
                <w:sz w:val="28"/>
                <w:szCs w:val="28"/>
              </w:rPr>
              <w:t xml:space="preserve"> La licitación pública, conforme a los medios que se utilicen, podrá ser:</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I. Presencial, en la cual los licitantes exclusivamente podrán presentar sus propuestas en forma documental y por escrito, en sobre cerrado, durante el acto de presentación y apertura de propuestas, o bien, si así se prevé en </w:t>
            </w:r>
            <w:r>
              <w:rPr>
                <w:rFonts w:ascii="Arial" w:eastAsia="Arial" w:hAnsi="Arial" w:cs="Arial"/>
                <w:color w:val="000000"/>
                <w:sz w:val="28"/>
                <w:szCs w:val="28"/>
              </w:rPr>
              <w:lastRenderedPageBreak/>
              <w:t>la convocatoria a la licitación, mediante el uso del servicio postal.</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Bajo esta modalidad, la o las juntas de aclaraciones, el acto de presentación y la apertura de propuestas se realizarán de manera presencial, a los cuales podrán asistir los licitantes.</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II. Electrónica, en la cual exclusivamente se permitirá la participación de los licitantes a través de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se utilizarán medios de identificación electrónica, las comunicaciones producirán los efectos que señala la Ley de Gobierno Digital del Estado de México y Municipios.</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Bajo esta modalidad, la o las juntas de aclaraciones, el acto de presentación, la apertura de propuestas y el acto de </w:t>
            </w:r>
            <w:r>
              <w:rPr>
                <w:rFonts w:ascii="Arial" w:eastAsia="Arial" w:hAnsi="Arial" w:cs="Arial"/>
                <w:color w:val="000000"/>
                <w:sz w:val="28"/>
                <w:szCs w:val="28"/>
              </w:rPr>
              <w:lastRenderedPageBreak/>
              <w:t xml:space="preserve">fallo sólo se realizarán a través de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xml:space="preserve"> y sin la presencia de los licitantes en dichos actos, y</w:t>
            </w:r>
          </w:p>
          <w:p w:rsidR="0092265F" w:rsidRDefault="00E42899">
            <w:pPr>
              <w:pBdr>
                <w:top w:val="nil"/>
                <w:left w:val="nil"/>
                <w:bottom w:val="nil"/>
                <w:right w:val="nil"/>
                <w:between w:val="nil"/>
              </w:pBdr>
              <w:spacing w:before="280" w:line="360" w:lineRule="auto"/>
              <w:jc w:val="both"/>
              <w:rPr>
                <w:rFonts w:ascii="Arial" w:eastAsia="Arial" w:hAnsi="Arial" w:cs="Arial"/>
                <w:color w:val="000000"/>
                <w:sz w:val="28"/>
                <w:szCs w:val="28"/>
              </w:rPr>
            </w:pPr>
            <w:r>
              <w:rPr>
                <w:rFonts w:ascii="Arial" w:eastAsia="Arial" w:hAnsi="Arial" w:cs="Arial"/>
                <w:color w:val="000000"/>
                <w:sz w:val="28"/>
                <w:szCs w:val="28"/>
              </w:rPr>
              <w:t>III. Mixta, en la cual los licitantes, a su elección, podrán participar en forma presencial o electrónica en la o las juntas de aclaraciones, en el acto de presentación y en la apertura de propuestas, y el acto de fallo.</w:t>
            </w:r>
          </w:p>
        </w:tc>
        <w:tc>
          <w:tcPr>
            <w:tcW w:w="5158" w:type="dxa"/>
          </w:tcPr>
          <w:p w:rsidR="0092265F" w:rsidRDefault="00E42899">
            <w:pPr>
              <w:pBdr>
                <w:top w:val="nil"/>
                <w:left w:val="nil"/>
                <w:bottom w:val="nil"/>
                <w:right w:val="nil"/>
                <w:between w:val="nil"/>
              </w:pBdr>
              <w:spacing w:after="280" w:line="360" w:lineRule="auto"/>
              <w:jc w:val="both"/>
              <w:rPr>
                <w:rFonts w:ascii="Arial" w:eastAsia="Arial" w:hAnsi="Arial" w:cs="Arial"/>
                <w:color w:val="000000"/>
                <w:sz w:val="28"/>
                <w:szCs w:val="28"/>
              </w:rPr>
            </w:pPr>
            <w:r>
              <w:rPr>
                <w:rFonts w:ascii="Arial" w:eastAsia="Arial" w:hAnsi="Arial" w:cs="Arial"/>
                <w:b/>
                <w:bCs/>
                <w:color w:val="000000"/>
                <w:sz w:val="28"/>
                <w:szCs w:val="28"/>
              </w:rPr>
              <w:lastRenderedPageBreak/>
              <w:t>Artículo 28.-</w:t>
            </w:r>
            <w:r>
              <w:rPr>
                <w:rFonts w:ascii="Arial" w:eastAsia="Arial" w:hAnsi="Arial" w:cs="Arial"/>
                <w:color w:val="000000"/>
                <w:sz w:val="28"/>
                <w:szCs w:val="28"/>
              </w:rPr>
              <w:t xml:space="preserve"> La licitación pública, conforme a los medios que se utilicen, podrá ser:</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I. Presencial, en la cual los licitantes exclusivamente podrán presentar sus propuestas en forma documental y por escrito, en sobre cerrado, durante el acto de presentación y apertura de propuestas, o bien, si así se prevé en la </w:t>
            </w:r>
            <w:r>
              <w:rPr>
                <w:rFonts w:ascii="Arial" w:eastAsia="Arial" w:hAnsi="Arial" w:cs="Arial"/>
                <w:color w:val="000000"/>
                <w:sz w:val="28"/>
                <w:szCs w:val="28"/>
              </w:rPr>
              <w:lastRenderedPageBreak/>
              <w:t>convocatoria a la licitación, mediante el uso del servicio postal.</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Bajo esta modalidad, la o las juntas de aclaraciones, el acto de presentación y la apertura de propuestas se realizarán de manera presencial, a los cuales podrán asistir los licitantes.</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II. Electrónica, en la cual exclusivamente se permitirá la participación de los licitantes a través de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se utilizarán medios de identificación electrónica, las comunicaciones producirán los efectos que señala la Ley de Gobierno Digital del Estado de México y Municipios.</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Bajo esta modalidad, la o las juntas de aclaraciones, el acto de presentación, la apertura de propuestas y el acto de fallo sólo se realizarán a través de </w:t>
            </w:r>
            <w:proofErr w:type="spellStart"/>
            <w:r>
              <w:rPr>
                <w:rFonts w:ascii="Arial" w:eastAsia="Arial" w:hAnsi="Arial" w:cs="Arial"/>
                <w:color w:val="000000"/>
                <w:sz w:val="28"/>
                <w:szCs w:val="28"/>
              </w:rPr>
              <w:lastRenderedPageBreak/>
              <w:t>COMPRAMEX</w:t>
            </w:r>
            <w:proofErr w:type="spellEnd"/>
            <w:r>
              <w:rPr>
                <w:rFonts w:ascii="Arial" w:eastAsia="Arial" w:hAnsi="Arial" w:cs="Arial"/>
                <w:color w:val="000000"/>
                <w:sz w:val="28"/>
                <w:szCs w:val="28"/>
              </w:rPr>
              <w:t xml:space="preserve"> y sin la presencia de los licitantes en dichos actos, y</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III. Mixta, en la cual los licitantes, a su elección, podrán participar en forma presencial o electrónica en la o las juntas de aclaraciones, en el acto de presentación y en la apertura de propuestas, y el acto de fallo.</w:t>
            </w:r>
          </w:p>
          <w:p w:rsidR="0092265F" w:rsidRDefault="00E42899">
            <w:pPr>
              <w:pBdr>
                <w:top w:val="nil"/>
                <w:left w:val="nil"/>
                <w:bottom w:val="nil"/>
                <w:right w:val="nil"/>
                <w:between w:val="nil"/>
              </w:pBdr>
              <w:spacing w:before="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t xml:space="preserve">En cualquiera de las modalidades señaladas en el presente artículo, la convocatoria, las bases, las juntas de aclaraciones, la presentación y apertura de propuestas, los fallos, los contratos y demás actos que integren el procedimiento de licitación pública deberán publicarse y tramitarse a través del sistema </w:t>
            </w:r>
            <w:proofErr w:type="spellStart"/>
            <w:r>
              <w:rPr>
                <w:rFonts w:ascii="Arial" w:eastAsia="Arial" w:hAnsi="Arial" w:cs="Arial"/>
                <w:b/>
                <w:bCs/>
                <w:color w:val="000000"/>
                <w:sz w:val="28"/>
                <w:szCs w:val="28"/>
              </w:rPr>
              <w:t>COMPRAMEX</w:t>
            </w:r>
            <w:proofErr w:type="spellEnd"/>
            <w:r>
              <w:rPr>
                <w:rFonts w:ascii="Arial" w:eastAsia="Arial" w:hAnsi="Arial" w:cs="Arial"/>
                <w:b/>
                <w:bCs/>
                <w:color w:val="000000"/>
                <w:sz w:val="28"/>
                <w:szCs w:val="28"/>
              </w:rPr>
              <w:t xml:space="preserve">, dentro de los diez días hábiles siguientes a la celebración de cada uno de ellos, garantizando en </w:t>
            </w:r>
            <w:r>
              <w:rPr>
                <w:rFonts w:ascii="Arial" w:eastAsia="Arial" w:hAnsi="Arial" w:cs="Arial"/>
                <w:b/>
                <w:bCs/>
                <w:color w:val="000000"/>
                <w:sz w:val="28"/>
                <w:szCs w:val="28"/>
              </w:rPr>
              <w:lastRenderedPageBreak/>
              <w:t>todo momento el acceso público a la información, con excepción de aquella que, conforme a la legislación aplicable en materia de transparencia y protección de datos personales, tenga el carácter de reservada o confidencial.</w:t>
            </w:r>
          </w:p>
        </w:tc>
      </w:tr>
      <w:tr w:rsidR="0092265F">
        <w:trPr>
          <w:trHeight w:val="2181"/>
        </w:trPr>
        <w:tc>
          <w:tcPr>
            <w:tcW w:w="4928" w:type="dxa"/>
          </w:tcPr>
          <w:p w:rsidR="0092265F" w:rsidRDefault="00E42899">
            <w:pPr>
              <w:pBdr>
                <w:top w:val="nil"/>
                <w:left w:val="nil"/>
                <w:bottom w:val="nil"/>
                <w:right w:val="nil"/>
                <w:between w:val="nil"/>
              </w:pBdr>
              <w:spacing w:after="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lastRenderedPageBreak/>
              <w:t xml:space="preserve">Artículo 48.- </w:t>
            </w:r>
            <w:r>
              <w:rPr>
                <w:rFonts w:ascii="Arial" w:eastAsia="Arial" w:hAnsi="Arial" w:cs="Arial"/>
                <w:color w:val="000000"/>
                <w:sz w:val="28"/>
                <w:szCs w:val="28"/>
              </w:rPr>
              <w:t>La Oficialía Mayor, las entidades, los tribunales administrativos y los ayuntamientos podrán adquirir bienes, arrendar bienes muebles e inmuebles y contratar servicios, mediante adjudicación directa, cuando: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b/>
                <w:bCs/>
                <w:color w:val="000000"/>
                <w:sz w:val="28"/>
                <w:szCs w:val="28"/>
              </w:rPr>
              <w:t xml:space="preserve">I. </w:t>
            </w:r>
            <w:r>
              <w:rPr>
                <w:rFonts w:ascii="Arial" w:eastAsia="Arial" w:hAnsi="Arial" w:cs="Arial"/>
                <w:color w:val="000000"/>
                <w:sz w:val="28"/>
                <w:szCs w:val="28"/>
              </w:rPr>
              <w:t xml:space="preserve">La adquisición o el servicio sólo puedan realizarse con una determinada persona, por tratarse de obras de arte, titularidad de patentes, registros, marcas específicas, </w:t>
            </w:r>
            <w:r>
              <w:rPr>
                <w:rFonts w:ascii="Arial" w:eastAsia="Arial" w:hAnsi="Arial" w:cs="Arial"/>
                <w:color w:val="000000"/>
                <w:sz w:val="28"/>
                <w:szCs w:val="28"/>
              </w:rPr>
              <w:lastRenderedPageBreak/>
              <w:t>derechos de autor u otros derechos exclusivos.</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III. Se trate de servicios que requieran de experiencia, técnicas o equipos especiales, o se trate de la adquisición de bienes usados o de características especiales que solamente puedan ser </w:t>
            </w:r>
            <w:r>
              <w:rPr>
                <w:rFonts w:ascii="Arial" w:eastAsia="Arial" w:hAnsi="Arial" w:cs="Arial"/>
                <w:color w:val="000000"/>
                <w:sz w:val="28"/>
                <w:szCs w:val="28"/>
              </w:rPr>
              <w:lastRenderedPageBreak/>
              <w:t>prestados o suministrados por una sola persona.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V. Existan circunstancias que puedan provocar pérdidas o costos adicionales importantes al erario.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VI. Pueda comprometerse información de naturaleza confidencial para el Estado o </w:t>
            </w:r>
            <w:r>
              <w:rPr>
                <w:rFonts w:ascii="Arial" w:eastAsia="Arial" w:hAnsi="Arial" w:cs="Arial"/>
                <w:color w:val="000000"/>
                <w:sz w:val="28"/>
                <w:szCs w:val="28"/>
              </w:rPr>
              <w:lastRenderedPageBreak/>
              <w:t>municipios, por razones de seguridad pública.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VII. Existan circunstancias extraordinarias o imprevisibles derivadas de riesgo o desastre. En este supuesto, la adquisición, arrendamiento y servicio deberá limitarse a lo estrictamente necesario para enfrentar tal eventualidad.</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VIII. Se hubiere rescindido un contrato, por causas imputables al proveedor o que la persona que habiendo resultado ganadora en una licitación, no concurra a la suscripción del contrato dentro del plazo establecido en esta Ley.</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En estos supuestos, la Oficialía Mayor, la entidad, el tribunal administrativo o el ayuntamiento </w:t>
            </w:r>
            <w:r>
              <w:rPr>
                <w:rFonts w:ascii="Arial" w:eastAsia="Arial" w:hAnsi="Arial" w:cs="Arial"/>
                <w:color w:val="000000"/>
                <w:sz w:val="28"/>
                <w:szCs w:val="28"/>
              </w:rPr>
              <w:lastRenderedPageBreak/>
              <w:t>podrá adjudicar el contrato al licitante que haya presentado la propuesta solvente más cercana a la ganadora y así, sucesivamente. En todo caso, la diferencia de precio no deberá de ser superior al diez por ciento, respecto de la propuesta ganadora.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IX. Se hubiere declarado desierto un procedimiento de invitación restringida.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X. Cuando se aseguren condiciones financieras que permitan al Estado o a los municipios cumplir con la obligación de pago de manera diferida, sin que ello implique un costo financiero adicional o </w:t>
            </w:r>
            <w:proofErr w:type="gramStart"/>
            <w:r>
              <w:rPr>
                <w:rFonts w:ascii="Arial" w:eastAsia="Arial" w:hAnsi="Arial" w:cs="Arial"/>
                <w:color w:val="000000"/>
                <w:sz w:val="28"/>
                <w:szCs w:val="28"/>
              </w:rPr>
              <w:t>que</w:t>
            </w:r>
            <w:proofErr w:type="gramEnd"/>
            <w:r>
              <w:rPr>
                <w:rFonts w:ascii="Arial" w:eastAsia="Arial" w:hAnsi="Arial" w:cs="Arial"/>
                <w:color w:val="000000"/>
                <w:sz w:val="28"/>
                <w:szCs w:val="28"/>
              </w:rPr>
              <w:t xml:space="preserve"> habiéndolo, sea inferior al del mercado, 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XI. El importe de la operación no rebase los montos establecidos en el </w:t>
            </w:r>
            <w:r>
              <w:rPr>
                <w:rFonts w:ascii="Arial" w:eastAsia="Arial" w:hAnsi="Arial" w:cs="Arial"/>
                <w:color w:val="000000"/>
                <w:sz w:val="28"/>
                <w:szCs w:val="28"/>
              </w:rPr>
              <w:lastRenderedPageBreak/>
              <w:t>Presupuesto de Egresos del Gobierno del Estado del ejercicio correspondiente. Tratándose de arrendamientos de inmuebles se entenderá por importe de la operación el monto mensual de la renta.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XII. Se trate de bienes producidos por sociedades cooperativas, de producción rural, de interés colectivo, </w:t>
            </w:r>
            <w:r>
              <w:rPr>
                <w:rFonts w:ascii="Arial" w:eastAsia="Arial" w:hAnsi="Arial" w:cs="Arial"/>
                <w:color w:val="000000"/>
                <w:sz w:val="28"/>
                <w:szCs w:val="28"/>
              </w:rPr>
              <w:lastRenderedPageBreak/>
              <w:t>de solidaridad social, sociedades y asociaciones de fin social, cuyo objeto no sea preponderantemente lucrativo, producidos en el Estado de México y adquiridos directamente a éstas.</w:t>
            </w:r>
          </w:p>
          <w:p w:rsidR="0092265F" w:rsidRDefault="0092265F">
            <w:pPr>
              <w:pBdr>
                <w:top w:val="nil"/>
                <w:left w:val="nil"/>
                <w:bottom w:val="nil"/>
                <w:right w:val="nil"/>
                <w:between w:val="nil"/>
              </w:pBdr>
              <w:spacing w:before="280" w:line="360" w:lineRule="auto"/>
              <w:jc w:val="both"/>
              <w:rPr>
                <w:rFonts w:ascii="Arial" w:eastAsia="Arial" w:hAnsi="Arial" w:cs="Arial"/>
                <w:b/>
                <w:bCs/>
                <w:color w:val="000000"/>
                <w:sz w:val="28"/>
                <w:szCs w:val="28"/>
              </w:rPr>
            </w:pPr>
          </w:p>
        </w:tc>
        <w:tc>
          <w:tcPr>
            <w:tcW w:w="5158" w:type="dxa"/>
          </w:tcPr>
          <w:p w:rsidR="0092265F" w:rsidRDefault="00E42899">
            <w:pPr>
              <w:pBdr>
                <w:top w:val="nil"/>
                <w:left w:val="nil"/>
                <w:bottom w:val="nil"/>
                <w:right w:val="nil"/>
                <w:between w:val="nil"/>
              </w:pBdr>
              <w:spacing w:after="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lastRenderedPageBreak/>
              <w:t xml:space="preserve">Artículo 48.- </w:t>
            </w:r>
            <w:r>
              <w:rPr>
                <w:rFonts w:ascii="Arial" w:eastAsia="Arial" w:hAnsi="Arial" w:cs="Arial"/>
                <w:color w:val="000000"/>
                <w:sz w:val="28"/>
                <w:szCs w:val="28"/>
              </w:rPr>
              <w:t>La Oficialía Mayor, las entidades, los tribunales administrativos y los ayuntamientos podrán adquirir bienes, arrendar bienes muebles e inmuebles y contratar servicios, mediante adjudicación directa, cuando: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b/>
                <w:bCs/>
                <w:color w:val="000000"/>
                <w:sz w:val="28"/>
                <w:szCs w:val="28"/>
              </w:rPr>
              <w:t xml:space="preserve">I. </w:t>
            </w:r>
            <w:r>
              <w:rPr>
                <w:rFonts w:ascii="Arial" w:eastAsia="Arial" w:hAnsi="Arial" w:cs="Arial"/>
                <w:color w:val="000000"/>
                <w:sz w:val="28"/>
                <w:szCs w:val="28"/>
              </w:rPr>
              <w:t>La adquisición o el servicio sólo puedan realizarse con una determinada persona, por tratarse de obras de arte, titularidad de patentes, registros, marcas específicas, derechos de autor u otros derechos exclusivos.</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lastRenderedPageBreak/>
              <w:t>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III. Se trate de servicios que requieran de experiencia, técnicas o equipos especiales, o se trate de la adquisición de bienes usados o de características especiales que solamente puedan ser prestados o suministrados por una sola persona.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lastRenderedPageBreak/>
              <w:t>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V. Existan circunstancias que puedan provocar pérdidas o costos adicionales importantes al erario.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VI. Pueda comprometerse información de naturaleza confidencial para el Estado o municipios, por razones de seguridad pública.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lastRenderedPageBreak/>
              <w:t>VII. Existan circunstancias extraordinarias o imprevisibles derivadas de riesgo o desastre. En este supuesto, la adquisición, arrendamiento y servicio deberá limitarse a lo estrictamente necesario para enfrentar tal eventualidad.</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VIII. Se hubiere rescindido un contrato, por causas imputables al proveedor o que la persona que habiendo resultado ganadora en una licitación, no concurra a la suscripción del contrato dentro del plazo establecido en esta Ley.</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En estos supuestos, la Oficialía Mayor, la entidad, el tribunal administrativo o el ayuntamiento podrá adjudicar el contrato al licitante que haya presentado la propuesta solvente más cercana a la ganadora y así, sucesivamente. En todo caso, la </w:t>
            </w:r>
            <w:r>
              <w:rPr>
                <w:rFonts w:ascii="Arial" w:eastAsia="Arial" w:hAnsi="Arial" w:cs="Arial"/>
                <w:color w:val="000000"/>
                <w:sz w:val="28"/>
                <w:szCs w:val="28"/>
              </w:rPr>
              <w:lastRenderedPageBreak/>
              <w:t>diferencia de precio no deberá de ser superior al diez por ciento, respecto de la propuesta ganadora.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IX. Se hubiere declarado desierto un procedimiento de invitación restringida.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X. Cuando se aseguren condiciones financieras que permitan al Estado o a los municipios cumplir con la obligación de pago de manera diferida, sin que ello implique un costo financiero adicional o </w:t>
            </w:r>
            <w:proofErr w:type="gramStart"/>
            <w:r>
              <w:rPr>
                <w:rFonts w:ascii="Arial" w:eastAsia="Arial" w:hAnsi="Arial" w:cs="Arial"/>
                <w:color w:val="000000"/>
                <w:sz w:val="28"/>
                <w:szCs w:val="28"/>
              </w:rPr>
              <w:t>que</w:t>
            </w:r>
            <w:proofErr w:type="gramEnd"/>
            <w:r>
              <w:rPr>
                <w:rFonts w:ascii="Arial" w:eastAsia="Arial" w:hAnsi="Arial" w:cs="Arial"/>
                <w:color w:val="000000"/>
                <w:sz w:val="28"/>
                <w:szCs w:val="28"/>
              </w:rPr>
              <w:t xml:space="preserve"> habiéndolo, sea inferior al del mercado, o</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XI. El importe de la operación no rebase los montos establecidos en el Presupuesto de Egresos del Gobierno del Estado del ejercicio correspondiente. Tratándose de arrendamientos de inmuebles se </w:t>
            </w:r>
            <w:r>
              <w:rPr>
                <w:rFonts w:ascii="Arial" w:eastAsia="Arial" w:hAnsi="Arial" w:cs="Arial"/>
                <w:color w:val="000000"/>
                <w:sz w:val="28"/>
                <w:szCs w:val="28"/>
              </w:rPr>
              <w:lastRenderedPageBreak/>
              <w:t>entenderá por importe de la operación el monto mensual de la renta.</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w:t>
            </w:r>
          </w:p>
          <w:p w:rsidR="0092265F" w:rsidRDefault="00E42899">
            <w:pPr>
              <w:pBdr>
                <w:top w:val="nil"/>
                <w:left w:val="nil"/>
                <w:bottom w:val="nil"/>
                <w:right w:val="nil"/>
                <w:between w:val="nil"/>
              </w:pBdr>
              <w:spacing w:before="280" w:after="280" w:line="360" w:lineRule="auto"/>
              <w:jc w:val="both"/>
              <w:rPr>
                <w:rFonts w:ascii="Arial" w:eastAsia="Arial" w:hAnsi="Arial" w:cs="Arial"/>
                <w:color w:val="000000"/>
                <w:sz w:val="28"/>
                <w:szCs w:val="28"/>
              </w:rPr>
            </w:pPr>
            <w:r>
              <w:rPr>
                <w:rFonts w:ascii="Arial" w:eastAsia="Arial" w:hAnsi="Arial" w:cs="Arial"/>
                <w:color w:val="000000"/>
                <w:sz w:val="28"/>
                <w:szCs w:val="28"/>
              </w:rPr>
              <w:t xml:space="preserve">XII. Se trate de bienes producidos por sociedades cooperativas, de producción rural, de interés colectivo, de solidaridad social, sociedades y asociaciones de fin social, cuyo objeto no sea preponderantemente lucrativo, </w:t>
            </w:r>
            <w:r>
              <w:rPr>
                <w:rFonts w:ascii="Arial" w:eastAsia="Arial" w:hAnsi="Arial" w:cs="Arial"/>
                <w:color w:val="000000"/>
                <w:sz w:val="28"/>
                <w:szCs w:val="28"/>
              </w:rPr>
              <w:lastRenderedPageBreak/>
              <w:t>producidos en el Estado de México y adquiridos directamente a éstas.</w:t>
            </w:r>
          </w:p>
          <w:p w:rsidR="0092265F" w:rsidRDefault="00E42899">
            <w:pPr>
              <w:pBdr>
                <w:top w:val="nil"/>
                <w:left w:val="nil"/>
                <w:bottom w:val="nil"/>
                <w:right w:val="nil"/>
                <w:between w:val="nil"/>
              </w:pBdr>
              <w:spacing w:before="280" w:line="360" w:lineRule="auto"/>
              <w:jc w:val="both"/>
              <w:rPr>
                <w:rFonts w:ascii="Arial" w:eastAsia="Arial" w:hAnsi="Arial" w:cs="Arial"/>
                <w:b/>
                <w:bCs/>
                <w:color w:val="000000"/>
                <w:sz w:val="28"/>
                <w:szCs w:val="28"/>
              </w:rPr>
            </w:pPr>
            <w:r>
              <w:rPr>
                <w:rFonts w:ascii="Arial" w:eastAsia="Arial" w:hAnsi="Arial" w:cs="Arial"/>
                <w:b/>
                <w:bCs/>
                <w:color w:val="000000"/>
                <w:sz w:val="28"/>
                <w:szCs w:val="28"/>
              </w:rPr>
              <w:t xml:space="preserve">En todos los casos, las adjudicaciones directas deberán registrarse y publicarse obligatoriamente en el sistema </w:t>
            </w:r>
            <w:proofErr w:type="spellStart"/>
            <w:r>
              <w:rPr>
                <w:rFonts w:ascii="Arial" w:eastAsia="Arial" w:hAnsi="Arial" w:cs="Arial"/>
                <w:b/>
                <w:bCs/>
                <w:color w:val="000000"/>
                <w:sz w:val="28"/>
                <w:szCs w:val="28"/>
              </w:rPr>
              <w:t>COMPRAMEX</w:t>
            </w:r>
            <w:proofErr w:type="spellEnd"/>
            <w:r>
              <w:rPr>
                <w:rFonts w:ascii="Arial" w:eastAsia="Arial" w:hAnsi="Arial" w:cs="Arial"/>
                <w:b/>
                <w:bCs/>
                <w:color w:val="000000"/>
                <w:sz w:val="28"/>
                <w:szCs w:val="28"/>
              </w:rPr>
              <w:t xml:space="preserve"> dentro de los diez días hábiles posteriores a la celebración del contrato, incluyendo, como mínimo, la justificación legal y técnica, el proveedor o contratista adjudicado, el monto, el objeto del contrato y el plazo de ejecución. </w:t>
            </w:r>
          </w:p>
        </w:tc>
      </w:tr>
    </w:tbl>
    <w:p w:rsidR="0092265F" w:rsidRDefault="00E42899">
      <w:pPr>
        <w:widowControl/>
        <w:pBdr>
          <w:top w:val="nil"/>
          <w:left w:val="nil"/>
          <w:bottom w:val="nil"/>
          <w:right w:val="nil"/>
          <w:between w:val="nil"/>
        </w:pBdr>
        <w:tabs>
          <w:tab w:val="left" w:pos="9923"/>
        </w:tabs>
        <w:spacing w:before="240" w:line="360" w:lineRule="auto"/>
        <w:ind w:left="709"/>
        <w:jc w:val="both"/>
        <w:rPr>
          <w:rFonts w:ascii="Arial" w:eastAsia="Arial" w:hAnsi="Arial" w:cs="Arial"/>
          <w:color w:val="000000"/>
          <w:sz w:val="28"/>
          <w:szCs w:val="28"/>
        </w:rPr>
      </w:pPr>
      <w:r>
        <w:rPr>
          <w:rFonts w:ascii="Arial" w:eastAsia="Arial" w:hAnsi="Arial" w:cs="Arial"/>
          <w:color w:val="000000"/>
          <w:sz w:val="28"/>
          <w:szCs w:val="28"/>
        </w:rPr>
        <w:lastRenderedPageBreak/>
        <w:t xml:space="preserve">En conclusión, la presente iniciativa tiene por objeto fortalecer el marco jurídico en materia de contratación pública en el Estado de México y sus municipios, mediante el establecimiento expreso de la obligatoriedad del uso del sistema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xml:space="preserve"> en los procedimientos de licitación pública y adjudicación directa, así como la imposición de plazos ciertos para la publicación de los actos que los integran, a fin de garantizar condiciones mínimas de transparencia, trazabilidad, control y acceso público a la información relacionada con el ejercicio de los recursos públicos.</w:t>
      </w:r>
    </w:p>
    <w:p w:rsidR="0092265F" w:rsidRDefault="00E42899">
      <w:pPr>
        <w:widowControl/>
        <w:pBdr>
          <w:top w:val="nil"/>
          <w:left w:val="nil"/>
          <w:bottom w:val="nil"/>
          <w:right w:val="nil"/>
          <w:between w:val="nil"/>
        </w:pBdr>
        <w:tabs>
          <w:tab w:val="left" w:pos="9923"/>
        </w:tabs>
        <w:spacing w:before="240" w:line="360" w:lineRule="auto"/>
        <w:ind w:left="709"/>
        <w:jc w:val="both"/>
        <w:rPr>
          <w:rFonts w:ascii="Arial" w:eastAsia="Arial" w:hAnsi="Arial" w:cs="Arial"/>
          <w:color w:val="000000"/>
          <w:sz w:val="28"/>
          <w:szCs w:val="28"/>
        </w:rPr>
      </w:pPr>
      <w:r>
        <w:rPr>
          <w:rFonts w:ascii="Arial" w:eastAsia="Arial" w:hAnsi="Arial" w:cs="Arial"/>
          <w:color w:val="000000"/>
          <w:sz w:val="28"/>
          <w:szCs w:val="28"/>
        </w:rPr>
        <w:lastRenderedPageBreak/>
        <w:t>Su aprobación representaría un avance sustantivo en la prevención de irregularidades administrativas y del desvío de recursos públicos, al reducir los márgenes de discrecionalidad, fortalecer la fiscalización superior y dotar de mayor certeza jurídica a la actuación de las dependencias estatales, entidades y ayuntamientos, contribuyendo a la consolidación de una gestión pública más transparente, eficiente y orientada a la rendición de cuentas, en beneficio del adecuado manejo del erario y de la confianza ciudadana en las instituciones del Estado de México.</w:t>
      </w:r>
    </w:p>
    <w:p w:rsidR="0092265F" w:rsidRDefault="00E42899">
      <w:pPr>
        <w:widowControl/>
        <w:pBdr>
          <w:top w:val="nil"/>
          <w:left w:val="nil"/>
          <w:bottom w:val="nil"/>
          <w:right w:val="nil"/>
          <w:between w:val="nil"/>
        </w:pBdr>
        <w:tabs>
          <w:tab w:val="left" w:pos="9923"/>
        </w:tabs>
        <w:spacing w:before="240" w:line="360" w:lineRule="auto"/>
        <w:ind w:left="709"/>
        <w:jc w:val="both"/>
        <w:rPr>
          <w:rFonts w:ascii="Arial" w:eastAsia="Arial" w:hAnsi="Arial" w:cs="Arial"/>
          <w:b/>
          <w:bCs/>
          <w:color w:val="000000"/>
          <w:sz w:val="28"/>
          <w:szCs w:val="28"/>
        </w:rPr>
      </w:pPr>
      <w:r>
        <w:rPr>
          <w:rFonts w:ascii="Arial" w:eastAsia="Arial" w:hAnsi="Arial" w:cs="Arial"/>
          <w:b/>
          <w:bCs/>
          <w:color w:val="000000"/>
          <w:sz w:val="28"/>
          <w:szCs w:val="28"/>
        </w:rPr>
        <w:t>DECRETO NÚMERO _______</w:t>
      </w:r>
    </w:p>
    <w:p w:rsidR="0092265F" w:rsidRDefault="00E42899">
      <w:pPr>
        <w:widowControl/>
        <w:pBdr>
          <w:top w:val="nil"/>
          <w:left w:val="nil"/>
          <w:bottom w:val="nil"/>
          <w:right w:val="nil"/>
          <w:between w:val="nil"/>
        </w:pBdr>
        <w:tabs>
          <w:tab w:val="left" w:pos="9923"/>
        </w:tabs>
        <w:spacing w:before="240" w:line="360" w:lineRule="auto"/>
        <w:ind w:left="709"/>
        <w:jc w:val="both"/>
        <w:rPr>
          <w:rFonts w:ascii="Arial" w:eastAsia="Arial" w:hAnsi="Arial" w:cs="Arial"/>
          <w:b/>
          <w:bCs/>
          <w:color w:val="000000"/>
          <w:sz w:val="28"/>
          <w:szCs w:val="28"/>
        </w:rPr>
      </w:pPr>
      <w:r>
        <w:rPr>
          <w:rFonts w:ascii="Arial" w:eastAsia="Arial" w:hAnsi="Arial" w:cs="Arial"/>
          <w:b/>
          <w:bCs/>
          <w:color w:val="000000"/>
          <w:sz w:val="28"/>
          <w:szCs w:val="28"/>
        </w:rPr>
        <w:t>LA H. “LXII” LEGISLATURA DEL ESTADO LIBRE Y SOBERANO DE MÉXICO DECRETA:</w:t>
      </w:r>
    </w:p>
    <w:p w:rsidR="0092265F" w:rsidRDefault="00674E67">
      <w:pPr>
        <w:widowControl/>
        <w:pBdr>
          <w:top w:val="nil"/>
          <w:left w:val="nil"/>
          <w:bottom w:val="nil"/>
          <w:right w:val="nil"/>
          <w:between w:val="nil"/>
        </w:pBdr>
        <w:tabs>
          <w:tab w:val="left" w:pos="9923"/>
        </w:tabs>
        <w:spacing w:before="240" w:line="360" w:lineRule="auto"/>
        <w:ind w:left="709"/>
        <w:jc w:val="both"/>
        <w:rPr>
          <w:rFonts w:ascii="Arial" w:eastAsia="Arial" w:hAnsi="Arial" w:cs="Arial"/>
          <w:b/>
          <w:bCs/>
          <w:color w:val="000000"/>
          <w:sz w:val="28"/>
          <w:szCs w:val="28"/>
        </w:rPr>
      </w:pPr>
      <w:r>
        <w:rPr>
          <w:rFonts w:ascii="Arial" w:eastAsia="Arial" w:hAnsi="Arial" w:cs="Arial"/>
          <w:b/>
          <w:bCs/>
          <w:color w:val="000000"/>
          <w:sz w:val="28"/>
          <w:szCs w:val="28"/>
        </w:rPr>
        <w:t>ARTÍCULO ÚNICO</w:t>
      </w:r>
      <w:r w:rsidR="00E42899">
        <w:rPr>
          <w:rFonts w:ascii="Arial" w:eastAsia="Arial" w:hAnsi="Arial" w:cs="Arial"/>
          <w:color w:val="000000"/>
          <w:sz w:val="28"/>
          <w:szCs w:val="28"/>
        </w:rPr>
        <w:t>: Se reforma</w:t>
      </w:r>
      <w:r>
        <w:rPr>
          <w:rFonts w:ascii="Arial" w:eastAsia="Arial" w:hAnsi="Arial" w:cs="Arial"/>
          <w:color w:val="000000"/>
          <w:sz w:val="28"/>
          <w:szCs w:val="28"/>
        </w:rPr>
        <w:t xml:space="preserve">n </w:t>
      </w:r>
      <w:r w:rsidR="00E42899">
        <w:rPr>
          <w:rFonts w:ascii="Arial" w:eastAsia="Arial" w:hAnsi="Arial" w:cs="Arial"/>
          <w:color w:val="000000"/>
          <w:sz w:val="28"/>
          <w:szCs w:val="28"/>
        </w:rPr>
        <w:t>l</w:t>
      </w:r>
      <w:r>
        <w:rPr>
          <w:rFonts w:ascii="Arial" w:eastAsia="Arial" w:hAnsi="Arial" w:cs="Arial"/>
          <w:color w:val="000000"/>
          <w:sz w:val="28"/>
          <w:szCs w:val="28"/>
        </w:rPr>
        <w:t>os</w:t>
      </w:r>
      <w:r w:rsidR="00E42899">
        <w:rPr>
          <w:rFonts w:ascii="Arial" w:eastAsia="Arial" w:hAnsi="Arial" w:cs="Arial"/>
          <w:color w:val="000000"/>
          <w:sz w:val="28"/>
          <w:szCs w:val="28"/>
        </w:rPr>
        <w:t xml:space="preserve"> artículo</w:t>
      </w:r>
      <w:r>
        <w:rPr>
          <w:rFonts w:ascii="Arial" w:eastAsia="Arial" w:hAnsi="Arial" w:cs="Arial"/>
          <w:color w:val="000000"/>
          <w:sz w:val="28"/>
          <w:szCs w:val="28"/>
        </w:rPr>
        <w:t>s</w:t>
      </w:r>
      <w:r w:rsidR="00E42899">
        <w:rPr>
          <w:rFonts w:ascii="Arial" w:eastAsia="Arial" w:hAnsi="Arial" w:cs="Arial"/>
          <w:color w:val="000000"/>
          <w:sz w:val="28"/>
          <w:szCs w:val="28"/>
        </w:rPr>
        <w:t xml:space="preserve"> 18</w:t>
      </w:r>
      <w:r>
        <w:rPr>
          <w:rFonts w:ascii="Arial" w:eastAsia="Arial" w:hAnsi="Arial" w:cs="Arial"/>
          <w:color w:val="000000"/>
          <w:sz w:val="28"/>
          <w:szCs w:val="28"/>
        </w:rPr>
        <w:t>, 26, 28 y 48</w:t>
      </w:r>
      <w:r w:rsidR="00E42899">
        <w:rPr>
          <w:rFonts w:ascii="Arial" w:eastAsia="Arial" w:hAnsi="Arial" w:cs="Arial"/>
          <w:color w:val="000000"/>
          <w:sz w:val="28"/>
          <w:szCs w:val="28"/>
        </w:rPr>
        <w:t xml:space="preserve"> de la Ley de Contratación Pública del Estado de México y Municipios, para quedar como sigue: </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b/>
          <w:bCs/>
          <w:color w:val="000000"/>
          <w:sz w:val="28"/>
          <w:szCs w:val="28"/>
        </w:rPr>
        <w:t xml:space="preserve">Artículo 18.- </w:t>
      </w:r>
      <w:r>
        <w:rPr>
          <w:rFonts w:ascii="Arial" w:eastAsia="Arial" w:hAnsi="Arial" w:cs="Arial"/>
          <w:color w:val="000000"/>
          <w:sz w:val="28"/>
          <w:szCs w:val="28"/>
        </w:rPr>
        <w:t xml:space="preserve"> Los procedimientos de adquisiciones, arrendamientos y servicios, que se realicen con cargo a recursos estatales, total o parcialmente, deberán desahogarse de manera obligatoria por conducto del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xml:space="preserve">. En el caso de los ayuntamientos, los actos, contratos o convenios que se celebren con cargo a recursos municipales, </w:t>
      </w:r>
      <w:proofErr w:type="spellStart"/>
      <w:r>
        <w:rPr>
          <w:rFonts w:ascii="Arial" w:eastAsia="Arial" w:hAnsi="Arial" w:cs="Arial"/>
          <w:color w:val="000000"/>
          <w:sz w:val="28"/>
          <w:szCs w:val="28"/>
        </w:rPr>
        <w:t>deberan</w:t>
      </w:r>
      <w:proofErr w:type="spellEnd"/>
      <w:r>
        <w:rPr>
          <w:rFonts w:ascii="Arial" w:eastAsia="Arial" w:hAnsi="Arial" w:cs="Arial"/>
          <w:color w:val="000000"/>
          <w:sz w:val="28"/>
          <w:szCs w:val="28"/>
        </w:rPr>
        <w:t xml:space="preserve"> publicarse en el sistema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xml:space="preserve">, dentro de los plazos previstos en la presente Ley, garantizando el acceso público a la información, salvo las </w:t>
      </w:r>
      <w:r>
        <w:rPr>
          <w:rFonts w:ascii="Arial" w:eastAsia="Arial" w:hAnsi="Arial" w:cs="Arial"/>
          <w:color w:val="000000"/>
          <w:sz w:val="28"/>
          <w:szCs w:val="28"/>
        </w:rPr>
        <w:lastRenderedPageBreak/>
        <w:t>excepciones establecidas en la legislación aplicable en materia de transparencia y protección de datos personales.</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El Reglamento de la presente Ley establecerá las modalidades bajo las cuales se desahogarán dichos procedimientos, atendiendo a la normatividad aplicable a cada uno de ellos.</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b/>
          <w:bCs/>
          <w:color w:val="000000"/>
          <w:sz w:val="28"/>
          <w:szCs w:val="28"/>
        </w:rPr>
      </w:pPr>
      <w:r>
        <w:rPr>
          <w:rFonts w:ascii="Arial" w:eastAsia="Arial" w:hAnsi="Arial" w:cs="Arial"/>
          <w:b/>
          <w:bCs/>
          <w:color w:val="000000"/>
          <w:sz w:val="28"/>
          <w:szCs w:val="28"/>
        </w:rPr>
        <w:t xml:space="preserve">Artículo 26.- </w:t>
      </w:r>
      <w:r>
        <w:rPr>
          <w:rFonts w:ascii="Arial" w:eastAsia="Arial" w:hAnsi="Arial" w:cs="Arial"/>
          <w:color w:val="000000"/>
          <w:sz w:val="28"/>
          <w:szCs w:val="28"/>
        </w:rPr>
        <w:t>Las adquisiciones, arrendamientos y servicios se adjudicarán a través de licitaciones públicas, mediante convocatoria pública.</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La licitación pública será la regla general para la adquisición de bienes, contratación de servicios y obra pública.</w:t>
      </w:r>
    </w:p>
    <w:p w:rsidR="0092265F" w:rsidRDefault="00E42899" w:rsidP="00674E67">
      <w:pPr>
        <w:widowControl/>
        <w:pBdr>
          <w:top w:val="nil"/>
          <w:left w:val="nil"/>
          <w:bottom w:val="nil"/>
          <w:right w:val="nil"/>
          <w:between w:val="nil"/>
        </w:pBdr>
        <w:ind w:left="1134"/>
        <w:rPr>
          <w:rFonts w:ascii="Arial" w:eastAsia="Arial" w:hAnsi="Arial" w:cs="Arial"/>
          <w:color w:val="000000"/>
          <w:sz w:val="28"/>
          <w:szCs w:val="28"/>
        </w:rPr>
      </w:pPr>
      <w:r>
        <w:rPr>
          <w:rFonts w:ascii="Arial" w:eastAsia="Arial" w:hAnsi="Arial" w:cs="Arial"/>
          <w:b/>
          <w:bCs/>
          <w:color w:val="000000"/>
          <w:sz w:val="28"/>
          <w:szCs w:val="28"/>
        </w:rPr>
        <w:t>Artículo 28.-</w:t>
      </w:r>
      <w:r>
        <w:rPr>
          <w:rFonts w:ascii="Arial" w:eastAsia="Arial" w:hAnsi="Arial" w:cs="Arial"/>
          <w:color w:val="000000"/>
          <w:sz w:val="28"/>
          <w:szCs w:val="28"/>
        </w:rPr>
        <w:t xml:space="preserve"> La licitación pública, conforme a los medios que se utilicen, podrá ser:</w:t>
      </w:r>
    </w:p>
    <w:p w:rsidR="0092265F" w:rsidRDefault="00E42899">
      <w:pPr>
        <w:widowControl/>
        <w:pBdr>
          <w:top w:val="nil"/>
          <w:left w:val="nil"/>
          <w:bottom w:val="nil"/>
          <w:right w:val="nil"/>
          <w:between w:val="nil"/>
        </w:pBdr>
        <w:spacing w:before="280" w:after="280" w:line="360" w:lineRule="auto"/>
        <w:ind w:left="1134"/>
        <w:rPr>
          <w:rFonts w:ascii="Arial" w:eastAsia="Arial" w:hAnsi="Arial" w:cs="Arial"/>
          <w:color w:val="000000"/>
          <w:sz w:val="28"/>
          <w:szCs w:val="28"/>
        </w:rPr>
      </w:pPr>
      <w:r>
        <w:rPr>
          <w:rFonts w:ascii="Arial" w:eastAsia="Arial" w:hAnsi="Arial" w:cs="Arial"/>
          <w:color w:val="000000"/>
          <w:sz w:val="28"/>
          <w:szCs w:val="28"/>
        </w:rPr>
        <w:t>I. Presencial, en la cual los licitantes exclusivamente podrán presentar sus propuestas en forma documental y por escrito, en sobre cerrado, durante el acto de presentación y apertura de propuestas, o bien, si así se prevé en la convocatoria a la licitación, mediante el uso del servicio postal.</w:t>
      </w:r>
    </w:p>
    <w:p w:rsidR="0092265F" w:rsidRDefault="00E42899">
      <w:pPr>
        <w:widowControl/>
        <w:pBdr>
          <w:top w:val="nil"/>
          <w:left w:val="nil"/>
          <w:bottom w:val="nil"/>
          <w:right w:val="nil"/>
          <w:between w:val="nil"/>
        </w:pBdr>
        <w:spacing w:before="280" w:after="280" w:line="360" w:lineRule="auto"/>
        <w:ind w:left="1134"/>
        <w:rPr>
          <w:rFonts w:ascii="Arial" w:eastAsia="Arial" w:hAnsi="Arial" w:cs="Arial"/>
          <w:color w:val="000000"/>
          <w:sz w:val="28"/>
          <w:szCs w:val="28"/>
        </w:rPr>
      </w:pPr>
      <w:r>
        <w:rPr>
          <w:rFonts w:ascii="Arial" w:eastAsia="Arial" w:hAnsi="Arial" w:cs="Arial"/>
          <w:color w:val="000000"/>
          <w:sz w:val="28"/>
          <w:szCs w:val="28"/>
        </w:rPr>
        <w:t>Bajo esta modalidad, la o las juntas de aclaraciones, el acto de presentación y la apertura de propuestas se realizarán de manera presencial, a los cuales podrán asistir los licitantes.</w:t>
      </w:r>
    </w:p>
    <w:p w:rsidR="0092265F" w:rsidRDefault="00E42899">
      <w:pPr>
        <w:widowControl/>
        <w:pBdr>
          <w:top w:val="nil"/>
          <w:left w:val="nil"/>
          <w:bottom w:val="nil"/>
          <w:right w:val="nil"/>
          <w:between w:val="nil"/>
        </w:pBdr>
        <w:spacing w:before="280" w:after="280" w:line="360" w:lineRule="auto"/>
        <w:ind w:left="1134"/>
        <w:rPr>
          <w:rFonts w:ascii="Arial" w:eastAsia="Arial" w:hAnsi="Arial" w:cs="Arial"/>
          <w:color w:val="000000"/>
          <w:sz w:val="28"/>
          <w:szCs w:val="28"/>
        </w:rPr>
      </w:pPr>
      <w:r>
        <w:rPr>
          <w:rFonts w:ascii="Arial" w:eastAsia="Arial" w:hAnsi="Arial" w:cs="Arial"/>
          <w:color w:val="000000"/>
          <w:sz w:val="28"/>
          <w:szCs w:val="28"/>
        </w:rPr>
        <w:t xml:space="preserve">II. Electrónica, en la cual exclusivamente se permitirá la participación de los licitantes a través de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xml:space="preserve">, se utilizarán medios de identificación </w:t>
      </w:r>
      <w:r>
        <w:rPr>
          <w:rFonts w:ascii="Arial" w:eastAsia="Arial" w:hAnsi="Arial" w:cs="Arial"/>
          <w:color w:val="000000"/>
          <w:sz w:val="28"/>
          <w:szCs w:val="28"/>
        </w:rPr>
        <w:lastRenderedPageBreak/>
        <w:t>electrónica, las comunicaciones producirán los efectos que señala la Ley de Gobierno Digital del Estado de México y Municipios.</w:t>
      </w:r>
    </w:p>
    <w:p w:rsidR="0092265F" w:rsidRDefault="00E42899">
      <w:pPr>
        <w:widowControl/>
        <w:pBdr>
          <w:top w:val="nil"/>
          <w:left w:val="nil"/>
          <w:bottom w:val="nil"/>
          <w:right w:val="nil"/>
          <w:between w:val="nil"/>
        </w:pBdr>
        <w:spacing w:before="280" w:after="280" w:line="360" w:lineRule="auto"/>
        <w:ind w:left="1134"/>
        <w:rPr>
          <w:rFonts w:ascii="Arial" w:eastAsia="Arial" w:hAnsi="Arial" w:cs="Arial"/>
          <w:color w:val="000000"/>
          <w:sz w:val="28"/>
          <w:szCs w:val="28"/>
        </w:rPr>
      </w:pPr>
      <w:r>
        <w:rPr>
          <w:rFonts w:ascii="Arial" w:eastAsia="Arial" w:hAnsi="Arial" w:cs="Arial"/>
          <w:color w:val="000000"/>
          <w:sz w:val="28"/>
          <w:szCs w:val="28"/>
        </w:rPr>
        <w:t xml:space="preserve">Bajo esta modalidad, la o las juntas de aclaraciones, el acto de presentación, la apertura de propuestas y el acto de fallo sólo se realizarán a través de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xml:space="preserve"> y sin la presencia de los licitantes en dichos actos, y</w:t>
      </w:r>
    </w:p>
    <w:p w:rsidR="0092265F" w:rsidRDefault="00E42899">
      <w:pPr>
        <w:widowControl/>
        <w:pBdr>
          <w:top w:val="nil"/>
          <w:left w:val="nil"/>
          <w:bottom w:val="nil"/>
          <w:right w:val="nil"/>
          <w:between w:val="nil"/>
        </w:pBdr>
        <w:spacing w:before="280" w:after="280" w:line="360" w:lineRule="auto"/>
        <w:ind w:left="1134"/>
        <w:rPr>
          <w:rFonts w:ascii="Arial" w:eastAsia="Arial" w:hAnsi="Arial" w:cs="Arial"/>
          <w:color w:val="000000"/>
          <w:sz w:val="28"/>
          <w:szCs w:val="28"/>
        </w:rPr>
      </w:pPr>
      <w:r>
        <w:rPr>
          <w:rFonts w:ascii="Arial" w:eastAsia="Arial" w:hAnsi="Arial" w:cs="Arial"/>
          <w:color w:val="000000"/>
          <w:sz w:val="28"/>
          <w:szCs w:val="28"/>
        </w:rPr>
        <w:t>III. Mixta, en la cual los licitantes, a su elección, podrán participar en forma presencial o electrónica en la o las juntas de aclaraciones, en el acto de presentación y en la apertura de propuestas, y el acto de fallo.</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 xml:space="preserve">En cualquiera de las modalidades señaladas en el presente artículo, la convocatoria, las bases, las juntas de aclaraciones, la presentación y apertura de propuestas, los fallos, los contratos y demás actos que integren el procedimiento de licitación pública deberán publicarse y tramitarse a través del sistema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dentro de los diez días hábiles siguientes a la celebración de cada uno de ellos, garantizando en todo momento el acceso público a la información, con excepción de aquella que, conforme a la legislación aplicable en materia de transparencia y protección de datos personales, tenga el carácter de reservada o confidencial.</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b/>
          <w:bCs/>
          <w:color w:val="000000"/>
          <w:sz w:val="28"/>
          <w:szCs w:val="28"/>
        </w:rPr>
      </w:pPr>
      <w:r>
        <w:rPr>
          <w:rFonts w:ascii="Arial" w:eastAsia="Arial" w:hAnsi="Arial" w:cs="Arial"/>
          <w:b/>
          <w:bCs/>
          <w:color w:val="000000"/>
          <w:sz w:val="28"/>
          <w:szCs w:val="28"/>
        </w:rPr>
        <w:t xml:space="preserve">Artículo 48.- </w:t>
      </w:r>
      <w:r>
        <w:rPr>
          <w:rFonts w:ascii="Arial" w:eastAsia="Arial" w:hAnsi="Arial" w:cs="Arial"/>
          <w:color w:val="000000"/>
          <w:sz w:val="28"/>
          <w:szCs w:val="28"/>
        </w:rPr>
        <w:t>La Oficialía Mayor, las entidades, los tribunales administrativos y los ayuntamientos podrán adquirir bienes, arrendar bienes muebles e inmuebles y contratar servicios, mediante adjudicación directa, cuando:</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b/>
          <w:bCs/>
          <w:color w:val="000000"/>
          <w:sz w:val="28"/>
          <w:szCs w:val="28"/>
        </w:rPr>
        <w:lastRenderedPageBreak/>
        <w:t xml:space="preserve">I. </w:t>
      </w:r>
      <w:r>
        <w:rPr>
          <w:rFonts w:ascii="Arial" w:eastAsia="Arial" w:hAnsi="Arial" w:cs="Arial"/>
          <w:color w:val="000000"/>
          <w:sz w:val="28"/>
          <w:szCs w:val="28"/>
        </w:rPr>
        <w:t>La adquisición o el servicio sólo puedan realizarse con una determinada persona, por tratarse de obras de arte, titularidad de patentes, registros, marcas específicas, derechos de autor u otros derechos exclusivos.</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III. Se trate de servicios que requieran de experiencia, técnicas o equipos especiales, o se trate de la adquisición de bienes usados o de características especiales que solamente puedan ser prestados o suministrados por una sola persona.</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V. Existan circunstancias que puedan provocar pérdidas o costos adicionales importantes al erario.</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lastRenderedPageBreak/>
        <w:t>VI. Pueda comprometerse información de naturaleza confidencial para el Estado o municipios, por razones de seguridad pública.</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VII. Existan circunstancias extraordinarias o imprevisibles derivadas de riesgo o desastre. En este supuesto, la adquisición, arrendamiento y servicio deberá limitarse a lo estrictamente necesario para enfrentar tal eventualidad.</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VIII. Se hubiere rescindido un contrato, por causas imputables al proveedor o que la persona que habiendo resultado ganadora en una licitación, no concurra a la suscripción del contrato dentro del plazo establecido en esta Ley.</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En estos supuestos, la Oficialía Mayor,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IX. Se hubiere declarado desierto un procedimiento de invitación restringida.</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 xml:space="preserve">X. Cuando se aseguren condiciones financieras que permitan al Estado o a los municipios cumplir con la obligación de pago de manera diferida, sin que ello implique un costo financiero adicional o </w:t>
      </w:r>
      <w:proofErr w:type="gramStart"/>
      <w:r>
        <w:rPr>
          <w:rFonts w:ascii="Arial" w:eastAsia="Arial" w:hAnsi="Arial" w:cs="Arial"/>
          <w:color w:val="000000"/>
          <w:sz w:val="28"/>
          <w:szCs w:val="28"/>
        </w:rPr>
        <w:t>que</w:t>
      </w:r>
      <w:proofErr w:type="gramEnd"/>
      <w:r>
        <w:rPr>
          <w:rFonts w:ascii="Arial" w:eastAsia="Arial" w:hAnsi="Arial" w:cs="Arial"/>
          <w:color w:val="000000"/>
          <w:sz w:val="28"/>
          <w:szCs w:val="28"/>
        </w:rPr>
        <w:t xml:space="preserve"> habiéndolo, sea inferior al del mercado, o</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lastRenderedPageBreak/>
        <w:t>XI. El importe de la operación no rebase los montos establecidos en el Presupuesto de Egresos del Gobierno del Estado del ejercicio correspondiente. Tratándose de arrendamientos de inmuebles se entenderá por importe de la operación el monto mensual de la renta.</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w:t>
      </w:r>
    </w:p>
    <w:p w:rsidR="0092265F" w:rsidRDefault="00E42899">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r>
        <w:rPr>
          <w:rFonts w:ascii="Arial" w:eastAsia="Arial" w:hAnsi="Arial" w:cs="Arial"/>
          <w:color w:val="000000"/>
          <w:sz w:val="28"/>
          <w:szCs w:val="28"/>
        </w:rPr>
        <w:t xml:space="preserve">En todos los casos, las adjudicaciones directas deberán registrarse y publicarse obligatoriamente en el sistema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xml:space="preserve"> dentro de los diez días hábiles posteriores a la celebración del contrato, incluyendo, como mínimo, la justificación legal y técnica, el proveedor o contratista adjudicado, el monto, el objeto del contrato y el plazo de ejecución.</w:t>
      </w:r>
    </w:p>
    <w:p w:rsidR="0092265F" w:rsidRDefault="0092265F">
      <w:pPr>
        <w:widowControl/>
        <w:pBdr>
          <w:top w:val="nil"/>
          <w:left w:val="nil"/>
          <w:bottom w:val="nil"/>
          <w:right w:val="nil"/>
          <w:between w:val="nil"/>
        </w:pBdr>
        <w:spacing w:before="280" w:after="280" w:line="360" w:lineRule="auto"/>
        <w:ind w:left="1134"/>
        <w:jc w:val="both"/>
        <w:rPr>
          <w:rFonts w:ascii="Arial" w:eastAsia="Arial" w:hAnsi="Arial" w:cs="Arial"/>
          <w:color w:val="000000"/>
          <w:sz w:val="28"/>
          <w:szCs w:val="28"/>
        </w:rPr>
      </w:pPr>
    </w:p>
    <w:p w:rsidR="00674E67" w:rsidRDefault="00674E67">
      <w:pPr>
        <w:tabs>
          <w:tab w:val="left" w:pos="9923"/>
        </w:tabs>
        <w:spacing w:before="240" w:line="360" w:lineRule="auto"/>
        <w:jc w:val="center"/>
        <w:rPr>
          <w:rFonts w:ascii="Arial" w:eastAsia="Arial" w:hAnsi="Arial" w:cs="Arial"/>
          <w:b/>
          <w:bCs/>
          <w:color w:val="000000"/>
          <w:sz w:val="28"/>
          <w:szCs w:val="28"/>
        </w:rPr>
      </w:pPr>
    </w:p>
    <w:p w:rsidR="0092265F" w:rsidRDefault="00E42899">
      <w:pPr>
        <w:tabs>
          <w:tab w:val="left" w:pos="9923"/>
        </w:tabs>
        <w:spacing w:before="240" w:line="360" w:lineRule="auto"/>
        <w:jc w:val="center"/>
        <w:rPr>
          <w:rFonts w:ascii="Arial" w:eastAsia="Arial" w:hAnsi="Arial" w:cs="Arial"/>
          <w:b/>
          <w:bCs/>
          <w:sz w:val="28"/>
          <w:szCs w:val="28"/>
        </w:rPr>
      </w:pPr>
      <w:r>
        <w:rPr>
          <w:rFonts w:ascii="Arial" w:eastAsia="Arial" w:hAnsi="Arial" w:cs="Arial"/>
          <w:b/>
          <w:bCs/>
          <w:sz w:val="28"/>
          <w:szCs w:val="28"/>
        </w:rPr>
        <w:lastRenderedPageBreak/>
        <w:t>T R A N S I T O R I O S</w:t>
      </w:r>
    </w:p>
    <w:p w:rsidR="0092265F" w:rsidRDefault="00E42899">
      <w:pPr>
        <w:widowControl/>
        <w:pBdr>
          <w:top w:val="nil"/>
          <w:left w:val="nil"/>
          <w:bottom w:val="nil"/>
          <w:right w:val="nil"/>
          <w:between w:val="nil"/>
        </w:pBdr>
        <w:tabs>
          <w:tab w:val="left" w:pos="9923"/>
        </w:tabs>
        <w:spacing w:before="240" w:line="360" w:lineRule="auto"/>
        <w:ind w:left="851"/>
        <w:jc w:val="both"/>
        <w:rPr>
          <w:rFonts w:ascii="Arial" w:eastAsia="Arial" w:hAnsi="Arial" w:cs="Arial"/>
          <w:b/>
          <w:bCs/>
          <w:color w:val="000000"/>
          <w:sz w:val="28"/>
          <w:szCs w:val="28"/>
        </w:rPr>
      </w:pPr>
      <w:r>
        <w:rPr>
          <w:rFonts w:ascii="Arial" w:eastAsia="Arial" w:hAnsi="Arial" w:cs="Arial"/>
          <w:b/>
          <w:bCs/>
          <w:color w:val="000000"/>
          <w:sz w:val="28"/>
          <w:szCs w:val="28"/>
        </w:rPr>
        <w:t>PRIMERO. </w:t>
      </w:r>
      <w:r>
        <w:rPr>
          <w:rFonts w:ascii="Arial" w:eastAsia="Arial" w:hAnsi="Arial" w:cs="Arial"/>
          <w:color w:val="000000"/>
          <w:sz w:val="28"/>
          <w:szCs w:val="28"/>
        </w:rPr>
        <w:t>El presente Decreto entrará en vigor al día siguiente de su publicación en el Periódico Oficial “Gaceta del Gobierno”.</w:t>
      </w:r>
    </w:p>
    <w:p w:rsidR="0092265F" w:rsidRDefault="00E42899">
      <w:pPr>
        <w:widowControl/>
        <w:pBdr>
          <w:top w:val="nil"/>
          <w:left w:val="nil"/>
          <w:bottom w:val="nil"/>
          <w:right w:val="nil"/>
          <w:between w:val="nil"/>
        </w:pBdr>
        <w:tabs>
          <w:tab w:val="left" w:pos="9923"/>
        </w:tabs>
        <w:spacing w:before="240" w:line="360" w:lineRule="auto"/>
        <w:ind w:left="851"/>
        <w:jc w:val="both"/>
        <w:rPr>
          <w:rFonts w:ascii="Arial" w:eastAsia="Arial" w:hAnsi="Arial" w:cs="Arial"/>
          <w:color w:val="000000"/>
          <w:sz w:val="28"/>
          <w:szCs w:val="28"/>
        </w:rPr>
      </w:pPr>
      <w:r>
        <w:rPr>
          <w:rFonts w:ascii="Arial" w:eastAsia="Arial" w:hAnsi="Arial" w:cs="Arial"/>
          <w:b/>
          <w:bCs/>
          <w:color w:val="000000"/>
          <w:sz w:val="28"/>
          <w:szCs w:val="28"/>
        </w:rPr>
        <w:t>SEGUNDO. </w:t>
      </w:r>
      <w:r>
        <w:rPr>
          <w:rFonts w:ascii="Arial" w:eastAsia="Arial" w:hAnsi="Arial" w:cs="Arial"/>
          <w:color w:val="000000"/>
          <w:sz w:val="28"/>
          <w:szCs w:val="28"/>
        </w:rPr>
        <w:t>El Ejecutivo del Estado contará con un plazo de noventa días naturales para realizar las adecuaciones reglamentarias necesarias para el cumplimiento del presente Decreto.</w:t>
      </w:r>
    </w:p>
    <w:p w:rsidR="0092265F" w:rsidRDefault="00E42899">
      <w:pPr>
        <w:widowControl/>
        <w:pBdr>
          <w:top w:val="nil"/>
          <w:left w:val="nil"/>
          <w:bottom w:val="nil"/>
          <w:right w:val="nil"/>
          <w:between w:val="nil"/>
        </w:pBdr>
        <w:tabs>
          <w:tab w:val="left" w:pos="9923"/>
        </w:tabs>
        <w:spacing w:before="240" w:line="360" w:lineRule="auto"/>
        <w:ind w:left="851"/>
        <w:jc w:val="both"/>
        <w:rPr>
          <w:rFonts w:ascii="Arial" w:eastAsia="Arial" w:hAnsi="Arial" w:cs="Arial"/>
          <w:color w:val="000000"/>
          <w:sz w:val="28"/>
          <w:szCs w:val="28"/>
        </w:rPr>
      </w:pPr>
      <w:r>
        <w:rPr>
          <w:rFonts w:ascii="Arial" w:eastAsia="Arial" w:hAnsi="Arial" w:cs="Arial"/>
          <w:b/>
          <w:bCs/>
          <w:color w:val="000000"/>
          <w:sz w:val="28"/>
          <w:szCs w:val="28"/>
        </w:rPr>
        <w:t>TERCERO. </w:t>
      </w:r>
      <w:r>
        <w:rPr>
          <w:rFonts w:ascii="Arial" w:eastAsia="Arial" w:hAnsi="Arial" w:cs="Arial"/>
          <w:color w:val="000000"/>
          <w:sz w:val="28"/>
          <w:szCs w:val="28"/>
        </w:rPr>
        <w:t xml:space="preserve">Las dependencias, organismos auxiliares y ayuntamientos deberán realizar las acciones de capacitación y adecuación tecnológica necesarias para garantizar el uso obligatorio del sistema </w:t>
      </w:r>
      <w:proofErr w:type="spellStart"/>
      <w:r>
        <w:rPr>
          <w:rFonts w:ascii="Arial" w:eastAsia="Arial" w:hAnsi="Arial" w:cs="Arial"/>
          <w:color w:val="000000"/>
          <w:sz w:val="28"/>
          <w:szCs w:val="28"/>
        </w:rPr>
        <w:t>COMPRAMEX</w:t>
      </w:r>
      <w:proofErr w:type="spellEnd"/>
      <w:r>
        <w:rPr>
          <w:rFonts w:ascii="Arial" w:eastAsia="Arial" w:hAnsi="Arial" w:cs="Arial"/>
          <w:color w:val="000000"/>
          <w:sz w:val="28"/>
          <w:szCs w:val="28"/>
        </w:rPr>
        <w:t>, dentro de los ciento ochenta días naturales siguientes a la entrada en vigor del presente Decreto.</w:t>
      </w:r>
    </w:p>
    <w:p w:rsidR="0092265F" w:rsidRDefault="00E42899" w:rsidP="00154655">
      <w:pPr>
        <w:widowControl/>
        <w:pBdr>
          <w:top w:val="nil"/>
          <w:left w:val="nil"/>
          <w:bottom w:val="nil"/>
          <w:right w:val="nil"/>
          <w:between w:val="nil"/>
        </w:pBdr>
        <w:tabs>
          <w:tab w:val="left" w:pos="9923"/>
        </w:tabs>
        <w:spacing w:before="240" w:line="360" w:lineRule="auto"/>
        <w:ind w:left="851"/>
        <w:jc w:val="both"/>
        <w:rPr>
          <w:rFonts w:ascii="Arial" w:eastAsia="Arial" w:hAnsi="Arial" w:cs="Arial"/>
          <w:b/>
          <w:bCs/>
          <w:color w:val="000000"/>
          <w:sz w:val="28"/>
          <w:szCs w:val="28"/>
        </w:rPr>
      </w:pPr>
      <w:r>
        <w:rPr>
          <w:rFonts w:ascii="Arial" w:eastAsia="Arial" w:hAnsi="Arial" w:cs="Arial"/>
          <w:b/>
          <w:bCs/>
          <w:color w:val="000000"/>
          <w:sz w:val="28"/>
          <w:szCs w:val="28"/>
        </w:rPr>
        <w:t xml:space="preserve">CUARTO. </w:t>
      </w:r>
      <w:r>
        <w:rPr>
          <w:rFonts w:ascii="Arial" w:eastAsia="Arial" w:hAnsi="Arial" w:cs="Arial"/>
          <w:color w:val="000000"/>
          <w:sz w:val="28"/>
          <w:szCs w:val="28"/>
        </w:rPr>
        <w:t>Los procedimientos de contratación iniciados con anterioridad a la entrada en vigor del presente Decreto se concluirán conforme a la normatividad vigente al momento de su inicio.</w:t>
      </w:r>
    </w:p>
    <w:p w:rsidR="0092265F" w:rsidRDefault="00E42899" w:rsidP="000E040B">
      <w:pPr>
        <w:tabs>
          <w:tab w:val="left" w:pos="9923"/>
        </w:tabs>
        <w:spacing w:before="240" w:line="360" w:lineRule="auto"/>
        <w:ind w:right="130"/>
        <w:jc w:val="center"/>
        <w:rPr>
          <w:rFonts w:ascii="Arial" w:eastAsia="Arial" w:hAnsi="Arial" w:cs="Arial"/>
          <w:sz w:val="28"/>
          <w:szCs w:val="28"/>
        </w:rPr>
      </w:pPr>
      <w:proofErr w:type="spellStart"/>
      <w:r>
        <w:rPr>
          <w:rFonts w:ascii="Arial" w:eastAsia="Arial" w:hAnsi="Arial" w:cs="Arial"/>
          <w:b/>
          <w:bCs/>
          <w:color w:val="000000"/>
          <w:sz w:val="28"/>
          <w:szCs w:val="28"/>
        </w:rPr>
        <w:t>D</w:t>
      </w:r>
      <w:bookmarkStart w:id="0" w:name="_GoBack"/>
      <w:bookmarkEnd w:id="0"/>
      <w:r>
        <w:rPr>
          <w:rFonts w:ascii="Arial" w:eastAsia="Arial" w:hAnsi="Arial" w:cs="Arial"/>
          <w:b/>
          <w:bCs/>
          <w:color w:val="000000"/>
          <w:sz w:val="28"/>
          <w:szCs w:val="28"/>
        </w:rPr>
        <w:t>ip</w:t>
      </w:r>
      <w:proofErr w:type="spellEnd"/>
      <w:r>
        <w:rPr>
          <w:rFonts w:ascii="Arial" w:eastAsia="Arial" w:hAnsi="Arial" w:cs="Arial"/>
          <w:b/>
          <w:bCs/>
          <w:color w:val="000000"/>
          <w:sz w:val="28"/>
          <w:szCs w:val="28"/>
        </w:rPr>
        <w:t>. Octavio Martínez Vargas</w:t>
      </w:r>
    </w:p>
    <w:sectPr w:rsidR="0092265F" w:rsidSect="00154655">
      <w:headerReference w:type="default" r:id="rId7"/>
      <w:footerReference w:type="default" r:id="rId8"/>
      <w:pgSz w:w="12240" w:h="15840"/>
      <w:pgMar w:top="2694" w:right="900" w:bottom="1135"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DB3" w:rsidRDefault="00E42899">
      <w:r>
        <w:separator/>
      </w:r>
    </w:p>
  </w:endnote>
  <w:endnote w:type="continuationSeparator" w:id="0">
    <w:p w:rsidR="00474DB3" w:rsidRDefault="00E4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embedRegular r:id="rId1" w:fontKey="{BEE76C16-F316-4E30-AE1D-A49801E2426C}"/>
    <w:embedBold r:id="rId2" w:fontKey="{5B655195-A689-4C99-89FA-02AADADFD25F}"/>
    <w:embedItalic r:id="rId3" w:fontKey="{888B9470-ED3A-4CB1-B87D-B4DF652E040C}"/>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01BD8EBD-1642-4482-AC7D-AB42FF12D9DF}"/>
  </w:font>
  <w:font w:name="Calibri">
    <w:panose1 w:val="020F0502020204030204"/>
    <w:charset w:val="00"/>
    <w:family w:val="swiss"/>
    <w:pitch w:val="variable"/>
    <w:sig w:usb0="E4002EFF" w:usb1="C000247B" w:usb2="00000009" w:usb3="00000000" w:csb0="000001FF" w:csb1="00000000"/>
    <w:embedRegular r:id="rId5" w:fontKey="{DB38567B-342C-4BC1-868A-3F9E8219B3E0}"/>
  </w:font>
  <w:font w:name="Georgia">
    <w:panose1 w:val="02040502050405020303"/>
    <w:charset w:val="00"/>
    <w:family w:val="roman"/>
    <w:pitch w:val="variable"/>
    <w:sig w:usb0="00000287" w:usb1="00000000" w:usb2="00000000" w:usb3="00000000" w:csb0="0000009F" w:csb1="00000000"/>
    <w:embedItalic r:id="rId6" w:fontKey="{9D6306E6-E4F2-4B09-AD1E-458CBDCEA50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837DA0B9-7024-458E-9061-7235D56ABB0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65F" w:rsidRDefault="00E42899">
    <w:pPr>
      <w:pBdr>
        <w:top w:val="nil"/>
        <w:left w:val="nil"/>
        <w:bottom w:val="nil"/>
        <w:right w:val="nil"/>
        <w:between w:val="nil"/>
      </w:pBdr>
      <w:tabs>
        <w:tab w:val="center" w:pos="4419"/>
        <w:tab w:val="right" w:pos="8838"/>
      </w:tabs>
      <w:rPr>
        <w:color w:val="000000"/>
      </w:rPr>
    </w:pPr>
    <w:r>
      <w:rPr>
        <w:noProof/>
      </w:rPr>
      <mc:AlternateContent>
        <mc:Choice Requires="wpg">
          <w:drawing>
            <wp:anchor distT="0" distB="0" distL="0" distR="0" simplePos="0" relativeHeight="251663360" behindDoc="1" locked="0" layoutInCell="1" hidden="0" allowOverlap="1">
              <wp:simplePos x="0" y="0"/>
              <wp:positionH relativeFrom="column">
                <wp:posOffset>-456564</wp:posOffset>
              </wp:positionH>
              <wp:positionV relativeFrom="paragraph">
                <wp:posOffset>8893545</wp:posOffset>
              </wp:positionV>
              <wp:extent cx="7772400" cy="1198880"/>
              <wp:effectExtent l="0" t="0" r="0" b="0"/>
              <wp:wrapNone/>
              <wp:docPr id="1109417132" name=""/>
              <wp:cNvGraphicFramePr/>
              <a:graphic xmlns:a="http://schemas.openxmlformats.org/drawingml/2006/main">
                <a:graphicData uri="http://schemas.microsoft.com/office/word/2010/wordprocessingGroup">
                  <wpg:wgp>
                    <wpg:cNvGrpSpPr/>
                    <wpg:grpSpPr>
                      <a:xfrm>
                        <a:off x="0" y="0"/>
                        <a:ext cx="7772400" cy="1198880"/>
                        <a:chOff x="1459800" y="3180550"/>
                        <a:chExt cx="7772400" cy="1198900"/>
                      </a:xfrm>
                    </wpg:grpSpPr>
                    <wpg:grpSp>
                      <wpg:cNvPr id="2" name="Grupo 2"/>
                      <wpg:cNvGrpSpPr/>
                      <wpg:grpSpPr>
                        <a:xfrm>
                          <a:off x="1459800" y="3180560"/>
                          <a:ext cx="7772400" cy="1198880"/>
                          <a:chOff x="0" y="0"/>
                          <a:chExt cx="7772400" cy="1199107"/>
                        </a:xfrm>
                      </wpg:grpSpPr>
                      <wps:wsp>
                        <wps:cNvPr id="3" name="Rectángulo 3"/>
                        <wps:cNvSpPr/>
                        <wps:spPr>
                          <a:xfrm>
                            <a:off x="0" y="0"/>
                            <a:ext cx="7772400" cy="1199100"/>
                          </a:xfrm>
                          <a:prstGeom prst="rect">
                            <a:avLst/>
                          </a:prstGeom>
                          <a:noFill/>
                          <a:ln>
                            <a:noFill/>
                          </a:ln>
                        </wps:spPr>
                        <wps:txbx>
                          <w:txbxContent>
                            <w:p w:rsidR="0092265F" w:rsidRDefault="0092265F">
                              <w:pPr>
                                <w:textDirection w:val="btLr"/>
                              </w:pPr>
                            </w:p>
                          </w:txbxContent>
                        </wps:txbx>
                        <wps:bodyPr spcFirstLastPara="1" wrap="square" lIns="91425" tIns="91425" rIns="91425" bIns="91425" anchor="ctr" anchorCtr="0">
                          <a:noAutofit/>
                        </wps:bodyPr>
                      </wps:wsp>
                      <wps:wsp>
                        <wps:cNvPr id="4" name="Forma libre 4"/>
                        <wps:cNvSpPr/>
                        <wps:spPr>
                          <a:xfrm>
                            <a:off x="0" y="353923"/>
                            <a:ext cx="7772400" cy="845184"/>
                          </a:xfrm>
                          <a:custGeom>
                            <a:avLst/>
                            <a:gdLst/>
                            <a:ahLst/>
                            <a:cxnLst/>
                            <a:rect l="l" t="t" r="r" b="b"/>
                            <a:pathLst>
                              <a:path w="7772400" h="845185" extrusionOk="0">
                                <a:moveTo>
                                  <a:pt x="7771777" y="0"/>
                                </a:moveTo>
                                <a:lnTo>
                                  <a:pt x="0" y="0"/>
                                </a:lnTo>
                                <a:lnTo>
                                  <a:pt x="0" y="844689"/>
                                </a:lnTo>
                                <a:lnTo>
                                  <a:pt x="7771777" y="844689"/>
                                </a:lnTo>
                                <a:lnTo>
                                  <a:pt x="7771777" y="0"/>
                                </a:lnTo>
                                <a:close/>
                              </a:path>
                            </a:pathLst>
                          </a:custGeom>
                          <a:solidFill>
                            <a:srgbClr val="B28D5E"/>
                          </a:solidFill>
                          <a:ln>
                            <a:noFill/>
                          </a:ln>
                        </wps:spPr>
                        <wps:bodyPr spcFirstLastPara="1" wrap="square" lIns="91425" tIns="91425" rIns="91425" bIns="91425" anchor="ctr" anchorCtr="0">
                          <a:noAutofit/>
                        </wps:bodyPr>
                      </wps:wsp>
                      <wps:wsp>
                        <wps:cNvPr id="5" name="Forma libre 5"/>
                        <wps:cNvSpPr/>
                        <wps:spPr>
                          <a:xfrm>
                            <a:off x="0" y="299338"/>
                            <a:ext cx="7772400" cy="54610"/>
                          </a:xfrm>
                          <a:custGeom>
                            <a:avLst/>
                            <a:gdLst/>
                            <a:ahLst/>
                            <a:cxnLst/>
                            <a:rect l="l" t="t" r="r" b="b"/>
                            <a:pathLst>
                              <a:path w="7772400" h="54610" extrusionOk="0">
                                <a:moveTo>
                                  <a:pt x="7771777" y="0"/>
                                </a:moveTo>
                                <a:lnTo>
                                  <a:pt x="0" y="0"/>
                                </a:lnTo>
                                <a:lnTo>
                                  <a:pt x="0" y="54584"/>
                                </a:lnTo>
                                <a:lnTo>
                                  <a:pt x="7771777" y="54584"/>
                                </a:lnTo>
                                <a:lnTo>
                                  <a:pt x="7771777" y="0"/>
                                </a:lnTo>
                                <a:close/>
                              </a:path>
                            </a:pathLst>
                          </a:custGeom>
                          <a:solidFill>
                            <a:srgbClr val="901250"/>
                          </a:solidFill>
                          <a:ln>
                            <a:noFill/>
                          </a:ln>
                        </wps:spPr>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3831779" y="845144"/>
                            <a:ext cx="107899" cy="108978"/>
                          </a:xfrm>
                          <a:prstGeom prst="rect">
                            <a:avLst/>
                          </a:prstGeom>
                          <a:noFill/>
                          <a:ln>
                            <a:noFill/>
                          </a:ln>
                        </pic:spPr>
                      </pic:pic>
                      <wps:wsp>
                        <wps:cNvPr id="7" name="Forma libre 7"/>
                        <wps:cNvSpPr/>
                        <wps:spPr>
                          <a:xfrm>
                            <a:off x="3640086" y="1009781"/>
                            <a:ext cx="494030" cy="63500"/>
                          </a:xfrm>
                          <a:custGeom>
                            <a:avLst/>
                            <a:gdLst/>
                            <a:ahLst/>
                            <a:cxnLst/>
                            <a:rect l="l" t="t" r="r" b="b"/>
                            <a:pathLst>
                              <a:path w="494030" h="63500" extrusionOk="0">
                                <a:moveTo>
                                  <a:pt x="114858" y="55092"/>
                                </a:moveTo>
                                <a:lnTo>
                                  <a:pt x="113538" y="51904"/>
                                </a:lnTo>
                                <a:lnTo>
                                  <a:pt x="69253" y="7620"/>
                                </a:lnTo>
                                <a:lnTo>
                                  <a:pt x="61633" y="0"/>
                                </a:lnTo>
                                <a:lnTo>
                                  <a:pt x="53225" y="0"/>
                                </a:lnTo>
                                <a:lnTo>
                                  <a:pt x="1320" y="51904"/>
                                </a:lnTo>
                                <a:lnTo>
                                  <a:pt x="0" y="55092"/>
                                </a:lnTo>
                                <a:lnTo>
                                  <a:pt x="0" y="61899"/>
                                </a:lnTo>
                                <a:lnTo>
                                  <a:pt x="546" y="63207"/>
                                </a:lnTo>
                                <a:lnTo>
                                  <a:pt x="8699" y="63207"/>
                                </a:lnTo>
                                <a:lnTo>
                                  <a:pt x="7188" y="61709"/>
                                </a:lnTo>
                                <a:lnTo>
                                  <a:pt x="6540" y="60159"/>
                                </a:lnTo>
                                <a:lnTo>
                                  <a:pt x="6540" y="56845"/>
                                </a:lnTo>
                                <a:lnTo>
                                  <a:pt x="7188" y="55295"/>
                                </a:lnTo>
                                <a:lnTo>
                                  <a:pt x="54216" y="8267"/>
                                </a:lnTo>
                                <a:lnTo>
                                  <a:pt x="55778" y="7620"/>
                                </a:lnTo>
                                <a:lnTo>
                                  <a:pt x="59080" y="7620"/>
                                </a:lnTo>
                                <a:lnTo>
                                  <a:pt x="60642" y="8267"/>
                                </a:lnTo>
                                <a:lnTo>
                                  <a:pt x="107670" y="55295"/>
                                </a:lnTo>
                                <a:lnTo>
                                  <a:pt x="108318" y="56845"/>
                                </a:lnTo>
                                <a:lnTo>
                                  <a:pt x="108318" y="60159"/>
                                </a:lnTo>
                                <a:lnTo>
                                  <a:pt x="107670" y="61709"/>
                                </a:lnTo>
                                <a:lnTo>
                                  <a:pt x="106159" y="63207"/>
                                </a:lnTo>
                                <a:lnTo>
                                  <a:pt x="114312" y="63207"/>
                                </a:lnTo>
                                <a:lnTo>
                                  <a:pt x="114858" y="61899"/>
                                </a:lnTo>
                                <a:lnTo>
                                  <a:pt x="114858" y="55092"/>
                                </a:lnTo>
                                <a:close/>
                              </a:path>
                              <a:path w="494030" h="63500" extrusionOk="0">
                                <a:moveTo>
                                  <a:pt x="493458" y="55410"/>
                                </a:moveTo>
                                <a:lnTo>
                                  <a:pt x="446100" y="8051"/>
                                </a:lnTo>
                                <a:lnTo>
                                  <a:pt x="438835" y="787"/>
                                </a:lnTo>
                                <a:lnTo>
                                  <a:pt x="430758" y="787"/>
                                </a:lnTo>
                                <a:lnTo>
                                  <a:pt x="376135" y="55410"/>
                                </a:lnTo>
                                <a:lnTo>
                                  <a:pt x="376135" y="63207"/>
                                </a:lnTo>
                                <a:lnTo>
                                  <a:pt x="385102" y="63207"/>
                                </a:lnTo>
                                <a:lnTo>
                                  <a:pt x="383311" y="61417"/>
                                </a:lnTo>
                                <a:lnTo>
                                  <a:pt x="383311" y="57492"/>
                                </a:lnTo>
                                <a:lnTo>
                                  <a:pt x="432752" y="8051"/>
                                </a:lnTo>
                                <a:lnTo>
                                  <a:pt x="436841" y="8051"/>
                                </a:lnTo>
                                <a:lnTo>
                                  <a:pt x="486283" y="57492"/>
                                </a:lnTo>
                                <a:lnTo>
                                  <a:pt x="486283" y="61417"/>
                                </a:lnTo>
                                <a:lnTo>
                                  <a:pt x="484479" y="63207"/>
                                </a:lnTo>
                                <a:lnTo>
                                  <a:pt x="493458" y="63207"/>
                                </a:lnTo>
                                <a:lnTo>
                                  <a:pt x="493458" y="55410"/>
                                </a:lnTo>
                                <a:close/>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2">
                            <a:alphaModFix/>
                          </a:blip>
                          <a:srcRect/>
                          <a:stretch/>
                        </pic:blipFill>
                        <pic:spPr>
                          <a:xfrm>
                            <a:off x="3726588" y="915261"/>
                            <a:ext cx="321129" cy="162753"/>
                          </a:xfrm>
                          <a:prstGeom prst="rect">
                            <a:avLst/>
                          </a:prstGeom>
                          <a:noFill/>
                          <a:ln>
                            <a:noFill/>
                          </a:ln>
                        </pic:spPr>
                      </pic:pic>
                      <wps:wsp>
                        <wps:cNvPr id="9" name="Forma libre 9"/>
                        <wps:cNvSpPr/>
                        <wps:spPr>
                          <a:xfrm>
                            <a:off x="3559561" y="0"/>
                            <a:ext cx="653415" cy="653415"/>
                          </a:xfrm>
                          <a:custGeom>
                            <a:avLst/>
                            <a:gdLst/>
                            <a:ahLst/>
                            <a:cxnLst/>
                            <a:rect l="l" t="t" r="r" b="b"/>
                            <a:pathLst>
                              <a:path w="653415" h="653415" extrusionOk="0">
                                <a:moveTo>
                                  <a:pt x="326478" y="0"/>
                                </a:moveTo>
                                <a:lnTo>
                                  <a:pt x="278235" y="3539"/>
                                </a:lnTo>
                                <a:lnTo>
                                  <a:pt x="232190" y="13822"/>
                                </a:lnTo>
                                <a:lnTo>
                                  <a:pt x="188846" y="30342"/>
                                </a:lnTo>
                                <a:lnTo>
                                  <a:pt x="148710" y="52596"/>
                                </a:lnTo>
                                <a:lnTo>
                                  <a:pt x="112287" y="80077"/>
                                </a:lnTo>
                                <a:lnTo>
                                  <a:pt x="80082" y="112282"/>
                                </a:lnTo>
                                <a:lnTo>
                                  <a:pt x="52599" y="148705"/>
                                </a:lnTo>
                                <a:lnTo>
                                  <a:pt x="30344" y="188841"/>
                                </a:lnTo>
                                <a:lnTo>
                                  <a:pt x="13823" y="232185"/>
                                </a:lnTo>
                                <a:lnTo>
                                  <a:pt x="3540" y="278233"/>
                                </a:lnTo>
                                <a:lnTo>
                                  <a:pt x="0" y="326478"/>
                                </a:lnTo>
                                <a:lnTo>
                                  <a:pt x="3540" y="374724"/>
                                </a:lnTo>
                                <a:lnTo>
                                  <a:pt x="13823" y="420772"/>
                                </a:lnTo>
                                <a:lnTo>
                                  <a:pt x="30344" y="464116"/>
                                </a:lnTo>
                                <a:lnTo>
                                  <a:pt x="52599" y="504252"/>
                                </a:lnTo>
                                <a:lnTo>
                                  <a:pt x="80082" y="540675"/>
                                </a:lnTo>
                                <a:lnTo>
                                  <a:pt x="112287" y="572879"/>
                                </a:lnTo>
                                <a:lnTo>
                                  <a:pt x="148710" y="600361"/>
                                </a:lnTo>
                                <a:lnTo>
                                  <a:pt x="188846" y="622614"/>
                                </a:lnTo>
                                <a:lnTo>
                                  <a:pt x="232190" y="639135"/>
                                </a:lnTo>
                                <a:lnTo>
                                  <a:pt x="278235" y="649418"/>
                                </a:lnTo>
                                <a:lnTo>
                                  <a:pt x="326478" y="652957"/>
                                </a:lnTo>
                                <a:lnTo>
                                  <a:pt x="374724" y="649418"/>
                                </a:lnTo>
                                <a:lnTo>
                                  <a:pt x="420772" y="639135"/>
                                </a:lnTo>
                                <a:lnTo>
                                  <a:pt x="464116" y="622614"/>
                                </a:lnTo>
                                <a:lnTo>
                                  <a:pt x="504252" y="600361"/>
                                </a:lnTo>
                                <a:lnTo>
                                  <a:pt x="540675" y="572879"/>
                                </a:lnTo>
                                <a:lnTo>
                                  <a:pt x="572879" y="540675"/>
                                </a:lnTo>
                                <a:lnTo>
                                  <a:pt x="600361" y="504252"/>
                                </a:lnTo>
                                <a:lnTo>
                                  <a:pt x="622614" y="464116"/>
                                </a:lnTo>
                                <a:lnTo>
                                  <a:pt x="639135" y="420772"/>
                                </a:lnTo>
                                <a:lnTo>
                                  <a:pt x="649418" y="374724"/>
                                </a:lnTo>
                                <a:lnTo>
                                  <a:pt x="652957" y="326478"/>
                                </a:lnTo>
                                <a:lnTo>
                                  <a:pt x="649418" y="278233"/>
                                </a:lnTo>
                                <a:lnTo>
                                  <a:pt x="639135" y="232185"/>
                                </a:lnTo>
                                <a:lnTo>
                                  <a:pt x="622614" y="188841"/>
                                </a:lnTo>
                                <a:lnTo>
                                  <a:pt x="600361" y="148705"/>
                                </a:lnTo>
                                <a:lnTo>
                                  <a:pt x="572879" y="112282"/>
                                </a:lnTo>
                                <a:lnTo>
                                  <a:pt x="540675" y="80077"/>
                                </a:lnTo>
                                <a:lnTo>
                                  <a:pt x="504252" y="52596"/>
                                </a:lnTo>
                                <a:lnTo>
                                  <a:pt x="464116" y="30342"/>
                                </a:lnTo>
                                <a:lnTo>
                                  <a:pt x="420772" y="13822"/>
                                </a:lnTo>
                                <a:lnTo>
                                  <a:pt x="374724" y="3539"/>
                                </a:lnTo>
                                <a:lnTo>
                                  <a:pt x="326478" y="0"/>
                                </a:lnTo>
                                <a:close/>
                              </a:path>
                            </a:pathLst>
                          </a:custGeom>
                          <a:solidFill>
                            <a:srgbClr val="B32F29"/>
                          </a:solidFill>
                          <a:ln>
                            <a:noFill/>
                          </a:ln>
                        </wps:spPr>
                        <wps:bodyPr spcFirstLastPara="1" wrap="square" lIns="91425" tIns="91425" rIns="91425" bIns="91425" anchor="ctr" anchorCtr="0">
                          <a:noAutofit/>
                        </wps:bodyPr>
                      </wps:wsp>
                      <wps:wsp>
                        <wps:cNvPr id="10" name="Forma libre 10"/>
                        <wps:cNvSpPr/>
                        <wps:spPr>
                          <a:xfrm>
                            <a:off x="3616208" y="279234"/>
                            <a:ext cx="539750" cy="94615"/>
                          </a:xfrm>
                          <a:custGeom>
                            <a:avLst/>
                            <a:gdLst/>
                            <a:ahLst/>
                            <a:cxnLst/>
                            <a:rect l="l" t="t" r="r" b="b"/>
                            <a:pathLst>
                              <a:path w="539750" h="94615" extrusionOk="0">
                                <a:moveTo>
                                  <a:pt x="175691" y="2159"/>
                                </a:moveTo>
                                <a:lnTo>
                                  <a:pt x="157950" y="5592"/>
                                </a:lnTo>
                                <a:lnTo>
                                  <a:pt x="144526" y="15147"/>
                                </a:lnTo>
                                <a:lnTo>
                                  <a:pt x="136026" y="29708"/>
                                </a:lnTo>
                                <a:lnTo>
                                  <a:pt x="133057" y="48158"/>
                                </a:lnTo>
                                <a:lnTo>
                                  <a:pt x="135995" y="66613"/>
                                </a:lnTo>
                                <a:lnTo>
                                  <a:pt x="144445" y="81173"/>
                                </a:lnTo>
                                <a:lnTo>
                                  <a:pt x="157859" y="90726"/>
                                </a:lnTo>
                                <a:lnTo>
                                  <a:pt x="175691" y="94157"/>
                                </a:lnTo>
                                <a:lnTo>
                                  <a:pt x="193651" y="90726"/>
                                </a:lnTo>
                                <a:lnTo>
                                  <a:pt x="207133" y="81173"/>
                                </a:lnTo>
                                <a:lnTo>
                                  <a:pt x="210414" y="75539"/>
                                </a:lnTo>
                                <a:lnTo>
                                  <a:pt x="175691" y="75539"/>
                                </a:lnTo>
                                <a:lnTo>
                                  <a:pt x="167604" y="73124"/>
                                </a:lnTo>
                                <a:lnTo>
                                  <a:pt x="162504" y="66816"/>
                                </a:lnTo>
                                <a:lnTo>
                                  <a:pt x="159845" y="58024"/>
                                </a:lnTo>
                                <a:lnTo>
                                  <a:pt x="159080" y="48158"/>
                                </a:lnTo>
                                <a:lnTo>
                                  <a:pt x="159845" y="38272"/>
                                </a:lnTo>
                                <a:lnTo>
                                  <a:pt x="162485" y="29708"/>
                                </a:lnTo>
                                <a:lnTo>
                                  <a:pt x="167604" y="23548"/>
                                </a:lnTo>
                                <a:lnTo>
                                  <a:pt x="175691" y="21234"/>
                                </a:lnTo>
                                <a:lnTo>
                                  <a:pt x="210617" y="21234"/>
                                </a:lnTo>
                                <a:lnTo>
                                  <a:pt x="207052" y="15147"/>
                                </a:lnTo>
                                <a:lnTo>
                                  <a:pt x="193560" y="5592"/>
                                </a:lnTo>
                                <a:lnTo>
                                  <a:pt x="175691" y="2159"/>
                                </a:lnTo>
                                <a:close/>
                              </a:path>
                              <a:path w="539750" h="94615" extrusionOk="0">
                                <a:moveTo>
                                  <a:pt x="210617" y="21234"/>
                                </a:moveTo>
                                <a:lnTo>
                                  <a:pt x="175691" y="21234"/>
                                </a:lnTo>
                                <a:lnTo>
                                  <a:pt x="183873" y="23548"/>
                                </a:lnTo>
                                <a:lnTo>
                                  <a:pt x="188976" y="29708"/>
                                </a:lnTo>
                                <a:lnTo>
                                  <a:pt x="191559" y="38272"/>
                                </a:lnTo>
                                <a:lnTo>
                                  <a:pt x="192290" y="48158"/>
                                </a:lnTo>
                                <a:lnTo>
                                  <a:pt x="191559" y="58024"/>
                                </a:lnTo>
                                <a:lnTo>
                                  <a:pt x="189018" y="66613"/>
                                </a:lnTo>
                                <a:lnTo>
                                  <a:pt x="188958" y="66816"/>
                                </a:lnTo>
                                <a:lnTo>
                                  <a:pt x="183873" y="73124"/>
                                </a:lnTo>
                                <a:lnTo>
                                  <a:pt x="175691" y="75539"/>
                                </a:lnTo>
                                <a:lnTo>
                                  <a:pt x="210414" y="75539"/>
                                </a:lnTo>
                                <a:lnTo>
                                  <a:pt x="215492" y="66816"/>
                                </a:lnTo>
                                <a:lnTo>
                                  <a:pt x="215611" y="66613"/>
                                </a:lnTo>
                                <a:lnTo>
                                  <a:pt x="218554" y="48158"/>
                                </a:lnTo>
                                <a:lnTo>
                                  <a:pt x="215580" y="29708"/>
                                </a:lnTo>
                                <a:lnTo>
                                  <a:pt x="210617" y="21234"/>
                                </a:lnTo>
                                <a:close/>
                              </a:path>
                              <a:path w="539750" h="94615" extrusionOk="0">
                                <a:moveTo>
                                  <a:pt x="246913" y="2247"/>
                                </a:moveTo>
                                <a:lnTo>
                                  <a:pt x="238379" y="3149"/>
                                </a:lnTo>
                                <a:lnTo>
                                  <a:pt x="236131" y="3594"/>
                                </a:lnTo>
                                <a:lnTo>
                                  <a:pt x="232765" y="3822"/>
                                </a:lnTo>
                                <a:lnTo>
                                  <a:pt x="228955" y="4267"/>
                                </a:lnTo>
                                <a:lnTo>
                                  <a:pt x="228955" y="92456"/>
                                </a:lnTo>
                                <a:lnTo>
                                  <a:pt x="254762" y="92456"/>
                                </a:lnTo>
                                <a:lnTo>
                                  <a:pt x="254762" y="27165"/>
                                </a:lnTo>
                                <a:lnTo>
                                  <a:pt x="267779" y="24460"/>
                                </a:lnTo>
                                <a:lnTo>
                                  <a:pt x="276072" y="24460"/>
                                </a:lnTo>
                                <a:lnTo>
                                  <a:pt x="278086" y="9880"/>
                                </a:lnTo>
                                <a:lnTo>
                                  <a:pt x="251625" y="9880"/>
                                </a:lnTo>
                                <a:lnTo>
                                  <a:pt x="246913" y="2247"/>
                                </a:lnTo>
                                <a:close/>
                              </a:path>
                              <a:path w="539750" h="94615" extrusionOk="0">
                                <a:moveTo>
                                  <a:pt x="279450" y="0"/>
                                </a:moveTo>
                                <a:lnTo>
                                  <a:pt x="251625" y="9880"/>
                                </a:lnTo>
                                <a:lnTo>
                                  <a:pt x="278086" y="9880"/>
                                </a:lnTo>
                                <a:lnTo>
                                  <a:pt x="279450" y="0"/>
                                </a:lnTo>
                                <a:close/>
                              </a:path>
                              <a:path w="539750" h="94615" extrusionOk="0">
                                <a:moveTo>
                                  <a:pt x="319836" y="2247"/>
                                </a:moveTo>
                                <a:lnTo>
                                  <a:pt x="303649" y="5238"/>
                                </a:lnTo>
                                <a:lnTo>
                                  <a:pt x="291020" y="14055"/>
                                </a:lnTo>
                                <a:lnTo>
                                  <a:pt x="282810" y="28469"/>
                                </a:lnTo>
                                <a:lnTo>
                                  <a:pt x="279948" y="47802"/>
                                </a:lnTo>
                                <a:lnTo>
                                  <a:pt x="279882" y="48247"/>
                                </a:lnTo>
                                <a:lnTo>
                                  <a:pt x="282889" y="68027"/>
                                </a:lnTo>
                                <a:lnTo>
                                  <a:pt x="291136" y="82634"/>
                                </a:lnTo>
                                <a:lnTo>
                                  <a:pt x="303462" y="91604"/>
                                </a:lnTo>
                                <a:lnTo>
                                  <a:pt x="318706" y="94475"/>
                                </a:lnTo>
                                <a:lnTo>
                                  <a:pt x="330990" y="94092"/>
                                </a:lnTo>
                                <a:lnTo>
                                  <a:pt x="338731" y="93076"/>
                                </a:lnTo>
                                <a:lnTo>
                                  <a:pt x="345209" y="90630"/>
                                </a:lnTo>
                                <a:lnTo>
                                  <a:pt x="353707" y="85953"/>
                                </a:lnTo>
                                <a:lnTo>
                                  <a:pt x="352236" y="74510"/>
                                </a:lnTo>
                                <a:lnTo>
                                  <a:pt x="325221" y="74510"/>
                                </a:lnTo>
                                <a:lnTo>
                                  <a:pt x="317753" y="73177"/>
                                </a:lnTo>
                                <a:lnTo>
                                  <a:pt x="311754" y="69234"/>
                                </a:lnTo>
                                <a:lnTo>
                                  <a:pt x="307606" y="62766"/>
                                </a:lnTo>
                                <a:lnTo>
                                  <a:pt x="305784" y="54305"/>
                                </a:lnTo>
                                <a:lnTo>
                                  <a:pt x="305689" y="53860"/>
                                </a:lnTo>
                                <a:lnTo>
                                  <a:pt x="355251" y="53860"/>
                                </a:lnTo>
                                <a:lnTo>
                                  <a:pt x="356184" y="51612"/>
                                </a:lnTo>
                                <a:lnTo>
                                  <a:pt x="356400" y="50723"/>
                                </a:lnTo>
                                <a:lnTo>
                                  <a:pt x="356628" y="50495"/>
                                </a:lnTo>
                                <a:lnTo>
                                  <a:pt x="357085" y="49593"/>
                                </a:lnTo>
                                <a:lnTo>
                                  <a:pt x="357248" y="48247"/>
                                </a:lnTo>
                                <a:lnTo>
                                  <a:pt x="357530" y="45339"/>
                                </a:lnTo>
                                <a:lnTo>
                                  <a:pt x="357530" y="43091"/>
                                </a:lnTo>
                                <a:lnTo>
                                  <a:pt x="356719" y="37477"/>
                                </a:lnTo>
                                <a:lnTo>
                                  <a:pt x="306146" y="37477"/>
                                </a:lnTo>
                                <a:lnTo>
                                  <a:pt x="307035" y="21551"/>
                                </a:lnTo>
                                <a:lnTo>
                                  <a:pt x="314667" y="21107"/>
                                </a:lnTo>
                                <a:lnTo>
                                  <a:pt x="352538" y="21107"/>
                                </a:lnTo>
                                <a:lnTo>
                                  <a:pt x="347518" y="12487"/>
                                </a:lnTo>
                                <a:lnTo>
                                  <a:pt x="335665" y="4811"/>
                                </a:lnTo>
                                <a:lnTo>
                                  <a:pt x="319836" y="2247"/>
                                </a:lnTo>
                                <a:close/>
                              </a:path>
                              <a:path w="539750" h="94615" extrusionOk="0">
                                <a:moveTo>
                                  <a:pt x="351688" y="70243"/>
                                </a:moveTo>
                                <a:lnTo>
                                  <a:pt x="347301" y="71285"/>
                                </a:lnTo>
                                <a:lnTo>
                                  <a:pt x="340640" y="72710"/>
                                </a:lnTo>
                                <a:lnTo>
                                  <a:pt x="332887" y="73969"/>
                                </a:lnTo>
                                <a:lnTo>
                                  <a:pt x="325221" y="74510"/>
                                </a:lnTo>
                                <a:lnTo>
                                  <a:pt x="352236" y="74510"/>
                                </a:lnTo>
                                <a:lnTo>
                                  <a:pt x="351688" y="70243"/>
                                </a:lnTo>
                                <a:close/>
                              </a:path>
                              <a:path w="539750" h="94615" extrusionOk="0">
                                <a:moveTo>
                                  <a:pt x="355251" y="53860"/>
                                </a:moveTo>
                                <a:lnTo>
                                  <a:pt x="305689" y="53860"/>
                                </a:lnTo>
                                <a:lnTo>
                                  <a:pt x="354838" y="54978"/>
                                </a:lnTo>
                                <a:lnTo>
                                  <a:pt x="355066" y="54305"/>
                                </a:lnTo>
                                <a:lnTo>
                                  <a:pt x="355251" y="53860"/>
                                </a:lnTo>
                                <a:close/>
                              </a:path>
                              <a:path w="539750" h="94615" extrusionOk="0">
                                <a:moveTo>
                                  <a:pt x="352538" y="21107"/>
                                </a:moveTo>
                                <a:lnTo>
                                  <a:pt x="325894" y="21107"/>
                                </a:lnTo>
                                <a:lnTo>
                                  <a:pt x="331050" y="26479"/>
                                </a:lnTo>
                                <a:lnTo>
                                  <a:pt x="331952" y="37477"/>
                                </a:lnTo>
                                <a:lnTo>
                                  <a:pt x="356719" y="37477"/>
                                </a:lnTo>
                                <a:lnTo>
                                  <a:pt x="354953" y="25254"/>
                                </a:lnTo>
                                <a:lnTo>
                                  <a:pt x="352538" y="21107"/>
                                </a:lnTo>
                                <a:close/>
                              </a:path>
                              <a:path w="539750" h="94615" extrusionOk="0">
                                <a:moveTo>
                                  <a:pt x="385140" y="2044"/>
                                </a:moveTo>
                                <a:lnTo>
                                  <a:pt x="366925" y="4324"/>
                                </a:lnTo>
                                <a:lnTo>
                                  <a:pt x="367182" y="4324"/>
                                </a:lnTo>
                                <a:lnTo>
                                  <a:pt x="367182" y="92252"/>
                                </a:lnTo>
                                <a:lnTo>
                                  <a:pt x="393217" y="92252"/>
                                </a:lnTo>
                                <a:lnTo>
                                  <a:pt x="393217" y="23583"/>
                                </a:lnTo>
                                <a:lnTo>
                                  <a:pt x="400621" y="22009"/>
                                </a:lnTo>
                                <a:lnTo>
                                  <a:pt x="442922" y="22009"/>
                                </a:lnTo>
                                <a:lnTo>
                                  <a:pt x="442753" y="21172"/>
                                </a:lnTo>
                                <a:lnTo>
                                  <a:pt x="435459" y="10855"/>
                                </a:lnTo>
                                <a:lnTo>
                                  <a:pt x="430364" y="7658"/>
                                </a:lnTo>
                                <a:lnTo>
                                  <a:pt x="389851" y="7658"/>
                                </a:lnTo>
                                <a:lnTo>
                                  <a:pt x="385140" y="2044"/>
                                </a:lnTo>
                                <a:close/>
                              </a:path>
                              <a:path w="539750" h="94615" extrusionOk="0">
                                <a:moveTo>
                                  <a:pt x="442922" y="22009"/>
                                </a:moveTo>
                                <a:lnTo>
                                  <a:pt x="414083" y="22009"/>
                                </a:lnTo>
                                <a:lnTo>
                                  <a:pt x="419239" y="23812"/>
                                </a:lnTo>
                                <a:lnTo>
                                  <a:pt x="419239" y="92252"/>
                                </a:lnTo>
                                <a:lnTo>
                                  <a:pt x="445503" y="92252"/>
                                </a:lnTo>
                                <a:lnTo>
                                  <a:pt x="445503" y="34810"/>
                                </a:lnTo>
                                <a:lnTo>
                                  <a:pt x="442922" y="22009"/>
                                </a:lnTo>
                                <a:close/>
                              </a:path>
                              <a:path w="539750" h="94615" extrusionOk="0">
                                <a:moveTo>
                                  <a:pt x="412965" y="2044"/>
                                </a:moveTo>
                                <a:lnTo>
                                  <a:pt x="401523" y="2044"/>
                                </a:lnTo>
                                <a:lnTo>
                                  <a:pt x="393661" y="5638"/>
                                </a:lnTo>
                                <a:lnTo>
                                  <a:pt x="389851" y="7658"/>
                                </a:lnTo>
                                <a:lnTo>
                                  <a:pt x="430364" y="7658"/>
                                </a:lnTo>
                                <a:lnTo>
                                  <a:pt x="425052" y="4324"/>
                                </a:lnTo>
                                <a:lnTo>
                                  <a:pt x="412965" y="2044"/>
                                </a:lnTo>
                                <a:close/>
                              </a:path>
                              <a:path w="539750" h="94615" extrusionOk="0">
                                <a:moveTo>
                                  <a:pt x="539516" y="87096"/>
                                </a:moveTo>
                                <a:lnTo>
                                  <a:pt x="505790" y="87096"/>
                                </a:lnTo>
                                <a:lnTo>
                                  <a:pt x="511619" y="94500"/>
                                </a:lnTo>
                                <a:lnTo>
                                  <a:pt x="517677" y="94272"/>
                                </a:lnTo>
                                <a:lnTo>
                                  <a:pt x="526427" y="94056"/>
                                </a:lnTo>
                                <a:lnTo>
                                  <a:pt x="539673" y="87769"/>
                                </a:lnTo>
                                <a:lnTo>
                                  <a:pt x="539516" y="87096"/>
                                </a:lnTo>
                                <a:close/>
                              </a:path>
                              <a:path w="539750" h="94615" extrusionOk="0">
                                <a:moveTo>
                                  <a:pt x="492328" y="39751"/>
                                </a:moveTo>
                                <a:lnTo>
                                  <a:pt x="483565" y="39751"/>
                                </a:lnTo>
                                <a:lnTo>
                                  <a:pt x="473079" y="41595"/>
                                </a:lnTo>
                                <a:lnTo>
                                  <a:pt x="463792" y="46931"/>
                                </a:lnTo>
                                <a:lnTo>
                                  <a:pt x="457156" y="55465"/>
                                </a:lnTo>
                                <a:lnTo>
                                  <a:pt x="454621" y="66903"/>
                                </a:lnTo>
                                <a:lnTo>
                                  <a:pt x="457135" y="78279"/>
                                </a:lnTo>
                                <a:lnTo>
                                  <a:pt x="463626" y="86898"/>
                                </a:lnTo>
                                <a:lnTo>
                                  <a:pt x="472516" y="92362"/>
                                </a:lnTo>
                                <a:lnTo>
                                  <a:pt x="482231" y="94272"/>
                                </a:lnTo>
                                <a:lnTo>
                                  <a:pt x="491871" y="94272"/>
                                </a:lnTo>
                                <a:lnTo>
                                  <a:pt x="501294" y="89789"/>
                                </a:lnTo>
                                <a:lnTo>
                                  <a:pt x="505790" y="87096"/>
                                </a:lnTo>
                                <a:lnTo>
                                  <a:pt x="539516" y="87096"/>
                                </a:lnTo>
                                <a:lnTo>
                                  <a:pt x="536570" y="74523"/>
                                </a:lnTo>
                                <a:lnTo>
                                  <a:pt x="484695" y="74523"/>
                                </a:lnTo>
                                <a:lnTo>
                                  <a:pt x="480885" y="69811"/>
                                </a:lnTo>
                                <a:lnTo>
                                  <a:pt x="480885" y="60388"/>
                                </a:lnTo>
                                <a:lnTo>
                                  <a:pt x="484695" y="56794"/>
                                </a:lnTo>
                                <a:lnTo>
                                  <a:pt x="528904" y="56794"/>
                                </a:lnTo>
                                <a:lnTo>
                                  <a:pt x="528904" y="41097"/>
                                </a:lnTo>
                                <a:lnTo>
                                  <a:pt x="503326" y="41097"/>
                                </a:lnTo>
                                <a:lnTo>
                                  <a:pt x="492328" y="39751"/>
                                </a:lnTo>
                                <a:close/>
                              </a:path>
                              <a:path w="539750" h="94615" extrusionOk="0">
                                <a:moveTo>
                                  <a:pt x="528904" y="56794"/>
                                </a:moveTo>
                                <a:lnTo>
                                  <a:pt x="503326" y="56794"/>
                                </a:lnTo>
                                <a:lnTo>
                                  <a:pt x="503326" y="72948"/>
                                </a:lnTo>
                                <a:lnTo>
                                  <a:pt x="495465" y="74523"/>
                                </a:lnTo>
                                <a:lnTo>
                                  <a:pt x="536570" y="74523"/>
                                </a:lnTo>
                                <a:lnTo>
                                  <a:pt x="536308" y="73406"/>
                                </a:lnTo>
                                <a:lnTo>
                                  <a:pt x="528904" y="73406"/>
                                </a:lnTo>
                                <a:lnTo>
                                  <a:pt x="528904" y="56794"/>
                                </a:lnTo>
                                <a:close/>
                              </a:path>
                              <a:path w="539750" h="94615" extrusionOk="0">
                                <a:moveTo>
                                  <a:pt x="526896" y="22009"/>
                                </a:moveTo>
                                <a:lnTo>
                                  <a:pt x="498602" y="22009"/>
                                </a:lnTo>
                                <a:lnTo>
                                  <a:pt x="503326" y="26060"/>
                                </a:lnTo>
                                <a:lnTo>
                                  <a:pt x="503326" y="41097"/>
                                </a:lnTo>
                                <a:lnTo>
                                  <a:pt x="528904" y="41097"/>
                                </a:lnTo>
                                <a:lnTo>
                                  <a:pt x="528904" y="30099"/>
                                </a:lnTo>
                                <a:lnTo>
                                  <a:pt x="526896" y="22009"/>
                                </a:lnTo>
                                <a:close/>
                              </a:path>
                              <a:path w="539750" h="94615" extrusionOk="0">
                                <a:moveTo>
                                  <a:pt x="496595" y="2044"/>
                                </a:moveTo>
                                <a:lnTo>
                                  <a:pt x="489761" y="2184"/>
                                </a:lnTo>
                                <a:lnTo>
                                  <a:pt x="484023" y="3165"/>
                                </a:lnTo>
                                <a:lnTo>
                                  <a:pt x="476269" y="5827"/>
                                </a:lnTo>
                                <a:lnTo>
                                  <a:pt x="463384" y="11010"/>
                                </a:lnTo>
                                <a:lnTo>
                                  <a:pt x="469658" y="26733"/>
                                </a:lnTo>
                                <a:lnTo>
                                  <a:pt x="487172" y="22009"/>
                                </a:lnTo>
                                <a:lnTo>
                                  <a:pt x="526896" y="22009"/>
                                </a:lnTo>
                                <a:lnTo>
                                  <a:pt x="525841" y="17759"/>
                                </a:lnTo>
                                <a:lnTo>
                                  <a:pt x="518045" y="8999"/>
                                </a:lnTo>
                                <a:lnTo>
                                  <a:pt x="507601" y="3776"/>
                                </a:lnTo>
                                <a:lnTo>
                                  <a:pt x="496595" y="2044"/>
                                </a:lnTo>
                                <a:close/>
                              </a:path>
                              <a:path w="539750" h="94615" extrusionOk="0">
                                <a:moveTo>
                                  <a:pt x="17716" y="2159"/>
                                </a:moveTo>
                                <a:lnTo>
                                  <a:pt x="0" y="4406"/>
                                </a:lnTo>
                                <a:lnTo>
                                  <a:pt x="0" y="92367"/>
                                </a:lnTo>
                                <a:lnTo>
                                  <a:pt x="26022" y="92367"/>
                                </a:lnTo>
                                <a:lnTo>
                                  <a:pt x="26022" y="23926"/>
                                </a:lnTo>
                                <a:lnTo>
                                  <a:pt x="33870" y="22123"/>
                                </a:lnTo>
                                <a:lnTo>
                                  <a:pt x="87947" y="22123"/>
                                </a:lnTo>
                                <a:lnTo>
                                  <a:pt x="94018" y="21678"/>
                                </a:lnTo>
                                <a:lnTo>
                                  <a:pt x="117953" y="21678"/>
                                </a:lnTo>
                                <a:lnTo>
                                  <a:pt x="116727" y="15221"/>
                                </a:lnTo>
                                <a:lnTo>
                                  <a:pt x="110926" y="8674"/>
                                </a:lnTo>
                                <a:lnTo>
                                  <a:pt x="65062" y="8674"/>
                                </a:lnTo>
                                <a:lnTo>
                                  <a:pt x="64157" y="7988"/>
                                </a:lnTo>
                                <a:lnTo>
                                  <a:pt x="22428" y="7988"/>
                                </a:lnTo>
                                <a:lnTo>
                                  <a:pt x="17716" y="2159"/>
                                </a:lnTo>
                                <a:close/>
                              </a:path>
                              <a:path w="539750" h="94615" extrusionOk="0">
                                <a:moveTo>
                                  <a:pt x="81445" y="22123"/>
                                </a:moveTo>
                                <a:lnTo>
                                  <a:pt x="41287" y="22123"/>
                                </a:lnTo>
                                <a:lnTo>
                                  <a:pt x="47345" y="22580"/>
                                </a:lnTo>
                                <a:lnTo>
                                  <a:pt x="47345" y="92367"/>
                                </a:lnTo>
                                <a:lnTo>
                                  <a:pt x="73139" y="92367"/>
                                </a:lnTo>
                                <a:lnTo>
                                  <a:pt x="73139" y="23926"/>
                                </a:lnTo>
                                <a:lnTo>
                                  <a:pt x="81445" y="22123"/>
                                </a:lnTo>
                                <a:close/>
                              </a:path>
                              <a:path w="539750" h="94615" extrusionOk="0">
                                <a:moveTo>
                                  <a:pt x="117953" y="21678"/>
                                </a:moveTo>
                                <a:lnTo>
                                  <a:pt x="94018" y="21678"/>
                                </a:lnTo>
                                <a:lnTo>
                                  <a:pt x="94018" y="92367"/>
                                </a:lnTo>
                                <a:lnTo>
                                  <a:pt x="120040" y="92367"/>
                                </a:lnTo>
                                <a:lnTo>
                                  <a:pt x="120040" y="32677"/>
                                </a:lnTo>
                                <a:lnTo>
                                  <a:pt x="118124" y="22580"/>
                                </a:lnTo>
                                <a:lnTo>
                                  <a:pt x="118037" y="22123"/>
                                </a:lnTo>
                                <a:lnTo>
                                  <a:pt x="117953" y="21678"/>
                                </a:lnTo>
                                <a:close/>
                              </a:path>
                              <a:path w="539750" h="94615" extrusionOk="0">
                                <a:moveTo>
                                  <a:pt x="89750" y="2159"/>
                                </a:moveTo>
                                <a:lnTo>
                                  <a:pt x="82771" y="2698"/>
                                </a:lnTo>
                                <a:lnTo>
                                  <a:pt x="82992" y="2698"/>
                                </a:lnTo>
                                <a:lnTo>
                                  <a:pt x="76568" y="4068"/>
                                </a:lnTo>
                                <a:lnTo>
                                  <a:pt x="70436" y="6140"/>
                                </a:lnTo>
                                <a:lnTo>
                                  <a:pt x="65062" y="8674"/>
                                </a:lnTo>
                                <a:lnTo>
                                  <a:pt x="110926" y="8674"/>
                                </a:lnTo>
                                <a:lnTo>
                                  <a:pt x="108681" y="6140"/>
                                </a:lnTo>
                                <a:lnTo>
                                  <a:pt x="98743" y="2698"/>
                                </a:lnTo>
                                <a:lnTo>
                                  <a:pt x="89750" y="2159"/>
                                </a:lnTo>
                                <a:close/>
                              </a:path>
                              <a:path w="539750" h="94615" extrusionOk="0">
                                <a:moveTo>
                                  <a:pt x="49809" y="2159"/>
                                </a:moveTo>
                                <a:lnTo>
                                  <a:pt x="35445" y="2159"/>
                                </a:lnTo>
                                <a:lnTo>
                                  <a:pt x="27584" y="5295"/>
                                </a:lnTo>
                                <a:lnTo>
                                  <a:pt x="22428" y="7988"/>
                                </a:lnTo>
                                <a:lnTo>
                                  <a:pt x="64157" y="7988"/>
                                </a:lnTo>
                                <a:lnTo>
                                  <a:pt x="57658" y="3060"/>
                                </a:lnTo>
                                <a:lnTo>
                                  <a:pt x="49809" y="2159"/>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-456564</wp:posOffset>
              </wp:positionH>
              <wp:positionV relativeFrom="paragraph">
                <wp:posOffset>8893545</wp:posOffset>
              </wp:positionV>
              <wp:extent cx="7772400" cy="1198880"/>
              <wp:effectExtent b="0" l="0" r="0" t="0"/>
              <wp:wrapNone/>
              <wp:docPr id="110941713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7772400" cy="1198880"/>
                      </a:xfrm>
                      <a:prstGeom prst="rect"/>
                      <a:ln/>
                    </pic:spPr>
                  </pic:pic>
                </a:graphicData>
              </a:graphic>
            </wp:anchor>
          </w:drawing>
        </mc:Fallback>
      </mc:AlternateContent>
    </w:r>
    <w:r>
      <w:rPr>
        <w:noProof/>
      </w:rPr>
      <mc:AlternateContent>
        <mc:Choice Requires="wpg">
          <w:drawing>
            <wp:anchor distT="45720" distB="45720" distL="114300" distR="114300" simplePos="0" relativeHeight="251664384" behindDoc="0" locked="0" layoutInCell="1" hidden="0" allowOverlap="1">
              <wp:simplePos x="0" y="0"/>
              <wp:positionH relativeFrom="column">
                <wp:posOffset>4258628</wp:posOffset>
              </wp:positionH>
              <wp:positionV relativeFrom="paragraph">
                <wp:posOffset>-33336</wp:posOffset>
              </wp:positionV>
              <wp:extent cx="2370455" cy="1414145"/>
              <wp:effectExtent l="0" t="0" r="0" b="0"/>
              <wp:wrapSquare wrapText="bothSides" distT="45720" distB="45720" distL="114300" distR="114300"/>
              <wp:docPr id="1109417136" name=""/>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rsidR="0092265F" w:rsidRDefault="00E42899">
                          <w:pPr>
                            <w:spacing w:before="116" w:line="218" w:lineRule="auto"/>
                            <w:ind w:left="60" w:right="63" w:firstLine="745"/>
                            <w:jc w:val="both"/>
                            <w:textDirection w:val="btLr"/>
                          </w:pPr>
                          <w:r>
                            <w:rPr>
                              <w:color w:val="FFFFFF"/>
                              <w:sz w:val="20"/>
                            </w:rPr>
                            <w:t>Plaza Hidalgo s/n. Col. Centro. Toluca, Estado de México, C.P. 50000 Tels. 722 279 6400 y 722 279 6500</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4258628</wp:posOffset>
              </wp:positionH>
              <wp:positionV relativeFrom="paragraph">
                <wp:posOffset>-33336</wp:posOffset>
              </wp:positionV>
              <wp:extent cx="2370455" cy="1414145"/>
              <wp:effectExtent b="0" l="0" r="0" t="0"/>
              <wp:wrapSquare wrapText="bothSides" distB="45720" distT="45720" distL="114300" distR="114300"/>
              <wp:docPr id="1109417136"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2370455" cy="1414145"/>
                      </a:xfrm>
                      <a:prstGeom prst="rect"/>
                      <a:ln/>
                    </pic:spPr>
                  </pic:pic>
                </a:graphicData>
              </a:graphic>
            </wp:anchor>
          </w:drawing>
        </mc:Fallback>
      </mc:AlternateContent>
    </w:r>
    <w:r>
      <w:rPr>
        <w:noProof/>
      </w:rPr>
      <mc:AlternateContent>
        <mc:Choice Requires="wpg">
          <w:drawing>
            <wp:anchor distT="45720" distB="45720" distL="114300" distR="114300" simplePos="0" relativeHeight="251665408" behindDoc="0" locked="0" layoutInCell="1" hidden="0" allowOverlap="1">
              <wp:simplePos x="0" y="0"/>
              <wp:positionH relativeFrom="column">
                <wp:posOffset>-196531</wp:posOffset>
              </wp:positionH>
              <wp:positionV relativeFrom="paragraph">
                <wp:posOffset>2224</wp:posOffset>
              </wp:positionV>
              <wp:extent cx="2907030" cy="1414145"/>
              <wp:effectExtent l="0" t="0" r="0" b="0"/>
              <wp:wrapSquare wrapText="bothSides" distT="45720" distB="45720" distL="114300" distR="114300"/>
              <wp:docPr id="1109417135" name=""/>
              <wp:cNvGraphicFramePr/>
              <a:graphic xmlns:a="http://schemas.openxmlformats.org/drawingml/2006/main">
                <a:graphicData uri="http://schemas.microsoft.com/office/word/2010/wordprocessingShape">
                  <wps:wsp>
                    <wps:cNvSpPr/>
                    <wps:spPr>
                      <a:xfrm>
                        <a:off x="3897248" y="3077690"/>
                        <a:ext cx="2897505" cy="1404620"/>
                      </a:xfrm>
                      <a:prstGeom prst="rect">
                        <a:avLst/>
                      </a:prstGeom>
                      <a:noFill/>
                      <a:ln>
                        <a:noFill/>
                      </a:ln>
                    </wps:spPr>
                    <wps:txbx>
                      <w:txbxContent>
                        <w:p w:rsidR="0092265F" w:rsidRDefault="00E42899">
                          <w:pPr>
                            <w:spacing w:before="268"/>
                            <w:ind w:left="60" w:firstLine="60"/>
                            <w:textDirection w:val="btLr"/>
                          </w:pPr>
                          <w:r>
                            <w:rPr>
                              <w:rFonts w:ascii="Times New Roman" w:eastAsia="Times New Roman" w:hAnsi="Times New Roman" w:cs="Times New Roman"/>
                              <w:color w:val="FFFFFF"/>
                              <w:sz w:val="24"/>
                            </w:rPr>
                            <w:t>octavio.martinez@congresoedomex.gob.mx</w:t>
                          </w:r>
                        </w:p>
                        <w:p w:rsidR="0092265F" w:rsidRDefault="0092265F">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45720" distT="45720" distL="114300" distR="114300" hidden="0" layoutInCell="1" locked="0" relativeHeight="0" simplePos="0">
              <wp:simplePos x="0" y="0"/>
              <wp:positionH relativeFrom="column">
                <wp:posOffset>-196531</wp:posOffset>
              </wp:positionH>
              <wp:positionV relativeFrom="paragraph">
                <wp:posOffset>2224</wp:posOffset>
              </wp:positionV>
              <wp:extent cx="2907030" cy="1414145"/>
              <wp:effectExtent b="0" l="0" r="0" t="0"/>
              <wp:wrapSquare wrapText="bothSides" distB="45720" distT="45720" distL="114300" distR="114300"/>
              <wp:docPr id="1109417135"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2907030" cy="1414145"/>
                      </a:xfrm>
                      <a:prstGeom prst="rect"/>
                      <a:ln/>
                    </pic:spPr>
                  </pic:pic>
                </a:graphicData>
              </a:graphic>
            </wp:anchor>
          </w:drawing>
        </mc:Fallback>
      </mc:AlternateContent>
    </w:r>
  </w:p>
  <w:p w:rsidR="0092265F" w:rsidRDefault="0092265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DB3" w:rsidRDefault="00E42899">
      <w:r>
        <w:separator/>
      </w:r>
    </w:p>
  </w:footnote>
  <w:footnote w:type="continuationSeparator" w:id="0">
    <w:p w:rsidR="00474DB3" w:rsidRDefault="00E428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65F" w:rsidRDefault="00DE4988" w:rsidP="00154655">
    <w:pPr>
      <w:pStyle w:val="Ttulo"/>
      <w:spacing w:line="235" w:lineRule="auto"/>
      <w:ind w:left="8364"/>
    </w:pPr>
    <w:sdt>
      <w:sdtPr>
        <w:rPr>
          <w:color w:val="3D4041"/>
        </w:rPr>
        <w:id w:val="-517158120"/>
        <w:docPartObj>
          <w:docPartGallery w:val="Page Numbers (Margins)"/>
          <w:docPartUnique/>
        </w:docPartObj>
      </w:sdtPr>
      <w:sdtEndPr/>
      <w:sdtContent>
        <w:r w:rsidR="00154655" w:rsidRPr="00154655">
          <w:rPr>
            <w:noProof/>
            <w:color w:val="3D4041"/>
          </w:rPr>
          <mc:AlternateContent>
            <mc:Choice Requires="wps">
              <w:drawing>
                <wp:anchor distT="0" distB="0" distL="114300" distR="114300" simplePos="0" relativeHeight="251667456" behindDoc="0" locked="0" layoutInCell="0" allowOverlap="1">
                  <wp:simplePos x="0" y="0"/>
                  <wp:positionH relativeFrom="rightMargin">
                    <wp:align>center</wp:align>
                  </wp:positionH>
                  <wp:positionV relativeFrom="page">
                    <wp:align>center</wp:align>
                  </wp:positionV>
                  <wp:extent cx="762000" cy="895350"/>
                  <wp:effectExtent l="0" t="0" r="0" b="0"/>
                  <wp:wrapNone/>
                  <wp:docPr id="1109417235" name="Rectángulo 1109417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54655" w:rsidRDefault="00154655" w:rsidP="00154655">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DE4988" w:rsidRPr="00DE4988">
                                    <w:rPr>
                                      <w:rFonts w:asciiTheme="majorHAnsi" w:eastAsiaTheme="majorEastAsia" w:hAnsiTheme="majorHAnsi" w:cstheme="majorBidi"/>
                                      <w:noProof/>
                                      <w:sz w:val="48"/>
                                      <w:szCs w:val="48"/>
                                      <w:lang w:val="es-ES"/>
                                    </w:rPr>
                                    <w:t>20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09417235" o:spid="_x0000_s1026" style="position:absolute;left:0;text-align:left;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54655" w:rsidRDefault="00154655" w:rsidP="00154655">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DE4988" w:rsidRPr="00DE4988">
                              <w:rPr>
                                <w:rFonts w:asciiTheme="majorHAnsi" w:eastAsiaTheme="majorEastAsia" w:hAnsiTheme="majorHAnsi" w:cstheme="majorBidi"/>
                                <w:noProof/>
                                <w:sz w:val="48"/>
                                <w:szCs w:val="48"/>
                                <w:lang w:val="es-ES"/>
                              </w:rPr>
                              <w:t>20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42899">
      <w:rPr>
        <w:color w:val="3D4041"/>
      </w:rPr>
      <w:t xml:space="preserve"> </w:t>
    </w:r>
    <w:proofErr w:type="spellStart"/>
    <w:r w:rsidR="00E42899">
      <w:rPr>
        <w:color w:val="3D4041"/>
      </w:rPr>
      <w:t>Dip</w:t>
    </w:r>
    <w:proofErr w:type="spellEnd"/>
    <w:r w:rsidR="00E42899">
      <w:rPr>
        <w:color w:val="3D4041"/>
      </w:rPr>
      <w:t>. Octavio Martínez Vargas</w:t>
    </w:r>
    <w:r w:rsidR="00E42899">
      <w:rPr>
        <w:noProof/>
      </w:rPr>
      <w:drawing>
        <wp:anchor distT="0" distB="0" distL="0" distR="0" simplePos="0" relativeHeight="251659264" behindDoc="0" locked="0" layoutInCell="1" hidden="0" allowOverlap="1">
          <wp:simplePos x="0" y="0"/>
          <wp:positionH relativeFrom="column">
            <wp:posOffset>0</wp:posOffset>
          </wp:positionH>
          <wp:positionV relativeFrom="paragraph">
            <wp:posOffset>0</wp:posOffset>
          </wp:positionV>
          <wp:extent cx="654761" cy="654773"/>
          <wp:effectExtent l="0" t="0" r="0" b="0"/>
          <wp:wrapNone/>
          <wp:docPr id="11094172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54761" cy="654773"/>
                  </a:xfrm>
                  <a:prstGeom prst="rect">
                    <a:avLst/>
                  </a:prstGeom>
                  <a:ln/>
                </pic:spPr>
              </pic:pic>
            </a:graphicData>
          </a:graphic>
        </wp:anchor>
      </w:drawing>
    </w:r>
    <w:r w:rsidR="00E42899">
      <w:rPr>
        <w:noProof/>
      </w:rPr>
      <mc:AlternateContent>
        <mc:Choice Requires="wps">
          <w:drawing>
            <wp:anchor distT="0" distB="0" distL="0" distR="0" simplePos="0" relativeHeight="251660288" behindDoc="0" locked="0" layoutInCell="1" hidden="0" allowOverlap="1">
              <wp:simplePos x="0" y="0"/>
              <wp:positionH relativeFrom="column">
                <wp:posOffset>814563</wp:posOffset>
              </wp:positionH>
              <wp:positionV relativeFrom="paragraph">
                <wp:posOffset>273050</wp:posOffset>
              </wp:positionV>
              <wp:extent cx="3175" cy="645795"/>
              <wp:effectExtent l="0" t="0" r="0" b="0"/>
              <wp:wrapNone/>
              <wp:docPr id="1109417134" name=""/>
              <wp:cNvGraphicFramePr/>
              <a:graphic xmlns:a="http://schemas.openxmlformats.org/drawingml/2006/main">
                <a:graphicData uri="http://schemas.microsoft.com/office/word/2010/wordprocessingShape">
                  <wps:wsp>
                    <wps:cNvSpPr/>
                    <wps:spPr>
                      <a:xfrm>
                        <a:off x="5344413" y="3457103"/>
                        <a:ext cx="3175" cy="645795"/>
                      </a:xfrm>
                      <a:custGeom>
                        <a:avLst/>
                        <a:gdLst/>
                        <a:ahLst/>
                        <a:cxnLst/>
                        <a:rect l="l" t="t" r="r" b="b"/>
                        <a:pathLst>
                          <a:path w="3175" h="645795" extrusionOk="0">
                            <a:moveTo>
                              <a:pt x="2933" y="0"/>
                            </a:moveTo>
                            <a:lnTo>
                              <a:pt x="0" y="0"/>
                            </a:lnTo>
                            <a:lnTo>
                              <a:pt x="0" y="645769"/>
                            </a:lnTo>
                            <a:lnTo>
                              <a:pt x="2933" y="645769"/>
                            </a:lnTo>
                            <a:lnTo>
                              <a:pt x="2933" y="0"/>
                            </a:lnTo>
                            <a:close/>
                          </a:path>
                        </a:pathLst>
                      </a:custGeom>
                      <a:solidFill>
                        <a:srgbClr val="7D8286"/>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814563</wp:posOffset>
              </wp:positionH>
              <wp:positionV relativeFrom="paragraph">
                <wp:posOffset>273050</wp:posOffset>
              </wp:positionV>
              <wp:extent cx="3175" cy="645795"/>
              <wp:effectExtent b="0" l="0" r="0" t="0"/>
              <wp:wrapNone/>
              <wp:docPr id="110941713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3175" cy="645795"/>
                      </a:xfrm>
                      <a:prstGeom prst="rect"/>
                      <a:ln/>
                    </pic:spPr>
                  </pic:pic>
                </a:graphicData>
              </a:graphic>
            </wp:anchor>
          </w:drawing>
        </mc:Fallback>
      </mc:AlternateContent>
    </w:r>
    <w:r w:rsidR="00E42899">
      <w:rPr>
        <w:noProof/>
      </w:rPr>
      <w:drawing>
        <wp:anchor distT="0" distB="0" distL="0" distR="0" simplePos="0" relativeHeight="251661312" behindDoc="0" locked="0" layoutInCell="1" hidden="0" allowOverlap="1">
          <wp:simplePos x="0" y="0"/>
          <wp:positionH relativeFrom="column">
            <wp:posOffset>1066235</wp:posOffset>
          </wp:positionH>
          <wp:positionV relativeFrom="paragraph">
            <wp:posOffset>46282</wp:posOffset>
          </wp:positionV>
          <wp:extent cx="625678" cy="647700"/>
          <wp:effectExtent l="0" t="0" r="0" b="0"/>
          <wp:wrapNone/>
          <wp:docPr id="11094172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25678" cy="647700"/>
                  </a:xfrm>
                  <a:prstGeom prst="rect">
                    <a:avLst/>
                  </a:prstGeom>
                  <a:ln/>
                </pic:spPr>
              </pic:pic>
            </a:graphicData>
          </a:graphic>
        </wp:anchor>
      </w:drawing>
    </w:r>
    <w:r w:rsidR="00E42899">
      <w:rPr>
        <w:noProof/>
      </w:rPr>
      <w:drawing>
        <wp:anchor distT="0" distB="0" distL="0" distR="0" simplePos="0" relativeHeight="251662336" behindDoc="0" locked="0" layoutInCell="1" hidden="0" allowOverlap="1">
          <wp:simplePos x="0" y="0"/>
          <wp:positionH relativeFrom="column">
            <wp:posOffset>1862667</wp:posOffset>
          </wp:positionH>
          <wp:positionV relativeFrom="paragraph">
            <wp:posOffset>232096</wp:posOffset>
          </wp:positionV>
          <wp:extent cx="1037230" cy="424818"/>
          <wp:effectExtent l="0" t="0" r="0" b="0"/>
          <wp:wrapNone/>
          <wp:docPr id="11094172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037230" cy="424818"/>
                  </a:xfrm>
                  <a:prstGeom prst="rect">
                    <a:avLst/>
                  </a:prstGeom>
                  <a:ln/>
                </pic:spPr>
              </pic:pic>
            </a:graphicData>
          </a:graphic>
        </wp:anchor>
      </w:drawing>
    </w:r>
  </w:p>
  <w:p w:rsidR="0092265F" w:rsidRDefault="00E42899">
    <w:pPr>
      <w:spacing w:before="133"/>
      <w:ind w:right="64"/>
      <w:jc w:val="right"/>
      <w:rPr>
        <w:rFonts w:ascii="Times New Roman" w:eastAsia="Times New Roman" w:hAnsi="Times New Roman" w:cs="Times New Roman"/>
        <w:b/>
        <w:bCs/>
        <w:sz w:val="17"/>
        <w:szCs w:val="17"/>
      </w:rPr>
    </w:pPr>
    <w:r>
      <w:rPr>
        <w:rFonts w:ascii="Times New Roman" w:eastAsia="Times New Roman" w:hAnsi="Times New Roman" w:cs="Times New Roman"/>
        <w:b/>
        <w:bCs/>
        <w:color w:val="3D4041"/>
        <w:sz w:val="17"/>
        <w:szCs w:val="17"/>
      </w:rPr>
      <w:t>Distrito VI-Ecatepec de Morelos</w:t>
    </w:r>
  </w:p>
  <w:p w:rsidR="0092265F" w:rsidRDefault="0092265F">
    <w:pPr>
      <w:pBdr>
        <w:top w:val="nil"/>
        <w:left w:val="nil"/>
        <w:bottom w:val="nil"/>
        <w:right w:val="nil"/>
        <w:between w:val="nil"/>
      </w:pBdr>
      <w:tabs>
        <w:tab w:val="center" w:pos="4419"/>
        <w:tab w:val="right" w:pos="8838"/>
      </w:tabs>
      <w:jc w:val="center"/>
      <w:rPr>
        <w:rFonts w:ascii="Arial" w:eastAsia="Arial" w:hAnsi="Arial" w:cs="Arial"/>
        <w:color w:val="000000"/>
        <w:sz w:val="18"/>
        <w:szCs w:val="18"/>
      </w:rPr>
    </w:pPr>
  </w:p>
  <w:p w:rsidR="0092265F" w:rsidRDefault="00E42899">
    <w:pPr>
      <w:pBdr>
        <w:top w:val="nil"/>
        <w:left w:val="nil"/>
        <w:bottom w:val="nil"/>
        <w:right w:val="nil"/>
        <w:between w:val="nil"/>
      </w:pBdr>
      <w:tabs>
        <w:tab w:val="center" w:pos="4419"/>
        <w:tab w:val="right" w:pos="8838"/>
      </w:tabs>
      <w:jc w:val="center"/>
      <w:rPr>
        <w:b/>
        <w:bCs/>
        <w:color w:val="000000"/>
        <w:sz w:val="24"/>
        <w:szCs w:val="24"/>
      </w:rPr>
    </w:pPr>
    <w:r>
      <w:rPr>
        <w:rFonts w:ascii="Arial" w:eastAsia="Arial" w:hAnsi="Arial" w:cs="Arial"/>
        <w:b/>
        <w:bCs/>
        <w:color w:val="000000"/>
        <w:sz w:val="18"/>
        <w:szCs w:val="18"/>
      </w:rPr>
      <w:t xml:space="preserve">     “2026. Año del Humanismo Mexicano en el Estado de México”.</w:t>
    </w:r>
  </w:p>
  <w:p w:rsidR="0092265F" w:rsidRDefault="0092265F">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65F"/>
    <w:rsid w:val="000E040B"/>
    <w:rsid w:val="00154655"/>
    <w:rsid w:val="00474DB3"/>
    <w:rsid w:val="00674E67"/>
    <w:rsid w:val="0092265F"/>
    <w:rsid w:val="00DE4988"/>
    <w:rsid w:val="00E428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60EB3"/>
  <w15:docId w15:val="{F2BD038B-BEE9-4F34-9F46-688D3EE78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es-MX"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widowControl/>
      <w:outlineLvl w:val="2"/>
    </w:pPr>
    <w:rPr>
      <w:rFonts w:ascii="Times New Roman" w:eastAsia="Times New Roman" w:hAnsi="Times New Roman" w:cs="Times New Roman"/>
      <w:b/>
      <w:bCs/>
      <w:sz w:val="27"/>
      <w:szCs w:val="27"/>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before="70"/>
      <w:ind w:left="8515" w:right="64" w:firstLine="497"/>
      <w:jc w:val="right"/>
    </w:pPr>
    <w:rPr>
      <w:rFonts w:ascii="Times New Roman" w:eastAsia="Times New Roman" w:hAnsi="Times New Roman" w:cs="Times New Roman"/>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50762"/>
    <w:pPr>
      <w:tabs>
        <w:tab w:val="center" w:pos="4419"/>
        <w:tab w:val="right" w:pos="8838"/>
      </w:tabs>
    </w:pPr>
  </w:style>
  <w:style w:type="character" w:customStyle="1" w:styleId="EncabezadoCar">
    <w:name w:val="Encabezado Car"/>
    <w:basedOn w:val="Fuentedeprrafopredeter"/>
    <w:link w:val="Encabezado"/>
    <w:uiPriority w:val="99"/>
    <w:rsid w:val="00850762"/>
    <w:rPr>
      <w:rFonts w:ascii="Tahoma" w:eastAsia="Tahoma" w:hAnsi="Tahoma" w:cs="Tahoma"/>
      <w:lang w:val="es-ES"/>
    </w:rPr>
  </w:style>
  <w:style w:type="paragraph" w:styleId="Piedepgina">
    <w:name w:val="footer"/>
    <w:basedOn w:val="Normal"/>
    <w:link w:val="PiedepginaCar"/>
    <w:uiPriority w:val="99"/>
    <w:unhideWhenUsed/>
    <w:rsid w:val="00850762"/>
    <w:pPr>
      <w:tabs>
        <w:tab w:val="center" w:pos="4419"/>
        <w:tab w:val="right" w:pos="8838"/>
      </w:tabs>
    </w:pPr>
  </w:style>
  <w:style w:type="character" w:customStyle="1" w:styleId="PiedepginaCar">
    <w:name w:val="Pie de página Car"/>
    <w:basedOn w:val="Fuentedeprrafopredeter"/>
    <w:link w:val="Piedepgina"/>
    <w:uiPriority w:val="99"/>
    <w:rsid w:val="00850762"/>
    <w:rPr>
      <w:rFonts w:ascii="Tahoma" w:eastAsia="Tahoma" w:hAnsi="Tahoma" w:cs="Tahoma"/>
      <w:lang w:val="es-ES"/>
    </w:rPr>
  </w:style>
  <w:style w:type="paragraph" w:styleId="Sinespaciado">
    <w:name w:val="No Spacing"/>
    <w:link w:val="SinespaciadoCar"/>
    <w:uiPriority w:val="1"/>
    <w:qFormat/>
    <w:rsid w:val="00F82DA3"/>
    <w:pPr>
      <w:widowControl/>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qFormat/>
    <w:rsid w:val="00F82DA3"/>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9D68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84A"/>
    <w:rPr>
      <w:rFonts w:ascii="Segoe UI" w:eastAsia="Tahoma" w:hAnsi="Segoe UI" w:cs="Segoe UI"/>
      <w:sz w:val="18"/>
      <w:szCs w:val="18"/>
      <w:lang w:val="es-ES"/>
    </w:rPr>
  </w:style>
  <w:style w:type="paragraph" w:customStyle="1" w:styleId="p1">
    <w:name w:val="p1"/>
    <w:basedOn w:val="Normal"/>
    <w:rsid w:val="00D54A24"/>
    <w:pPr>
      <w:widowControl/>
      <w:spacing w:before="100" w:beforeAutospacing="1" w:after="100" w:afterAutospacing="1"/>
    </w:pPr>
    <w:rPr>
      <w:rFonts w:ascii="Times New Roman" w:eastAsiaTheme="minorEastAsia" w:hAnsi="Times New Roman" w:cs="Times New Roman"/>
      <w:sz w:val="24"/>
      <w:szCs w:val="24"/>
    </w:rPr>
  </w:style>
  <w:style w:type="character" w:customStyle="1" w:styleId="s1">
    <w:name w:val="s1"/>
    <w:basedOn w:val="Fuentedeprrafopredeter"/>
    <w:rsid w:val="00D54A24"/>
  </w:style>
  <w:style w:type="paragraph" w:customStyle="1" w:styleId="p2">
    <w:name w:val="p2"/>
    <w:basedOn w:val="Normal"/>
    <w:rsid w:val="00D54A24"/>
    <w:pPr>
      <w:widowControl/>
      <w:spacing w:before="100" w:beforeAutospacing="1" w:after="100" w:afterAutospacing="1"/>
    </w:pPr>
    <w:rPr>
      <w:rFonts w:ascii="Times New Roman" w:eastAsiaTheme="minorEastAsia" w:hAnsi="Times New Roman" w:cs="Times New Roman"/>
      <w:sz w:val="24"/>
      <w:szCs w:val="24"/>
    </w:rPr>
  </w:style>
  <w:style w:type="character" w:customStyle="1" w:styleId="s2">
    <w:name w:val="s2"/>
    <w:basedOn w:val="Fuentedeprrafopredeter"/>
    <w:rsid w:val="00D54A24"/>
  </w:style>
  <w:style w:type="table" w:styleId="Tablaconcuadrcula">
    <w:name w:val="Table Grid"/>
    <w:basedOn w:val="Tablanormal"/>
    <w:uiPriority w:val="39"/>
    <w:rsid w:val="00D54A24"/>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01CD9"/>
  </w:style>
  <w:style w:type="character" w:styleId="Textoennegrita">
    <w:name w:val="Strong"/>
    <w:basedOn w:val="Fuentedeprrafopredeter"/>
    <w:uiPriority w:val="22"/>
    <w:qFormat/>
    <w:rsid w:val="00801CD9"/>
    <w:rPr>
      <w:b/>
      <w:bCs/>
    </w:rPr>
  </w:style>
  <w:style w:type="character" w:customStyle="1" w:styleId="relative">
    <w:name w:val="relative"/>
    <w:basedOn w:val="Fuentedeprrafopredeter"/>
    <w:rsid w:val="00801CD9"/>
  </w:style>
  <w:style w:type="character" w:customStyle="1" w:styleId="s22">
    <w:name w:val="s22"/>
    <w:basedOn w:val="Fuentedeprrafopredeter"/>
    <w:rsid w:val="00801CD9"/>
  </w:style>
  <w:style w:type="paragraph" w:styleId="NormalWeb">
    <w:name w:val="Normal (Web)"/>
    <w:basedOn w:val="Normal"/>
    <w:uiPriority w:val="99"/>
    <w:semiHidden/>
    <w:unhideWhenUsed/>
    <w:rsid w:val="00062D47"/>
    <w:pPr>
      <w:widowControl/>
      <w:spacing w:before="100" w:beforeAutospacing="1" w:after="100" w:afterAutospacing="1"/>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0C3ABB"/>
    <w:pPr>
      <w:widowControl/>
    </w:pPr>
    <w:rPr>
      <w:rFonts w:asciiTheme="minorHAnsi" w:eastAsiaTheme="minorHAnsi" w:hAnsiTheme="minorHAnsi" w:cstheme="minorBidi"/>
      <w:kern w:val="2"/>
      <w:sz w:val="20"/>
      <w:szCs w:val="20"/>
    </w:rPr>
  </w:style>
  <w:style w:type="character" w:customStyle="1" w:styleId="TextonotapieCar">
    <w:name w:val="Texto nota pie Car"/>
    <w:basedOn w:val="Fuentedeprrafopredeter"/>
    <w:link w:val="Textonotapie"/>
    <w:uiPriority w:val="99"/>
    <w:semiHidden/>
    <w:rsid w:val="000C3ABB"/>
    <w:rPr>
      <w:kern w:val="2"/>
      <w:sz w:val="20"/>
      <w:szCs w:val="20"/>
      <w:lang w:val="es-MX"/>
    </w:rPr>
  </w:style>
  <w:style w:type="character" w:styleId="Refdenotaalpie">
    <w:name w:val="footnote reference"/>
    <w:basedOn w:val="Fuentedeprrafopredeter"/>
    <w:uiPriority w:val="99"/>
    <w:semiHidden/>
    <w:unhideWhenUsed/>
    <w:rsid w:val="000C3ABB"/>
    <w:rPr>
      <w:vertAlign w:val="superscript"/>
    </w:rPr>
  </w:style>
  <w:style w:type="character" w:customStyle="1" w:styleId="Ttulo3Car">
    <w:name w:val="Título 3 Car"/>
    <w:basedOn w:val="Fuentedeprrafopredeter"/>
    <w:uiPriority w:val="9"/>
    <w:rsid w:val="00A95E05"/>
    <w:rPr>
      <w:rFonts w:ascii="Times New Roman" w:eastAsia="Times New Roman" w:hAnsi="Times New Roman" w:cs="Times New Roman"/>
      <w:b/>
      <w:bCs/>
      <w:sz w:val="27"/>
      <w:szCs w:val="27"/>
      <w:lang w:val="es-MX" w:eastAsia="es-MX"/>
    </w:rPr>
  </w:style>
  <w:style w:type="paragraph" w:styleId="Cita">
    <w:name w:val="Quote"/>
    <w:basedOn w:val="Normal"/>
    <w:next w:val="Normal"/>
    <w:link w:val="CitaCar"/>
    <w:uiPriority w:val="29"/>
    <w:qFormat/>
    <w:rsid w:val="004074D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074D2"/>
    <w:rPr>
      <w:rFonts w:ascii="Tahoma" w:eastAsia="Tahoma" w:hAnsi="Tahoma" w:cs="Tahoma"/>
      <w:i/>
      <w:iCs/>
      <w:color w:val="404040" w:themeColor="text1" w:themeTint="BF"/>
      <w:lang w:val="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widowControl/>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bnjA6wGWiJHAYqOTJ08rphqO6A==">CgMxLjA4AHIhMUI3RllTNmd4YWtXYWpzaEhnUzVOdlN0bHR6MlZtQWJ5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4275</Words>
  <Characters>23515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3</cp:revision>
  <dcterms:created xsi:type="dcterms:W3CDTF">2026-04-29T19:48:00Z</dcterms:created>
  <dcterms:modified xsi:type="dcterms:W3CDTF">2026-04-29T19:48:00Z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Adobe Illustrator 29.4 (Macintosh)</vt:lpwstr>
  </property>
  <property fmtid="{D5CDD505-2E9C-101B-9397-08002B2CF9AE}" pid="4" name="LastSaved">
    <vt:filetime>2025-04-21T00:00:00Z</vt:filetime>
  </property>
  <property fmtid="{D5CDD505-2E9C-101B-9397-08002B2CF9AE}" pid="5" name="Producer">
    <vt:lpwstr>Adobe PDF library 17.00</vt:lpwstr>
  </property>
</Properties>
</file>