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259F" w14:textId="77777777" w:rsidR="00B908D9" w:rsidRDefault="00B908D9" w:rsidP="00B908D9">
      <w:pPr>
        <w:jc w:val="right"/>
      </w:pPr>
      <w:r>
        <w:t xml:space="preserve">Toluca de Lerdo, Capital del Estado de México, </w:t>
      </w:r>
    </w:p>
    <w:p w14:paraId="70281203" w14:textId="77777777" w:rsidR="00B00B50" w:rsidRDefault="00B908D9" w:rsidP="00B908D9">
      <w:pPr>
        <w:jc w:val="right"/>
      </w:pPr>
      <w:r>
        <w:t>__ de ____________ del 202</w:t>
      </w:r>
      <w:r w:rsidR="00A023EA">
        <w:t>6.</w:t>
      </w:r>
    </w:p>
    <w:p w14:paraId="4C47E158" w14:textId="77777777" w:rsidR="00B908D9" w:rsidRDefault="00B908D9" w:rsidP="00B908D9">
      <w:pPr>
        <w:jc w:val="right"/>
      </w:pPr>
    </w:p>
    <w:p w14:paraId="7C9CC84E" w14:textId="77777777" w:rsidR="00B908D9" w:rsidRPr="00B908D9" w:rsidRDefault="00B908D9" w:rsidP="00B908D9">
      <w:pPr>
        <w:ind w:right="3593"/>
        <w:jc w:val="both"/>
        <w:rPr>
          <w:lang w:val="pt-BR"/>
        </w:rPr>
      </w:pPr>
      <w:r w:rsidRPr="00B908D9">
        <w:rPr>
          <w:lang w:val="pt-BR"/>
        </w:rPr>
        <w:t>DIPUTADA MARTHA AZUCENA CAMACHO REYNOSO</w:t>
      </w:r>
      <w:r>
        <w:rPr>
          <w:lang w:val="pt-BR"/>
        </w:rPr>
        <w:t xml:space="preserve"> </w:t>
      </w:r>
      <w:r w:rsidRPr="00B908D9">
        <w:rPr>
          <w:lang w:val="pt-BR"/>
        </w:rPr>
        <w:t>PRESIDENTA DE LA MESA DIRECTIVA DE LA</w:t>
      </w:r>
      <w:r>
        <w:rPr>
          <w:lang w:val="pt-BR"/>
        </w:rPr>
        <w:t xml:space="preserve"> </w:t>
      </w:r>
      <w:r w:rsidRPr="00B908D9">
        <w:rPr>
          <w:lang w:val="pt-BR"/>
        </w:rPr>
        <w:t>LXII LEGISLATURA DEL ESTADO LIBRE Y</w:t>
      </w:r>
      <w:r>
        <w:rPr>
          <w:lang w:val="pt-BR"/>
        </w:rPr>
        <w:t xml:space="preserve"> </w:t>
      </w:r>
      <w:r w:rsidRPr="00B908D9">
        <w:rPr>
          <w:lang w:val="pt-BR"/>
        </w:rPr>
        <w:t>SOBERANO DE MÉXICO</w:t>
      </w:r>
    </w:p>
    <w:p w14:paraId="25BD4249" w14:textId="77777777" w:rsidR="00B908D9" w:rsidRDefault="00B908D9" w:rsidP="00B908D9">
      <w:pPr>
        <w:jc w:val="both"/>
        <w:rPr>
          <w:lang w:val="pt-BR"/>
        </w:rPr>
      </w:pPr>
      <w:r w:rsidRPr="00B908D9">
        <w:rPr>
          <w:lang w:val="pt-BR"/>
        </w:rPr>
        <w:t>P R E S E N T E.</w:t>
      </w:r>
    </w:p>
    <w:p w14:paraId="68A4BE5D" w14:textId="5F74559E" w:rsidR="00B908D9" w:rsidRDefault="00B908D9" w:rsidP="00B908D9">
      <w:pPr>
        <w:pStyle w:val="NormalWeb"/>
        <w:shd w:val="clear" w:color="auto" w:fill="FFFFFF"/>
        <w:spacing w:line="360" w:lineRule="auto"/>
        <w:jc w:val="both"/>
        <w:rPr>
          <w:rFonts w:ascii="Arial" w:hAnsi="Arial" w:cs="Arial"/>
        </w:rPr>
      </w:pPr>
      <w:r w:rsidRPr="00B908D9">
        <w:rPr>
          <w:rFonts w:ascii="Arial" w:hAnsi="Arial" w:cs="Arial"/>
        </w:rPr>
        <w:t xml:space="preserve">Los que suscriben Rocío Alexia Dávila Sánchez y Pablo Fernández de Cevallos González,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78 de la Ley Orgánica del Poder Legislativo del Estado Libre y Soberano de México, así como su Reglamento someto a la consideración de esta Honorable Legislatura, </w:t>
      </w:r>
      <w:r w:rsidR="00C666E4">
        <w:rPr>
          <w:rFonts w:ascii="Arial" w:hAnsi="Arial" w:cs="Arial"/>
        </w:rPr>
        <w:t xml:space="preserve">La </w:t>
      </w:r>
      <w:r w:rsidR="00007D5F" w:rsidRPr="00007D5F">
        <w:rPr>
          <w:rFonts w:ascii="Arial" w:hAnsi="Arial" w:cs="Arial"/>
        </w:rPr>
        <w:t xml:space="preserve">Iniciativa </w:t>
      </w:r>
      <w:r w:rsidR="00C666E4">
        <w:rPr>
          <w:rFonts w:ascii="Arial" w:hAnsi="Arial" w:cs="Arial"/>
        </w:rPr>
        <w:t xml:space="preserve">Escuelas con Agua con </w:t>
      </w:r>
      <w:r w:rsidR="00007D5F" w:rsidRPr="00007D5F">
        <w:rPr>
          <w:rFonts w:ascii="Arial" w:hAnsi="Arial" w:cs="Arial"/>
        </w:rPr>
        <w:t>Proyecto de Decreto por el que se reforman y adicionan diversas disposiciones de la Ley del Agua para el Estado de México y Municipios, de la Ley de Educación del Estado de México y del Código Administrativo del Estado de México, en materia de captación de agua pluvial en infraestructura educativa bajo el enfoque de escuelas como centros de resiliencia hídrica, al tenor de la siguiente</w:t>
      </w:r>
      <w:r w:rsidRPr="00B908D9">
        <w:rPr>
          <w:rFonts w:ascii="Arial" w:hAnsi="Arial" w:cs="Arial"/>
        </w:rPr>
        <w:t>:</w:t>
      </w:r>
    </w:p>
    <w:p w14:paraId="1327D971" w14:textId="77777777" w:rsidR="00B908D9" w:rsidRPr="00C666E4" w:rsidRDefault="00B908D9" w:rsidP="00B908D9">
      <w:pPr>
        <w:pStyle w:val="NormalWeb"/>
        <w:shd w:val="clear" w:color="auto" w:fill="FFFFFF"/>
        <w:spacing w:line="360" w:lineRule="auto"/>
        <w:jc w:val="center"/>
        <w:rPr>
          <w:rFonts w:ascii="Arial" w:hAnsi="Arial" w:cs="Arial"/>
          <w:b/>
          <w:bCs/>
        </w:rPr>
      </w:pPr>
      <w:r w:rsidRPr="00C666E4">
        <w:rPr>
          <w:rFonts w:ascii="Arial" w:hAnsi="Arial" w:cs="Arial"/>
          <w:b/>
          <w:bCs/>
        </w:rPr>
        <w:t>EXPOSICIÓN DE MOTIVOS</w:t>
      </w:r>
    </w:p>
    <w:p w14:paraId="593F8EB4" w14:textId="77777777"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El acceso al agua ha dejado de ser un tema sectorial para consolidarse como uno de los principales desafíos estructurales del Estado mexicano en el siglo XXI, particularmente en entidades con alta densidad poblacional, presión urbana y crecimiento desordenado como el Estado de México. La problemática hídrica no puede entenderse como un fenómeno aislado o coyuntural, sino como el resultado acumulado de décadas de sobreexplotación de acuíferos, insuficiencia en la infraestructura hidráulica, deficiencias en la planeación territorial y un modelo de gestión que ha privilegiado la extracción por encima de la sostenibilidad.</w:t>
      </w:r>
    </w:p>
    <w:p w14:paraId="1E7A3A14" w14:textId="34A2D1B1"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De acuerdo con el Instituto Mexicano de Tecnología del Agua, la disponibilidad de agua per cápita en México ha disminuido de manera drástica en las últimas décadas, pasando de 17,742 metros cúbicos por habitante en 1950 a aproximadamente 3,656 metros cúbicos en años recientes, con una tendencia descendente que coloca al país en condiciones de estrés hídrico creciente</w:t>
      </w:r>
      <w:sdt>
        <w:sdtPr>
          <w:rPr>
            <w:rFonts w:ascii="Arial" w:hAnsi="Arial" w:cs="Arial"/>
          </w:rPr>
          <w:id w:val="1540009523"/>
          <w:citation/>
        </w:sdtPr>
        <w:sdtEndPr/>
        <w:sdtContent>
          <w:r w:rsidR="0010340B">
            <w:rPr>
              <w:rFonts w:ascii="Arial" w:hAnsi="Arial" w:cs="Arial"/>
            </w:rPr>
            <w:fldChar w:fldCharType="begin"/>
          </w:r>
          <w:r w:rsidR="0010340B">
            <w:rPr>
              <w:rFonts w:ascii="Arial" w:hAnsi="Arial" w:cs="Arial"/>
            </w:rPr>
            <w:instrText xml:space="preserve">CITATION Sec26 \p 11 \l 2058 </w:instrText>
          </w:r>
          <w:r w:rsidR="0010340B">
            <w:rPr>
              <w:rFonts w:ascii="Arial" w:hAnsi="Arial" w:cs="Arial"/>
            </w:rPr>
            <w:fldChar w:fldCharType="separate"/>
          </w:r>
          <w:r w:rsidR="0010340B">
            <w:rPr>
              <w:rFonts w:ascii="Arial" w:hAnsi="Arial" w:cs="Arial"/>
              <w:noProof/>
            </w:rPr>
            <w:t xml:space="preserve"> </w:t>
          </w:r>
          <w:r w:rsidR="0010340B" w:rsidRPr="0010340B">
            <w:rPr>
              <w:rFonts w:ascii="Arial" w:hAnsi="Arial" w:cs="Arial"/>
              <w:noProof/>
            </w:rPr>
            <w:t>(Secretaria de MEdio Ambiente y Recursos Naturales, 2026, pág. 11)</w:t>
          </w:r>
          <w:r w:rsidR="0010340B">
            <w:rPr>
              <w:rFonts w:ascii="Arial" w:hAnsi="Arial" w:cs="Arial"/>
            </w:rPr>
            <w:fldChar w:fldCharType="end"/>
          </w:r>
        </w:sdtContent>
      </w:sdt>
      <w:r>
        <w:rPr>
          <w:rStyle w:val="Refdenotaalpie"/>
          <w:rFonts w:ascii="Arial" w:hAnsi="Arial" w:cs="Arial"/>
        </w:rPr>
        <w:footnoteReference w:id="1"/>
      </w:r>
      <w:r w:rsidRPr="00007D5F">
        <w:rPr>
          <w:rFonts w:ascii="Arial" w:hAnsi="Arial" w:cs="Arial"/>
        </w:rPr>
        <w:t>. Esta reducción no solo representa una disminución en la cantidad del recurso disponible, sino una evidencia clara de que el modelo actual de gestión del agua resulta insuficiente para garantizar su disponibilidad futura.</w:t>
      </w:r>
    </w:p>
    <w:p w14:paraId="366E4F0C" w14:textId="7DB8ABC4"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En el caso del Estado de México, esta problemática se intensifica debido a su integración con la Zona Metropolitana del Valle de México, una de las regiones con mayor presión hídrica del país. La demanda de agua supera en múltiples zonas la capacidad de los sistemas de abastecimiento, generando escenarios recurrentes de escasez, tandeo y dependencia de suministros extraordinarios. El Instituto Mexicano para la Competitividad ha documentado que la crisis hídrica en México no responde únicamente a la falta de agua, sino a una deficiente gestión del recurso, caracterizada por pérdidas en la red, sobreexplotación de fuentes y falta de inversión en soluciones sostenibles.</w:t>
      </w:r>
    </w:p>
    <w:p w14:paraId="39EB6BD9" w14:textId="27FB5FCF"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Esta situación se vuelve aún más crítica cuando se analiza la paradoja hídrica nacional. Mientras amplios sectores de la población enfrentan dificultades para acceder al agua potable, el país recibe anualmente grandes volúmenes de precipitación pluvial que no son aprovechados de manera eficiente. De acuerdo con la Comisión Nacional del Agua, en sus informes oficiales sobre la situación hídrica, una proporción significativa de esta agua se pierde como escurrimiento superficial o se canaliza directamente al drenaje sin ser captada ni reutilizada. Este desperdicio sistemático no solo refleja una omisión técnica, sino una falla estructural en la forma en que se concibe la gestión del recurso hídrico.</w:t>
      </w:r>
    </w:p>
    <w:p w14:paraId="50B14095" w14:textId="1479448A"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La evidencia empírica demuestra que este modelo tiene consecuencias directas en la vida cotidiana de la población. En la Zona Metropolitana del Valle de México, gran parte del agua pluvial es desechada sin ser aprovechada, contribuyendo tanto a la escasez como a problemas recurrentes de inundación y saturación de drenajes. Este esquema lineal, basado en la extracción, consumo y desecho, resulta insostenible frente a los desafíos actuales y futuros.</w:t>
      </w:r>
    </w:p>
    <w:p w14:paraId="2799AEB0" w14:textId="005B6D88"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El caso del Sistema Cutzamala constituye uno de los ejemplos más claros de la vulnerabilidad del modelo hídrico vigente. Este sistema, del cual dependen millones de personas, ha registrado niveles críticos de almacenamiento en años recientes, evidenciando la fragilidad de las fuentes convencionales de abastecimiento y la necesidad urgente de diversificar las estrategias de gestión del agua. La dependencia de estos sistemas centralizados expone a la población a riesgos constantes de desabasto, particularmente en contextos de sequía prolongada.</w:t>
      </w:r>
    </w:p>
    <w:p w14:paraId="4DCF6D74" w14:textId="77777777"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Frente a este panorama, resulta indispensable transitar hacia un modelo de gestión integral del agua que incorpore soluciones descentralizadas, sostenibles y resilientes. En este sentido, la captación de agua pluvial se presenta como una de las alternativas más viables, tanto por su eficiencia técnica como por su viabilidad económica y social. La evidencia demuestra que estos sistemas permiten reducir la presión sobre los acuíferos, disminuir el consumo de agua potable en usos no esenciales y mejorar la resiliencia de las comunidades frente a fenómenos climáticos extremos.</w:t>
      </w:r>
    </w:p>
    <w:p w14:paraId="79552C33" w14:textId="1A2EB9BD"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No obstante, a pesar de su viabilidad y beneficios, la captación de agua pluvial no ha sido incorporada de manera sistemática en las políticas públicas del Estado de México, particularmente en un ámbito estratégico que ha permanecido subutilizado: la infraestructura educativa. Esta omisión resulta significativa si se considera que el Estado de México concentra uno de los sistemas educativos más amplios del país, con miles de planteles distribuidos en su territorio, lo que representa una oportunidad estratégica para implementar soluciones de captación pluvial a gran escala.</w:t>
      </w:r>
    </w:p>
    <w:p w14:paraId="785C85AC" w14:textId="0E0DA223"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La presente iniciativa propone un cambio de paradigma en la forma de concebir la relación entre infraestructura educativa y gestión hídrica. Se plantea que las escuelas dejen de ser únicamente espacios de consumo para convertirse en centros de resiliencia hídrica, capaces de captar, almacenar y reutilizar el agua de lluvia, al tiempo que fomentan una cultura de uso responsable del recurso desde la formación básica.</w:t>
      </w:r>
    </w:p>
    <w:p w14:paraId="41688447" w14:textId="033CA7AC"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Desde el punto de vista técnico, los sistemas de captación pluvial son tecnologías probadas, adaptables y de bajo costo relativo. Experiencias implementadas en México, como el programa “Cosecha de Lluvia” en la Ciudad de México, han demostrado su efectividad en la captación y aprovechamiento del recurso, reduciendo la dependencia de la red hidráulica y generando beneficios directos en términos de disponibilidad de agua</w:t>
      </w:r>
      <w:r>
        <w:rPr>
          <w:rStyle w:val="Refdenotaalpie"/>
          <w:rFonts w:ascii="Arial" w:hAnsi="Arial" w:cs="Arial"/>
        </w:rPr>
        <w:footnoteReference w:id="2"/>
      </w:r>
      <w:r w:rsidRPr="00007D5F">
        <w:rPr>
          <w:rFonts w:ascii="Arial" w:hAnsi="Arial" w:cs="Arial"/>
        </w:rPr>
        <w:t>.</w:t>
      </w:r>
    </w:p>
    <w:p w14:paraId="6DB6DCEE" w14:textId="501C60D3"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La viabilidad de la presente iniciativa se fortalece al analizar su impacto financiero. Con base en parámetros técnicos derivados de experiencias reales, el costo promedio de instalación de un sistema de captación pluvial puede estimarse en aproximadamente sesenta mil pesos por plantel. Bajo este supuesto, y considerando una meta inicial de cobertura progresiva, la inversión requerida representa una proporción marginal del gasto público estatal.</w:t>
      </w:r>
    </w:p>
    <w:p w14:paraId="6AA1D210" w14:textId="0F4BA1B3"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Adicionalmente, esta inversión debe analizarse desde una perspectiva de eficiencia económica. La captación de agua pluvial permite reducir costos asociados al suministro mediante pipas, disminuir la presión sobre la infraestructura hidráulica y mitigar los efectos económicos derivados de inundaciones y saturación de drenajes, generando beneficios acumulativos en el mediano y largo plazo.</w:t>
      </w:r>
    </w:p>
    <w:p w14:paraId="16350E66" w14:textId="6E6CA47D"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Desde el punto de vista jurídico, la iniciativa encuentra sustento en el artículo 4° de la Constitución Política de los Estados Unidos Mexicanos, así como en los compromisos internacionales establecidos en la Agenda 2030 para el Desarrollo Sostenible, particularmente en el Objetivo de Desarrollo Sostenible número 6, relativo al acceso al agua y su gestión sostenible.</w:t>
      </w:r>
    </w:p>
    <w:p w14:paraId="28A91D78" w14:textId="3328ECE7" w:rsidR="00007D5F" w:rsidRP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En suma, la presente propuesta no solo atiende una necesidad urgente, sino que plantea una solución estructural basada en evidencia técnica, viabilidad financiera y coherencia jurídica. Transformar las escuelas en centros de resiliencia hídrica no implica únicamente instalar infraestructura, sino construir una nueva relación entre la sociedad y el agua, basada en la responsabilidad, la sostenibilidad y la previsión.</w:t>
      </w:r>
    </w:p>
    <w:p w14:paraId="1523D2D5" w14:textId="7ADC43FB" w:rsidR="00007D5F" w:rsidRDefault="00007D5F" w:rsidP="00007D5F">
      <w:pPr>
        <w:pStyle w:val="NormalWeb"/>
        <w:shd w:val="clear" w:color="auto" w:fill="FFFFFF"/>
        <w:spacing w:line="360" w:lineRule="auto"/>
        <w:jc w:val="both"/>
        <w:rPr>
          <w:rFonts w:ascii="Arial" w:hAnsi="Arial" w:cs="Arial"/>
        </w:rPr>
      </w:pPr>
      <w:r w:rsidRPr="00007D5F">
        <w:rPr>
          <w:rFonts w:ascii="Arial" w:hAnsi="Arial" w:cs="Arial"/>
        </w:rPr>
        <w:t>El agua que hoy se desperdicia puede convertirse en la base de una política pública transformadora. Aprovecharla no es una opción, sino una obligación frente a las generaciones presentes y futuras.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155"/>
      </w:tblGrid>
      <w:tr w:rsidR="00B908D9" w:rsidRPr="00D55022" w14:paraId="225E79F4" w14:textId="77777777" w:rsidTr="00C5233E">
        <w:tc>
          <w:tcPr>
            <w:tcW w:w="8828" w:type="dxa"/>
            <w:gridSpan w:val="3"/>
          </w:tcPr>
          <w:p w14:paraId="664C90DE" w14:textId="77777777" w:rsidR="00B908D9" w:rsidRPr="00D55022" w:rsidRDefault="00B908D9" w:rsidP="00C5233E">
            <w:pPr>
              <w:pStyle w:val="Sinespaciado"/>
              <w:spacing w:line="360" w:lineRule="auto"/>
              <w:jc w:val="center"/>
              <w:rPr>
                <w:rFonts w:ascii="Arial" w:hAnsi="Arial" w:cs="Arial"/>
                <w:bCs/>
                <w:sz w:val="24"/>
                <w:szCs w:val="24"/>
              </w:rPr>
            </w:pPr>
            <w:r w:rsidRPr="00D55022">
              <w:rPr>
                <w:rFonts w:ascii="Arial" w:hAnsi="Arial" w:cs="Arial"/>
                <w:b/>
                <w:bCs/>
                <w:sz w:val="24"/>
                <w:szCs w:val="24"/>
              </w:rPr>
              <w:t>ATENTAMENTE</w:t>
            </w:r>
          </w:p>
        </w:tc>
      </w:tr>
      <w:tr w:rsidR="00B908D9" w:rsidRPr="00D55022" w14:paraId="54A2101B" w14:textId="77777777" w:rsidTr="00C5233E">
        <w:tc>
          <w:tcPr>
            <w:tcW w:w="4106" w:type="dxa"/>
          </w:tcPr>
          <w:p w14:paraId="2300076A" w14:textId="77777777" w:rsidR="00B908D9" w:rsidRPr="00D55022" w:rsidRDefault="00B908D9" w:rsidP="00C5233E">
            <w:pPr>
              <w:pStyle w:val="Sinespaciado"/>
              <w:spacing w:line="360" w:lineRule="auto"/>
              <w:jc w:val="both"/>
              <w:rPr>
                <w:rFonts w:ascii="Arial" w:hAnsi="Arial" w:cs="Arial"/>
                <w:bCs/>
                <w:sz w:val="24"/>
                <w:szCs w:val="24"/>
              </w:rPr>
            </w:pPr>
          </w:p>
        </w:tc>
        <w:tc>
          <w:tcPr>
            <w:tcW w:w="567" w:type="dxa"/>
          </w:tcPr>
          <w:p w14:paraId="53293A15" w14:textId="77777777" w:rsidR="00B908D9" w:rsidRPr="00D55022" w:rsidRDefault="00B908D9" w:rsidP="00C5233E">
            <w:pPr>
              <w:pStyle w:val="Sinespaciado"/>
              <w:spacing w:line="360" w:lineRule="auto"/>
              <w:jc w:val="both"/>
              <w:rPr>
                <w:rFonts w:ascii="Arial" w:hAnsi="Arial" w:cs="Arial"/>
                <w:bCs/>
                <w:sz w:val="24"/>
                <w:szCs w:val="24"/>
              </w:rPr>
            </w:pPr>
          </w:p>
        </w:tc>
        <w:tc>
          <w:tcPr>
            <w:tcW w:w="4155" w:type="dxa"/>
          </w:tcPr>
          <w:p w14:paraId="6FA629E4" w14:textId="77777777" w:rsidR="00B908D9" w:rsidRPr="00D55022" w:rsidRDefault="00B908D9" w:rsidP="00C5233E">
            <w:pPr>
              <w:pStyle w:val="Sinespaciado"/>
              <w:spacing w:line="360" w:lineRule="auto"/>
              <w:jc w:val="both"/>
              <w:rPr>
                <w:rFonts w:ascii="Arial" w:hAnsi="Arial" w:cs="Arial"/>
                <w:bCs/>
                <w:sz w:val="24"/>
                <w:szCs w:val="24"/>
              </w:rPr>
            </w:pPr>
          </w:p>
        </w:tc>
      </w:tr>
      <w:tr w:rsidR="00B908D9" w:rsidRPr="00D55022" w14:paraId="0F46367F" w14:textId="77777777" w:rsidTr="00C5233E">
        <w:tc>
          <w:tcPr>
            <w:tcW w:w="4106" w:type="dxa"/>
          </w:tcPr>
          <w:p w14:paraId="7103CF2F" w14:textId="77777777" w:rsidR="00B908D9" w:rsidRPr="00D55022" w:rsidRDefault="00B908D9" w:rsidP="00C5233E">
            <w:pPr>
              <w:pStyle w:val="Sinespaciado"/>
              <w:spacing w:line="360" w:lineRule="auto"/>
              <w:jc w:val="center"/>
              <w:rPr>
                <w:rFonts w:ascii="Arial" w:hAnsi="Arial" w:cs="Arial"/>
                <w:b/>
                <w:bCs/>
                <w:sz w:val="24"/>
                <w:szCs w:val="24"/>
              </w:rPr>
            </w:pPr>
            <w:r w:rsidRPr="00D55022">
              <w:rPr>
                <w:rFonts w:ascii="Arial" w:hAnsi="Arial" w:cs="Arial"/>
                <w:b/>
                <w:bCs/>
                <w:sz w:val="24"/>
                <w:szCs w:val="24"/>
              </w:rPr>
              <w:t>DIP. ROCÍO ALEXIA DÁVILA SÁNCHEZ</w:t>
            </w:r>
          </w:p>
        </w:tc>
        <w:tc>
          <w:tcPr>
            <w:tcW w:w="567" w:type="dxa"/>
          </w:tcPr>
          <w:p w14:paraId="3A304313" w14:textId="77777777" w:rsidR="00B908D9" w:rsidRPr="00D55022" w:rsidRDefault="00B908D9" w:rsidP="00C5233E">
            <w:pPr>
              <w:pStyle w:val="Sinespaciado"/>
              <w:spacing w:line="360" w:lineRule="auto"/>
              <w:jc w:val="both"/>
              <w:rPr>
                <w:rFonts w:ascii="Arial" w:hAnsi="Arial" w:cs="Arial"/>
                <w:bCs/>
                <w:sz w:val="24"/>
                <w:szCs w:val="24"/>
              </w:rPr>
            </w:pPr>
          </w:p>
        </w:tc>
        <w:tc>
          <w:tcPr>
            <w:tcW w:w="4155" w:type="dxa"/>
          </w:tcPr>
          <w:p w14:paraId="6889F343" w14:textId="77777777" w:rsidR="00B908D9" w:rsidRPr="00D55022" w:rsidRDefault="00B908D9" w:rsidP="00C5233E">
            <w:pPr>
              <w:pStyle w:val="Sinespaciado"/>
              <w:spacing w:line="360" w:lineRule="auto"/>
              <w:jc w:val="center"/>
              <w:rPr>
                <w:rFonts w:ascii="Arial" w:hAnsi="Arial" w:cs="Arial"/>
                <w:b/>
                <w:bCs/>
                <w:sz w:val="24"/>
                <w:szCs w:val="24"/>
              </w:rPr>
            </w:pPr>
            <w:r w:rsidRPr="00D55022">
              <w:rPr>
                <w:rFonts w:ascii="Arial" w:hAnsi="Arial" w:cs="Arial"/>
                <w:b/>
                <w:bCs/>
                <w:sz w:val="24"/>
                <w:szCs w:val="24"/>
              </w:rPr>
              <w:t>DIP. PABLO FERNÁNDEZ DE CEVALLOS GONZÁLEZ</w:t>
            </w:r>
          </w:p>
        </w:tc>
      </w:tr>
      <w:tr w:rsidR="00B908D9" w:rsidRPr="00D55022" w14:paraId="316447D4" w14:textId="77777777" w:rsidTr="00C5233E">
        <w:tc>
          <w:tcPr>
            <w:tcW w:w="4106" w:type="dxa"/>
          </w:tcPr>
          <w:p w14:paraId="449D2D77" w14:textId="77777777" w:rsidR="00B908D9" w:rsidRPr="00D55022" w:rsidRDefault="00B908D9" w:rsidP="00C5233E">
            <w:pPr>
              <w:pStyle w:val="Sinespaciado"/>
              <w:spacing w:line="360" w:lineRule="auto"/>
              <w:jc w:val="both"/>
              <w:rPr>
                <w:rFonts w:ascii="Arial" w:hAnsi="Arial" w:cs="Arial"/>
                <w:bCs/>
                <w:sz w:val="24"/>
                <w:szCs w:val="24"/>
              </w:rPr>
            </w:pPr>
          </w:p>
        </w:tc>
        <w:tc>
          <w:tcPr>
            <w:tcW w:w="567" w:type="dxa"/>
          </w:tcPr>
          <w:p w14:paraId="5CE5F70F" w14:textId="77777777" w:rsidR="00B908D9" w:rsidRPr="00D55022" w:rsidRDefault="00B908D9" w:rsidP="00C5233E">
            <w:pPr>
              <w:pStyle w:val="Sinespaciado"/>
              <w:spacing w:line="360" w:lineRule="auto"/>
              <w:jc w:val="both"/>
              <w:rPr>
                <w:rFonts w:ascii="Arial" w:hAnsi="Arial" w:cs="Arial"/>
                <w:bCs/>
                <w:sz w:val="24"/>
                <w:szCs w:val="24"/>
              </w:rPr>
            </w:pPr>
          </w:p>
        </w:tc>
        <w:tc>
          <w:tcPr>
            <w:tcW w:w="4155" w:type="dxa"/>
          </w:tcPr>
          <w:p w14:paraId="7D43E991" w14:textId="77777777" w:rsidR="00B908D9" w:rsidRPr="00D55022" w:rsidRDefault="00B908D9" w:rsidP="00C5233E">
            <w:pPr>
              <w:pStyle w:val="Sinespaciado"/>
              <w:spacing w:line="360" w:lineRule="auto"/>
              <w:jc w:val="both"/>
              <w:rPr>
                <w:rFonts w:ascii="Arial" w:hAnsi="Arial" w:cs="Arial"/>
                <w:bCs/>
                <w:sz w:val="24"/>
                <w:szCs w:val="24"/>
              </w:rPr>
            </w:pPr>
          </w:p>
        </w:tc>
      </w:tr>
      <w:tr w:rsidR="00B908D9" w:rsidRPr="00D55022" w14:paraId="6006EA5F" w14:textId="77777777" w:rsidTr="00C5233E">
        <w:tc>
          <w:tcPr>
            <w:tcW w:w="8828" w:type="dxa"/>
            <w:gridSpan w:val="3"/>
          </w:tcPr>
          <w:p w14:paraId="6F245612" w14:textId="77777777" w:rsidR="00B908D9" w:rsidRPr="00D55022" w:rsidRDefault="00B908D9" w:rsidP="00C5233E">
            <w:pPr>
              <w:pStyle w:val="Sinespaciado"/>
              <w:spacing w:line="360" w:lineRule="auto"/>
              <w:jc w:val="center"/>
              <w:rPr>
                <w:rFonts w:ascii="Arial" w:hAnsi="Arial" w:cs="Arial"/>
                <w:bCs/>
                <w:sz w:val="24"/>
                <w:szCs w:val="24"/>
              </w:rPr>
            </w:pPr>
            <w:r w:rsidRPr="00D55022">
              <w:rPr>
                <w:rFonts w:ascii="Arial" w:hAnsi="Arial" w:cs="Arial"/>
                <w:b/>
                <w:bCs/>
                <w:color w:val="000000"/>
                <w:sz w:val="24"/>
                <w:szCs w:val="24"/>
              </w:rPr>
              <w:t>Grupo Parlamentario del Partido Acción Nacional</w:t>
            </w:r>
          </w:p>
        </w:tc>
      </w:tr>
    </w:tbl>
    <w:p w14:paraId="72F914FC" w14:textId="77777777" w:rsidR="008F00F8" w:rsidRDefault="008F00F8" w:rsidP="00007D5F">
      <w:pPr>
        <w:pStyle w:val="Sinespaciado"/>
        <w:spacing w:line="360" w:lineRule="auto"/>
        <w:jc w:val="center"/>
        <w:rPr>
          <w:rFonts w:ascii="Arial" w:hAnsi="Arial" w:cs="Arial"/>
          <w:b/>
          <w:bCs/>
          <w:sz w:val="24"/>
          <w:szCs w:val="24"/>
        </w:rPr>
      </w:pPr>
    </w:p>
    <w:p w14:paraId="18C1DB04" w14:textId="77777777" w:rsidR="008F00F8" w:rsidRDefault="008F00F8" w:rsidP="00007D5F">
      <w:pPr>
        <w:pStyle w:val="Sinespaciado"/>
        <w:spacing w:line="360" w:lineRule="auto"/>
        <w:jc w:val="center"/>
        <w:rPr>
          <w:rFonts w:ascii="Arial" w:hAnsi="Arial" w:cs="Arial"/>
          <w:b/>
          <w:bCs/>
          <w:sz w:val="24"/>
          <w:szCs w:val="24"/>
        </w:rPr>
      </w:pPr>
    </w:p>
    <w:p w14:paraId="5FF3FFCF" w14:textId="77777777" w:rsidR="008F00F8" w:rsidRDefault="008F00F8" w:rsidP="00007D5F">
      <w:pPr>
        <w:pStyle w:val="Sinespaciado"/>
        <w:spacing w:line="360" w:lineRule="auto"/>
        <w:jc w:val="center"/>
        <w:rPr>
          <w:rFonts w:ascii="Arial" w:hAnsi="Arial" w:cs="Arial"/>
          <w:b/>
          <w:bCs/>
          <w:sz w:val="24"/>
          <w:szCs w:val="24"/>
        </w:rPr>
      </w:pPr>
    </w:p>
    <w:p w14:paraId="37F16B2D" w14:textId="77777777" w:rsidR="008F00F8" w:rsidRDefault="008F00F8" w:rsidP="00007D5F">
      <w:pPr>
        <w:pStyle w:val="Sinespaciado"/>
        <w:spacing w:line="360" w:lineRule="auto"/>
        <w:jc w:val="center"/>
        <w:rPr>
          <w:rFonts w:ascii="Arial" w:hAnsi="Arial" w:cs="Arial"/>
          <w:b/>
          <w:bCs/>
          <w:sz w:val="24"/>
          <w:szCs w:val="24"/>
        </w:rPr>
      </w:pPr>
    </w:p>
    <w:p w14:paraId="569EE5FF" w14:textId="77777777" w:rsidR="008F00F8" w:rsidRDefault="008F00F8" w:rsidP="00007D5F">
      <w:pPr>
        <w:pStyle w:val="Sinespaciado"/>
        <w:spacing w:line="360" w:lineRule="auto"/>
        <w:jc w:val="center"/>
        <w:rPr>
          <w:rFonts w:ascii="Arial" w:hAnsi="Arial" w:cs="Arial"/>
          <w:b/>
          <w:bCs/>
          <w:sz w:val="24"/>
          <w:szCs w:val="24"/>
        </w:rPr>
      </w:pPr>
    </w:p>
    <w:p w14:paraId="40FAF32B" w14:textId="77777777" w:rsidR="008F00F8" w:rsidRDefault="008F00F8" w:rsidP="00007D5F">
      <w:pPr>
        <w:pStyle w:val="Sinespaciado"/>
        <w:spacing w:line="360" w:lineRule="auto"/>
        <w:jc w:val="center"/>
        <w:rPr>
          <w:rFonts w:ascii="Arial" w:hAnsi="Arial" w:cs="Arial"/>
          <w:b/>
          <w:bCs/>
          <w:sz w:val="24"/>
          <w:szCs w:val="24"/>
        </w:rPr>
      </w:pPr>
    </w:p>
    <w:p w14:paraId="67089B26" w14:textId="77777777" w:rsidR="008F00F8" w:rsidRDefault="008F00F8" w:rsidP="00007D5F">
      <w:pPr>
        <w:pStyle w:val="Sinespaciado"/>
        <w:spacing w:line="360" w:lineRule="auto"/>
        <w:jc w:val="center"/>
        <w:rPr>
          <w:rFonts w:ascii="Arial" w:hAnsi="Arial" w:cs="Arial"/>
          <w:b/>
          <w:bCs/>
          <w:sz w:val="24"/>
          <w:szCs w:val="24"/>
        </w:rPr>
      </w:pPr>
    </w:p>
    <w:p w14:paraId="17E56FE8" w14:textId="77777777" w:rsidR="008F00F8" w:rsidRDefault="008F00F8" w:rsidP="00007D5F">
      <w:pPr>
        <w:pStyle w:val="Sinespaciado"/>
        <w:spacing w:line="360" w:lineRule="auto"/>
        <w:jc w:val="center"/>
        <w:rPr>
          <w:rFonts w:ascii="Arial" w:hAnsi="Arial" w:cs="Arial"/>
          <w:b/>
          <w:bCs/>
          <w:sz w:val="24"/>
          <w:szCs w:val="24"/>
        </w:rPr>
      </w:pPr>
    </w:p>
    <w:p w14:paraId="6ACC69DB" w14:textId="5034E296" w:rsidR="00B908D9" w:rsidRPr="00D55022" w:rsidRDefault="00B908D9" w:rsidP="00007D5F">
      <w:pPr>
        <w:pStyle w:val="Sinespaciado"/>
        <w:spacing w:line="360" w:lineRule="auto"/>
        <w:jc w:val="center"/>
        <w:rPr>
          <w:rFonts w:ascii="Arial" w:hAnsi="Arial" w:cs="Arial"/>
          <w:b/>
          <w:bCs/>
          <w:sz w:val="24"/>
          <w:szCs w:val="24"/>
        </w:rPr>
      </w:pPr>
      <w:r w:rsidRPr="00D55022">
        <w:rPr>
          <w:rFonts w:ascii="Arial" w:hAnsi="Arial" w:cs="Arial"/>
          <w:b/>
          <w:bCs/>
          <w:sz w:val="24"/>
          <w:szCs w:val="24"/>
        </w:rPr>
        <w:t>PROYECTO DE DECRETO:</w:t>
      </w:r>
    </w:p>
    <w:p w14:paraId="3F05D498" w14:textId="77777777" w:rsidR="00B908D9" w:rsidRPr="00D55022" w:rsidRDefault="00B908D9" w:rsidP="00B908D9">
      <w:pPr>
        <w:pStyle w:val="Sinespaciado"/>
        <w:spacing w:line="360" w:lineRule="auto"/>
        <w:jc w:val="both"/>
        <w:rPr>
          <w:rFonts w:ascii="Arial" w:hAnsi="Arial" w:cs="Arial"/>
          <w:bCs/>
          <w:sz w:val="24"/>
          <w:szCs w:val="24"/>
        </w:rPr>
      </w:pPr>
    </w:p>
    <w:p w14:paraId="5DB9A38F" w14:textId="77777777" w:rsidR="00B908D9" w:rsidRPr="00D55022" w:rsidRDefault="00B908D9" w:rsidP="00B908D9">
      <w:pPr>
        <w:pStyle w:val="Sinespaciado"/>
        <w:spacing w:line="360" w:lineRule="auto"/>
        <w:jc w:val="both"/>
        <w:rPr>
          <w:rFonts w:ascii="Arial" w:hAnsi="Arial" w:cs="Arial"/>
          <w:bCs/>
          <w:sz w:val="24"/>
          <w:szCs w:val="24"/>
        </w:rPr>
      </w:pPr>
      <w:r w:rsidRPr="00D55022">
        <w:rPr>
          <w:rFonts w:ascii="Arial" w:hAnsi="Arial" w:cs="Arial"/>
          <w:bCs/>
          <w:sz w:val="24"/>
          <w:szCs w:val="24"/>
        </w:rPr>
        <w:t>DECRETO NÚMERO ____</w:t>
      </w:r>
    </w:p>
    <w:p w14:paraId="35C484B5" w14:textId="77777777" w:rsidR="00B908D9" w:rsidRPr="00D55022" w:rsidRDefault="00B908D9" w:rsidP="00B908D9">
      <w:pPr>
        <w:pStyle w:val="Sinespaciado"/>
        <w:spacing w:line="360" w:lineRule="auto"/>
        <w:jc w:val="both"/>
        <w:rPr>
          <w:rFonts w:ascii="Arial" w:hAnsi="Arial" w:cs="Arial"/>
          <w:bCs/>
          <w:sz w:val="24"/>
          <w:szCs w:val="24"/>
        </w:rPr>
      </w:pPr>
      <w:r w:rsidRPr="00D55022">
        <w:rPr>
          <w:rFonts w:ascii="Arial" w:hAnsi="Arial" w:cs="Arial"/>
          <w:bCs/>
          <w:sz w:val="24"/>
          <w:szCs w:val="24"/>
        </w:rPr>
        <w:t>LA H. “LXII” LEGISLATURA</w:t>
      </w:r>
    </w:p>
    <w:p w14:paraId="4F23F2D6" w14:textId="77777777" w:rsidR="00B908D9" w:rsidRPr="00D55022" w:rsidRDefault="00B908D9" w:rsidP="00B908D9">
      <w:pPr>
        <w:pStyle w:val="Sinespaciado"/>
        <w:spacing w:line="360" w:lineRule="auto"/>
        <w:jc w:val="both"/>
        <w:rPr>
          <w:rFonts w:ascii="Arial" w:hAnsi="Arial" w:cs="Arial"/>
          <w:bCs/>
          <w:sz w:val="24"/>
          <w:szCs w:val="24"/>
        </w:rPr>
      </w:pPr>
      <w:r w:rsidRPr="00D55022">
        <w:rPr>
          <w:rFonts w:ascii="Arial" w:hAnsi="Arial" w:cs="Arial"/>
          <w:bCs/>
          <w:sz w:val="24"/>
          <w:szCs w:val="24"/>
        </w:rPr>
        <w:t xml:space="preserve">DEL ESTADO DE MÉXICO </w:t>
      </w:r>
    </w:p>
    <w:p w14:paraId="3127E8D7" w14:textId="77777777" w:rsidR="00B908D9" w:rsidRPr="00D55022" w:rsidRDefault="00B908D9" w:rsidP="00B908D9">
      <w:pPr>
        <w:pStyle w:val="Sinespaciado"/>
        <w:spacing w:line="360" w:lineRule="auto"/>
        <w:jc w:val="both"/>
        <w:rPr>
          <w:rFonts w:ascii="Arial" w:hAnsi="Arial" w:cs="Arial"/>
          <w:bCs/>
          <w:sz w:val="24"/>
          <w:szCs w:val="24"/>
        </w:rPr>
      </w:pPr>
      <w:r w:rsidRPr="00D55022">
        <w:rPr>
          <w:rFonts w:ascii="Arial" w:hAnsi="Arial" w:cs="Arial"/>
          <w:bCs/>
          <w:sz w:val="24"/>
          <w:szCs w:val="24"/>
        </w:rPr>
        <w:t>DECRETA:</w:t>
      </w:r>
    </w:p>
    <w:p w14:paraId="631C4590" w14:textId="77777777" w:rsidR="00B908D9" w:rsidRPr="00D55022" w:rsidRDefault="00B908D9" w:rsidP="00B908D9">
      <w:pPr>
        <w:pStyle w:val="Sinespaciado"/>
        <w:spacing w:line="360" w:lineRule="auto"/>
        <w:jc w:val="both"/>
        <w:rPr>
          <w:rFonts w:ascii="Arial" w:hAnsi="Arial" w:cs="Arial"/>
          <w:bCs/>
          <w:sz w:val="24"/>
          <w:szCs w:val="24"/>
        </w:rPr>
      </w:pPr>
    </w:p>
    <w:p w14:paraId="73BB4C5D" w14:textId="390DEB54" w:rsidR="00007D5F" w:rsidRPr="00007D5F" w:rsidRDefault="00B908D9" w:rsidP="00007D5F">
      <w:pPr>
        <w:pStyle w:val="Sinespaciado"/>
        <w:spacing w:line="360" w:lineRule="auto"/>
        <w:jc w:val="both"/>
        <w:rPr>
          <w:rFonts w:ascii="Arial" w:hAnsi="Arial" w:cs="Arial"/>
          <w:b/>
          <w:bCs/>
          <w:sz w:val="24"/>
          <w:szCs w:val="24"/>
        </w:rPr>
      </w:pPr>
      <w:r w:rsidRPr="00D55022">
        <w:rPr>
          <w:rFonts w:ascii="Arial" w:hAnsi="Arial" w:cs="Arial"/>
          <w:b/>
          <w:bCs/>
          <w:sz w:val="24"/>
          <w:szCs w:val="24"/>
        </w:rPr>
        <w:t>Artículo</w:t>
      </w:r>
      <w:r w:rsidR="00007D5F">
        <w:rPr>
          <w:rFonts w:ascii="Arial" w:hAnsi="Arial" w:cs="Arial"/>
          <w:b/>
          <w:bCs/>
          <w:sz w:val="24"/>
          <w:szCs w:val="24"/>
        </w:rPr>
        <w:t xml:space="preserve"> Primero.-</w:t>
      </w:r>
      <w:r w:rsidRPr="00D55022">
        <w:rPr>
          <w:rFonts w:ascii="Arial" w:hAnsi="Arial" w:cs="Arial"/>
          <w:b/>
          <w:bCs/>
          <w:sz w:val="24"/>
          <w:szCs w:val="24"/>
        </w:rPr>
        <w:t xml:space="preserve"> </w:t>
      </w:r>
      <w:r w:rsidR="00007D5F" w:rsidRPr="00007D5F">
        <w:rPr>
          <w:rFonts w:ascii="Arial" w:hAnsi="Arial" w:cs="Arial"/>
          <w:sz w:val="24"/>
          <w:szCs w:val="24"/>
        </w:rPr>
        <w:t>Se reforman y adicionan diversas disposiciones de la Ley del Agua para el Estado de México y Municipios, para incorporar la infraestructura hídrica educativa como eje estratégico de la gestión integral del agua, para quedar como sigue:</w:t>
      </w:r>
    </w:p>
    <w:p w14:paraId="736D8B16" w14:textId="77777777" w:rsidR="00007D5F" w:rsidRPr="00007D5F" w:rsidRDefault="00007D5F" w:rsidP="00007D5F">
      <w:pPr>
        <w:pStyle w:val="Sinespaciado"/>
        <w:spacing w:line="360" w:lineRule="auto"/>
        <w:jc w:val="both"/>
        <w:rPr>
          <w:rFonts w:ascii="Arial" w:hAnsi="Arial" w:cs="Arial"/>
          <w:b/>
          <w:bCs/>
          <w:sz w:val="24"/>
          <w:szCs w:val="24"/>
        </w:rPr>
      </w:pPr>
    </w:p>
    <w:p w14:paraId="4C7DBC35" w14:textId="77777777" w:rsidR="00007D5F" w:rsidRPr="00007D5F" w:rsidRDefault="00007D5F" w:rsidP="00007D5F">
      <w:pPr>
        <w:pStyle w:val="Sinespaciado"/>
        <w:spacing w:line="360" w:lineRule="auto"/>
        <w:jc w:val="both"/>
        <w:rPr>
          <w:rFonts w:ascii="Arial" w:hAnsi="Arial" w:cs="Arial"/>
          <w:sz w:val="24"/>
          <w:szCs w:val="24"/>
        </w:rPr>
      </w:pPr>
      <w:r w:rsidRPr="00007D5F">
        <w:rPr>
          <w:rFonts w:ascii="Arial" w:hAnsi="Arial" w:cs="Arial"/>
          <w:sz w:val="24"/>
          <w:szCs w:val="24"/>
        </w:rPr>
        <w:t>Se adiciona un Título Quinto Bis denominado “De la Infraestructura Hídrica Educativa y la Resiliencia Comunitaria”, integrado por los artículos 110 Bis, 110 Ter, 110 Quáter, 110 Quinquies, 110 Sexies, 110 Septies, 110 Octies, 110 Nonies y 110 Decies.</w:t>
      </w:r>
    </w:p>
    <w:p w14:paraId="0EAA28C8" w14:textId="77777777" w:rsidR="00007D5F" w:rsidRPr="00007D5F" w:rsidRDefault="00007D5F" w:rsidP="00007D5F">
      <w:pPr>
        <w:pStyle w:val="Sinespaciado"/>
        <w:spacing w:line="360" w:lineRule="auto"/>
        <w:jc w:val="both"/>
        <w:rPr>
          <w:rFonts w:ascii="Arial" w:hAnsi="Arial" w:cs="Arial"/>
          <w:b/>
          <w:bCs/>
          <w:sz w:val="24"/>
          <w:szCs w:val="24"/>
        </w:rPr>
      </w:pPr>
    </w:p>
    <w:p w14:paraId="30EB26DF"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Bis. El Estado reconoce a los planteles educativos como infraestructura estratégica para la gestión integral del agua, por lo que deberán integrarse progresivamente como espacios de captación, almacenamiento, aprovechamiento y educación en materia hídrica, con el objeto de fortalecer la resiliencia comunitaria frente a escenarios de escasez y variabilidad climática.</w:t>
      </w:r>
    </w:p>
    <w:p w14:paraId="483F04EA" w14:textId="77777777" w:rsidR="00007D5F" w:rsidRPr="00007D5F" w:rsidRDefault="00007D5F" w:rsidP="00007D5F">
      <w:pPr>
        <w:pStyle w:val="Sinespaciado"/>
        <w:spacing w:line="360" w:lineRule="auto"/>
        <w:jc w:val="both"/>
        <w:rPr>
          <w:rFonts w:ascii="Arial" w:hAnsi="Arial" w:cs="Arial"/>
          <w:b/>
          <w:bCs/>
          <w:sz w:val="24"/>
          <w:szCs w:val="24"/>
        </w:rPr>
      </w:pPr>
    </w:p>
    <w:p w14:paraId="34AC5EEC"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Ter. Se crea el Programa Estatal de Infraestructura Hídrica Educativa como instrumento prioritario de política pública, cuyo objeto será implementar sistemas de captación de agua pluvial en planteles educativos, reducir la dependencia de fuentes convencionales de abastecimiento, garantizar disponibilidad mínima de agua en contextos de escasez, fomentar la cultura del agua y disminuir riesgos asociados a escurrimientos pluviales.</w:t>
      </w:r>
    </w:p>
    <w:p w14:paraId="53C25C60" w14:textId="77777777" w:rsidR="00007D5F" w:rsidRPr="00007D5F" w:rsidRDefault="00007D5F" w:rsidP="00007D5F">
      <w:pPr>
        <w:pStyle w:val="Sinespaciado"/>
        <w:spacing w:line="360" w:lineRule="auto"/>
        <w:jc w:val="both"/>
        <w:rPr>
          <w:rFonts w:ascii="Arial" w:hAnsi="Arial" w:cs="Arial"/>
          <w:b/>
          <w:bCs/>
          <w:sz w:val="24"/>
          <w:szCs w:val="24"/>
        </w:rPr>
      </w:pPr>
    </w:p>
    <w:p w14:paraId="625EA424"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Quáter. Se crea el Fondo Estatal de Infraestructura Hídrica Educativa como mecanismo financiero de carácter prioritario, el cual se integrará con recursos del Presupuesto de Egresos del Estado, aportaciones federales, convenios con municipios, donaciones y cooperación nacional e internacional, así como recursos provenientes de instrumentos financieros ambientales.</w:t>
      </w:r>
    </w:p>
    <w:p w14:paraId="63CBEE0A" w14:textId="77777777" w:rsidR="00007D5F" w:rsidRPr="00007D5F" w:rsidRDefault="00007D5F" w:rsidP="00007D5F">
      <w:pPr>
        <w:pStyle w:val="Sinespaciado"/>
        <w:spacing w:line="360" w:lineRule="auto"/>
        <w:jc w:val="both"/>
        <w:rPr>
          <w:rFonts w:ascii="Arial" w:hAnsi="Arial" w:cs="Arial"/>
          <w:b/>
          <w:bCs/>
          <w:sz w:val="24"/>
          <w:szCs w:val="24"/>
        </w:rPr>
      </w:pPr>
    </w:p>
    <w:p w14:paraId="2177E43B"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Quinquies. El Ejecutivo del Estado deberá garantizar una asignación presupuestal anual progresiva, suficiente y etiquetada para la implementación del Programa Estatal de Infraestructura Hídrica Educativa, conforme a criterios de prioridad hídrica, vulnerabilidad social y cobertura territorial.</w:t>
      </w:r>
    </w:p>
    <w:p w14:paraId="0F7B62CF" w14:textId="77777777" w:rsidR="00007D5F" w:rsidRPr="00007D5F" w:rsidRDefault="00007D5F" w:rsidP="00007D5F">
      <w:pPr>
        <w:pStyle w:val="Sinespaciado"/>
        <w:spacing w:line="360" w:lineRule="auto"/>
        <w:jc w:val="both"/>
        <w:rPr>
          <w:rFonts w:ascii="Arial" w:hAnsi="Arial" w:cs="Arial"/>
          <w:b/>
          <w:bCs/>
          <w:sz w:val="24"/>
          <w:szCs w:val="24"/>
        </w:rPr>
      </w:pPr>
    </w:p>
    <w:p w14:paraId="0B8A5B98"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Sexies. La Secretaría del Agua, en coordinación con la Secretaría de Educación, Ciencia, Tecnología e Innovación, tendrá a su cargo la planeación, implementación, supervisión y evaluación del Programa, debiendo establecer metas anuales obligatorias de cobertura, emitir lineamientos técnicos vinculantes, crear un sistema de monitoreo público, publicar indicadores de desempeño y coordinar acciones con los municipios.</w:t>
      </w:r>
    </w:p>
    <w:p w14:paraId="55E89921" w14:textId="77777777" w:rsidR="00007D5F" w:rsidRPr="00007D5F" w:rsidRDefault="00007D5F" w:rsidP="00007D5F">
      <w:pPr>
        <w:pStyle w:val="Sinespaciado"/>
        <w:spacing w:line="360" w:lineRule="auto"/>
        <w:jc w:val="both"/>
        <w:rPr>
          <w:rFonts w:ascii="Arial" w:hAnsi="Arial" w:cs="Arial"/>
          <w:b/>
          <w:bCs/>
          <w:sz w:val="24"/>
          <w:szCs w:val="24"/>
        </w:rPr>
      </w:pPr>
    </w:p>
    <w:p w14:paraId="574768B2"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Septies. Se establece como meta estatal mínima la instalación de sistemas de captación de agua pluvial en al menos el cincuenta por ciento de los planteles educativos públicos del Estado en un plazo no mayor a cinco años, priorizando aquellos ubicados en zonas con mayor estrés hídrico o con deficiencias en el acceso al servicio de agua potable.</w:t>
      </w:r>
    </w:p>
    <w:p w14:paraId="6988491B" w14:textId="77777777" w:rsidR="00007D5F" w:rsidRPr="00007D5F" w:rsidRDefault="00007D5F" w:rsidP="00007D5F">
      <w:pPr>
        <w:pStyle w:val="Sinespaciado"/>
        <w:spacing w:line="360" w:lineRule="auto"/>
        <w:jc w:val="both"/>
        <w:rPr>
          <w:rFonts w:ascii="Arial" w:hAnsi="Arial" w:cs="Arial"/>
          <w:b/>
          <w:bCs/>
          <w:sz w:val="24"/>
          <w:szCs w:val="24"/>
        </w:rPr>
      </w:pPr>
    </w:p>
    <w:p w14:paraId="2C6985D9"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Octies. Las escuelas públicas que no cuenten con acceso regular al agua tendrán prioridad en la implementación del Programa, debiendo garantizarse condiciones mínimas de disponibilidad hídrica para el desarrollo de las actividades educativas.</w:t>
      </w:r>
    </w:p>
    <w:p w14:paraId="6740A507" w14:textId="77777777" w:rsidR="00007D5F" w:rsidRPr="00007D5F" w:rsidRDefault="00007D5F" w:rsidP="00007D5F">
      <w:pPr>
        <w:pStyle w:val="Sinespaciado"/>
        <w:spacing w:line="360" w:lineRule="auto"/>
        <w:jc w:val="both"/>
        <w:rPr>
          <w:rFonts w:ascii="Arial" w:hAnsi="Arial" w:cs="Arial"/>
          <w:b/>
          <w:bCs/>
          <w:sz w:val="24"/>
          <w:szCs w:val="24"/>
        </w:rPr>
      </w:pPr>
    </w:p>
    <w:p w14:paraId="3607FD85" w14:textId="77777777"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Nonies. Las instituciones educativas privadas deberán implementar sistemas de captación de agua pluvial conforme a criterios de gradualidad, capacidad económica y viabilidad técnica, pudiendo acceder a incentivos fiscales, administrativos y de reconocimiento que establezca la normativa aplicable.</w:t>
      </w:r>
    </w:p>
    <w:p w14:paraId="6B95BA72" w14:textId="77777777" w:rsidR="00007D5F" w:rsidRPr="00007D5F" w:rsidRDefault="00007D5F" w:rsidP="00007D5F">
      <w:pPr>
        <w:pStyle w:val="Sinespaciado"/>
        <w:spacing w:line="360" w:lineRule="auto"/>
        <w:jc w:val="both"/>
        <w:rPr>
          <w:rFonts w:ascii="Arial" w:hAnsi="Arial" w:cs="Arial"/>
          <w:b/>
          <w:bCs/>
          <w:sz w:val="24"/>
          <w:szCs w:val="24"/>
        </w:rPr>
      </w:pPr>
    </w:p>
    <w:p w14:paraId="2823F32C" w14:textId="5ACB4321" w:rsidR="004E7E8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110 Decies. El incumplimiento por parte de las autoridades responsables en la ejecución del Programa será considerado falta administrativa en términos de la legislación en materia de responsabilidades administrativas, sin perjuicio de las demás sanciones que resulten aplicables.</w:t>
      </w:r>
    </w:p>
    <w:p w14:paraId="0F6C333B" w14:textId="77777777" w:rsidR="00007D5F" w:rsidRPr="00007D5F" w:rsidRDefault="00007D5F" w:rsidP="00007D5F">
      <w:pPr>
        <w:pStyle w:val="Sinespaciado"/>
        <w:spacing w:line="360" w:lineRule="auto"/>
        <w:jc w:val="both"/>
        <w:rPr>
          <w:rFonts w:ascii="Arial" w:hAnsi="Arial" w:cs="Arial"/>
          <w:b/>
          <w:bCs/>
          <w:sz w:val="24"/>
          <w:szCs w:val="24"/>
        </w:rPr>
      </w:pPr>
      <w:r>
        <w:rPr>
          <w:rFonts w:ascii="Arial" w:hAnsi="Arial" w:cs="Arial"/>
          <w:b/>
          <w:bCs/>
          <w:sz w:val="24"/>
          <w:szCs w:val="24"/>
        </w:rPr>
        <w:t xml:space="preserve">Artículo Segundo.- </w:t>
      </w:r>
      <w:r w:rsidRPr="00007D5F">
        <w:rPr>
          <w:rFonts w:ascii="Arial" w:hAnsi="Arial" w:cs="Arial"/>
          <w:sz w:val="24"/>
          <w:szCs w:val="24"/>
        </w:rPr>
        <w:t>Se adicionan disposiciones a la Ley de Educación del Estado de México para fortalecer la formación en materia de sostenibilidad hídrica.</w:t>
      </w:r>
    </w:p>
    <w:p w14:paraId="44F62192" w14:textId="77777777" w:rsidR="00007D5F" w:rsidRPr="00007D5F" w:rsidRDefault="00007D5F" w:rsidP="00007D5F">
      <w:pPr>
        <w:pStyle w:val="Sinespaciado"/>
        <w:spacing w:line="360" w:lineRule="auto"/>
        <w:jc w:val="both"/>
        <w:rPr>
          <w:rFonts w:ascii="Arial" w:hAnsi="Arial" w:cs="Arial"/>
          <w:b/>
          <w:bCs/>
          <w:sz w:val="24"/>
          <w:szCs w:val="24"/>
        </w:rPr>
      </w:pPr>
    </w:p>
    <w:p w14:paraId="3172AE4A" w14:textId="77777777" w:rsidR="00007D5F" w:rsidRPr="00007D5F" w:rsidRDefault="00007D5F" w:rsidP="00007D5F">
      <w:pPr>
        <w:pStyle w:val="Sinespaciado"/>
        <w:spacing w:line="360" w:lineRule="auto"/>
        <w:jc w:val="both"/>
        <w:rPr>
          <w:rFonts w:ascii="Arial" w:hAnsi="Arial" w:cs="Arial"/>
          <w:sz w:val="24"/>
          <w:szCs w:val="24"/>
        </w:rPr>
      </w:pPr>
      <w:r w:rsidRPr="00007D5F">
        <w:rPr>
          <w:rFonts w:ascii="Arial" w:hAnsi="Arial" w:cs="Arial"/>
          <w:sz w:val="24"/>
          <w:szCs w:val="24"/>
        </w:rPr>
        <w:t>Se adiciona un Capítulo denominado “De la Educación para la Sostenibilidad Hídrica”, así como los artículos 34 Bis y 34 Ter.</w:t>
      </w:r>
    </w:p>
    <w:p w14:paraId="179514F7" w14:textId="77777777" w:rsidR="00007D5F" w:rsidRPr="00007D5F" w:rsidRDefault="00007D5F" w:rsidP="00007D5F">
      <w:pPr>
        <w:pStyle w:val="Sinespaciado"/>
        <w:spacing w:line="360" w:lineRule="auto"/>
        <w:jc w:val="both"/>
        <w:rPr>
          <w:rFonts w:ascii="Arial" w:hAnsi="Arial" w:cs="Arial"/>
          <w:b/>
          <w:bCs/>
          <w:sz w:val="24"/>
          <w:szCs w:val="24"/>
        </w:rPr>
      </w:pPr>
    </w:p>
    <w:p w14:paraId="4D521787" w14:textId="0C3BB6D0" w:rsidR="00007D5F" w:rsidRP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34 Bis. La autoridad educativa estatal incorporará de manera transversal en los planes y programas de estudio contenidos relacionados con la cultura del agua, el cambio climático, el aprovechamiento sustentable del recurso hídrico y el uso de sistemas de captación de agua pluvial, con el propósito de fortalecer la conciencia ambiental y la corresponsabilidad social.</w:t>
      </w:r>
    </w:p>
    <w:p w14:paraId="615D810A" w14:textId="77777777" w:rsidR="00007D5F" w:rsidRPr="00007D5F" w:rsidRDefault="00007D5F" w:rsidP="00007D5F">
      <w:pPr>
        <w:pStyle w:val="Sinespaciado"/>
        <w:spacing w:line="360" w:lineRule="auto"/>
        <w:jc w:val="both"/>
        <w:rPr>
          <w:rFonts w:ascii="Arial" w:hAnsi="Arial" w:cs="Arial"/>
          <w:b/>
          <w:bCs/>
          <w:sz w:val="24"/>
          <w:szCs w:val="24"/>
        </w:rPr>
      </w:pPr>
    </w:p>
    <w:p w14:paraId="6CC845B1" w14:textId="5B2C4528" w:rsid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34 Ter. Los planteles educativos deberán utilizar los sistemas de captación de agua pluvial como herramientas pedagógicas para el aprendizaje práctico, promoviendo la participación de la comunidad educativa en el cuidado, uso eficiente y mantenimiento de dichos sistemas.</w:t>
      </w:r>
    </w:p>
    <w:p w14:paraId="78DF28B7" w14:textId="77777777" w:rsidR="00007D5F" w:rsidRDefault="00007D5F" w:rsidP="00007D5F">
      <w:pPr>
        <w:pStyle w:val="Sinespaciado"/>
        <w:spacing w:line="360" w:lineRule="auto"/>
        <w:jc w:val="both"/>
        <w:rPr>
          <w:rFonts w:ascii="Arial" w:hAnsi="Arial" w:cs="Arial"/>
          <w:b/>
          <w:bCs/>
          <w:sz w:val="24"/>
          <w:szCs w:val="24"/>
        </w:rPr>
      </w:pPr>
    </w:p>
    <w:p w14:paraId="495D3981" w14:textId="77777777" w:rsidR="00007D5F" w:rsidRPr="00007D5F" w:rsidRDefault="00007D5F" w:rsidP="00007D5F">
      <w:pPr>
        <w:pStyle w:val="Sinespaciado"/>
        <w:spacing w:line="360" w:lineRule="auto"/>
        <w:jc w:val="both"/>
        <w:rPr>
          <w:rFonts w:ascii="Arial" w:hAnsi="Arial" w:cs="Arial"/>
          <w:b/>
          <w:bCs/>
          <w:sz w:val="24"/>
          <w:szCs w:val="24"/>
        </w:rPr>
      </w:pPr>
      <w:r>
        <w:rPr>
          <w:rFonts w:ascii="Arial" w:hAnsi="Arial" w:cs="Arial"/>
          <w:b/>
          <w:bCs/>
          <w:sz w:val="24"/>
          <w:szCs w:val="24"/>
        </w:rPr>
        <w:t xml:space="preserve">Artículo Tercero.- </w:t>
      </w:r>
      <w:r w:rsidRPr="00007D5F">
        <w:rPr>
          <w:rFonts w:ascii="Arial" w:hAnsi="Arial" w:cs="Arial"/>
          <w:sz w:val="24"/>
          <w:szCs w:val="24"/>
        </w:rPr>
        <w:t>Se reforma el Código Administrativo del Estado de México para establecer la incorporación de sistemas de captación pluvial en infraestructura educativa.</w:t>
      </w:r>
    </w:p>
    <w:p w14:paraId="1873EA26" w14:textId="77777777" w:rsidR="00007D5F" w:rsidRPr="00007D5F" w:rsidRDefault="00007D5F" w:rsidP="00007D5F">
      <w:pPr>
        <w:pStyle w:val="Sinespaciado"/>
        <w:spacing w:line="360" w:lineRule="auto"/>
        <w:jc w:val="both"/>
        <w:rPr>
          <w:rFonts w:ascii="Arial" w:hAnsi="Arial" w:cs="Arial"/>
          <w:b/>
          <w:bCs/>
          <w:sz w:val="24"/>
          <w:szCs w:val="24"/>
        </w:rPr>
      </w:pPr>
    </w:p>
    <w:p w14:paraId="750A9872" w14:textId="31EA76F1" w:rsidR="00007D5F" w:rsidRDefault="00007D5F" w:rsidP="00007D5F">
      <w:pPr>
        <w:pStyle w:val="Sinespaciado"/>
        <w:spacing w:line="360" w:lineRule="auto"/>
        <w:jc w:val="both"/>
        <w:rPr>
          <w:rFonts w:ascii="Arial" w:hAnsi="Arial" w:cs="Arial"/>
          <w:b/>
          <w:bCs/>
          <w:sz w:val="24"/>
          <w:szCs w:val="24"/>
        </w:rPr>
      </w:pPr>
      <w:r w:rsidRPr="00007D5F">
        <w:rPr>
          <w:rFonts w:ascii="Arial" w:hAnsi="Arial" w:cs="Arial"/>
          <w:b/>
          <w:bCs/>
          <w:sz w:val="24"/>
          <w:szCs w:val="24"/>
        </w:rPr>
        <w:t>Artículo 18.39. Las edificaciones destinadas a servicios educativos deberán incorporar sistemas de captación, almacenamiento y aprovechamiento de agua pluvial como parte de sus instalaciones hidráulicas, conforme a las disposiciones técnicas aplicables y en atención a su viabilidad estructural.</w:t>
      </w:r>
    </w:p>
    <w:p w14:paraId="12E61B0E" w14:textId="77777777" w:rsidR="00007D5F" w:rsidRDefault="00007D5F" w:rsidP="00007D5F">
      <w:pPr>
        <w:pStyle w:val="Sinespaciado"/>
        <w:spacing w:line="360" w:lineRule="auto"/>
        <w:jc w:val="both"/>
        <w:rPr>
          <w:rFonts w:ascii="Arial" w:hAnsi="Arial" w:cs="Arial"/>
          <w:b/>
          <w:bCs/>
          <w:sz w:val="24"/>
          <w:szCs w:val="24"/>
        </w:rPr>
      </w:pPr>
    </w:p>
    <w:p w14:paraId="5BEEEC2C" w14:textId="55C60CC4" w:rsidR="00007D5F" w:rsidRDefault="00007D5F" w:rsidP="00007D5F">
      <w:pPr>
        <w:pStyle w:val="Sinespaciado"/>
        <w:spacing w:line="360" w:lineRule="auto"/>
        <w:jc w:val="center"/>
        <w:rPr>
          <w:rFonts w:ascii="Arial" w:hAnsi="Arial" w:cs="Arial"/>
          <w:b/>
          <w:bCs/>
          <w:sz w:val="24"/>
          <w:szCs w:val="24"/>
        </w:rPr>
      </w:pPr>
      <w:r>
        <w:rPr>
          <w:rFonts w:ascii="Arial" w:hAnsi="Arial" w:cs="Arial"/>
          <w:b/>
          <w:bCs/>
          <w:sz w:val="24"/>
          <w:szCs w:val="24"/>
        </w:rPr>
        <w:t>TRANSITORIOS</w:t>
      </w:r>
    </w:p>
    <w:p w14:paraId="7DD6B6C3" w14:textId="77777777" w:rsidR="00007D5F" w:rsidRDefault="00007D5F" w:rsidP="00007D5F">
      <w:pPr>
        <w:pStyle w:val="Sinespaciado"/>
        <w:spacing w:line="360" w:lineRule="auto"/>
        <w:jc w:val="both"/>
        <w:rPr>
          <w:rFonts w:ascii="Arial" w:hAnsi="Arial" w:cs="Arial"/>
          <w:b/>
          <w:bCs/>
          <w:sz w:val="24"/>
          <w:szCs w:val="24"/>
        </w:rPr>
      </w:pPr>
    </w:p>
    <w:p w14:paraId="3C417F53" w14:textId="77777777" w:rsidR="00007D5F" w:rsidRPr="00007D5F" w:rsidRDefault="00007D5F" w:rsidP="00007D5F">
      <w:pPr>
        <w:pStyle w:val="Sinespaciado"/>
        <w:spacing w:line="360" w:lineRule="auto"/>
        <w:jc w:val="both"/>
        <w:rPr>
          <w:rFonts w:ascii="Arial" w:hAnsi="Arial" w:cs="Arial"/>
          <w:bCs/>
          <w:sz w:val="24"/>
          <w:szCs w:val="24"/>
        </w:rPr>
      </w:pPr>
      <w:r w:rsidRPr="00007D5F">
        <w:rPr>
          <w:rFonts w:ascii="Arial" w:hAnsi="Arial" w:cs="Arial"/>
          <w:bCs/>
          <w:sz w:val="24"/>
          <w:szCs w:val="24"/>
        </w:rPr>
        <w:t>Primero. El presente Decreto entrará en vigor al día siguiente de su publicación en el Periódico Oficial “Gaceta del Gobierno”.</w:t>
      </w:r>
    </w:p>
    <w:p w14:paraId="37BE57DD" w14:textId="77777777" w:rsidR="00007D5F" w:rsidRPr="00007D5F" w:rsidRDefault="00007D5F" w:rsidP="00007D5F">
      <w:pPr>
        <w:pStyle w:val="Sinespaciado"/>
        <w:spacing w:line="360" w:lineRule="auto"/>
        <w:jc w:val="both"/>
        <w:rPr>
          <w:rFonts w:ascii="Arial" w:hAnsi="Arial" w:cs="Arial"/>
          <w:bCs/>
          <w:sz w:val="24"/>
          <w:szCs w:val="24"/>
        </w:rPr>
      </w:pPr>
    </w:p>
    <w:p w14:paraId="1C3D826B" w14:textId="77777777" w:rsidR="00007D5F" w:rsidRPr="00007D5F" w:rsidRDefault="00007D5F" w:rsidP="00007D5F">
      <w:pPr>
        <w:pStyle w:val="Sinespaciado"/>
        <w:spacing w:line="360" w:lineRule="auto"/>
        <w:jc w:val="both"/>
        <w:rPr>
          <w:rFonts w:ascii="Arial" w:hAnsi="Arial" w:cs="Arial"/>
          <w:bCs/>
          <w:sz w:val="24"/>
          <w:szCs w:val="24"/>
        </w:rPr>
      </w:pPr>
      <w:r w:rsidRPr="00007D5F">
        <w:rPr>
          <w:rFonts w:ascii="Arial" w:hAnsi="Arial" w:cs="Arial"/>
          <w:bCs/>
          <w:sz w:val="24"/>
          <w:szCs w:val="24"/>
        </w:rPr>
        <w:t>Segundo. La Secretaría del Agua, en coordinación con la Secretaría de Educación, Ciencia, Tecnología e Innovación, deberá emitir los lineamientos técnicos para la implementación de los sistemas de captación de agua pluvial en un plazo no mayor a noventa días naturales contados a partir de la entrada en vigor del presente Decreto.</w:t>
      </w:r>
    </w:p>
    <w:p w14:paraId="7EC10122" w14:textId="77777777" w:rsidR="00007D5F" w:rsidRPr="00007D5F" w:rsidRDefault="00007D5F" w:rsidP="00007D5F">
      <w:pPr>
        <w:pStyle w:val="Sinespaciado"/>
        <w:spacing w:line="360" w:lineRule="auto"/>
        <w:jc w:val="both"/>
        <w:rPr>
          <w:rFonts w:ascii="Arial" w:hAnsi="Arial" w:cs="Arial"/>
          <w:bCs/>
          <w:sz w:val="24"/>
          <w:szCs w:val="24"/>
        </w:rPr>
      </w:pPr>
    </w:p>
    <w:p w14:paraId="4D557361" w14:textId="77777777" w:rsidR="00007D5F" w:rsidRPr="00007D5F" w:rsidRDefault="00007D5F" w:rsidP="00007D5F">
      <w:pPr>
        <w:pStyle w:val="Sinespaciado"/>
        <w:spacing w:line="360" w:lineRule="auto"/>
        <w:jc w:val="both"/>
        <w:rPr>
          <w:rFonts w:ascii="Arial" w:hAnsi="Arial" w:cs="Arial"/>
          <w:bCs/>
          <w:sz w:val="24"/>
          <w:szCs w:val="24"/>
        </w:rPr>
      </w:pPr>
      <w:r w:rsidRPr="00007D5F">
        <w:rPr>
          <w:rFonts w:ascii="Arial" w:hAnsi="Arial" w:cs="Arial"/>
          <w:bCs/>
          <w:sz w:val="24"/>
          <w:szCs w:val="24"/>
        </w:rPr>
        <w:t>Tercero. El Ejecutivo del Estado deberá constituir el Fondo Estatal de Infraestructura Hídrica Educativa en el siguiente ejercicio fiscal inmediato, asegurando la asignación de recursos suficientes para el cumplimiento de las metas establecidas.</w:t>
      </w:r>
    </w:p>
    <w:p w14:paraId="62383E28" w14:textId="77777777" w:rsidR="00007D5F" w:rsidRPr="00007D5F" w:rsidRDefault="00007D5F" w:rsidP="00007D5F">
      <w:pPr>
        <w:pStyle w:val="Sinespaciado"/>
        <w:spacing w:line="360" w:lineRule="auto"/>
        <w:jc w:val="both"/>
        <w:rPr>
          <w:rFonts w:ascii="Arial" w:hAnsi="Arial" w:cs="Arial"/>
          <w:bCs/>
          <w:sz w:val="24"/>
          <w:szCs w:val="24"/>
        </w:rPr>
      </w:pPr>
    </w:p>
    <w:p w14:paraId="22B57048" w14:textId="77777777" w:rsidR="00007D5F" w:rsidRPr="00007D5F" w:rsidRDefault="00007D5F" w:rsidP="00007D5F">
      <w:pPr>
        <w:pStyle w:val="Sinespaciado"/>
        <w:spacing w:line="360" w:lineRule="auto"/>
        <w:jc w:val="both"/>
        <w:rPr>
          <w:rFonts w:ascii="Arial" w:hAnsi="Arial" w:cs="Arial"/>
          <w:bCs/>
          <w:sz w:val="24"/>
          <w:szCs w:val="24"/>
        </w:rPr>
      </w:pPr>
      <w:r w:rsidRPr="00007D5F">
        <w:rPr>
          <w:rFonts w:ascii="Arial" w:hAnsi="Arial" w:cs="Arial"/>
          <w:bCs/>
          <w:sz w:val="24"/>
          <w:szCs w:val="24"/>
        </w:rPr>
        <w:t>Cuarto. La implementación del Programa Estatal de Infraestructura Hídrica Educativa se realizará de manera progresiva, debiendo alcanzarse al menos el veinte por ciento de cobertura en un plazo de dos años, el treinta y cinco por ciento en un plazo de tres años y el cincuenta por ciento en un plazo máximo de cinco años.</w:t>
      </w:r>
    </w:p>
    <w:p w14:paraId="25A13547" w14:textId="77777777" w:rsidR="00007D5F" w:rsidRPr="00007D5F" w:rsidRDefault="00007D5F" w:rsidP="00007D5F">
      <w:pPr>
        <w:pStyle w:val="Sinespaciado"/>
        <w:spacing w:line="360" w:lineRule="auto"/>
        <w:jc w:val="both"/>
        <w:rPr>
          <w:rFonts w:ascii="Arial" w:hAnsi="Arial" w:cs="Arial"/>
          <w:bCs/>
          <w:sz w:val="24"/>
          <w:szCs w:val="24"/>
        </w:rPr>
      </w:pPr>
    </w:p>
    <w:p w14:paraId="3485A455" w14:textId="77777777" w:rsidR="00007D5F" w:rsidRPr="00007D5F" w:rsidRDefault="00007D5F" w:rsidP="00007D5F">
      <w:pPr>
        <w:pStyle w:val="Sinespaciado"/>
        <w:spacing w:line="360" w:lineRule="auto"/>
        <w:jc w:val="both"/>
        <w:rPr>
          <w:rFonts w:ascii="Arial" w:hAnsi="Arial" w:cs="Arial"/>
          <w:bCs/>
          <w:sz w:val="24"/>
          <w:szCs w:val="24"/>
        </w:rPr>
      </w:pPr>
      <w:r w:rsidRPr="00007D5F">
        <w:rPr>
          <w:rFonts w:ascii="Arial" w:hAnsi="Arial" w:cs="Arial"/>
          <w:bCs/>
          <w:sz w:val="24"/>
          <w:szCs w:val="24"/>
        </w:rPr>
        <w:t>Quinto. Las instituciones educativas privadas deberán adecuarse a las disposiciones del presente Decreto conforme a los lineamientos que emita la autoridad competente, garantizando un esquema progresivo y proporcional.</w:t>
      </w:r>
    </w:p>
    <w:p w14:paraId="05FE2BEC" w14:textId="77777777" w:rsidR="00007D5F" w:rsidRPr="00007D5F" w:rsidRDefault="00007D5F" w:rsidP="00007D5F">
      <w:pPr>
        <w:pStyle w:val="Sinespaciado"/>
        <w:spacing w:line="360" w:lineRule="auto"/>
        <w:jc w:val="both"/>
        <w:rPr>
          <w:rFonts w:ascii="Arial" w:hAnsi="Arial" w:cs="Arial"/>
          <w:bCs/>
          <w:sz w:val="24"/>
          <w:szCs w:val="24"/>
        </w:rPr>
      </w:pPr>
    </w:p>
    <w:p w14:paraId="02E7A473" w14:textId="77777777" w:rsidR="00007D5F" w:rsidRPr="00007D5F" w:rsidRDefault="00007D5F" w:rsidP="00007D5F">
      <w:pPr>
        <w:pStyle w:val="Sinespaciado"/>
        <w:spacing w:line="360" w:lineRule="auto"/>
        <w:jc w:val="both"/>
        <w:rPr>
          <w:rFonts w:ascii="Arial" w:hAnsi="Arial" w:cs="Arial"/>
          <w:bCs/>
          <w:sz w:val="24"/>
          <w:szCs w:val="24"/>
        </w:rPr>
      </w:pPr>
      <w:r w:rsidRPr="00007D5F">
        <w:rPr>
          <w:rFonts w:ascii="Arial" w:hAnsi="Arial" w:cs="Arial"/>
          <w:bCs/>
          <w:sz w:val="24"/>
          <w:szCs w:val="24"/>
        </w:rPr>
        <w:t>Sexto. Las autoridades estatales y municipales deberán coordinarse para la implementación, supervisión y evaluación del Programa, priorizando las zonas con mayor vulnerabilidad hídrica.</w:t>
      </w:r>
    </w:p>
    <w:p w14:paraId="0B9C8D99" w14:textId="77777777" w:rsidR="00007D5F" w:rsidRPr="00007D5F" w:rsidRDefault="00007D5F" w:rsidP="00007D5F">
      <w:pPr>
        <w:pStyle w:val="Sinespaciado"/>
        <w:spacing w:line="360" w:lineRule="auto"/>
        <w:jc w:val="both"/>
        <w:rPr>
          <w:rFonts w:ascii="Arial" w:hAnsi="Arial" w:cs="Arial"/>
          <w:bCs/>
          <w:sz w:val="24"/>
          <w:szCs w:val="24"/>
        </w:rPr>
      </w:pPr>
    </w:p>
    <w:p w14:paraId="02D0B594" w14:textId="0FF0D472" w:rsidR="00007D5F" w:rsidRDefault="00007D5F" w:rsidP="00007D5F">
      <w:pPr>
        <w:pStyle w:val="Sinespaciado"/>
        <w:spacing w:line="360" w:lineRule="auto"/>
        <w:jc w:val="both"/>
        <w:rPr>
          <w:rFonts w:ascii="Arial" w:hAnsi="Arial" w:cs="Arial"/>
          <w:bCs/>
          <w:sz w:val="24"/>
          <w:szCs w:val="24"/>
        </w:rPr>
      </w:pPr>
      <w:r w:rsidRPr="00007D5F">
        <w:rPr>
          <w:rFonts w:ascii="Arial" w:hAnsi="Arial" w:cs="Arial"/>
          <w:bCs/>
          <w:sz w:val="24"/>
          <w:szCs w:val="24"/>
        </w:rPr>
        <w:t>Séptimo. La Secretaría del Agua deberá publicar anualmente un informe de cumplimiento que contenga los avances, indicadores y resultados del Programa Estatal de Infraestructura Hídrica Educativa.</w:t>
      </w:r>
    </w:p>
    <w:p w14:paraId="6B13E24D" w14:textId="45341E66" w:rsidR="00EF6347" w:rsidRDefault="00EF6347" w:rsidP="00007D5F">
      <w:pPr>
        <w:pStyle w:val="Sinespaciado"/>
        <w:spacing w:line="360" w:lineRule="auto"/>
        <w:jc w:val="both"/>
        <w:rPr>
          <w:rFonts w:ascii="Arial" w:hAnsi="Arial" w:cs="Arial"/>
          <w:bCs/>
          <w:sz w:val="24"/>
          <w:szCs w:val="24"/>
        </w:rPr>
      </w:pPr>
    </w:p>
    <w:p w14:paraId="019E9E52" w14:textId="77777777" w:rsidR="008F00F8" w:rsidRDefault="008F00F8" w:rsidP="00007D5F">
      <w:pPr>
        <w:pStyle w:val="Sinespaciado"/>
        <w:spacing w:line="360" w:lineRule="auto"/>
        <w:jc w:val="both"/>
        <w:rPr>
          <w:rFonts w:ascii="Arial" w:hAnsi="Arial" w:cs="Arial"/>
          <w:bCs/>
          <w:sz w:val="24"/>
          <w:szCs w:val="24"/>
        </w:rPr>
      </w:pPr>
    </w:p>
    <w:p w14:paraId="36969476" w14:textId="77777777" w:rsidR="008F00F8" w:rsidRDefault="008F00F8" w:rsidP="00007D5F">
      <w:pPr>
        <w:pStyle w:val="Sinespaciado"/>
        <w:spacing w:line="360" w:lineRule="auto"/>
        <w:jc w:val="both"/>
        <w:rPr>
          <w:rFonts w:ascii="Arial" w:hAnsi="Arial" w:cs="Arial"/>
          <w:bCs/>
          <w:sz w:val="24"/>
          <w:szCs w:val="24"/>
        </w:rPr>
      </w:pPr>
    </w:p>
    <w:p w14:paraId="6D1679A7" w14:textId="77777777" w:rsidR="008F00F8" w:rsidRDefault="008F00F8" w:rsidP="00007D5F">
      <w:pPr>
        <w:pStyle w:val="Sinespaciado"/>
        <w:spacing w:line="360" w:lineRule="auto"/>
        <w:jc w:val="both"/>
        <w:rPr>
          <w:rFonts w:ascii="Arial" w:hAnsi="Arial" w:cs="Arial"/>
          <w:bCs/>
          <w:sz w:val="24"/>
          <w:szCs w:val="24"/>
        </w:rPr>
      </w:pPr>
    </w:p>
    <w:p w14:paraId="2049FDDE" w14:textId="77777777" w:rsidR="008F00F8" w:rsidRDefault="008F00F8" w:rsidP="00007D5F">
      <w:pPr>
        <w:pStyle w:val="Sinespaciado"/>
        <w:spacing w:line="360" w:lineRule="auto"/>
        <w:jc w:val="both"/>
        <w:rPr>
          <w:rFonts w:ascii="Arial" w:hAnsi="Arial" w:cs="Arial"/>
          <w:bCs/>
          <w:sz w:val="24"/>
          <w:szCs w:val="24"/>
        </w:rPr>
      </w:pPr>
    </w:p>
    <w:p w14:paraId="0BA8EC76" w14:textId="77777777" w:rsidR="008F00F8" w:rsidRDefault="008F00F8" w:rsidP="00007D5F">
      <w:pPr>
        <w:pStyle w:val="Sinespaciado"/>
        <w:spacing w:line="360" w:lineRule="auto"/>
        <w:jc w:val="both"/>
        <w:rPr>
          <w:rFonts w:ascii="Arial" w:hAnsi="Arial" w:cs="Arial"/>
          <w:bCs/>
          <w:sz w:val="24"/>
          <w:szCs w:val="24"/>
        </w:rPr>
      </w:pPr>
    </w:p>
    <w:p w14:paraId="6C6426EB" w14:textId="77777777" w:rsidR="008F00F8" w:rsidRDefault="008F00F8" w:rsidP="00007D5F">
      <w:pPr>
        <w:pStyle w:val="Sinespaciado"/>
        <w:spacing w:line="360" w:lineRule="auto"/>
        <w:jc w:val="both"/>
        <w:rPr>
          <w:rFonts w:ascii="Arial" w:hAnsi="Arial" w:cs="Arial"/>
          <w:bCs/>
          <w:sz w:val="24"/>
          <w:szCs w:val="24"/>
        </w:rPr>
      </w:pPr>
    </w:p>
    <w:p w14:paraId="0769D6C6" w14:textId="77777777" w:rsidR="008F00F8" w:rsidRDefault="008F00F8" w:rsidP="00007D5F">
      <w:pPr>
        <w:pStyle w:val="Sinespaciado"/>
        <w:spacing w:line="360" w:lineRule="auto"/>
        <w:jc w:val="both"/>
        <w:rPr>
          <w:rFonts w:ascii="Arial" w:hAnsi="Arial" w:cs="Arial"/>
          <w:bCs/>
          <w:sz w:val="24"/>
          <w:szCs w:val="24"/>
        </w:rPr>
      </w:pPr>
    </w:p>
    <w:p w14:paraId="61619F95" w14:textId="77777777" w:rsidR="008F00F8" w:rsidRDefault="008F00F8" w:rsidP="00007D5F">
      <w:pPr>
        <w:pStyle w:val="Sinespaciado"/>
        <w:spacing w:line="360" w:lineRule="auto"/>
        <w:jc w:val="both"/>
        <w:rPr>
          <w:rFonts w:ascii="Arial" w:hAnsi="Arial" w:cs="Arial"/>
          <w:bCs/>
          <w:sz w:val="24"/>
          <w:szCs w:val="24"/>
        </w:rPr>
      </w:pPr>
    </w:p>
    <w:p w14:paraId="5BE37DE9" w14:textId="77777777" w:rsidR="008F00F8" w:rsidRDefault="008F00F8" w:rsidP="00007D5F">
      <w:pPr>
        <w:pStyle w:val="Sinespaciado"/>
        <w:spacing w:line="360" w:lineRule="auto"/>
        <w:jc w:val="both"/>
        <w:rPr>
          <w:rFonts w:ascii="Arial" w:hAnsi="Arial" w:cs="Arial"/>
          <w:bCs/>
          <w:sz w:val="24"/>
          <w:szCs w:val="24"/>
        </w:rPr>
      </w:pPr>
    </w:p>
    <w:p w14:paraId="6F46B668" w14:textId="77777777" w:rsidR="008F00F8" w:rsidRDefault="008F00F8" w:rsidP="00007D5F">
      <w:pPr>
        <w:pStyle w:val="Sinespaciado"/>
        <w:spacing w:line="360" w:lineRule="auto"/>
        <w:jc w:val="both"/>
        <w:rPr>
          <w:rFonts w:ascii="Arial" w:hAnsi="Arial" w:cs="Arial"/>
          <w:bCs/>
          <w:sz w:val="24"/>
          <w:szCs w:val="24"/>
        </w:rPr>
      </w:pPr>
    </w:p>
    <w:p w14:paraId="0B4B8DB3" w14:textId="77777777" w:rsidR="008F00F8" w:rsidRDefault="008F00F8" w:rsidP="00007D5F">
      <w:pPr>
        <w:pStyle w:val="Sinespaciado"/>
        <w:spacing w:line="360" w:lineRule="auto"/>
        <w:jc w:val="both"/>
        <w:rPr>
          <w:rFonts w:ascii="Arial" w:hAnsi="Arial" w:cs="Arial"/>
          <w:bCs/>
          <w:sz w:val="24"/>
          <w:szCs w:val="24"/>
        </w:rPr>
      </w:pPr>
    </w:p>
    <w:p w14:paraId="2FF85BF5" w14:textId="77777777" w:rsidR="008F00F8" w:rsidRDefault="008F00F8" w:rsidP="00007D5F">
      <w:pPr>
        <w:pStyle w:val="Sinespaciado"/>
        <w:spacing w:line="360" w:lineRule="auto"/>
        <w:jc w:val="both"/>
        <w:rPr>
          <w:rFonts w:ascii="Arial" w:hAnsi="Arial" w:cs="Arial"/>
          <w:bCs/>
          <w:sz w:val="24"/>
          <w:szCs w:val="24"/>
        </w:rPr>
      </w:pPr>
    </w:p>
    <w:p w14:paraId="40138648" w14:textId="77777777" w:rsidR="008F00F8" w:rsidRDefault="008F00F8" w:rsidP="00007D5F">
      <w:pPr>
        <w:pStyle w:val="Sinespaciado"/>
        <w:spacing w:line="360" w:lineRule="auto"/>
        <w:jc w:val="both"/>
        <w:rPr>
          <w:rFonts w:ascii="Arial" w:hAnsi="Arial" w:cs="Arial"/>
          <w:bCs/>
          <w:sz w:val="24"/>
          <w:szCs w:val="24"/>
        </w:rPr>
      </w:pPr>
    </w:p>
    <w:p w14:paraId="2796BCD0" w14:textId="77777777" w:rsidR="008F00F8" w:rsidRDefault="008F00F8" w:rsidP="00007D5F">
      <w:pPr>
        <w:pStyle w:val="Sinespaciado"/>
        <w:spacing w:line="360" w:lineRule="auto"/>
        <w:jc w:val="both"/>
        <w:rPr>
          <w:rFonts w:ascii="Arial" w:hAnsi="Arial" w:cs="Arial"/>
          <w:bCs/>
          <w:sz w:val="24"/>
          <w:szCs w:val="24"/>
        </w:rPr>
      </w:pPr>
    </w:p>
    <w:p w14:paraId="207FE1D3" w14:textId="77777777" w:rsidR="008F00F8" w:rsidRDefault="008F00F8" w:rsidP="00007D5F">
      <w:pPr>
        <w:pStyle w:val="Sinespaciado"/>
        <w:spacing w:line="360" w:lineRule="auto"/>
        <w:jc w:val="both"/>
        <w:rPr>
          <w:rFonts w:ascii="Arial" w:hAnsi="Arial" w:cs="Arial"/>
          <w:bCs/>
          <w:sz w:val="24"/>
          <w:szCs w:val="24"/>
        </w:rPr>
      </w:pPr>
    </w:p>
    <w:p w14:paraId="5A9CF981" w14:textId="77777777" w:rsidR="008F00F8" w:rsidRDefault="008F00F8" w:rsidP="00007D5F">
      <w:pPr>
        <w:pStyle w:val="Sinespaciado"/>
        <w:spacing w:line="360" w:lineRule="auto"/>
        <w:jc w:val="both"/>
        <w:rPr>
          <w:rFonts w:ascii="Arial" w:hAnsi="Arial" w:cs="Arial"/>
          <w:bCs/>
          <w:sz w:val="24"/>
          <w:szCs w:val="24"/>
        </w:rPr>
      </w:pPr>
    </w:p>
    <w:p w14:paraId="0EC66ACA" w14:textId="77777777" w:rsidR="008F00F8" w:rsidRDefault="008F00F8" w:rsidP="00007D5F">
      <w:pPr>
        <w:pStyle w:val="Sinespaciado"/>
        <w:spacing w:line="360" w:lineRule="auto"/>
        <w:jc w:val="both"/>
        <w:rPr>
          <w:rFonts w:ascii="Arial" w:hAnsi="Arial" w:cs="Arial"/>
          <w:bCs/>
          <w:sz w:val="24"/>
          <w:szCs w:val="24"/>
        </w:rPr>
      </w:pPr>
    </w:p>
    <w:p w14:paraId="04A5729E" w14:textId="77777777" w:rsidR="008F00F8" w:rsidRDefault="008F00F8" w:rsidP="00007D5F">
      <w:pPr>
        <w:pStyle w:val="Sinespaciado"/>
        <w:spacing w:line="360" w:lineRule="auto"/>
        <w:jc w:val="both"/>
        <w:rPr>
          <w:rFonts w:ascii="Arial" w:hAnsi="Arial" w:cs="Arial"/>
          <w:bCs/>
          <w:sz w:val="24"/>
          <w:szCs w:val="24"/>
        </w:rPr>
      </w:pPr>
    </w:p>
    <w:p w14:paraId="3756BDCE" w14:textId="77777777" w:rsidR="008F00F8" w:rsidRDefault="008F00F8" w:rsidP="00007D5F">
      <w:pPr>
        <w:pStyle w:val="Sinespaciado"/>
        <w:spacing w:line="360" w:lineRule="auto"/>
        <w:jc w:val="both"/>
        <w:rPr>
          <w:rFonts w:ascii="Arial" w:hAnsi="Arial" w:cs="Arial"/>
          <w:bCs/>
          <w:sz w:val="24"/>
          <w:szCs w:val="24"/>
        </w:rPr>
      </w:pPr>
    </w:p>
    <w:p w14:paraId="76D3BD54" w14:textId="77777777" w:rsidR="008F00F8" w:rsidRDefault="008F00F8" w:rsidP="00007D5F">
      <w:pPr>
        <w:pStyle w:val="Sinespaciado"/>
        <w:spacing w:line="360" w:lineRule="auto"/>
        <w:jc w:val="both"/>
        <w:rPr>
          <w:rFonts w:ascii="Arial" w:hAnsi="Arial" w:cs="Arial"/>
          <w:bCs/>
          <w:sz w:val="24"/>
          <w:szCs w:val="24"/>
        </w:rPr>
      </w:pPr>
    </w:p>
    <w:p w14:paraId="5E94E937" w14:textId="77777777" w:rsidR="008F00F8" w:rsidRDefault="008F00F8" w:rsidP="00007D5F">
      <w:pPr>
        <w:pStyle w:val="Sinespaciado"/>
        <w:spacing w:line="360" w:lineRule="auto"/>
        <w:jc w:val="both"/>
        <w:rPr>
          <w:rFonts w:ascii="Arial" w:hAnsi="Arial" w:cs="Arial"/>
          <w:bCs/>
          <w:sz w:val="24"/>
          <w:szCs w:val="24"/>
        </w:rPr>
      </w:pPr>
    </w:p>
    <w:p w14:paraId="23574FA6" w14:textId="77777777" w:rsidR="008F00F8" w:rsidRDefault="008F00F8" w:rsidP="00007D5F">
      <w:pPr>
        <w:pStyle w:val="Sinespaciado"/>
        <w:spacing w:line="360" w:lineRule="auto"/>
        <w:jc w:val="both"/>
        <w:rPr>
          <w:rFonts w:ascii="Arial" w:hAnsi="Arial" w:cs="Arial"/>
          <w:bCs/>
          <w:sz w:val="24"/>
          <w:szCs w:val="24"/>
        </w:rPr>
      </w:pPr>
    </w:p>
    <w:p w14:paraId="3562EBB6" w14:textId="77777777" w:rsidR="008F00F8" w:rsidRDefault="008F00F8" w:rsidP="00007D5F">
      <w:pPr>
        <w:pStyle w:val="Sinespaciado"/>
        <w:spacing w:line="360" w:lineRule="auto"/>
        <w:jc w:val="both"/>
        <w:rPr>
          <w:rFonts w:ascii="Arial" w:hAnsi="Arial" w:cs="Arial"/>
          <w:bCs/>
          <w:sz w:val="24"/>
          <w:szCs w:val="24"/>
        </w:rPr>
      </w:pPr>
    </w:p>
    <w:p w14:paraId="512F25C3" w14:textId="79693D73" w:rsidR="00EF6347" w:rsidRPr="00EF6347" w:rsidRDefault="00EF6347" w:rsidP="00007D5F">
      <w:pPr>
        <w:pStyle w:val="Sinespaciado"/>
        <w:spacing w:line="360" w:lineRule="auto"/>
        <w:jc w:val="both"/>
        <w:rPr>
          <w:rFonts w:ascii="Arial" w:hAnsi="Arial" w:cs="Arial"/>
          <w:bCs/>
          <w:sz w:val="24"/>
          <w:szCs w:val="24"/>
        </w:rPr>
      </w:pPr>
      <w:r w:rsidRPr="00EF6347">
        <w:rPr>
          <w:rFonts w:ascii="Arial" w:hAnsi="Arial" w:cs="Arial"/>
          <w:bCs/>
          <w:sz w:val="24"/>
          <w:szCs w:val="24"/>
        </w:rPr>
        <w:t>BIBLIOGRAFIA</w:t>
      </w:r>
    </w:p>
    <w:p w14:paraId="5C1B38B6" w14:textId="77777777" w:rsidR="00EF6347" w:rsidRPr="00EF6347" w:rsidRDefault="00EF6347" w:rsidP="00EF6347">
      <w:pPr>
        <w:pStyle w:val="Bibliografa"/>
        <w:ind w:left="720" w:hanging="720"/>
        <w:jc w:val="both"/>
        <w:rPr>
          <w:rFonts w:ascii="Arial" w:hAnsi="Arial" w:cs="Arial"/>
          <w:noProof/>
          <w:kern w:val="0"/>
          <w14:ligatures w14:val="none"/>
        </w:rPr>
      </w:pPr>
      <w:r w:rsidRPr="00EF6347">
        <w:rPr>
          <w:rFonts w:ascii="Arial" w:hAnsi="Arial" w:cs="Arial"/>
          <w:bCs/>
        </w:rPr>
        <w:fldChar w:fldCharType="begin"/>
      </w:r>
      <w:r w:rsidRPr="00EF6347">
        <w:rPr>
          <w:rFonts w:ascii="Arial" w:hAnsi="Arial" w:cs="Arial"/>
          <w:bCs/>
        </w:rPr>
        <w:instrText xml:space="preserve"> BIBLIOGRAPHY  \l 2058 </w:instrText>
      </w:r>
      <w:r w:rsidRPr="00EF6347">
        <w:rPr>
          <w:rFonts w:ascii="Arial" w:hAnsi="Arial" w:cs="Arial"/>
          <w:bCs/>
        </w:rPr>
        <w:fldChar w:fldCharType="separate"/>
      </w:r>
      <w:r w:rsidRPr="00EF6347">
        <w:rPr>
          <w:rFonts w:ascii="Arial" w:hAnsi="Arial" w:cs="Arial"/>
          <w:i/>
          <w:iCs/>
          <w:noProof/>
        </w:rPr>
        <w:t>Departamento de Asuntos Económicos y Sociales</w:t>
      </w:r>
      <w:r w:rsidRPr="00EF6347">
        <w:rPr>
          <w:rFonts w:ascii="Arial" w:hAnsi="Arial" w:cs="Arial"/>
          <w:noProof/>
        </w:rPr>
        <w:t>. (15 de marzo de 2026). Obtenido de Garantizar la disponibilidad y la gestión sostenible del agua y el saneamiento para todos: https://sdgs.un.org/goals/goal6</w:t>
      </w:r>
    </w:p>
    <w:p w14:paraId="1B5B866C" w14:textId="77777777" w:rsidR="00EF6347" w:rsidRPr="00EF6347" w:rsidRDefault="00EF6347" w:rsidP="00EF6347">
      <w:pPr>
        <w:pStyle w:val="Bibliografa"/>
        <w:ind w:left="720" w:hanging="720"/>
        <w:jc w:val="both"/>
        <w:rPr>
          <w:rFonts w:ascii="Arial" w:hAnsi="Arial" w:cs="Arial"/>
          <w:noProof/>
        </w:rPr>
      </w:pPr>
      <w:r w:rsidRPr="00EF6347">
        <w:rPr>
          <w:rFonts w:ascii="Arial" w:hAnsi="Arial" w:cs="Arial"/>
          <w:noProof/>
        </w:rPr>
        <w:t xml:space="preserve">Instituto Mexicano para la competitividad, A.C. (15 de marzo de 2026). </w:t>
      </w:r>
      <w:r w:rsidRPr="00EF6347">
        <w:rPr>
          <w:rFonts w:ascii="Arial" w:hAnsi="Arial" w:cs="Arial"/>
          <w:i/>
          <w:iCs/>
          <w:noProof/>
        </w:rPr>
        <w:t>Aguas en México, ¿Escasez o mala gestión?</w:t>
      </w:r>
      <w:r w:rsidRPr="00EF6347">
        <w:rPr>
          <w:rFonts w:ascii="Arial" w:hAnsi="Arial" w:cs="Arial"/>
          <w:noProof/>
        </w:rPr>
        <w:t xml:space="preserve"> Obtenido de Aguas en México, ¿Escasez o mala gestión?: https://imco.org.mx/wp-content/uploads/2023/02/Situacion-del-agua-en-Mexico-1.pdf</w:t>
      </w:r>
    </w:p>
    <w:p w14:paraId="21408AB8" w14:textId="77777777" w:rsidR="00EF6347" w:rsidRPr="00EF6347" w:rsidRDefault="00EF6347" w:rsidP="00EF6347">
      <w:pPr>
        <w:pStyle w:val="Bibliografa"/>
        <w:ind w:left="720" w:hanging="720"/>
        <w:jc w:val="both"/>
        <w:rPr>
          <w:rFonts w:ascii="Arial" w:hAnsi="Arial" w:cs="Arial"/>
          <w:noProof/>
        </w:rPr>
      </w:pPr>
      <w:r w:rsidRPr="00EF6347">
        <w:rPr>
          <w:rFonts w:ascii="Arial" w:hAnsi="Arial" w:cs="Arial"/>
          <w:noProof/>
        </w:rPr>
        <w:t xml:space="preserve">Sánchez, V. H. (2026). Eduardo Vega, experto en economía ambiental: “El agua que se precipita en México va al alcantarillado. No hay instalaciones para aprovecharla”. </w:t>
      </w:r>
      <w:r w:rsidRPr="00EF6347">
        <w:rPr>
          <w:rFonts w:ascii="Arial" w:hAnsi="Arial" w:cs="Arial"/>
          <w:i/>
          <w:iCs/>
          <w:noProof/>
        </w:rPr>
        <w:t>El país</w:t>
      </w:r>
      <w:r w:rsidRPr="00EF6347">
        <w:rPr>
          <w:rFonts w:ascii="Arial" w:hAnsi="Arial" w:cs="Arial"/>
          <w:noProof/>
        </w:rPr>
        <w:t>, 1.</w:t>
      </w:r>
    </w:p>
    <w:p w14:paraId="44167223" w14:textId="77777777" w:rsidR="00EF6347" w:rsidRPr="00EF6347" w:rsidRDefault="00EF6347" w:rsidP="00EF6347">
      <w:pPr>
        <w:pStyle w:val="Bibliografa"/>
        <w:ind w:left="720" w:hanging="720"/>
        <w:jc w:val="both"/>
        <w:rPr>
          <w:rFonts w:ascii="Arial" w:hAnsi="Arial" w:cs="Arial"/>
          <w:noProof/>
        </w:rPr>
      </w:pPr>
      <w:r w:rsidRPr="00EF6347">
        <w:rPr>
          <w:rFonts w:ascii="Arial" w:hAnsi="Arial" w:cs="Arial"/>
          <w:noProof/>
        </w:rPr>
        <w:t xml:space="preserve">Secretaria de MEdio Ambiente y Recursos Naturales. (17 de marzo de 2026). </w:t>
      </w:r>
      <w:r w:rsidRPr="00EF6347">
        <w:rPr>
          <w:rFonts w:ascii="Arial" w:hAnsi="Arial" w:cs="Arial"/>
          <w:i/>
          <w:iCs/>
          <w:noProof/>
        </w:rPr>
        <w:t>Instituto Mexicano de Tecnología del Agua.</w:t>
      </w:r>
      <w:r w:rsidRPr="00EF6347">
        <w:rPr>
          <w:rFonts w:ascii="Arial" w:hAnsi="Arial" w:cs="Arial"/>
          <w:noProof/>
        </w:rPr>
        <w:t xml:space="preserve"> Obtenido de Programa Institucional del Instituto Mexicano de Tecnología del Agua 2025-2030: https://www.imta.gob.mx/gobmx/2025/PIIMTA-2025-2030.pdf</w:t>
      </w:r>
    </w:p>
    <w:p w14:paraId="2C257285" w14:textId="77777777" w:rsidR="00EF6347" w:rsidRPr="00EF6347" w:rsidRDefault="00EF6347" w:rsidP="00EF6347">
      <w:pPr>
        <w:pStyle w:val="Bibliografa"/>
        <w:ind w:left="720" w:hanging="720"/>
        <w:jc w:val="both"/>
        <w:rPr>
          <w:rFonts w:ascii="Arial" w:hAnsi="Arial" w:cs="Arial"/>
          <w:noProof/>
        </w:rPr>
      </w:pPr>
      <w:r w:rsidRPr="00EF6347">
        <w:rPr>
          <w:rFonts w:ascii="Arial" w:hAnsi="Arial" w:cs="Arial"/>
          <w:noProof/>
        </w:rPr>
        <w:t xml:space="preserve">Secretaria del Medio Ambiente. (15 de marzo de 2026). </w:t>
      </w:r>
      <w:r w:rsidRPr="00EF6347">
        <w:rPr>
          <w:rFonts w:ascii="Arial" w:hAnsi="Arial" w:cs="Arial"/>
          <w:i/>
          <w:iCs/>
          <w:noProof/>
        </w:rPr>
        <w:t>Cosecha de Lluvia</w:t>
      </w:r>
      <w:r w:rsidRPr="00EF6347">
        <w:rPr>
          <w:rFonts w:ascii="Arial" w:hAnsi="Arial" w:cs="Arial"/>
          <w:noProof/>
        </w:rPr>
        <w:t>. Obtenido de Premian al programa “Cosecha de Lluvia”: https://gobierno.cdmx.gob.mx/noticias/premian-al-programa-cosecha-lluvia/</w:t>
      </w:r>
    </w:p>
    <w:p w14:paraId="76E24DA9" w14:textId="33A72EEF" w:rsidR="00EF6347" w:rsidRPr="00007D5F" w:rsidRDefault="00EF6347" w:rsidP="00EF6347">
      <w:pPr>
        <w:pStyle w:val="Sinespaciado"/>
        <w:spacing w:line="360" w:lineRule="auto"/>
        <w:jc w:val="both"/>
        <w:rPr>
          <w:rFonts w:ascii="Arial" w:hAnsi="Arial" w:cs="Arial"/>
          <w:bCs/>
          <w:sz w:val="24"/>
          <w:szCs w:val="24"/>
        </w:rPr>
      </w:pPr>
      <w:r w:rsidRPr="00EF6347">
        <w:rPr>
          <w:rFonts w:ascii="Arial" w:hAnsi="Arial" w:cs="Arial"/>
          <w:bCs/>
          <w:sz w:val="24"/>
          <w:szCs w:val="24"/>
        </w:rPr>
        <w:fldChar w:fldCharType="end"/>
      </w:r>
    </w:p>
    <w:sectPr w:rsidR="00EF6347" w:rsidRPr="00007D5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DAEA1" w14:textId="77777777" w:rsidR="007D15DA" w:rsidRDefault="007D15DA" w:rsidP="00007D5F">
      <w:pPr>
        <w:spacing w:after="0" w:line="240" w:lineRule="auto"/>
      </w:pPr>
      <w:r>
        <w:separator/>
      </w:r>
    </w:p>
  </w:endnote>
  <w:endnote w:type="continuationSeparator" w:id="0">
    <w:p w14:paraId="73E89B08" w14:textId="77777777" w:rsidR="007D15DA" w:rsidRDefault="007D15DA" w:rsidP="00007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C992" w14:textId="77777777" w:rsidR="007D15DA" w:rsidRDefault="007D15DA" w:rsidP="00007D5F">
      <w:pPr>
        <w:spacing w:after="0" w:line="240" w:lineRule="auto"/>
      </w:pPr>
      <w:r>
        <w:separator/>
      </w:r>
    </w:p>
  </w:footnote>
  <w:footnote w:type="continuationSeparator" w:id="0">
    <w:p w14:paraId="58C15EA6" w14:textId="77777777" w:rsidR="007D15DA" w:rsidRDefault="007D15DA" w:rsidP="00007D5F">
      <w:pPr>
        <w:spacing w:after="0" w:line="240" w:lineRule="auto"/>
      </w:pPr>
      <w:r>
        <w:continuationSeparator/>
      </w:r>
    </w:p>
  </w:footnote>
  <w:footnote w:id="1">
    <w:p w14:paraId="1C57BF7B" w14:textId="05678591" w:rsidR="00EF6347" w:rsidRPr="00EF6347" w:rsidRDefault="00007D5F" w:rsidP="00EF6347">
      <w:pPr>
        <w:pStyle w:val="Textonotapie"/>
      </w:pPr>
      <w:r>
        <w:rPr>
          <w:rStyle w:val="Refdenotaalpie"/>
        </w:rPr>
        <w:footnoteRef/>
      </w:r>
      <w:r>
        <w:t xml:space="preserve"> </w:t>
      </w:r>
      <w:r w:rsidR="00EF6347">
        <w:t>S</w:t>
      </w:r>
      <w:r w:rsidR="00EF6347" w:rsidRPr="00EF6347">
        <w:t>ecretaria de M</w:t>
      </w:r>
      <w:r w:rsidR="00EF6347">
        <w:t>e</w:t>
      </w:r>
      <w:r w:rsidR="00EF6347" w:rsidRPr="00EF6347">
        <w:t xml:space="preserve">dio Ambiente y Recursos Naturales. (17 de marzo de 2026). </w:t>
      </w:r>
      <w:r w:rsidR="00EF6347" w:rsidRPr="00EF6347">
        <w:rPr>
          <w:i/>
          <w:iCs/>
        </w:rPr>
        <w:t>Instituto Mexicano de Tecnología del Agua.</w:t>
      </w:r>
      <w:r w:rsidR="00EF6347" w:rsidRPr="00EF6347">
        <w:t xml:space="preserve"> Obtenido de Programa Institucional del Instituto Mexicano de Tecnología del Agua 2025-2030: https://www.imta.gob.mx/gobmx/2025/PIIMTA-2025-2030.pdf</w:t>
      </w:r>
    </w:p>
    <w:p w14:paraId="44D5C704" w14:textId="7966F68E" w:rsidR="00007D5F" w:rsidRPr="00007D5F" w:rsidRDefault="00007D5F">
      <w:pPr>
        <w:pStyle w:val="Textonotapie"/>
        <w:rPr>
          <w:lang w:val="es-ES_tradnl"/>
        </w:rPr>
      </w:pPr>
    </w:p>
  </w:footnote>
  <w:footnote w:id="2">
    <w:p w14:paraId="7F1DD2EA" w14:textId="6417E1C1" w:rsidR="00007D5F" w:rsidRPr="00EF6347" w:rsidRDefault="00007D5F">
      <w:pPr>
        <w:pStyle w:val="Textonotapie"/>
      </w:pPr>
      <w:r>
        <w:rPr>
          <w:rStyle w:val="Refdenotaalpie"/>
        </w:rPr>
        <w:footnoteRef/>
      </w:r>
      <w:r w:rsidR="00EF6347">
        <w:t xml:space="preserve"> </w:t>
      </w:r>
      <w:r w:rsidR="00EF6347" w:rsidRPr="00EF6347">
        <w:t xml:space="preserve">Secretaria del Medio Ambiente. (15 de marzo de 2026). </w:t>
      </w:r>
      <w:r w:rsidR="00EF6347" w:rsidRPr="00EF6347">
        <w:rPr>
          <w:i/>
          <w:iCs/>
        </w:rPr>
        <w:t>Cosecha de Lluvia</w:t>
      </w:r>
      <w:r w:rsidR="00EF6347" w:rsidRPr="00EF6347">
        <w:t>. Obtenido de Premian al programa “Cosecha de Lluvia”: https://gobierno.cdmx.gob.mx/noticias/premian-al-programa-cosecha-lluvia/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8D9"/>
    <w:rsid w:val="00007D5F"/>
    <w:rsid w:val="00025033"/>
    <w:rsid w:val="00052D15"/>
    <w:rsid w:val="000827DB"/>
    <w:rsid w:val="0010340B"/>
    <w:rsid w:val="001556FB"/>
    <w:rsid w:val="001C2837"/>
    <w:rsid w:val="00230716"/>
    <w:rsid w:val="002C3BD3"/>
    <w:rsid w:val="003802C8"/>
    <w:rsid w:val="00391811"/>
    <w:rsid w:val="003B16D4"/>
    <w:rsid w:val="004314E3"/>
    <w:rsid w:val="00474A34"/>
    <w:rsid w:val="00491FE3"/>
    <w:rsid w:val="004E7E8F"/>
    <w:rsid w:val="004F4DC5"/>
    <w:rsid w:val="005D7CFA"/>
    <w:rsid w:val="00611BE7"/>
    <w:rsid w:val="007453B9"/>
    <w:rsid w:val="00792F35"/>
    <w:rsid w:val="007D15DA"/>
    <w:rsid w:val="00874D0C"/>
    <w:rsid w:val="008F00F8"/>
    <w:rsid w:val="009A2C66"/>
    <w:rsid w:val="00A023EA"/>
    <w:rsid w:val="00A52B74"/>
    <w:rsid w:val="00A7739D"/>
    <w:rsid w:val="00B00B50"/>
    <w:rsid w:val="00B908D9"/>
    <w:rsid w:val="00BD45AD"/>
    <w:rsid w:val="00C666E4"/>
    <w:rsid w:val="00D857BB"/>
    <w:rsid w:val="00D93A76"/>
    <w:rsid w:val="00E34F43"/>
    <w:rsid w:val="00EB0567"/>
    <w:rsid w:val="00EF6347"/>
    <w:rsid w:val="00F57E14"/>
    <w:rsid w:val="00FC6A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C8C5"/>
  <w15:chartTrackingRefBased/>
  <w15:docId w15:val="{20075BF8-2A78-EC42-8D77-E9FA7C45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90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0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08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08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08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08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08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08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08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08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08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08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08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08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08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08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08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08D9"/>
    <w:rPr>
      <w:rFonts w:eastAsiaTheme="majorEastAsia" w:cstheme="majorBidi"/>
      <w:color w:val="272727" w:themeColor="text1" w:themeTint="D8"/>
    </w:rPr>
  </w:style>
  <w:style w:type="paragraph" w:styleId="Ttulo">
    <w:name w:val="Title"/>
    <w:basedOn w:val="Normal"/>
    <w:next w:val="Normal"/>
    <w:link w:val="TtuloCar"/>
    <w:uiPriority w:val="10"/>
    <w:qFormat/>
    <w:rsid w:val="00B90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08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08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08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08D9"/>
    <w:pPr>
      <w:spacing w:before="160"/>
      <w:jc w:val="center"/>
    </w:pPr>
    <w:rPr>
      <w:i/>
      <w:iCs/>
      <w:color w:val="404040" w:themeColor="text1" w:themeTint="BF"/>
    </w:rPr>
  </w:style>
  <w:style w:type="character" w:customStyle="1" w:styleId="CitaCar">
    <w:name w:val="Cita Car"/>
    <w:basedOn w:val="Fuentedeprrafopredeter"/>
    <w:link w:val="Cita"/>
    <w:uiPriority w:val="29"/>
    <w:rsid w:val="00B908D9"/>
    <w:rPr>
      <w:i/>
      <w:iCs/>
      <w:color w:val="404040" w:themeColor="text1" w:themeTint="BF"/>
    </w:rPr>
  </w:style>
  <w:style w:type="paragraph" w:styleId="Prrafodelista">
    <w:name w:val="List Paragraph"/>
    <w:basedOn w:val="Normal"/>
    <w:uiPriority w:val="34"/>
    <w:qFormat/>
    <w:rsid w:val="00B908D9"/>
    <w:pPr>
      <w:ind w:left="720"/>
      <w:contextualSpacing/>
    </w:pPr>
  </w:style>
  <w:style w:type="character" w:styleId="nfasisintenso">
    <w:name w:val="Intense Emphasis"/>
    <w:basedOn w:val="Fuentedeprrafopredeter"/>
    <w:uiPriority w:val="21"/>
    <w:qFormat/>
    <w:rsid w:val="00B908D9"/>
    <w:rPr>
      <w:i/>
      <w:iCs/>
      <w:color w:val="0F4761" w:themeColor="accent1" w:themeShade="BF"/>
    </w:rPr>
  </w:style>
  <w:style w:type="paragraph" w:styleId="Citadestacada">
    <w:name w:val="Intense Quote"/>
    <w:basedOn w:val="Normal"/>
    <w:next w:val="Normal"/>
    <w:link w:val="CitadestacadaCar"/>
    <w:uiPriority w:val="30"/>
    <w:qFormat/>
    <w:rsid w:val="00B90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08D9"/>
    <w:rPr>
      <w:i/>
      <w:iCs/>
      <w:color w:val="0F4761" w:themeColor="accent1" w:themeShade="BF"/>
    </w:rPr>
  </w:style>
  <w:style w:type="character" w:styleId="Referenciaintensa">
    <w:name w:val="Intense Reference"/>
    <w:basedOn w:val="Fuentedeprrafopredeter"/>
    <w:uiPriority w:val="32"/>
    <w:qFormat/>
    <w:rsid w:val="00B908D9"/>
    <w:rPr>
      <w:b/>
      <w:bCs/>
      <w:smallCaps/>
      <w:color w:val="0F4761" w:themeColor="accent1" w:themeShade="BF"/>
      <w:spacing w:val="5"/>
    </w:rPr>
  </w:style>
  <w:style w:type="paragraph" w:styleId="NormalWeb">
    <w:name w:val="Normal (Web)"/>
    <w:basedOn w:val="Normal"/>
    <w:uiPriority w:val="99"/>
    <w:unhideWhenUsed/>
    <w:rsid w:val="00B908D9"/>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styleId="Sinespaciado">
    <w:name w:val="No Spacing"/>
    <w:uiPriority w:val="1"/>
    <w:qFormat/>
    <w:rsid w:val="00B908D9"/>
    <w:pPr>
      <w:spacing w:after="0" w:line="240" w:lineRule="auto"/>
    </w:pPr>
    <w:rPr>
      <w:kern w:val="0"/>
      <w:sz w:val="22"/>
      <w:szCs w:val="22"/>
      <w14:ligatures w14:val="none"/>
    </w:rPr>
  </w:style>
  <w:style w:type="table" w:styleId="Tablaconcuadrcula">
    <w:name w:val="Table Grid"/>
    <w:basedOn w:val="Tablanormal"/>
    <w:uiPriority w:val="39"/>
    <w:rsid w:val="00B908D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07D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7D5F"/>
    <w:rPr>
      <w:sz w:val="20"/>
      <w:szCs w:val="20"/>
    </w:rPr>
  </w:style>
  <w:style w:type="character" w:styleId="Refdenotaalpie">
    <w:name w:val="footnote reference"/>
    <w:basedOn w:val="Fuentedeprrafopredeter"/>
    <w:uiPriority w:val="99"/>
    <w:semiHidden/>
    <w:unhideWhenUsed/>
    <w:rsid w:val="00007D5F"/>
    <w:rPr>
      <w:vertAlign w:val="superscript"/>
    </w:rPr>
  </w:style>
  <w:style w:type="character" w:styleId="Hipervnculo">
    <w:name w:val="Hyperlink"/>
    <w:basedOn w:val="Fuentedeprrafopredeter"/>
    <w:uiPriority w:val="99"/>
    <w:unhideWhenUsed/>
    <w:rsid w:val="00007D5F"/>
    <w:rPr>
      <w:color w:val="467886" w:themeColor="hyperlink"/>
      <w:u w:val="single"/>
    </w:rPr>
  </w:style>
  <w:style w:type="character" w:styleId="Mencinsinresolver">
    <w:name w:val="Unresolved Mention"/>
    <w:basedOn w:val="Fuentedeprrafopredeter"/>
    <w:uiPriority w:val="99"/>
    <w:semiHidden/>
    <w:unhideWhenUsed/>
    <w:rsid w:val="00007D5F"/>
    <w:rPr>
      <w:color w:val="605E5C"/>
      <w:shd w:val="clear" w:color="auto" w:fill="E1DFDD"/>
    </w:rPr>
  </w:style>
  <w:style w:type="character" w:styleId="Hipervnculovisitado">
    <w:name w:val="FollowedHyperlink"/>
    <w:basedOn w:val="Fuentedeprrafopredeter"/>
    <w:uiPriority w:val="99"/>
    <w:semiHidden/>
    <w:unhideWhenUsed/>
    <w:rsid w:val="0010340B"/>
    <w:rPr>
      <w:color w:val="96607D" w:themeColor="followedHyperlink"/>
      <w:u w:val="single"/>
    </w:rPr>
  </w:style>
  <w:style w:type="paragraph" w:styleId="Bibliografa">
    <w:name w:val="Bibliography"/>
    <w:basedOn w:val="Normal"/>
    <w:next w:val="Normal"/>
    <w:uiPriority w:val="37"/>
    <w:unhideWhenUsed/>
    <w:rsid w:val="00EF6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6608">
      <w:bodyDiv w:val="1"/>
      <w:marLeft w:val="0"/>
      <w:marRight w:val="0"/>
      <w:marTop w:val="0"/>
      <w:marBottom w:val="0"/>
      <w:divBdr>
        <w:top w:val="none" w:sz="0" w:space="0" w:color="auto"/>
        <w:left w:val="none" w:sz="0" w:space="0" w:color="auto"/>
        <w:bottom w:val="none" w:sz="0" w:space="0" w:color="auto"/>
        <w:right w:val="none" w:sz="0" w:space="0" w:color="auto"/>
      </w:divBdr>
    </w:div>
    <w:div w:id="164980479">
      <w:bodyDiv w:val="1"/>
      <w:marLeft w:val="0"/>
      <w:marRight w:val="0"/>
      <w:marTop w:val="0"/>
      <w:marBottom w:val="0"/>
      <w:divBdr>
        <w:top w:val="none" w:sz="0" w:space="0" w:color="auto"/>
        <w:left w:val="none" w:sz="0" w:space="0" w:color="auto"/>
        <w:bottom w:val="none" w:sz="0" w:space="0" w:color="auto"/>
        <w:right w:val="none" w:sz="0" w:space="0" w:color="auto"/>
      </w:divBdr>
    </w:div>
    <w:div w:id="692346731">
      <w:bodyDiv w:val="1"/>
      <w:marLeft w:val="0"/>
      <w:marRight w:val="0"/>
      <w:marTop w:val="0"/>
      <w:marBottom w:val="0"/>
      <w:divBdr>
        <w:top w:val="none" w:sz="0" w:space="0" w:color="auto"/>
        <w:left w:val="none" w:sz="0" w:space="0" w:color="auto"/>
        <w:bottom w:val="none" w:sz="0" w:space="0" w:color="auto"/>
        <w:right w:val="none" w:sz="0" w:space="0" w:color="auto"/>
      </w:divBdr>
    </w:div>
    <w:div w:id="978992339">
      <w:bodyDiv w:val="1"/>
      <w:marLeft w:val="0"/>
      <w:marRight w:val="0"/>
      <w:marTop w:val="0"/>
      <w:marBottom w:val="0"/>
      <w:divBdr>
        <w:top w:val="none" w:sz="0" w:space="0" w:color="auto"/>
        <w:left w:val="none" w:sz="0" w:space="0" w:color="auto"/>
        <w:bottom w:val="none" w:sz="0" w:space="0" w:color="auto"/>
        <w:right w:val="none" w:sz="0" w:space="0" w:color="auto"/>
      </w:divBdr>
    </w:div>
    <w:div w:id="1126124472">
      <w:bodyDiv w:val="1"/>
      <w:marLeft w:val="0"/>
      <w:marRight w:val="0"/>
      <w:marTop w:val="0"/>
      <w:marBottom w:val="0"/>
      <w:divBdr>
        <w:top w:val="none" w:sz="0" w:space="0" w:color="auto"/>
        <w:left w:val="none" w:sz="0" w:space="0" w:color="auto"/>
        <w:bottom w:val="none" w:sz="0" w:space="0" w:color="auto"/>
        <w:right w:val="none" w:sz="0" w:space="0" w:color="auto"/>
      </w:divBdr>
    </w:div>
    <w:div w:id="1293557591">
      <w:bodyDiv w:val="1"/>
      <w:marLeft w:val="0"/>
      <w:marRight w:val="0"/>
      <w:marTop w:val="0"/>
      <w:marBottom w:val="0"/>
      <w:divBdr>
        <w:top w:val="none" w:sz="0" w:space="0" w:color="auto"/>
        <w:left w:val="none" w:sz="0" w:space="0" w:color="auto"/>
        <w:bottom w:val="none" w:sz="0" w:space="0" w:color="auto"/>
        <w:right w:val="none" w:sz="0" w:space="0" w:color="auto"/>
      </w:divBdr>
    </w:div>
    <w:div w:id="187415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Sec26</b:Tag>
    <b:SourceType>DocumentFromInternetSite</b:SourceType>
    <b:Guid>{6A940215-5FF5-475A-B126-F1AA39F26FF3}</b:Guid>
    <b:Title>Instituto Mexicano de Tecnología del Agua</b:Title>
    <b:Year>2026</b:Year>
    <b:Author>
      <b:Author>
        <b:Corporate>Secretaria de MEdio Ambiente y Recursos Naturales</b:Corporate>
      </b:Author>
    </b:Author>
    <b:InternetSiteTitle>Programa Institucional del Instituto Mexicano de Tecnología del Agua 2025-2030</b:InternetSiteTitle>
    <b:Month>marzo</b:Month>
    <b:Day>17</b:Day>
    <b:URL>https://www.imta.gob.mx/gobmx/2025/PIIMTA-2025-2030.pdf</b:URL>
    <b:RefOrder>1</b:RefOrder>
  </b:Source>
  <b:Source>
    <b:Tag>Ins26</b:Tag>
    <b:SourceType>DocumentFromInternetSite</b:SourceType>
    <b:Guid>{FBCF0979-EC15-4521-BAD4-DAA6F387D650}</b:Guid>
    <b:Title>Aguas en México, ¿Escasez o mala gestión?</b:Title>
    <b:Year>2026</b:Year>
    <b:Author>
      <b:Author>
        <b:Corporate>Instituto Mexicano para la competitividad, A.C.</b:Corporate>
      </b:Author>
    </b:Author>
    <b:InternetSiteTitle>Aguas en México, ¿Escasez o mala gestión?</b:InternetSiteTitle>
    <b:Month>marzo</b:Month>
    <b:Day>15</b:Day>
    <b:URL>https://imco.org.mx/wp-content/uploads/2023/02/Situacion-del-agua-en-Mexico-1.pdf</b:URL>
    <b:RefOrder>3</b:RefOrder>
  </b:Source>
  <b:Source>
    <b:Tag>Víc26</b:Tag>
    <b:SourceType>JournalArticle</b:SourceType>
    <b:Guid>{7F5D2394-1D16-4893-B541-14E5D403238D}</b:Guid>
    <b:Title>Eduardo Vega, experto en economía ambiental: “El agua que se precipita en México va al alcantarillado. No hay instalaciones para aprovecharla”</b:Title>
    <b:Year>2026</b:Year>
    <b:Author>
      <b:Author>
        <b:NameList>
          <b:Person>
            <b:Last>Sánchez</b:Last>
            <b:First>Víctor</b:First>
            <b:Middle>Hugo</b:Middle>
          </b:Person>
        </b:NameList>
      </b:Author>
    </b:Author>
    <b:JournalName>El país</b:JournalName>
    <b:Pages>1</b:Pages>
    <b:RefOrder>4</b:RefOrder>
  </b:Source>
  <b:Source>
    <b:Tag>Sec261</b:Tag>
    <b:SourceType>InternetSite</b:SourceType>
    <b:Guid>{EAF398A4-F693-40F5-817A-807049ECC66E}</b:Guid>
    <b:Title>Cosecha de Lluvia</b:Title>
    <b:Year>2026</b:Year>
    <b:Author>
      <b:Author>
        <b:Corporate>Secretaria del Medio Ambiente</b:Corporate>
      </b:Author>
    </b:Author>
    <b:InternetSiteTitle>Premian al programa “Cosecha de Lluvia”</b:InternetSiteTitle>
    <b:Month>marzo</b:Month>
    <b:Day>15</b:Day>
    <b:URL>https://gobierno.cdmx.gob.mx/noticias/premian-al-programa-cosecha-lluvia/</b:URL>
    <b:RefOrder>2</b:RefOrder>
  </b:Source>
  <b:Source>
    <b:Tag>Dep26</b:Tag>
    <b:SourceType>InternetSite</b:SourceType>
    <b:Guid>{AF3A2097-80AA-41BE-A9B7-ECB81CF2A751}</b:Guid>
    <b:Title>Departamento de Asuntos Económicos y Sociales</b:Title>
    <b:InternetSiteTitle>Garantizar la disponibilidad y la gestión sostenible del agua y el saneamiento para todos</b:InternetSiteTitle>
    <b:Year>2026</b:Year>
    <b:Month>marzo</b:Month>
    <b:Day>15</b:Day>
    <b:URL>https://sdgs.un.org/goals/goal6</b:URL>
    <b:RefOrder>5</b:RefOrder>
  </b:Source>
</b:Sources>
</file>

<file path=customXml/itemProps1.xml><?xml version="1.0" encoding="utf-8"?>
<ds:datastoreItem xmlns:ds="http://schemas.openxmlformats.org/officeDocument/2006/customXml" ds:itemID="{F77AC055-D6CC-4267-8C3B-1B6A0FF0D65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2607</Words>
  <Characters>14339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Becerril Pelaez</dc:creator>
  <cp:keywords/>
  <dc:description/>
  <cp:lastModifiedBy>Diana Laura Luna Bernal</cp:lastModifiedBy>
  <cp:revision>2</cp:revision>
  <dcterms:created xsi:type="dcterms:W3CDTF">2026-03-21T16:08:00Z</dcterms:created>
  <dcterms:modified xsi:type="dcterms:W3CDTF">2026-03-21T16:08:00Z</dcterms:modified>
</cp:coreProperties>
</file>