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6EFBDD" w14:textId="77777777" w:rsidR="00BB636F" w:rsidRDefault="00BB636F">
      <w:pPr>
        <w:spacing w:after="0" w:line="360" w:lineRule="auto"/>
        <w:rPr>
          <w:rFonts w:ascii="Arial" w:eastAsia="Arial" w:hAnsi="Arial" w:cs="Arial"/>
          <w:sz w:val="24"/>
          <w:szCs w:val="24"/>
        </w:rPr>
      </w:pPr>
    </w:p>
    <w:p w14:paraId="03C14C5E" w14:textId="23F0B880" w:rsidR="00BB636F" w:rsidRDefault="003803EC">
      <w:pPr>
        <w:spacing w:line="360" w:lineRule="auto"/>
        <w:jc w:val="right"/>
        <w:rPr>
          <w:rFonts w:ascii="Arial" w:eastAsia="Arial" w:hAnsi="Arial" w:cs="Arial"/>
          <w:color w:val="000000"/>
          <w:sz w:val="24"/>
          <w:szCs w:val="24"/>
        </w:rPr>
      </w:pPr>
      <w:r>
        <w:rPr>
          <w:rFonts w:ascii="Arial" w:eastAsia="Arial" w:hAnsi="Arial" w:cs="Arial"/>
          <w:color w:val="000000"/>
          <w:sz w:val="24"/>
          <w:szCs w:val="24"/>
        </w:rPr>
        <w:t>Toluca de Lerdo, Estado de México a __ de __de 202</w:t>
      </w:r>
      <w:r w:rsidR="00760CDB">
        <w:rPr>
          <w:rFonts w:ascii="Arial" w:eastAsia="Arial" w:hAnsi="Arial" w:cs="Arial"/>
          <w:color w:val="000000"/>
          <w:sz w:val="24"/>
          <w:szCs w:val="24"/>
        </w:rPr>
        <w:t>6</w:t>
      </w:r>
      <w:r>
        <w:rPr>
          <w:rFonts w:ascii="Arial" w:eastAsia="Arial" w:hAnsi="Arial" w:cs="Arial"/>
          <w:color w:val="000000"/>
          <w:sz w:val="24"/>
          <w:szCs w:val="24"/>
        </w:rPr>
        <w:t>.</w:t>
      </w:r>
    </w:p>
    <w:p w14:paraId="299B6806" w14:textId="77777777" w:rsidR="00BB636F" w:rsidRDefault="00BB636F">
      <w:pPr>
        <w:spacing w:line="360" w:lineRule="auto"/>
        <w:jc w:val="both"/>
        <w:rPr>
          <w:rFonts w:ascii="Arial" w:eastAsia="Arial" w:hAnsi="Arial" w:cs="Arial"/>
        </w:rPr>
      </w:pPr>
    </w:p>
    <w:p w14:paraId="49F278A8" w14:textId="6CCAF836" w:rsidR="00BB636F" w:rsidRDefault="003803EC">
      <w:pPr>
        <w:spacing w:after="0" w:line="360" w:lineRule="auto"/>
        <w:jc w:val="both"/>
        <w:rPr>
          <w:rFonts w:ascii="Arial" w:eastAsia="Arial" w:hAnsi="Arial" w:cs="Arial"/>
          <w:b/>
          <w:sz w:val="24"/>
          <w:szCs w:val="24"/>
        </w:rPr>
      </w:pPr>
      <w:r>
        <w:rPr>
          <w:rFonts w:ascii="Arial" w:eastAsia="Arial" w:hAnsi="Arial" w:cs="Arial"/>
          <w:b/>
          <w:sz w:val="24"/>
          <w:szCs w:val="24"/>
        </w:rPr>
        <w:t xml:space="preserve">DIP. </w:t>
      </w:r>
      <w:r w:rsidR="001462F0">
        <w:rPr>
          <w:rFonts w:ascii="Arial" w:eastAsia="Arial" w:hAnsi="Arial" w:cs="Arial"/>
          <w:b/>
          <w:sz w:val="24"/>
          <w:szCs w:val="24"/>
        </w:rPr>
        <w:t>MARTHA AZUCENA CAMACHO REYNOSO</w:t>
      </w:r>
      <w:r>
        <w:rPr>
          <w:rFonts w:ascii="Arial" w:eastAsia="Arial" w:hAnsi="Arial" w:cs="Arial"/>
          <w:b/>
          <w:sz w:val="24"/>
          <w:szCs w:val="24"/>
        </w:rPr>
        <w:t xml:space="preserve"> </w:t>
      </w:r>
    </w:p>
    <w:p w14:paraId="760BB3FF" w14:textId="5E782B43" w:rsidR="00BB636F" w:rsidRDefault="003803EC">
      <w:pPr>
        <w:spacing w:after="0" w:line="360" w:lineRule="auto"/>
        <w:jc w:val="both"/>
        <w:rPr>
          <w:rFonts w:ascii="Arial" w:eastAsia="Arial" w:hAnsi="Arial" w:cs="Arial"/>
          <w:b/>
          <w:sz w:val="24"/>
          <w:szCs w:val="24"/>
        </w:rPr>
      </w:pPr>
      <w:r>
        <w:rPr>
          <w:rFonts w:ascii="Arial" w:eastAsia="Arial" w:hAnsi="Arial" w:cs="Arial"/>
          <w:b/>
          <w:sz w:val="24"/>
          <w:szCs w:val="24"/>
        </w:rPr>
        <w:t>PRESIDENT</w:t>
      </w:r>
      <w:r w:rsidR="001462F0">
        <w:rPr>
          <w:rFonts w:ascii="Arial" w:eastAsia="Arial" w:hAnsi="Arial" w:cs="Arial"/>
          <w:b/>
          <w:sz w:val="24"/>
          <w:szCs w:val="24"/>
        </w:rPr>
        <w:t>A</w:t>
      </w:r>
      <w:r>
        <w:rPr>
          <w:rFonts w:ascii="Arial" w:eastAsia="Arial" w:hAnsi="Arial" w:cs="Arial"/>
          <w:b/>
          <w:sz w:val="24"/>
          <w:szCs w:val="24"/>
        </w:rPr>
        <w:t xml:space="preserve"> DE LA MESA DIRECTIVA </w:t>
      </w:r>
    </w:p>
    <w:p w14:paraId="3A053E37" w14:textId="77777777" w:rsidR="00BB636F" w:rsidRDefault="003803EC">
      <w:pPr>
        <w:spacing w:after="0" w:line="360" w:lineRule="auto"/>
        <w:jc w:val="both"/>
        <w:rPr>
          <w:rFonts w:ascii="Arial" w:eastAsia="Arial" w:hAnsi="Arial" w:cs="Arial"/>
          <w:b/>
          <w:sz w:val="24"/>
          <w:szCs w:val="24"/>
        </w:rPr>
      </w:pPr>
      <w:r>
        <w:rPr>
          <w:rFonts w:ascii="Arial" w:eastAsia="Arial" w:hAnsi="Arial" w:cs="Arial"/>
          <w:b/>
          <w:sz w:val="24"/>
          <w:szCs w:val="24"/>
        </w:rPr>
        <w:t xml:space="preserve">LXII LEGISLATURA DEL H. PODER LEGISLATIVO </w:t>
      </w:r>
    </w:p>
    <w:p w14:paraId="76309221" w14:textId="77777777" w:rsidR="00BB636F" w:rsidRDefault="003803EC">
      <w:pPr>
        <w:spacing w:after="0" w:line="360" w:lineRule="auto"/>
        <w:jc w:val="both"/>
        <w:rPr>
          <w:rFonts w:ascii="Arial" w:eastAsia="Arial" w:hAnsi="Arial" w:cs="Arial"/>
          <w:b/>
          <w:sz w:val="24"/>
          <w:szCs w:val="24"/>
        </w:rPr>
      </w:pPr>
      <w:r>
        <w:rPr>
          <w:rFonts w:ascii="Arial" w:eastAsia="Arial" w:hAnsi="Arial" w:cs="Arial"/>
          <w:b/>
          <w:sz w:val="24"/>
          <w:szCs w:val="24"/>
        </w:rPr>
        <w:t>DEL ESTADO LIBRE Y SOBERANO DE MÉXICO</w:t>
      </w:r>
    </w:p>
    <w:p w14:paraId="4062E723" w14:textId="77777777" w:rsidR="00BB636F" w:rsidRDefault="00BB636F">
      <w:pPr>
        <w:spacing w:after="0" w:line="360" w:lineRule="auto"/>
        <w:jc w:val="both"/>
        <w:rPr>
          <w:rFonts w:ascii="Arial" w:eastAsia="Arial" w:hAnsi="Arial" w:cs="Arial"/>
          <w:b/>
          <w:sz w:val="24"/>
          <w:szCs w:val="24"/>
        </w:rPr>
      </w:pPr>
    </w:p>
    <w:p w14:paraId="2D49F9F7" w14:textId="77777777" w:rsidR="00BB636F" w:rsidRDefault="003803EC">
      <w:pPr>
        <w:spacing w:line="360" w:lineRule="auto"/>
        <w:jc w:val="both"/>
        <w:rPr>
          <w:rFonts w:ascii="Arial" w:eastAsia="Arial" w:hAnsi="Arial" w:cs="Arial"/>
          <w:sz w:val="24"/>
          <w:szCs w:val="24"/>
        </w:rPr>
      </w:pPr>
      <w:r>
        <w:rPr>
          <w:rFonts w:ascii="Arial" w:eastAsia="Arial" w:hAnsi="Arial" w:cs="Arial"/>
          <w:b/>
          <w:sz w:val="24"/>
          <w:szCs w:val="24"/>
        </w:rPr>
        <w:t>P R E S E N T E</w:t>
      </w:r>
    </w:p>
    <w:p w14:paraId="0A0740D1" w14:textId="77777777" w:rsidR="00BB636F" w:rsidRDefault="003803EC">
      <w:pPr>
        <w:spacing w:line="360" w:lineRule="auto"/>
        <w:jc w:val="both"/>
        <w:rPr>
          <w:rFonts w:ascii="Arial" w:eastAsia="Arial" w:hAnsi="Arial" w:cs="Arial"/>
          <w:b/>
          <w:sz w:val="24"/>
          <w:szCs w:val="24"/>
        </w:rPr>
      </w:pPr>
      <w:r>
        <w:rPr>
          <w:rFonts w:ascii="Arial" w:eastAsia="Arial" w:hAnsi="Arial" w:cs="Arial"/>
          <w:b/>
          <w:sz w:val="24"/>
          <w:szCs w:val="24"/>
        </w:rPr>
        <w:t>Honorable Asamblea:</w:t>
      </w:r>
    </w:p>
    <w:p w14:paraId="534E3B5C" w14:textId="77777777" w:rsidR="00BB636F" w:rsidRDefault="00BB636F">
      <w:pPr>
        <w:spacing w:line="360" w:lineRule="auto"/>
        <w:jc w:val="both"/>
      </w:pPr>
    </w:p>
    <w:p w14:paraId="1AD61B50" w14:textId="63EF64B2" w:rsidR="00BB636F" w:rsidRPr="007C2F7B" w:rsidRDefault="003803EC">
      <w:pPr>
        <w:spacing w:after="0" w:line="360" w:lineRule="auto"/>
        <w:jc w:val="both"/>
        <w:rPr>
          <w:rFonts w:ascii="Arial" w:hAnsi="Arial" w:cs="Arial"/>
          <w:b/>
          <w:bCs/>
          <w:sz w:val="24"/>
          <w:szCs w:val="24"/>
        </w:rPr>
      </w:pPr>
      <w:r>
        <w:rPr>
          <w:rFonts w:ascii="Arial" w:eastAsia="Arial" w:hAnsi="Arial" w:cs="Arial"/>
          <w:sz w:val="24"/>
          <w:szCs w:val="24"/>
        </w:rPr>
        <w:t xml:space="preserve">Quienes suscriben </w:t>
      </w:r>
      <w:r>
        <w:rPr>
          <w:rFonts w:ascii="Arial" w:eastAsia="Arial" w:hAnsi="Arial" w:cs="Arial"/>
          <w:b/>
          <w:sz w:val="24"/>
          <w:szCs w:val="24"/>
        </w:rPr>
        <w:t xml:space="preserve">JOSÉ ALBERTO COUTTOLENC BUENTELLO, HÉCTOR RAÚL GARCÍA GONZÁLEZ, HONORIA ARELLANO OCAMPO, ALEJANDRA FIGUEROA ADAME, GLORIA VANESSA LINARES ZETINA, CARLOS ALBERTO LÓPEZ IMM, ISAÍAS PELÁEZ SORIA, ITZEL GUADALUPE PÉREZ CORREA </w:t>
      </w:r>
      <w:r>
        <w:rPr>
          <w:rFonts w:ascii="Arial" w:eastAsia="Arial" w:hAnsi="Arial" w:cs="Arial"/>
          <w:sz w:val="24"/>
          <w:szCs w:val="24"/>
        </w:rPr>
        <w:t>y</w:t>
      </w:r>
      <w:r>
        <w:rPr>
          <w:rFonts w:ascii="Arial" w:eastAsia="Arial" w:hAnsi="Arial" w:cs="Arial"/>
          <w:b/>
          <w:sz w:val="24"/>
          <w:szCs w:val="24"/>
        </w:rPr>
        <w:t xml:space="preserve"> MIRIAM SILVA MATA, </w:t>
      </w:r>
      <w:r>
        <w:rPr>
          <w:rFonts w:ascii="Arial" w:eastAsia="Arial" w:hAnsi="Arial" w:cs="Arial"/>
          <w:sz w:val="24"/>
          <w:szCs w:val="24"/>
        </w:rPr>
        <w:t xml:space="preserve">diputadas y diputados integrantes del </w:t>
      </w:r>
      <w:r>
        <w:rPr>
          <w:rFonts w:ascii="Arial" w:eastAsia="Arial" w:hAnsi="Arial" w:cs="Arial"/>
          <w:b/>
          <w:sz w:val="24"/>
          <w:szCs w:val="24"/>
        </w:rPr>
        <w:t>GRUPO PARLAMENTARIO DEL PARTIDO VERDE ECOLOGISTA DE MÉXICO</w:t>
      </w:r>
      <w:r>
        <w:rPr>
          <w:rFonts w:ascii="Arial" w:eastAsia="Arial" w:hAnsi="Arial" w:cs="Arial"/>
          <w:sz w:val="24"/>
          <w:szCs w:val="24"/>
        </w:rPr>
        <w:t xml:space="preserve"> en la LXII Legislatura del Estado de México, de conformidad con los artículos 6 y 116 de la Constitución Política de los Estados Unidos Mexicanos; 5  fracción II, 57 y 61 fracción I de la Constitución Política del Estado Libre y Soberano de México; y</w:t>
      </w:r>
      <w:r>
        <w:rPr>
          <w:rFonts w:ascii="Arial" w:eastAsia="Arial" w:hAnsi="Arial" w:cs="Arial"/>
          <w:b/>
          <w:sz w:val="24"/>
          <w:szCs w:val="24"/>
        </w:rPr>
        <w:t xml:space="preserve"> </w:t>
      </w:r>
      <w:r>
        <w:rPr>
          <w:rFonts w:ascii="Arial" w:eastAsia="Arial" w:hAnsi="Arial" w:cs="Arial"/>
          <w:sz w:val="24"/>
          <w:szCs w:val="24"/>
        </w:rPr>
        <w:t>28 fracción I, 30, 38 fracción I, 79 y 81 de la Ley Orgánica del Poder Legislativo del Estado Libre y Soberano de México, sometemos a consideración de este órgano</w:t>
      </w:r>
      <w:r>
        <w:rPr>
          <w:rFonts w:ascii="Arial" w:eastAsia="Arial" w:hAnsi="Arial" w:cs="Arial"/>
          <w:b/>
          <w:sz w:val="24"/>
          <w:szCs w:val="24"/>
        </w:rPr>
        <w:t xml:space="preserve"> </w:t>
      </w:r>
      <w:r>
        <w:rPr>
          <w:rFonts w:ascii="Arial" w:eastAsia="Arial" w:hAnsi="Arial" w:cs="Arial"/>
          <w:sz w:val="24"/>
          <w:szCs w:val="24"/>
        </w:rPr>
        <w:t xml:space="preserve">legislativo, la </w:t>
      </w:r>
      <w:r w:rsidR="00BF65AE" w:rsidRPr="00067A7D">
        <w:rPr>
          <w:rFonts w:ascii="Arial" w:hAnsi="Arial" w:cs="Arial"/>
          <w:b/>
          <w:bCs/>
          <w:sz w:val="24"/>
          <w:szCs w:val="24"/>
        </w:rPr>
        <w:t xml:space="preserve">INICIATIVA CON PROYECTO DE DECRETO POR EL QUE </w:t>
      </w:r>
      <w:r w:rsidR="00BF65AE" w:rsidRPr="00D459DC">
        <w:rPr>
          <w:rFonts w:ascii="Arial" w:hAnsi="Arial" w:cs="Arial"/>
          <w:b/>
          <w:bCs/>
          <w:sz w:val="24"/>
          <w:szCs w:val="24"/>
        </w:rPr>
        <w:t>SE REFORMA EL PÁRRAFO TERCERO DEL ARTÍCULO 216-J DEL CÓDIGO FINANCIERO DEL ESTADO DE MÉXICO</w:t>
      </w:r>
      <w:r w:rsidR="002218E2">
        <w:rPr>
          <w:rFonts w:ascii="Arial" w:hAnsi="Arial" w:cs="Arial"/>
          <w:b/>
          <w:bCs/>
          <w:sz w:val="24"/>
          <w:szCs w:val="24"/>
        </w:rPr>
        <w:t xml:space="preserve"> Y MUNICIPIOS</w:t>
      </w:r>
      <w:r w:rsidR="00BF65AE">
        <w:rPr>
          <w:rFonts w:ascii="Arial" w:hAnsi="Arial" w:cs="Arial"/>
          <w:b/>
          <w:bCs/>
          <w:sz w:val="24"/>
          <w:szCs w:val="24"/>
        </w:rPr>
        <w:t xml:space="preserve">, PARA </w:t>
      </w:r>
      <w:r w:rsidR="00BF65AE" w:rsidRPr="00D459DC">
        <w:rPr>
          <w:rFonts w:ascii="Arial" w:hAnsi="Arial" w:cs="Arial"/>
          <w:b/>
          <w:bCs/>
          <w:sz w:val="24"/>
          <w:szCs w:val="24"/>
        </w:rPr>
        <w:t>FORTALECE</w:t>
      </w:r>
      <w:r w:rsidR="00BF65AE">
        <w:rPr>
          <w:rFonts w:ascii="Arial" w:hAnsi="Arial" w:cs="Arial"/>
          <w:b/>
          <w:bCs/>
          <w:sz w:val="24"/>
          <w:szCs w:val="24"/>
        </w:rPr>
        <w:t>R</w:t>
      </w:r>
      <w:r w:rsidR="00BF65AE" w:rsidRPr="00D459DC">
        <w:rPr>
          <w:rFonts w:ascii="Arial" w:hAnsi="Arial" w:cs="Arial"/>
          <w:b/>
          <w:bCs/>
          <w:sz w:val="24"/>
          <w:szCs w:val="24"/>
        </w:rPr>
        <w:t xml:space="preserve"> EL MECANISMO DE COBRO DE LAS APORTACIONES POR SERVICIOS AMBIENTALES</w:t>
      </w:r>
      <w:r w:rsidR="00032454" w:rsidRPr="00032454">
        <w:rPr>
          <w:rFonts w:ascii="Arial" w:hAnsi="Arial" w:cs="Arial"/>
          <w:b/>
          <w:bCs/>
          <w:sz w:val="24"/>
          <w:szCs w:val="24"/>
        </w:rPr>
        <w:t>,</w:t>
      </w:r>
      <w:r>
        <w:rPr>
          <w:rFonts w:ascii="Arial" w:eastAsia="Arial" w:hAnsi="Arial" w:cs="Arial"/>
          <w:color w:val="000000"/>
          <w:sz w:val="24"/>
          <w:szCs w:val="24"/>
        </w:rPr>
        <w:t xml:space="preserve"> </w:t>
      </w:r>
      <w:r>
        <w:rPr>
          <w:rFonts w:ascii="Arial" w:eastAsia="Arial" w:hAnsi="Arial" w:cs="Arial"/>
          <w:sz w:val="24"/>
          <w:szCs w:val="24"/>
        </w:rPr>
        <w:t xml:space="preserve">con sustento en la siguiente: </w:t>
      </w:r>
    </w:p>
    <w:p w14:paraId="7B48236B" w14:textId="1212C813" w:rsidR="00F81DC4" w:rsidRPr="00F81DC4" w:rsidRDefault="00F81DC4" w:rsidP="00F81DC4">
      <w:pPr>
        <w:tabs>
          <w:tab w:val="left" w:pos="816"/>
        </w:tabs>
        <w:rPr>
          <w:rFonts w:ascii="Arial" w:eastAsia="Arial" w:hAnsi="Arial" w:cs="Arial"/>
          <w:sz w:val="24"/>
          <w:szCs w:val="24"/>
        </w:rPr>
        <w:sectPr w:rsidR="00F81DC4" w:rsidRPr="00F81DC4">
          <w:headerReference w:type="default" r:id="rId9"/>
          <w:footerReference w:type="default" r:id="rId10"/>
          <w:pgSz w:w="12240" w:h="15840"/>
          <w:pgMar w:top="2126" w:right="1418" w:bottom="851" w:left="1418" w:header="567" w:footer="851" w:gutter="0"/>
          <w:pgNumType w:start="1"/>
          <w:cols w:space="720"/>
        </w:sectPr>
      </w:pPr>
    </w:p>
    <w:p w14:paraId="1983A866" w14:textId="77777777" w:rsidR="00BB636F" w:rsidRDefault="003803EC">
      <w:pPr>
        <w:spacing w:after="0"/>
        <w:jc w:val="center"/>
        <w:rPr>
          <w:rFonts w:ascii="Arial" w:eastAsia="Arial" w:hAnsi="Arial" w:cs="Arial"/>
          <w:b/>
          <w:sz w:val="24"/>
          <w:szCs w:val="24"/>
        </w:rPr>
      </w:pPr>
      <w:r>
        <w:rPr>
          <w:rFonts w:ascii="Arial" w:eastAsia="Arial" w:hAnsi="Arial" w:cs="Arial"/>
          <w:b/>
          <w:sz w:val="24"/>
          <w:szCs w:val="24"/>
        </w:rPr>
        <w:lastRenderedPageBreak/>
        <w:t>EXPOSICIÓN DE MOTIVOS</w:t>
      </w:r>
    </w:p>
    <w:p w14:paraId="41F31AE1" w14:textId="10DE8957" w:rsidR="008D435F" w:rsidRDefault="008D435F" w:rsidP="00F81DC4">
      <w:pPr>
        <w:spacing w:after="0"/>
        <w:rPr>
          <w:rFonts w:ascii="Arial" w:eastAsia="Arial" w:hAnsi="Arial" w:cs="Arial"/>
          <w:b/>
          <w:sz w:val="24"/>
          <w:szCs w:val="24"/>
        </w:rPr>
      </w:pPr>
    </w:p>
    <w:p w14:paraId="5C88CDB8" w14:textId="77777777" w:rsidR="00EB6EA2"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 xml:space="preserve">Los bosques constituyen uno de los principales pilares del equilibrio ecológico del planeta, debido a los múltiples beneficios ambientales, sociales y económicos que generan. </w:t>
      </w:r>
      <w:r>
        <w:rPr>
          <w:rFonts w:ascii="Arial" w:hAnsi="Arial" w:cs="Arial"/>
          <w:sz w:val="24"/>
          <w:szCs w:val="24"/>
        </w:rPr>
        <w:t xml:space="preserve">Estos son definidos según la </w:t>
      </w:r>
      <w:r w:rsidRPr="003A312A">
        <w:rPr>
          <w:rFonts w:ascii="Arial" w:hAnsi="Arial" w:cs="Arial"/>
          <w:sz w:val="24"/>
          <w:szCs w:val="24"/>
        </w:rPr>
        <w:t xml:space="preserve">Ley General </w:t>
      </w:r>
      <w:r>
        <w:rPr>
          <w:rFonts w:ascii="Arial" w:hAnsi="Arial" w:cs="Arial"/>
          <w:sz w:val="24"/>
          <w:szCs w:val="24"/>
        </w:rPr>
        <w:t>d</w:t>
      </w:r>
      <w:r w:rsidRPr="003A312A">
        <w:rPr>
          <w:rFonts w:ascii="Arial" w:hAnsi="Arial" w:cs="Arial"/>
          <w:sz w:val="24"/>
          <w:szCs w:val="24"/>
        </w:rPr>
        <w:t>e Desarrollo Forestal Sustentable</w:t>
      </w:r>
      <w:r>
        <w:rPr>
          <w:rFonts w:ascii="Arial" w:hAnsi="Arial" w:cs="Arial"/>
          <w:sz w:val="24"/>
          <w:szCs w:val="24"/>
        </w:rPr>
        <w:t xml:space="preserve"> como el e</w:t>
      </w:r>
      <w:r w:rsidRPr="003A312A">
        <w:rPr>
          <w:rFonts w:ascii="Arial" w:hAnsi="Arial" w:cs="Arial"/>
          <w:sz w:val="24"/>
          <w:szCs w:val="24"/>
        </w:rPr>
        <w:t>cosistema forestal principalmente ubicado en zonas de clima templado en el que</w:t>
      </w:r>
      <w:r>
        <w:rPr>
          <w:rFonts w:ascii="Arial" w:hAnsi="Arial" w:cs="Arial"/>
          <w:sz w:val="24"/>
          <w:szCs w:val="24"/>
        </w:rPr>
        <w:t xml:space="preserve"> </w:t>
      </w:r>
      <w:r w:rsidRPr="003A312A">
        <w:rPr>
          <w:rFonts w:ascii="Arial" w:hAnsi="Arial" w:cs="Arial"/>
          <w:sz w:val="24"/>
          <w:szCs w:val="24"/>
        </w:rPr>
        <w:t>predominan especies leñosas perennes que se desarrollan de forma espontánea y que</w:t>
      </w:r>
      <w:r>
        <w:rPr>
          <w:rFonts w:ascii="Arial" w:hAnsi="Arial" w:cs="Arial"/>
          <w:sz w:val="24"/>
          <w:szCs w:val="24"/>
        </w:rPr>
        <w:t xml:space="preserve"> </w:t>
      </w:r>
      <w:r w:rsidRPr="003A312A">
        <w:rPr>
          <w:rFonts w:ascii="Arial" w:hAnsi="Arial" w:cs="Arial"/>
          <w:sz w:val="24"/>
          <w:szCs w:val="24"/>
        </w:rPr>
        <w:t>cuentan con las características para ser considerados terrenos forestales arbolados</w:t>
      </w:r>
      <w:r>
        <w:rPr>
          <w:rFonts w:ascii="Arial" w:hAnsi="Arial" w:cs="Arial"/>
          <w:sz w:val="24"/>
          <w:szCs w:val="24"/>
        </w:rPr>
        <w:t>.</w:t>
      </w:r>
    </w:p>
    <w:p w14:paraId="0748E370" w14:textId="77777777" w:rsidR="00EB6EA2" w:rsidRDefault="00EB6EA2" w:rsidP="00EB6EA2">
      <w:pPr>
        <w:pStyle w:val="Sinespaciado"/>
        <w:spacing w:line="360" w:lineRule="auto"/>
        <w:jc w:val="both"/>
        <w:rPr>
          <w:rFonts w:ascii="Arial" w:hAnsi="Arial" w:cs="Arial"/>
          <w:sz w:val="24"/>
          <w:szCs w:val="24"/>
        </w:rPr>
      </w:pPr>
    </w:p>
    <w:p w14:paraId="124A0021"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La ONU subraya que los bosques son importantes para la seguridad alimentaria, los medios de vida locales y el suministro de biomateriales y energía renovables. Son el hábitat de una gran parte de la biodiversidad mundial, ayudan a regular los ciclos globales del carbono y el agua, y pueden reducir los riesgos y los efectos de la sequía, la desertificación, la erosión del suelo, los deslizamientos de tierra y las inundaciones.</w:t>
      </w:r>
      <w:r w:rsidRPr="008B285B">
        <w:rPr>
          <w:rStyle w:val="Refdenotaalpie"/>
          <w:rFonts w:ascii="Arial" w:hAnsi="Arial" w:cs="Arial"/>
          <w:sz w:val="24"/>
          <w:szCs w:val="24"/>
        </w:rPr>
        <w:footnoteReference w:id="1"/>
      </w:r>
    </w:p>
    <w:p w14:paraId="3BF3AD8F" w14:textId="77777777" w:rsidR="00EB6EA2" w:rsidRPr="008B285B" w:rsidRDefault="00EB6EA2" w:rsidP="00EB6EA2">
      <w:pPr>
        <w:pStyle w:val="Sinespaciado"/>
        <w:spacing w:line="360" w:lineRule="auto"/>
        <w:jc w:val="both"/>
        <w:rPr>
          <w:rFonts w:ascii="Arial" w:hAnsi="Arial" w:cs="Arial"/>
          <w:sz w:val="24"/>
          <w:szCs w:val="24"/>
        </w:rPr>
      </w:pPr>
    </w:p>
    <w:p w14:paraId="0E5609F0"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Adicionalmente, los bosques sirven como escudos vitales contra condiciones climáticas extremas, como tormentas e inundaciones. Además, son esenciales para el suministro de agua potable a casi la mitad de las ciudades más grandes del mundo. Es preciso señalar que, los bosques también ofrecen recursos y protección invaluables para las comunidades que dependen de ellos para su sustento y seguridad.</w:t>
      </w:r>
      <w:r w:rsidRPr="008B285B">
        <w:rPr>
          <w:rStyle w:val="Refdenotaalpie"/>
          <w:rFonts w:ascii="Arial" w:hAnsi="Arial" w:cs="Arial"/>
          <w:sz w:val="24"/>
          <w:szCs w:val="24"/>
        </w:rPr>
        <w:footnoteReference w:id="2"/>
      </w:r>
    </w:p>
    <w:p w14:paraId="15C7FE80" w14:textId="77777777" w:rsidR="00EB6EA2" w:rsidRPr="008B285B" w:rsidRDefault="00EB6EA2" w:rsidP="00EB6EA2">
      <w:pPr>
        <w:pStyle w:val="Sinespaciado"/>
        <w:spacing w:line="360" w:lineRule="auto"/>
        <w:jc w:val="both"/>
        <w:rPr>
          <w:rFonts w:ascii="Arial" w:hAnsi="Arial" w:cs="Arial"/>
          <w:sz w:val="24"/>
          <w:szCs w:val="24"/>
        </w:rPr>
      </w:pPr>
    </w:p>
    <w:p w14:paraId="347B44D3"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 xml:space="preserve">La conservación de los bosques debe constituir una prioridad para el </w:t>
      </w:r>
      <w:r>
        <w:rPr>
          <w:rFonts w:ascii="Arial" w:hAnsi="Arial" w:cs="Arial"/>
          <w:sz w:val="24"/>
          <w:szCs w:val="24"/>
        </w:rPr>
        <w:t>Estado,</w:t>
      </w:r>
      <w:r w:rsidRPr="008B285B">
        <w:rPr>
          <w:rFonts w:ascii="Arial" w:hAnsi="Arial" w:cs="Arial"/>
          <w:sz w:val="24"/>
          <w:szCs w:val="24"/>
        </w:rPr>
        <w:t xml:space="preserve"> tanto por su valor ambiental como por los servicios ecosistémicos que brindan a la población, entre los que destacan la captación, infiltración y regulación del agua, la conservación de la biodiversidad y la mitigación de los efectos del cambio climático.</w:t>
      </w:r>
    </w:p>
    <w:p w14:paraId="780C21B3" w14:textId="77777777" w:rsidR="00EB6EA2" w:rsidRPr="008B285B" w:rsidRDefault="00EB6EA2" w:rsidP="00EB6EA2">
      <w:pPr>
        <w:pStyle w:val="Sinespaciado"/>
        <w:spacing w:line="360" w:lineRule="auto"/>
        <w:jc w:val="both"/>
        <w:rPr>
          <w:rFonts w:ascii="Arial" w:hAnsi="Arial" w:cs="Arial"/>
          <w:sz w:val="24"/>
          <w:szCs w:val="24"/>
        </w:rPr>
      </w:pPr>
    </w:p>
    <w:p w14:paraId="0475C212"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lastRenderedPageBreak/>
        <w:t>A pesar de los beneficios de los bosques, el mundo se enfrenta al desafío actual de la deforestación, que contribuye en gran medida a hasta el 21% de las emisiones totales de gases de efecto invernadero atribuidas a la agricultura, la silvicultura y otros sectores de uso de la tierra. El impacto de la deforestación es profundo, socavando los esfuerzos de resiliencia climática y amenazando los medios de vida de las comunidades que viven en los bosques.</w:t>
      </w:r>
      <w:r w:rsidRPr="008B285B">
        <w:rPr>
          <w:rStyle w:val="Refdenotaalpie"/>
          <w:rFonts w:ascii="Arial" w:hAnsi="Arial" w:cs="Arial"/>
          <w:sz w:val="24"/>
          <w:szCs w:val="24"/>
        </w:rPr>
        <w:footnoteReference w:id="3"/>
      </w:r>
    </w:p>
    <w:p w14:paraId="34A2F1B3" w14:textId="77777777" w:rsidR="00EB6EA2" w:rsidRPr="008B285B" w:rsidRDefault="00EB6EA2" w:rsidP="00EB6EA2">
      <w:pPr>
        <w:pStyle w:val="Sinespaciado"/>
        <w:spacing w:line="360" w:lineRule="auto"/>
        <w:jc w:val="both"/>
        <w:rPr>
          <w:rFonts w:ascii="Arial" w:hAnsi="Arial" w:cs="Arial"/>
          <w:sz w:val="24"/>
          <w:szCs w:val="24"/>
        </w:rPr>
      </w:pPr>
    </w:p>
    <w:p w14:paraId="6A1F2C9A"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Los últimos datos muestran que los bosques cubren 4 mil 140 millones de hectáreas a nivel mundial, lo que representa aproximadamente un tercio de la superficie terrestre del planeta. Casi la mitad de esta superficie forestal se localiza en las regiones tropicales.</w:t>
      </w:r>
    </w:p>
    <w:p w14:paraId="48FF0236"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 xml:space="preserve"> </w:t>
      </w:r>
    </w:p>
    <w:p w14:paraId="7A04AB87"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Si bien la deforestación disminuyó de 17.6 millones de hectáreas anuales registradas entre 1990 y 2000 a 10.9 millones de hectáreas por año durante el periodo 2015-2025, de acuerdo con información de la Organización de las Naciones Unidas, la pérdida de cobertura forestal continúa representando uno de los principales desafíos ambientales a nivel global.</w:t>
      </w:r>
    </w:p>
    <w:p w14:paraId="2035590C" w14:textId="77777777" w:rsidR="00EB6EA2" w:rsidRPr="008B285B" w:rsidRDefault="00EB6EA2" w:rsidP="00EB6EA2">
      <w:pPr>
        <w:pStyle w:val="Sinespaciado"/>
        <w:spacing w:line="360" w:lineRule="auto"/>
        <w:jc w:val="both"/>
        <w:rPr>
          <w:rFonts w:ascii="Arial" w:hAnsi="Arial" w:cs="Arial"/>
          <w:sz w:val="24"/>
          <w:szCs w:val="24"/>
        </w:rPr>
      </w:pPr>
    </w:p>
    <w:p w14:paraId="39A5F6B4"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A esta problemática se suman los incendios forestales, cuyo impacto resulta igualmente alarmante. La Organización de las Naciones Unidas para la Alimentación y la Agricultura (FAO) estima que estos siniestros afectan, en promedio, 261 millones de hectáreas de tierra al año, de las cuales cerca de la mitad corresponde a superficies forestales. Asimismo, durante 2020 las enfermedades y las condiciones meteorológicas adversas ocasionaron daños en aproximadamente 41 millones de hectáreas de bosques, principalmente en las regiones templadas y boreales.</w:t>
      </w:r>
    </w:p>
    <w:p w14:paraId="2EF62CF6" w14:textId="77777777" w:rsidR="00EB6EA2" w:rsidRPr="008B285B" w:rsidRDefault="00EB6EA2" w:rsidP="00EB6EA2">
      <w:pPr>
        <w:pStyle w:val="Sinespaciado"/>
        <w:spacing w:line="360" w:lineRule="auto"/>
        <w:jc w:val="both"/>
        <w:rPr>
          <w:rFonts w:ascii="Arial" w:hAnsi="Arial" w:cs="Arial"/>
          <w:sz w:val="24"/>
          <w:szCs w:val="24"/>
        </w:rPr>
      </w:pPr>
    </w:p>
    <w:p w14:paraId="35279D7A" w14:textId="77777777" w:rsidR="00EB6EA2" w:rsidRPr="008B285B" w:rsidRDefault="00EB6EA2" w:rsidP="00EB6EA2">
      <w:pPr>
        <w:pStyle w:val="Sinespaciado"/>
        <w:spacing w:line="360" w:lineRule="auto"/>
        <w:jc w:val="both"/>
        <w:rPr>
          <w:rFonts w:ascii="Arial" w:hAnsi="Arial" w:cs="Arial"/>
          <w:sz w:val="24"/>
          <w:szCs w:val="24"/>
        </w:rPr>
      </w:pPr>
      <w:r>
        <w:rPr>
          <w:rFonts w:ascii="Arial" w:hAnsi="Arial" w:cs="Arial"/>
          <w:sz w:val="24"/>
          <w:szCs w:val="24"/>
        </w:rPr>
        <w:lastRenderedPageBreak/>
        <w:t xml:space="preserve">En este sentido, </w:t>
      </w:r>
      <w:r w:rsidRPr="008B285B">
        <w:rPr>
          <w:rFonts w:ascii="Arial" w:hAnsi="Arial" w:cs="Arial"/>
          <w:sz w:val="24"/>
          <w:szCs w:val="24"/>
        </w:rPr>
        <w:t>México es uno de los 10 países con mayor superficie de bosques primarios</w:t>
      </w:r>
      <w:r w:rsidRPr="008B285B">
        <w:rPr>
          <w:rStyle w:val="Refdenotaalpie"/>
          <w:rFonts w:ascii="Arial" w:hAnsi="Arial" w:cs="Arial"/>
          <w:sz w:val="24"/>
          <w:szCs w:val="24"/>
        </w:rPr>
        <w:footnoteReference w:id="4"/>
      </w:r>
      <w:r w:rsidRPr="008B285B">
        <w:rPr>
          <w:rFonts w:ascii="Arial" w:hAnsi="Arial" w:cs="Arial"/>
          <w:sz w:val="24"/>
          <w:szCs w:val="24"/>
        </w:rPr>
        <w:t xml:space="preserve"> y en su territorio se registran todos los tipos de vegetación natural conocidos, según la Comisión Nacional Forestal.</w:t>
      </w:r>
      <w:r>
        <w:rPr>
          <w:rStyle w:val="Refdenotaalpie"/>
          <w:rFonts w:ascii="Arial" w:hAnsi="Arial" w:cs="Arial"/>
          <w:sz w:val="24"/>
          <w:szCs w:val="24"/>
        </w:rPr>
        <w:footnoteReference w:id="5"/>
      </w:r>
    </w:p>
    <w:p w14:paraId="4BD12F6E" w14:textId="77777777" w:rsidR="00EB6EA2" w:rsidRPr="008B285B" w:rsidRDefault="00EB6EA2" w:rsidP="00EB6EA2">
      <w:pPr>
        <w:pStyle w:val="Sinespaciado"/>
        <w:spacing w:line="360" w:lineRule="auto"/>
        <w:jc w:val="both"/>
        <w:rPr>
          <w:rFonts w:ascii="Arial" w:hAnsi="Arial" w:cs="Arial"/>
          <w:sz w:val="24"/>
          <w:szCs w:val="24"/>
        </w:rPr>
      </w:pPr>
    </w:p>
    <w:p w14:paraId="33156E32"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 xml:space="preserve">Gustavo Chapela, coordinador del libro </w:t>
      </w:r>
      <w:r w:rsidRPr="00CD65FD">
        <w:rPr>
          <w:rFonts w:ascii="Arial" w:hAnsi="Arial" w:cs="Arial"/>
          <w:i/>
          <w:sz w:val="24"/>
          <w:szCs w:val="24"/>
        </w:rPr>
        <w:t>Estado de los bosques de México</w:t>
      </w:r>
      <w:r w:rsidRPr="008B285B">
        <w:rPr>
          <w:rFonts w:ascii="Arial" w:hAnsi="Arial" w:cs="Arial"/>
          <w:sz w:val="24"/>
          <w:szCs w:val="24"/>
        </w:rPr>
        <w:t>, considera que “en el contexto internacional, México se debe caracterizar como un “país forestal” o “medianamente forestal”, ya que si comparamos al sector forestal mexicano con una muestra de otros 23 países de importancia forestal, vemos que un tercio de la superficie terrestre de México está cubierta con bosques o selvas, mientras que otros países, como Brasil, Bolivia, Congo, Perú o Finlandia, tienen más del 50% de su superficie terrestre cubierta de bosques o selvas”.</w:t>
      </w:r>
      <w:r>
        <w:rPr>
          <w:rFonts w:ascii="Arial" w:hAnsi="Arial" w:cs="Arial"/>
          <w:sz w:val="24"/>
          <w:szCs w:val="24"/>
        </w:rPr>
        <w:t xml:space="preserve"> </w:t>
      </w:r>
      <w:r w:rsidRPr="008B285B">
        <w:rPr>
          <w:rFonts w:ascii="Arial" w:hAnsi="Arial" w:cs="Arial"/>
          <w:sz w:val="24"/>
          <w:szCs w:val="24"/>
        </w:rPr>
        <w:t>Sin embargo, prosigue, “si tomáramos en cuenta las áreas cubiertas con vegetación de zonas áridas y semiáridas de México como parte de la superficie forestal del país, tendríamos que dos terceras partes del área terrestre de México está cubierta por vegetación forestal y, por lo tanto, México debería considerarse como un país forestal, semejante a las otras naciones mencionadas”.</w:t>
      </w:r>
    </w:p>
    <w:p w14:paraId="583148D5" w14:textId="77777777" w:rsidR="00EB6EA2" w:rsidRPr="008B285B" w:rsidRDefault="00EB6EA2" w:rsidP="00EB6EA2">
      <w:pPr>
        <w:pStyle w:val="Sinespaciado"/>
        <w:spacing w:line="360" w:lineRule="auto"/>
        <w:jc w:val="both"/>
        <w:rPr>
          <w:rFonts w:ascii="Arial" w:hAnsi="Arial" w:cs="Arial"/>
          <w:sz w:val="24"/>
          <w:szCs w:val="24"/>
        </w:rPr>
      </w:pPr>
    </w:p>
    <w:p w14:paraId="75C3F6F5"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Hay suficiente razón para sostener lo anterior porque en México existen más de 60 tipos de vegetación forestal, si bien los mayores conglomerados son el bosque de coníferas, bosque de encino, bosque mesófilo de montaña, selva perennifolia, selva caducifolia, selva espinosa, vegetación hidrófila, matorral xerófilo, pastizal y otros tipos de vegetación especial como el matorral espinoso tamaulipeco, el chaparral y el mezquital.</w:t>
      </w:r>
      <w:r>
        <w:rPr>
          <w:rFonts w:ascii="Arial" w:hAnsi="Arial" w:cs="Arial"/>
          <w:sz w:val="24"/>
          <w:szCs w:val="24"/>
        </w:rPr>
        <w:t xml:space="preserve"> </w:t>
      </w:r>
      <w:r w:rsidRPr="008B285B">
        <w:rPr>
          <w:rFonts w:ascii="Arial" w:hAnsi="Arial" w:cs="Arial"/>
          <w:sz w:val="24"/>
          <w:szCs w:val="24"/>
        </w:rPr>
        <w:t>Así lo registró el Departamento Forestal de la Organización de las Naciones Unidas para la Agricultura y la Alimentación en su Evaluación de los Recursos Forestales Mundiales 2010.</w:t>
      </w:r>
    </w:p>
    <w:p w14:paraId="79E5FE33" w14:textId="77777777" w:rsidR="00EB6EA2" w:rsidRPr="008B285B" w:rsidRDefault="00EB6EA2" w:rsidP="00EB6EA2">
      <w:pPr>
        <w:pStyle w:val="Sinespaciado"/>
        <w:spacing w:line="360" w:lineRule="auto"/>
        <w:jc w:val="both"/>
        <w:rPr>
          <w:rFonts w:ascii="Arial" w:hAnsi="Arial" w:cs="Arial"/>
          <w:sz w:val="24"/>
          <w:szCs w:val="24"/>
        </w:rPr>
      </w:pPr>
    </w:p>
    <w:p w14:paraId="0755EBA2"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lastRenderedPageBreak/>
        <w:t>Los bosques mesófilos de montaña de México, bosques de neblina o de niebla entre otros nombres, de los que tenemos 21 áreas naturales protegidas con 184,484 ha, poseen gran relevancia biológica por el importante número de especies que contienen.</w:t>
      </w:r>
      <w:r>
        <w:rPr>
          <w:rFonts w:ascii="Arial" w:hAnsi="Arial" w:cs="Arial"/>
          <w:sz w:val="24"/>
          <w:szCs w:val="24"/>
        </w:rPr>
        <w:t xml:space="preserve"> </w:t>
      </w:r>
      <w:r w:rsidRPr="008B285B">
        <w:rPr>
          <w:rFonts w:ascii="Arial" w:hAnsi="Arial" w:cs="Arial"/>
          <w:sz w:val="24"/>
          <w:szCs w:val="24"/>
        </w:rPr>
        <w:t>La relevancia ecológica de estos ecosistemas radica en que capturan y controlan los flujos del agua. Sin embargo, el bosque nublado es una de las comunidades vegetales más vulnerables y amenazadas por factores como el cambio climático global, pues al reducirse críticamente la humedad y ocurrir menor precipitación en las temporadas habituales, se presentan menos días con neblina y periodos de sequía con mayor duración.</w:t>
      </w:r>
    </w:p>
    <w:p w14:paraId="063D5822" w14:textId="77777777" w:rsidR="00EB6EA2" w:rsidRPr="008B285B" w:rsidRDefault="00EB6EA2" w:rsidP="00EB6EA2">
      <w:pPr>
        <w:pStyle w:val="Sinespaciado"/>
        <w:spacing w:line="360" w:lineRule="auto"/>
        <w:jc w:val="both"/>
        <w:rPr>
          <w:rFonts w:ascii="Arial" w:hAnsi="Arial" w:cs="Arial"/>
          <w:sz w:val="24"/>
          <w:szCs w:val="24"/>
        </w:rPr>
      </w:pPr>
    </w:p>
    <w:p w14:paraId="7A6ABF41"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Los bosques mesófilos de montaña albergan aproximadamente el 27% de la riqueza florística del país, el 60% para las especies de anfibios (ranas, sapos y salamandras), más del 55% de reptiles (serpientes y lagartijas) y más del 40% de mamíferos.</w:t>
      </w:r>
    </w:p>
    <w:p w14:paraId="6C381593" w14:textId="77777777" w:rsidR="00EB6EA2" w:rsidRPr="008B285B" w:rsidRDefault="00EB6EA2" w:rsidP="00EB6EA2">
      <w:pPr>
        <w:pStyle w:val="Sinespaciado"/>
        <w:spacing w:line="360" w:lineRule="auto"/>
        <w:jc w:val="both"/>
        <w:rPr>
          <w:rFonts w:ascii="Arial" w:hAnsi="Arial" w:cs="Arial"/>
          <w:sz w:val="24"/>
          <w:szCs w:val="24"/>
        </w:rPr>
      </w:pPr>
    </w:p>
    <w:p w14:paraId="3EA09712"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Otro importante ecosistema de México lo representa el bosque de pino que crece en lugares templados y fríos en la parte superior de las montañas, donde existen alrededor de 50 especies de pinos que conviven con cedros y oyameles, pero también con encinos.</w:t>
      </w:r>
    </w:p>
    <w:p w14:paraId="31D07252" w14:textId="77777777" w:rsidR="00EB6EA2" w:rsidRPr="008B285B" w:rsidRDefault="00EB6EA2" w:rsidP="00EB6EA2">
      <w:pPr>
        <w:pStyle w:val="Sinespaciado"/>
        <w:spacing w:line="360" w:lineRule="auto"/>
        <w:jc w:val="both"/>
        <w:rPr>
          <w:rFonts w:ascii="Arial" w:hAnsi="Arial" w:cs="Arial"/>
          <w:sz w:val="24"/>
          <w:szCs w:val="24"/>
        </w:rPr>
      </w:pPr>
    </w:p>
    <w:p w14:paraId="24BE7308"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Los bosques de encino crecen en la base de las montañas de lugares templados. Existen más de 150 especies de encinos en México. Sus hojas son duras y algunos las tiran en época de secas. Sus bellotas son alimento de muchos animales, como las ardillas.</w:t>
      </w:r>
    </w:p>
    <w:p w14:paraId="394FB912" w14:textId="77777777" w:rsidR="00EB6EA2" w:rsidRPr="008B285B" w:rsidRDefault="00EB6EA2" w:rsidP="00EB6EA2">
      <w:pPr>
        <w:pStyle w:val="Sinespaciado"/>
        <w:spacing w:line="360" w:lineRule="auto"/>
        <w:jc w:val="both"/>
        <w:rPr>
          <w:rFonts w:ascii="Arial" w:hAnsi="Arial" w:cs="Arial"/>
          <w:sz w:val="24"/>
          <w:szCs w:val="24"/>
        </w:rPr>
      </w:pPr>
    </w:p>
    <w:p w14:paraId="427BC619"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Los bosques templados, conocidos también como bosques de coníferas, bosques de pino, bosques de oyamel o bosques mixtos de pino y encino, están presentes en nuestro país. Este ecosistema retiene el agua de lluvia, infiltra el agua al subsuelo y favorece la recarga de los mantos acuíferos, disminuye la erosión del suelo y reduce el riesgo de inundaciones. Por la variedad de hábitats que ofrece, alberga a muchas especies de flora y fauna, así como una gama de árboles maderables.</w:t>
      </w:r>
    </w:p>
    <w:p w14:paraId="216B8FC4" w14:textId="77777777" w:rsidR="00EB6EA2" w:rsidRPr="008B285B" w:rsidRDefault="00EB6EA2" w:rsidP="00EB6EA2">
      <w:pPr>
        <w:pStyle w:val="Sinespaciado"/>
        <w:spacing w:line="360" w:lineRule="auto"/>
        <w:jc w:val="both"/>
        <w:rPr>
          <w:rFonts w:ascii="Arial" w:hAnsi="Arial" w:cs="Arial"/>
          <w:sz w:val="24"/>
          <w:szCs w:val="24"/>
        </w:rPr>
      </w:pPr>
    </w:p>
    <w:p w14:paraId="36770E26"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Los bosques tropicales se han reducido notablemente no sólo en México sino en todo el mundo. Conocidos también como selvas secas y selvas húmedas, contienen la mayor biodiversidad. Desafortunadamente, esas superficies han sido roturadas para la ganadería extensiva, el desarrollo agrícola industrial y la industria maderera, principalmente, aunque también han sido impactados por los incendios forestales, la cacería de subsistencia y el tráfico ilegal de especies.</w:t>
      </w:r>
    </w:p>
    <w:p w14:paraId="10668746" w14:textId="77777777" w:rsidR="00EB6EA2" w:rsidRPr="008B285B" w:rsidRDefault="00EB6EA2" w:rsidP="00EB6EA2">
      <w:pPr>
        <w:pStyle w:val="Sinespaciado"/>
        <w:spacing w:line="360" w:lineRule="auto"/>
        <w:jc w:val="both"/>
        <w:rPr>
          <w:rFonts w:ascii="Arial" w:hAnsi="Arial" w:cs="Arial"/>
          <w:sz w:val="24"/>
          <w:szCs w:val="24"/>
        </w:rPr>
      </w:pPr>
    </w:p>
    <w:p w14:paraId="48603623"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Uno de los bosques tropicales más importantes de Mesoamérica es la Selva Maya, que se extiende por el sureste mexicano, el norte de Guatemala y parte del territorio de Belice. Esta región destaca por la gran producción de agua y mantenimiento de la conectividad paisajística, con múltiples corredores ecológicos que permiten la movilidad de organismos y especies.</w:t>
      </w:r>
      <w:r>
        <w:rPr>
          <w:rFonts w:ascii="Arial" w:hAnsi="Arial" w:cs="Arial"/>
          <w:sz w:val="24"/>
          <w:szCs w:val="24"/>
        </w:rPr>
        <w:t xml:space="preserve"> </w:t>
      </w:r>
      <w:r w:rsidRPr="008B285B">
        <w:rPr>
          <w:rFonts w:ascii="Arial" w:hAnsi="Arial" w:cs="Arial"/>
          <w:sz w:val="24"/>
          <w:szCs w:val="24"/>
        </w:rPr>
        <w:t>Pero la Selva Maya enfrenta el impacto de la deforestación o degradación de la vegetación y el suelo por la ganadería, agricultura, infraestructura, incendios forestales, tala ilegal, uso de pesticidas, saqueo ilegal de especies y extracción de maderas preciosas, por lo que es necesario sumar esfuerzos entre los países que comparten la riqueza natural de la Selva Maya, con el fin de desarrollar estrategias conjuntas de mitigación de estos impactos.</w:t>
      </w:r>
    </w:p>
    <w:p w14:paraId="2E09AEEA" w14:textId="77777777" w:rsidR="00EB6EA2" w:rsidRPr="008B285B" w:rsidRDefault="00EB6EA2" w:rsidP="00EB6EA2">
      <w:pPr>
        <w:pStyle w:val="Sinespaciado"/>
        <w:spacing w:line="360" w:lineRule="auto"/>
        <w:jc w:val="both"/>
        <w:rPr>
          <w:rFonts w:ascii="Arial" w:hAnsi="Arial" w:cs="Arial"/>
          <w:sz w:val="24"/>
          <w:szCs w:val="24"/>
        </w:rPr>
      </w:pPr>
    </w:p>
    <w:p w14:paraId="44880473" w14:textId="77777777" w:rsidR="00EB6EA2" w:rsidRDefault="00EB6EA2" w:rsidP="00EB6EA2">
      <w:pPr>
        <w:pStyle w:val="Sinespaciado"/>
        <w:spacing w:line="360" w:lineRule="auto"/>
        <w:jc w:val="both"/>
        <w:rPr>
          <w:rFonts w:ascii="Arial" w:hAnsi="Arial" w:cs="Arial"/>
          <w:sz w:val="24"/>
          <w:szCs w:val="24"/>
        </w:rPr>
      </w:pPr>
      <w:r w:rsidRPr="00CD65FD">
        <w:rPr>
          <w:rFonts w:ascii="Arial" w:hAnsi="Arial" w:cs="Arial"/>
          <w:sz w:val="24"/>
          <w:szCs w:val="24"/>
        </w:rPr>
        <w:t>A pesar de los esfuerzos institucionales para conservar los ecosistemas forestales, la deforestación continúa representando uno de los principales desafíos ambientales del país. Entre 2001 y 2023, México perdió 4.77 millones de hectáreas de cobertura forestal, con un promedio anual de deforestación bruta de 207 mil 665 hectáreas</w:t>
      </w:r>
      <w:r>
        <w:rPr>
          <w:rFonts w:ascii="Arial" w:hAnsi="Arial" w:cs="Arial"/>
          <w:sz w:val="24"/>
          <w:szCs w:val="24"/>
        </w:rPr>
        <w:t>,</w:t>
      </w:r>
      <w:r w:rsidRPr="008B285B">
        <w:rPr>
          <w:rFonts w:ascii="Arial" w:hAnsi="Arial" w:cs="Arial"/>
          <w:sz w:val="24"/>
          <w:szCs w:val="24"/>
        </w:rPr>
        <w:t xml:space="preserve"> una superficie mayor al territorio completo de países como Bélgica o dos veces el de El Salvador.</w:t>
      </w:r>
      <w:r w:rsidRPr="008B285B">
        <w:rPr>
          <w:rStyle w:val="Refdenotaalpie"/>
          <w:rFonts w:ascii="Arial" w:hAnsi="Arial" w:cs="Arial"/>
          <w:sz w:val="24"/>
          <w:szCs w:val="24"/>
        </w:rPr>
        <w:footnoteReference w:id="6"/>
      </w:r>
    </w:p>
    <w:p w14:paraId="311F8785" w14:textId="77777777" w:rsidR="00EB6EA2" w:rsidRPr="008B285B" w:rsidRDefault="00EB6EA2" w:rsidP="00EB6EA2">
      <w:pPr>
        <w:pStyle w:val="Sinespaciado"/>
        <w:spacing w:line="360" w:lineRule="auto"/>
        <w:jc w:val="both"/>
        <w:rPr>
          <w:rFonts w:ascii="Arial" w:hAnsi="Arial" w:cs="Arial"/>
          <w:sz w:val="24"/>
          <w:szCs w:val="24"/>
        </w:rPr>
      </w:pPr>
    </w:p>
    <w:p w14:paraId="219EC7B2" w14:textId="77777777" w:rsidR="00EB6EA2" w:rsidRPr="007F6CD3" w:rsidRDefault="00EB6EA2" w:rsidP="00EB6EA2">
      <w:pPr>
        <w:pStyle w:val="Sinespaciado"/>
        <w:spacing w:line="360" w:lineRule="auto"/>
        <w:jc w:val="both"/>
        <w:rPr>
          <w:rFonts w:ascii="Arial" w:hAnsi="Arial" w:cs="Arial"/>
          <w:sz w:val="24"/>
          <w:szCs w:val="24"/>
        </w:rPr>
      </w:pPr>
      <w:r w:rsidRPr="007F6CD3">
        <w:rPr>
          <w:rFonts w:ascii="Arial" w:hAnsi="Arial" w:cs="Arial"/>
          <w:sz w:val="24"/>
          <w:szCs w:val="24"/>
        </w:rPr>
        <w:lastRenderedPageBreak/>
        <w:t>Si bien en 2023 esta cifra disminuyó 11.4</w:t>
      </w:r>
      <w:r>
        <w:rPr>
          <w:rFonts w:ascii="Arial" w:hAnsi="Arial" w:cs="Arial"/>
          <w:sz w:val="24"/>
          <w:szCs w:val="24"/>
        </w:rPr>
        <w:t>%</w:t>
      </w:r>
      <w:r w:rsidRPr="007F6CD3">
        <w:rPr>
          <w:rFonts w:ascii="Arial" w:hAnsi="Arial" w:cs="Arial"/>
          <w:sz w:val="24"/>
          <w:szCs w:val="24"/>
        </w:rPr>
        <w:t xml:space="preserve"> respecto de la media histórica, al registrarse una afectación de 183 mil 882 hectáreas, la pérdida de superficie forestal continúa siendo motivo de preocupación.</w:t>
      </w:r>
    </w:p>
    <w:p w14:paraId="635FAAFD" w14:textId="77777777" w:rsidR="00EB6EA2" w:rsidRPr="007F6CD3" w:rsidRDefault="00EB6EA2" w:rsidP="00EB6EA2">
      <w:pPr>
        <w:pStyle w:val="Sinespaciado"/>
        <w:spacing w:line="360" w:lineRule="auto"/>
        <w:jc w:val="both"/>
        <w:rPr>
          <w:rFonts w:ascii="Arial" w:hAnsi="Arial" w:cs="Arial"/>
          <w:sz w:val="24"/>
          <w:szCs w:val="24"/>
        </w:rPr>
      </w:pPr>
    </w:p>
    <w:p w14:paraId="682F9602" w14:textId="77777777" w:rsidR="00EB6EA2" w:rsidRPr="007F6CD3" w:rsidRDefault="00EB6EA2" w:rsidP="00EB6EA2">
      <w:pPr>
        <w:pStyle w:val="Sinespaciado"/>
        <w:spacing w:line="360" w:lineRule="auto"/>
        <w:jc w:val="both"/>
        <w:rPr>
          <w:rFonts w:ascii="Arial" w:hAnsi="Arial" w:cs="Arial"/>
          <w:sz w:val="24"/>
          <w:szCs w:val="24"/>
        </w:rPr>
      </w:pPr>
      <w:r w:rsidRPr="007F6CD3">
        <w:rPr>
          <w:rFonts w:ascii="Arial" w:hAnsi="Arial" w:cs="Arial"/>
          <w:sz w:val="24"/>
          <w:szCs w:val="24"/>
        </w:rPr>
        <w:t>De acuerdo con información de la Comisión Nacional Forestal (CONAFOR), el 73.2</w:t>
      </w:r>
      <w:r>
        <w:rPr>
          <w:rFonts w:ascii="Arial" w:hAnsi="Arial" w:cs="Arial"/>
          <w:sz w:val="24"/>
          <w:szCs w:val="24"/>
        </w:rPr>
        <w:t>%</w:t>
      </w:r>
      <w:r w:rsidRPr="007F6CD3">
        <w:rPr>
          <w:rFonts w:ascii="Arial" w:hAnsi="Arial" w:cs="Arial"/>
          <w:sz w:val="24"/>
          <w:szCs w:val="24"/>
        </w:rPr>
        <w:t xml:space="preserve"> de las tierras deforestadas fue destinado a la conformación de pastizales para actividades ganaderas, mientras que el 22</w:t>
      </w:r>
      <w:r>
        <w:rPr>
          <w:rFonts w:ascii="Arial" w:hAnsi="Arial" w:cs="Arial"/>
          <w:sz w:val="24"/>
          <w:szCs w:val="24"/>
        </w:rPr>
        <w:t xml:space="preserve">% </w:t>
      </w:r>
      <w:r w:rsidRPr="007F6CD3">
        <w:rPr>
          <w:rFonts w:ascii="Arial" w:hAnsi="Arial" w:cs="Arial"/>
          <w:sz w:val="24"/>
          <w:szCs w:val="24"/>
        </w:rPr>
        <w:t>se incorporó a la agricultura intensiva, principalmente para el cultivo de aguacate, agave, caña de azúcar, soya y palma. El 4.8</w:t>
      </w:r>
      <w:r>
        <w:rPr>
          <w:rFonts w:ascii="Arial" w:hAnsi="Arial" w:cs="Arial"/>
          <w:sz w:val="24"/>
          <w:szCs w:val="24"/>
        </w:rPr>
        <w:t>%</w:t>
      </w:r>
      <w:r w:rsidRPr="007F6CD3">
        <w:rPr>
          <w:rFonts w:ascii="Arial" w:hAnsi="Arial" w:cs="Arial"/>
          <w:sz w:val="24"/>
          <w:szCs w:val="24"/>
        </w:rPr>
        <w:t xml:space="preserve"> restante obedeció a procesos de expansión urbana, desarrollo turístico e infraestructura.</w:t>
      </w:r>
    </w:p>
    <w:p w14:paraId="049AAC5D" w14:textId="77777777" w:rsidR="00EB6EA2" w:rsidRPr="007F6CD3" w:rsidRDefault="00EB6EA2" w:rsidP="00EB6EA2">
      <w:pPr>
        <w:pStyle w:val="Sinespaciado"/>
        <w:spacing w:line="360" w:lineRule="auto"/>
        <w:jc w:val="both"/>
        <w:rPr>
          <w:rFonts w:ascii="Arial" w:hAnsi="Arial" w:cs="Arial"/>
          <w:sz w:val="24"/>
          <w:szCs w:val="24"/>
        </w:rPr>
      </w:pPr>
    </w:p>
    <w:p w14:paraId="3CD312E6" w14:textId="77777777" w:rsidR="00EB6EA2" w:rsidRPr="007F6CD3" w:rsidRDefault="00EB6EA2" w:rsidP="00EB6EA2">
      <w:pPr>
        <w:pStyle w:val="Sinespaciado"/>
        <w:spacing w:line="360" w:lineRule="auto"/>
        <w:jc w:val="both"/>
        <w:rPr>
          <w:rFonts w:ascii="Arial" w:hAnsi="Arial" w:cs="Arial"/>
          <w:sz w:val="24"/>
          <w:szCs w:val="24"/>
        </w:rPr>
      </w:pPr>
      <w:r w:rsidRPr="007F6CD3">
        <w:rPr>
          <w:rFonts w:ascii="Arial" w:hAnsi="Arial" w:cs="Arial"/>
          <w:sz w:val="24"/>
          <w:szCs w:val="24"/>
        </w:rPr>
        <w:t>La pérdida de cobertura forestal tiene consecuencias directas sobre la disponibilidad del agua. Conforme al informe Estadísticas del Agua en México 2023, elaborado por la Comisión Nacional del Agua (CONAGUA), una hectárea de bosque es capaz de captar, en promedio, alrededor de cuatro mil metros cúbicos de agua al año. En consecuencia, la superficie forestal perdida durante las últimas dos décadas ha reducido significativamente la capacidad natural de captación e infiltración del recurso hídrico, comprometiendo la disponibilidad de agua para las generaciones presentes y futuras.</w:t>
      </w:r>
    </w:p>
    <w:p w14:paraId="0888D45B" w14:textId="77777777" w:rsidR="00EB6EA2" w:rsidRPr="007F6CD3" w:rsidRDefault="00EB6EA2" w:rsidP="00EB6EA2">
      <w:pPr>
        <w:pStyle w:val="Sinespaciado"/>
        <w:spacing w:line="360" w:lineRule="auto"/>
        <w:jc w:val="both"/>
        <w:rPr>
          <w:rFonts w:ascii="Arial" w:hAnsi="Arial" w:cs="Arial"/>
          <w:sz w:val="24"/>
          <w:szCs w:val="24"/>
        </w:rPr>
      </w:pPr>
    </w:p>
    <w:p w14:paraId="04474F86" w14:textId="77777777" w:rsidR="00EB6EA2" w:rsidRPr="007F6CD3" w:rsidRDefault="00EB6EA2" w:rsidP="00EB6EA2">
      <w:pPr>
        <w:pStyle w:val="Sinespaciado"/>
        <w:spacing w:line="360" w:lineRule="auto"/>
        <w:jc w:val="both"/>
        <w:rPr>
          <w:rFonts w:ascii="Arial" w:hAnsi="Arial" w:cs="Arial"/>
          <w:sz w:val="24"/>
          <w:szCs w:val="24"/>
        </w:rPr>
      </w:pPr>
      <w:r w:rsidRPr="007F6CD3">
        <w:rPr>
          <w:rFonts w:ascii="Arial" w:hAnsi="Arial" w:cs="Arial"/>
          <w:sz w:val="24"/>
          <w:szCs w:val="24"/>
        </w:rPr>
        <w:t>Asimismo, la deforestación ha ocasionado la liberación de aproximadamente 715 millones de toneladas de dióxido de carbono (CO</w:t>
      </w:r>
      <w:r w:rsidRPr="007F6CD3">
        <w:rPr>
          <w:rFonts w:ascii="Cambria Math" w:hAnsi="Cambria Math" w:cs="Cambria Math"/>
          <w:sz w:val="24"/>
          <w:szCs w:val="24"/>
        </w:rPr>
        <w:t>₂</w:t>
      </w:r>
      <w:r w:rsidRPr="007F6CD3">
        <w:rPr>
          <w:rFonts w:ascii="Arial" w:hAnsi="Arial" w:cs="Arial"/>
          <w:sz w:val="24"/>
          <w:szCs w:val="24"/>
        </w:rPr>
        <w:t>), además de provocar la degradación y fragmentación de los ecosistemas, con la consecuente pérdida de hábitats para numerosas especies de flora y fauna.</w:t>
      </w:r>
    </w:p>
    <w:p w14:paraId="3EC27E74" w14:textId="77777777" w:rsidR="00EB6EA2" w:rsidRPr="007F6CD3" w:rsidRDefault="00EB6EA2" w:rsidP="00EB6EA2">
      <w:pPr>
        <w:pStyle w:val="Sinespaciado"/>
        <w:spacing w:line="360" w:lineRule="auto"/>
        <w:jc w:val="both"/>
        <w:rPr>
          <w:rFonts w:ascii="Arial" w:hAnsi="Arial" w:cs="Arial"/>
          <w:sz w:val="24"/>
          <w:szCs w:val="24"/>
        </w:rPr>
      </w:pPr>
    </w:p>
    <w:p w14:paraId="4679F983" w14:textId="77777777" w:rsidR="00EB6EA2" w:rsidRDefault="00EB6EA2" w:rsidP="00EB6EA2">
      <w:pPr>
        <w:pStyle w:val="Sinespaciado"/>
        <w:spacing w:line="360" w:lineRule="auto"/>
        <w:jc w:val="both"/>
        <w:rPr>
          <w:rFonts w:ascii="Arial" w:hAnsi="Arial" w:cs="Arial"/>
          <w:sz w:val="24"/>
          <w:szCs w:val="24"/>
        </w:rPr>
      </w:pPr>
      <w:r w:rsidRPr="007F6CD3">
        <w:rPr>
          <w:rFonts w:ascii="Arial" w:hAnsi="Arial" w:cs="Arial"/>
          <w:sz w:val="24"/>
          <w:szCs w:val="24"/>
        </w:rPr>
        <w:t>Lo anterior resulta especialmente relevante si se considera que México es uno de los países megadiversos del mundo. De acuerdo con la Comisión Nacional para el Conocimiento y Uso de la Biodiversidad (CONABIO), nuestro país alberga alrededor de 12 mil especies endémicas y concentra cerca del 70</w:t>
      </w:r>
      <w:r>
        <w:rPr>
          <w:rFonts w:ascii="Arial" w:hAnsi="Arial" w:cs="Arial"/>
          <w:sz w:val="24"/>
          <w:szCs w:val="24"/>
        </w:rPr>
        <w:t>%</w:t>
      </w:r>
      <w:r w:rsidRPr="007F6CD3">
        <w:rPr>
          <w:rFonts w:ascii="Arial" w:hAnsi="Arial" w:cs="Arial"/>
          <w:sz w:val="24"/>
          <w:szCs w:val="24"/>
        </w:rPr>
        <w:t xml:space="preserve"> de la diversidad biológica del planeta, lo que convierte a la conservación de sus bosques en una tarea </w:t>
      </w:r>
      <w:r w:rsidRPr="007F6CD3">
        <w:rPr>
          <w:rFonts w:ascii="Arial" w:hAnsi="Arial" w:cs="Arial"/>
          <w:sz w:val="24"/>
          <w:szCs w:val="24"/>
        </w:rPr>
        <w:lastRenderedPageBreak/>
        <w:t>estratégica para la protección del patrimonio natural y el mantenimiento de los servicios ambientales que éstos proporcionan.</w:t>
      </w:r>
    </w:p>
    <w:p w14:paraId="5065FA78" w14:textId="77777777" w:rsidR="00EB6EA2" w:rsidRPr="008B285B" w:rsidRDefault="00EB6EA2" w:rsidP="00EB6EA2">
      <w:pPr>
        <w:pStyle w:val="Sinespaciado"/>
        <w:spacing w:line="360" w:lineRule="auto"/>
        <w:jc w:val="both"/>
        <w:rPr>
          <w:rFonts w:ascii="Arial" w:hAnsi="Arial" w:cs="Arial"/>
          <w:sz w:val="24"/>
          <w:szCs w:val="24"/>
        </w:rPr>
      </w:pPr>
    </w:p>
    <w:p w14:paraId="7346AC4D" w14:textId="77777777" w:rsidR="00EB6EA2" w:rsidRPr="008B285B" w:rsidRDefault="00EB6EA2" w:rsidP="00EB6EA2">
      <w:pPr>
        <w:pStyle w:val="Sinespaciado"/>
        <w:spacing w:line="360" w:lineRule="auto"/>
        <w:jc w:val="both"/>
        <w:rPr>
          <w:rFonts w:ascii="Arial" w:hAnsi="Arial" w:cs="Arial"/>
          <w:sz w:val="24"/>
          <w:szCs w:val="24"/>
        </w:rPr>
      </w:pPr>
      <w:r>
        <w:rPr>
          <w:rFonts w:ascii="Arial" w:hAnsi="Arial" w:cs="Arial"/>
          <w:sz w:val="24"/>
          <w:szCs w:val="24"/>
        </w:rPr>
        <w:t xml:space="preserve">Ahora bien, en el </w:t>
      </w:r>
      <w:r w:rsidRPr="008B285B">
        <w:rPr>
          <w:rFonts w:ascii="Arial" w:hAnsi="Arial" w:cs="Arial"/>
          <w:sz w:val="24"/>
          <w:szCs w:val="24"/>
        </w:rPr>
        <w:t>Estado de México de las 2.22 millones de hectáreas que conforman el territorio del Estado de México, aproximadamente 1.8 millones corresponden a terrenos forestales, distribuidos en 117 de los 125 municipios de la entidad.</w:t>
      </w:r>
      <w:r w:rsidRPr="008B285B">
        <w:rPr>
          <w:rStyle w:val="Refdenotaalpie"/>
          <w:rFonts w:ascii="Arial" w:hAnsi="Arial" w:cs="Arial"/>
          <w:sz w:val="24"/>
          <w:szCs w:val="24"/>
        </w:rPr>
        <w:footnoteReference w:id="7"/>
      </w:r>
      <w:r w:rsidRPr="008B285B">
        <w:rPr>
          <w:rFonts w:ascii="Arial" w:hAnsi="Arial" w:cs="Arial"/>
          <w:sz w:val="24"/>
          <w:szCs w:val="24"/>
        </w:rPr>
        <w:t xml:space="preserve"> Esta amplia cobertura forestal representa uno de los principales activos ambientales del estado y constituye la base para la provisión de diversos servicios ecosistémicos indispensables para la población.</w:t>
      </w:r>
    </w:p>
    <w:p w14:paraId="794CF696" w14:textId="77777777" w:rsidR="00EB6EA2" w:rsidRPr="008B285B" w:rsidRDefault="00EB6EA2" w:rsidP="00EB6EA2">
      <w:pPr>
        <w:pStyle w:val="Sinespaciado"/>
        <w:spacing w:line="360" w:lineRule="auto"/>
        <w:jc w:val="both"/>
        <w:rPr>
          <w:rFonts w:ascii="Arial" w:hAnsi="Arial" w:cs="Arial"/>
          <w:sz w:val="24"/>
          <w:szCs w:val="24"/>
        </w:rPr>
      </w:pPr>
    </w:p>
    <w:p w14:paraId="189CD8FF" w14:textId="77777777" w:rsidR="00EB6EA2" w:rsidRPr="008B285B"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Del total de la superficie forestal, alrededor del 65% corresponde a bosques de clima templado frío, mientras que el resto se integra por pastizales, selvas bajas y otros tipos de vegetación. Estos ecosistemas albergan una extraordinaria riqueza biológica, en la que habitan especies emblemáticas como el coyote, el teporingo y la ardilla voladora, además de una gran diversidad de hongos, insectos y microorganismos que desempeñan funciones esenciales para el equilibrio ecológico.</w:t>
      </w:r>
    </w:p>
    <w:p w14:paraId="543D75E5" w14:textId="77777777" w:rsidR="00EB6EA2" w:rsidRPr="008B285B" w:rsidRDefault="00EB6EA2" w:rsidP="00EB6EA2">
      <w:pPr>
        <w:pStyle w:val="Sinespaciado"/>
        <w:spacing w:line="360" w:lineRule="auto"/>
        <w:jc w:val="both"/>
        <w:rPr>
          <w:rFonts w:ascii="Arial" w:hAnsi="Arial" w:cs="Arial"/>
          <w:sz w:val="24"/>
          <w:szCs w:val="24"/>
        </w:rPr>
      </w:pPr>
    </w:p>
    <w:p w14:paraId="54E0A210" w14:textId="77777777" w:rsidR="00EB6EA2"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Los bosques del Estado de México cubren cerca del 49% del territorio estatal y cumplen una función estratégica en la regulación del clima, la captación e infiltración del agua, la conservación del suelo, la captura de carbono y la protección de la biodiversidad. Asimismo, contribuyen a mejorar la calidad del aire y garantizan la prestación de servicios ambientales fundamentales para el bienestar de las comunidades y el desarrollo sostenible de la entidad.</w:t>
      </w:r>
    </w:p>
    <w:p w14:paraId="48B631C7" w14:textId="77777777" w:rsidR="00EB6EA2" w:rsidRPr="008B285B" w:rsidRDefault="00EB6EA2" w:rsidP="00EB6EA2">
      <w:pPr>
        <w:pStyle w:val="Sinespaciado"/>
        <w:spacing w:line="360" w:lineRule="auto"/>
        <w:jc w:val="both"/>
        <w:rPr>
          <w:rFonts w:ascii="Arial" w:hAnsi="Arial" w:cs="Arial"/>
          <w:sz w:val="24"/>
          <w:szCs w:val="24"/>
        </w:rPr>
      </w:pPr>
    </w:p>
    <w:p w14:paraId="10A083B3" w14:textId="77777777" w:rsidR="00EB6EA2"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 xml:space="preserve">Pese a su importancia, estos ecosistemas enfrentan amenazas permanentes derivadas de la tala clandestina, los incendios forestales, el cambio de uso del suelo y otras actividades que deterioran la cobertura forestal. Estas afectaciones disminuyen la capacidad de los bosques para proporcionar servicios ambientales </w:t>
      </w:r>
      <w:r w:rsidRPr="008B285B">
        <w:rPr>
          <w:rFonts w:ascii="Arial" w:hAnsi="Arial" w:cs="Arial"/>
          <w:sz w:val="24"/>
          <w:szCs w:val="24"/>
        </w:rPr>
        <w:lastRenderedPageBreak/>
        <w:t>esenciales, entre ellos la regulación del clima, la captación de agua, la polinización, el control natural de plagas y la mitigación de fenómenos naturales.</w:t>
      </w:r>
    </w:p>
    <w:p w14:paraId="78E92CC9" w14:textId="77777777" w:rsidR="00EB6EA2" w:rsidRPr="008B285B" w:rsidRDefault="00EB6EA2" w:rsidP="00EB6EA2">
      <w:pPr>
        <w:pStyle w:val="Sinespaciado"/>
        <w:spacing w:line="360" w:lineRule="auto"/>
        <w:jc w:val="both"/>
        <w:rPr>
          <w:rFonts w:ascii="Arial" w:hAnsi="Arial" w:cs="Arial"/>
          <w:sz w:val="24"/>
          <w:szCs w:val="24"/>
        </w:rPr>
      </w:pPr>
    </w:p>
    <w:p w14:paraId="24681528" w14:textId="77777777" w:rsidR="00EB6EA2" w:rsidRDefault="00EB6EA2" w:rsidP="00EB6EA2">
      <w:pPr>
        <w:pStyle w:val="Sinespaciado"/>
        <w:spacing w:line="360" w:lineRule="auto"/>
        <w:jc w:val="both"/>
        <w:rPr>
          <w:rFonts w:ascii="Arial" w:hAnsi="Arial" w:cs="Arial"/>
          <w:sz w:val="24"/>
          <w:szCs w:val="24"/>
        </w:rPr>
      </w:pPr>
      <w:r w:rsidRPr="008B285B">
        <w:rPr>
          <w:rFonts w:ascii="Arial" w:hAnsi="Arial" w:cs="Arial"/>
          <w:sz w:val="24"/>
          <w:szCs w:val="24"/>
        </w:rPr>
        <w:t>Frente a este panorama, el Gobierno del Estado de México, por conducto de la Protectora de Bosques del Estado de México (PROBOSQUE), impulsa diversas acciones para la conservación y restauración de los ecosistemas forestales. Como parte de la campaña de reforestación de 2026, durante los primeros quince días de la temporada de lluvias se plantó cerca de un millón de árboles.</w:t>
      </w:r>
      <w:r w:rsidRPr="008B285B">
        <w:rPr>
          <w:rStyle w:val="Refdenotaalpie"/>
          <w:rFonts w:ascii="Arial" w:hAnsi="Arial" w:cs="Arial"/>
          <w:sz w:val="24"/>
          <w:szCs w:val="24"/>
        </w:rPr>
        <w:footnoteReference w:id="8"/>
      </w:r>
      <w:r w:rsidRPr="008B285B">
        <w:rPr>
          <w:rFonts w:ascii="Arial" w:hAnsi="Arial" w:cs="Arial"/>
          <w:sz w:val="24"/>
          <w:szCs w:val="24"/>
        </w:rPr>
        <w:t xml:space="preserve"> Si bien este esfuerzo representa un avance importante, resulta indispensable fortalecer las acciones dirigidas a la protección y conservación de los bosques, así como garantizar los recursos necesarios para asegurar la continuidad de los programas que contribuyen a preservar el patrimonio forestal de la entidad y los servicios ambientales que éste proporciona a las generaciones presentes y futuras.</w:t>
      </w:r>
    </w:p>
    <w:p w14:paraId="48005601" w14:textId="77777777" w:rsidR="00EB6EA2" w:rsidRDefault="00EB6EA2" w:rsidP="00EB6EA2">
      <w:pPr>
        <w:pStyle w:val="Sinespaciado"/>
        <w:spacing w:line="360" w:lineRule="auto"/>
        <w:jc w:val="both"/>
        <w:rPr>
          <w:rFonts w:ascii="Arial" w:hAnsi="Arial" w:cs="Arial"/>
          <w:sz w:val="24"/>
          <w:szCs w:val="24"/>
        </w:rPr>
      </w:pPr>
    </w:p>
    <w:p w14:paraId="4FF0403A" w14:textId="77777777" w:rsidR="00EB6EA2" w:rsidRDefault="00EB6EA2" w:rsidP="00EB6EA2">
      <w:pPr>
        <w:pStyle w:val="Sinespaciado"/>
        <w:spacing w:line="360" w:lineRule="auto"/>
        <w:jc w:val="both"/>
        <w:rPr>
          <w:rFonts w:ascii="Arial" w:hAnsi="Arial" w:cs="Arial"/>
          <w:sz w:val="24"/>
          <w:szCs w:val="24"/>
        </w:rPr>
      </w:pPr>
      <w:r w:rsidRPr="00566EE9">
        <w:rPr>
          <w:rFonts w:ascii="Arial" w:hAnsi="Arial" w:cs="Arial"/>
          <w:sz w:val="24"/>
          <w:szCs w:val="24"/>
        </w:rPr>
        <w:t>La protección de los bosques constituye compromisos asumidos por el Estado mexicano en diversos instrumentos internacionales. En el marco del Acuerdo de París, México se comprometió a fortalecer las acciones de mitigación y adaptación frente al cambio climático, reconociendo que la conservación, restauración y manejo sostenible de los ecosistemas forestales</w:t>
      </w:r>
      <w:r>
        <w:rPr>
          <w:rFonts w:ascii="Arial" w:hAnsi="Arial" w:cs="Arial"/>
          <w:sz w:val="24"/>
          <w:szCs w:val="24"/>
        </w:rPr>
        <w:t xml:space="preserve">. </w:t>
      </w:r>
      <w:r w:rsidRPr="003A312A">
        <w:rPr>
          <w:rFonts w:ascii="Arial" w:hAnsi="Arial" w:cs="Arial"/>
          <w:sz w:val="24"/>
          <w:szCs w:val="24"/>
        </w:rPr>
        <w:t>Asimismo, la Agenda 2030 para el Desarrollo Sostenible, particularmente con el Objetivo de Desarrollo Sostenible 6, relativo al acceso y la gestión sostenible del agua; el Objetivo 13, que impulsa la adopción de medidas para combatir el cambio climático y sus efectos; y el Objetivo 15, orientado a proteger, restaurar y promover el uso sostenible de los ecosistemas terrestres, gestionar sosteniblemente los bosques, combatir la desertificación, detener la degradación de las tierras y frenar la pérdida de biodiversidad.</w:t>
      </w:r>
    </w:p>
    <w:p w14:paraId="4EDCBF12" w14:textId="77777777" w:rsidR="00EB6EA2" w:rsidRDefault="00EB6EA2" w:rsidP="00EB6EA2">
      <w:pPr>
        <w:pStyle w:val="Sinespaciado"/>
        <w:spacing w:line="360" w:lineRule="auto"/>
        <w:jc w:val="both"/>
        <w:rPr>
          <w:rFonts w:ascii="Arial" w:hAnsi="Arial" w:cs="Arial"/>
          <w:sz w:val="24"/>
          <w:szCs w:val="24"/>
        </w:rPr>
      </w:pPr>
    </w:p>
    <w:p w14:paraId="059AF2C1" w14:textId="77777777" w:rsidR="00EB6EA2" w:rsidRPr="005524D5" w:rsidRDefault="00EB6EA2" w:rsidP="00EB6EA2">
      <w:pPr>
        <w:pStyle w:val="Sinespaciado"/>
        <w:spacing w:line="360" w:lineRule="auto"/>
        <w:jc w:val="both"/>
        <w:rPr>
          <w:rFonts w:ascii="Arial" w:hAnsi="Arial" w:cs="Arial"/>
          <w:sz w:val="24"/>
          <w:szCs w:val="24"/>
        </w:rPr>
      </w:pPr>
      <w:r w:rsidRPr="005524D5">
        <w:rPr>
          <w:rFonts w:ascii="Arial" w:hAnsi="Arial" w:cs="Arial"/>
          <w:sz w:val="24"/>
          <w:szCs w:val="24"/>
        </w:rPr>
        <w:t xml:space="preserve">En el marco jurídico nacional, el artículo 4 de la Constitución Política de los Estados Unidos Mexicanos reconoce el derecho de toda persona a un medio ambiente sano </w:t>
      </w:r>
      <w:r w:rsidRPr="005524D5">
        <w:rPr>
          <w:rFonts w:ascii="Arial" w:hAnsi="Arial" w:cs="Arial"/>
          <w:sz w:val="24"/>
          <w:szCs w:val="24"/>
        </w:rPr>
        <w:lastRenderedPageBreak/>
        <w:t>para su desarrollo y bienestar, al tiempo que impone al Estado el deber de garantizar su respeto y protección.</w:t>
      </w:r>
    </w:p>
    <w:p w14:paraId="245F8818" w14:textId="77777777" w:rsidR="00EB6EA2" w:rsidRPr="005524D5" w:rsidRDefault="00EB6EA2" w:rsidP="00EB6EA2">
      <w:pPr>
        <w:pStyle w:val="Sinespaciado"/>
        <w:spacing w:line="360" w:lineRule="auto"/>
        <w:jc w:val="both"/>
        <w:rPr>
          <w:rFonts w:ascii="Arial" w:hAnsi="Arial" w:cs="Arial"/>
          <w:sz w:val="24"/>
          <w:szCs w:val="24"/>
        </w:rPr>
      </w:pPr>
    </w:p>
    <w:p w14:paraId="7FF4BA1C" w14:textId="77777777" w:rsidR="00EB6EA2" w:rsidRPr="005524D5" w:rsidRDefault="00EB6EA2" w:rsidP="00EB6EA2">
      <w:pPr>
        <w:pStyle w:val="Sinespaciado"/>
        <w:spacing w:line="360" w:lineRule="auto"/>
        <w:jc w:val="both"/>
        <w:rPr>
          <w:rFonts w:ascii="Arial" w:hAnsi="Arial" w:cs="Arial"/>
          <w:sz w:val="24"/>
          <w:szCs w:val="24"/>
        </w:rPr>
      </w:pPr>
      <w:r w:rsidRPr="005524D5">
        <w:rPr>
          <w:rFonts w:ascii="Arial" w:hAnsi="Arial" w:cs="Arial"/>
          <w:sz w:val="24"/>
          <w:szCs w:val="24"/>
        </w:rPr>
        <w:t>En congruencia con dicho mandato, la Ley General de Desarrollo Forestal Sustentable tiene entre sus objetivos recuperar y desarrollar los ecosistemas forestales degradados, conservar los suelos y los recursos hídricos, promover el manejo forestal sustentable y proteger la biodiversidad mediante prácticas que aseguren la conservación de los ecosistemas. Asimismo, dispone que la Federación, en coordinación con las entidades federativas y los municipios, promoverá el desarrollo de infraestructura y generará las condiciones necesarias para impulsar el desarrollo forestal y territorial del país.</w:t>
      </w:r>
    </w:p>
    <w:p w14:paraId="6A94C99E" w14:textId="77777777" w:rsidR="00EB6EA2" w:rsidRPr="005524D5" w:rsidRDefault="00EB6EA2" w:rsidP="00EB6EA2">
      <w:pPr>
        <w:pStyle w:val="Sinespaciado"/>
        <w:spacing w:line="360" w:lineRule="auto"/>
        <w:jc w:val="both"/>
        <w:rPr>
          <w:rFonts w:ascii="Arial" w:hAnsi="Arial" w:cs="Arial"/>
          <w:sz w:val="24"/>
          <w:szCs w:val="24"/>
        </w:rPr>
      </w:pPr>
    </w:p>
    <w:p w14:paraId="69079F91" w14:textId="77777777" w:rsidR="00EB6EA2" w:rsidRDefault="00EB6EA2" w:rsidP="00EB6EA2">
      <w:pPr>
        <w:pStyle w:val="Sinespaciado"/>
        <w:spacing w:line="360" w:lineRule="auto"/>
        <w:jc w:val="both"/>
        <w:rPr>
          <w:rFonts w:ascii="Arial" w:hAnsi="Arial" w:cs="Arial"/>
          <w:sz w:val="24"/>
          <w:szCs w:val="24"/>
        </w:rPr>
      </w:pPr>
      <w:r w:rsidRPr="005524D5">
        <w:rPr>
          <w:rFonts w:ascii="Arial" w:hAnsi="Arial" w:cs="Arial"/>
          <w:sz w:val="24"/>
          <w:szCs w:val="24"/>
        </w:rPr>
        <w:t>En el ámbito estatal, el artículo 5 de la Constitución Política del Estado Libre y Soberano de México reconoce el derecho de toda persona a disfrutar de un medio ambiente adecuado para su desarrollo y bienestar. Por su parte, el Código para la Biodiversidad del Estado de México establece que corresponde a la Secretaría del Medio Ambiente y Desarrollo Sostenible preservar, conservar, remediar, recuperar, rehabilitar y restaurar el equilibrio ecológico, así como proteger el medio ambiente y promover el desarrollo sostenible. De igual manera, atribuye a los municipios la responsabilidad de proteger y fomentar la conservación de los recursos forestales, del suelo y del agua, además de realizar acciones orientadas a la preservación de la biodiversidad, la restauración del equilibrio ecológico y la protección del ambiente dentro de su ámbito territorial.</w:t>
      </w:r>
    </w:p>
    <w:p w14:paraId="64817077" w14:textId="77777777" w:rsidR="00EB6EA2" w:rsidRDefault="00EB6EA2" w:rsidP="00EB6EA2">
      <w:pPr>
        <w:pStyle w:val="Sinespaciado"/>
        <w:spacing w:line="360" w:lineRule="auto"/>
        <w:jc w:val="both"/>
        <w:rPr>
          <w:rFonts w:ascii="Arial" w:hAnsi="Arial" w:cs="Arial"/>
          <w:sz w:val="24"/>
          <w:szCs w:val="24"/>
        </w:rPr>
      </w:pPr>
    </w:p>
    <w:p w14:paraId="54C4698F" w14:textId="77777777" w:rsidR="00EB6EA2" w:rsidRDefault="00EB6EA2" w:rsidP="00EB6EA2">
      <w:pPr>
        <w:pStyle w:val="Sinespaciado"/>
        <w:spacing w:line="360" w:lineRule="auto"/>
        <w:jc w:val="both"/>
        <w:rPr>
          <w:rFonts w:ascii="Arial" w:hAnsi="Arial" w:cs="Arial"/>
          <w:sz w:val="24"/>
          <w:szCs w:val="24"/>
        </w:rPr>
      </w:pPr>
      <w:r w:rsidRPr="000B0FB1">
        <w:rPr>
          <w:rFonts w:ascii="Arial" w:hAnsi="Arial" w:cs="Arial"/>
          <w:sz w:val="24"/>
          <w:szCs w:val="24"/>
        </w:rPr>
        <w:t>De igual forma, la política pública de protección y conservación de los bosques encuentra un mecanismo de financiamiento en el ámbito hacendario. En ese sentido, el Código Financiero del Estado de México y Municipios establece, dentro de las contribuciones de mejoras, las aportaciones por servicios ambientales, cuya finalidad es generar recursos para la preservación y fortalecimiento de los ecosistemas forestales de la entidad</w:t>
      </w:r>
      <w:r>
        <w:rPr>
          <w:rFonts w:ascii="Arial" w:hAnsi="Arial" w:cs="Arial"/>
          <w:sz w:val="24"/>
          <w:szCs w:val="24"/>
        </w:rPr>
        <w:t xml:space="preserve">. </w:t>
      </w:r>
    </w:p>
    <w:p w14:paraId="0E12751C" w14:textId="77777777" w:rsidR="00EB6EA2" w:rsidRDefault="00EB6EA2" w:rsidP="00EB6EA2">
      <w:pPr>
        <w:pStyle w:val="Sinespaciado"/>
        <w:spacing w:line="360" w:lineRule="auto"/>
        <w:jc w:val="both"/>
        <w:rPr>
          <w:rFonts w:ascii="Arial" w:hAnsi="Arial" w:cs="Arial"/>
          <w:sz w:val="24"/>
          <w:szCs w:val="24"/>
        </w:rPr>
      </w:pPr>
    </w:p>
    <w:p w14:paraId="752364B2" w14:textId="77777777" w:rsidR="00EB6EA2" w:rsidRDefault="00EB6EA2" w:rsidP="00EB6EA2">
      <w:pPr>
        <w:pStyle w:val="Sinespaciado"/>
        <w:spacing w:line="360" w:lineRule="auto"/>
        <w:jc w:val="both"/>
        <w:rPr>
          <w:rFonts w:ascii="Arial" w:hAnsi="Arial" w:cs="Arial"/>
          <w:sz w:val="24"/>
          <w:szCs w:val="24"/>
        </w:rPr>
      </w:pPr>
      <w:r w:rsidRPr="000B0FB1">
        <w:rPr>
          <w:rFonts w:ascii="Arial" w:hAnsi="Arial" w:cs="Arial"/>
          <w:sz w:val="24"/>
          <w:szCs w:val="24"/>
        </w:rPr>
        <w:lastRenderedPageBreak/>
        <w:t>Los recursos recaudados por este concepto se destinan al Programa para el Pago por Servicios Ambientales Hidrológicos del Estado de México, mediante el cual se otorgan estímulos económicos y asesoría técnica forestal a los núcleos agrarios, personas físicas, personas jurídico colectivas y demás propietarios o poseedores de terrenos forestales que realizan acciones de conservación, protección y fomento forestal, contribuyendo con ello a la permanencia e incremento de la cobertura forestal y a la infiltración y captación del agua</w:t>
      </w:r>
      <w:r w:rsidRPr="00B953E5">
        <w:rPr>
          <w:rFonts w:ascii="Arial" w:hAnsi="Arial" w:cs="Arial"/>
          <w:sz w:val="24"/>
          <w:szCs w:val="24"/>
        </w:rPr>
        <w:t>.</w:t>
      </w:r>
      <w:r>
        <w:rPr>
          <w:rStyle w:val="Refdenotaalpie"/>
          <w:rFonts w:ascii="Arial" w:hAnsi="Arial" w:cs="Arial"/>
          <w:sz w:val="24"/>
          <w:szCs w:val="24"/>
        </w:rPr>
        <w:footnoteReference w:id="9"/>
      </w:r>
    </w:p>
    <w:p w14:paraId="69DB0356" w14:textId="77777777" w:rsidR="00EB6EA2" w:rsidRDefault="00EB6EA2" w:rsidP="00EB6EA2">
      <w:pPr>
        <w:pStyle w:val="Sinespaciado"/>
        <w:spacing w:line="360" w:lineRule="auto"/>
        <w:jc w:val="both"/>
        <w:rPr>
          <w:rFonts w:ascii="Arial" w:hAnsi="Arial" w:cs="Arial"/>
          <w:sz w:val="24"/>
          <w:szCs w:val="24"/>
        </w:rPr>
      </w:pPr>
    </w:p>
    <w:p w14:paraId="121BF20E" w14:textId="77777777" w:rsidR="00EB6EA2" w:rsidRPr="000B0FB1" w:rsidRDefault="00EB6EA2" w:rsidP="00EB6EA2">
      <w:pPr>
        <w:pStyle w:val="Sinespaciado"/>
        <w:spacing w:line="360" w:lineRule="auto"/>
        <w:jc w:val="both"/>
        <w:rPr>
          <w:rFonts w:ascii="Arial" w:hAnsi="Arial" w:cs="Arial"/>
          <w:sz w:val="24"/>
          <w:szCs w:val="24"/>
        </w:rPr>
      </w:pPr>
      <w:r w:rsidRPr="000B0FB1">
        <w:rPr>
          <w:rFonts w:ascii="Arial" w:hAnsi="Arial" w:cs="Arial"/>
          <w:sz w:val="24"/>
          <w:szCs w:val="24"/>
        </w:rPr>
        <w:t xml:space="preserve">Este esquema tiene su origen en el Acuerdo del Ejecutivo del Estado publicado el 13 de agosto de 2007, mediante el cual se constituyó el Fideicomiso para el Pago por Servicios Ambientales Hidrológicos del Estado de México (FIPASAHEM), con un capital semilla de </w:t>
      </w:r>
      <w:r>
        <w:rPr>
          <w:rFonts w:ascii="Arial" w:hAnsi="Arial" w:cs="Arial"/>
          <w:sz w:val="24"/>
          <w:szCs w:val="24"/>
        </w:rPr>
        <w:t>30</w:t>
      </w:r>
      <w:r w:rsidRPr="000B0FB1">
        <w:rPr>
          <w:rFonts w:ascii="Arial" w:hAnsi="Arial" w:cs="Arial"/>
          <w:sz w:val="24"/>
          <w:szCs w:val="24"/>
        </w:rPr>
        <w:t xml:space="preserve"> millones de pesos aportados por el Gobierno del Estado. Desde su creación, este instrumento tiene por objeto otorgar apoyos económicos compensatorios a las personas usufructuarias, propietarias o representantes legales de terrenos forestales que contribuyen a la generación y conservación de los servicios ambientales hidrológicos.</w:t>
      </w:r>
    </w:p>
    <w:p w14:paraId="5521C792" w14:textId="77777777" w:rsidR="00EB6EA2" w:rsidRPr="000B0FB1" w:rsidRDefault="00EB6EA2" w:rsidP="00EB6EA2">
      <w:pPr>
        <w:pStyle w:val="Sinespaciado"/>
        <w:spacing w:line="360" w:lineRule="auto"/>
        <w:jc w:val="both"/>
        <w:rPr>
          <w:rFonts w:ascii="Arial" w:hAnsi="Arial" w:cs="Arial"/>
          <w:sz w:val="24"/>
          <w:szCs w:val="24"/>
        </w:rPr>
      </w:pPr>
    </w:p>
    <w:p w14:paraId="0BF206A2" w14:textId="77777777" w:rsidR="00EB6EA2" w:rsidRDefault="00EB6EA2" w:rsidP="00EB6EA2">
      <w:pPr>
        <w:pStyle w:val="Sinespaciado"/>
        <w:spacing w:line="360" w:lineRule="auto"/>
        <w:jc w:val="both"/>
        <w:rPr>
          <w:rFonts w:ascii="Arial" w:hAnsi="Arial" w:cs="Arial"/>
          <w:sz w:val="24"/>
          <w:szCs w:val="24"/>
        </w:rPr>
      </w:pPr>
      <w:r w:rsidRPr="000B0FB1">
        <w:rPr>
          <w:rFonts w:ascii="Arial" w:hAnsi="Arial" w:cs="Arial"/>
          <w:sz w:val="24"/>
          <w:szCs w:val="24"/>
        </w:rPr>
        <w:t>En este contexto, los artículos 216-I y 216-J del Código Financiero del Estado de México y Municipios disponen que los municipios y los organismos públicos descentralizados municipales prestadores del servicio de agua potable deberán enterar al fideicomiso una aportación equivalente al 3.5</w:t>
      </w:r>
      <w:r>
        <w:rPr>
          <w:rFonts w:ascii="Arial" w:hAnsi="Arial" w:cs="Arial"/>
          <w:sz w:val="24"/>
          <w:szCs w:val="24"/>
        </w:rPr>
        <w:t>%</w:t>
      </w:r>
      <w:r w:rsidRPr="000B0FB1">
        <w:rPr>
          <w:rFonts w:ascii="Arial" w:hAnsi="Arial" w:cs="Arial"/>
          <w:sz w:val="24"/>
          <w:szCs w:val="24"/>
        </w:rPr>
        <w:t xml:space="preserve"> de los ingresos efectivamente recaudados por concepto del suministro de agua potable. Esta contribución constituye una fuente permanente de financiamiento para el Programa y representa un instrumento fundamental para garantizar la continuidad de las acciones de conservación de los bosques y de los servicios ambientales que éstos proporcionan en beneficio de la población mexiquense</w:t>
      </w:r>
      <w:r w:rsidRPr="00B953E5">
        <w:rPr>
          <w:rFonts w:ascii="Arial" w:hAnsi="Arial" w:cs="Arial"/>
          <w:sz w:val="24"/>
          <w:szCs w:val="24"/>
        </w:rPr>
        <w:t>.</w:t>
      </w:r>
    </w:p>
    <w:p w14:paraId="5EF5191E" w14:textId="77777777" w:rsidR="00EB6EA2" w:rsidRDefault="00EB6EA2" w:rsidP="00EB6EA2">
      <w:pPr>
        <w:pStyle w:val="Sinespaciado"/>
        <w:spacing w:line="360" w:lineRule="auto"/>
        <w:jc w:val="both"/>
        <w:rPr>
          <w:rFonts w:ascii="Arial" w:hAnsi="Arial" w:cs="Arial"/>
          <w:sz w:val="24"/>
          <w:szCs w:val="24"/>
        </w:rPr>
      </w:pPr>
    </w:p>
    <w:p w14:paraId="7BD16A70" w14:textId="77777777" w:rsidR="00EB6EA2" w:rsidRPr="0019717E" w:rsidRDefault="00EB6EA2" w:rsidP="00EB6EA2">
      <w:pPr>
        <w:pStyle w:val="Sinespaciado"/>
        <w:spacing w:line="360" w:lineRule="auto"/>
        <w:jc w:val="both"/>
        <w:rPr>
          <w:rFonts w:ascii="Arial" w:hAnsi="Arial" w:cs="Arial"/>
          <w:sz w:val="24"/>
          <w:szCs w:val="24"/>
        </w:rPr>
      </w:pPr>
      <w:r w:rsidRPr="0019717E">
        <w:rPr>
          <w:rFonts w:ascii="Arial" w:hAnsi="Arial" w:cs="Arial"/>
          <w:sz w:val="24"/>
          <w:szCs w:val="24"/>
        </w:rPr>
        <w:t xml:space="preserve">Actualmente, el Programa para el Pago por Servicios Ambientales Hidrológicos del Estado de México otorga un apoyo económico de 3 mil 500 pesos por hectárea </w:t>
      </w:r>
      <w:r w:rsidRPr="0019717E">
        <w:rPr>
          <w:rFonts w:ascii="Arial" w:hAnsi="Arial" w:cs="Arial"/>
          <w:sz w:val="24"/>
          <w:szCs w:val="24"/>
        </w:rPr>
        <w:lastRenderedPageBreak/>
        <w:t>forestal a las personas propietarias, poseedoras y representantes de terrenos forestales que realizan acciones de conservación, protección y fomento de los ecosistemas forestales.</w:t>
      </w:r>
    </w:p>
    <w:p w14:paraId="2BED4306" w14:textId="77777777" w:rsidR="00EB6EA2" w:rsidRPr="0019717E" w:rsidRDefault="00EB6EA2" w:rsidP="00EB6EA2">
      <w:pPr>
        <w:pStyle w:val="Sinespaciado"/>
        <w:spacing w:line="360" w:lineRule="auto"/>
        <w:jc w:val="both"/>
        <w:rPr>
          <w:rFonts w:ascii="Arial" w:hAnsi="Arial" w:cs="Arial"/>
          <w:sz w:val="24"/>
          <w:szCs w:val="24"/>
        </w:rPr>
      </w:pPr>
    </w:p>
    <w:p w14:paraId="48310C3B" w14:textId="77777777" w:rsidR="00EB6EA2" w:rsidRPr="0019717E" w:rsidRDefault="00EB6EA2" w:rsidP="00EB6EA2">
      <w:pPr>
        <w:pStyle w:val="Sinespaciado"/>
        <w:spacing w:line="360" w:lineRule="auto"/>
        <w:jc w:val="both"/>
        <w:rPr>
          <w:rFonts w:ascii="Arial" w:hAnsi="Arial" w:cs="Arial"/>
          <w:sz w:val="24"/>
          <w:szCs w:val="24"/>
        </w:rPr>
      </w:pPr>
      <w:r w:rsidRPr="0019717E">
        <w:rPr>
          <w:rFonts w:ascii="Arial" w:hAnsi="Arial" w:cs="Arial"/>
          <w:sz w:val="24"/>
          <w:szCs w:val="24"/>
        </w:rPr>
        <w:t>No obstante, el cumplimiento de las aportaciones que financian este Programa dista de ser generalizado. De acuerdo con información de la Protectora de Bosques del Estado de México (PROBOSQUE), correspondiente al periodo de marzo a mayo de 2026, de los 125 municipios de la entidad, 15 no realizan aportaciones al fideicomiso y otros 23 dejaron de contribuir, mientras que únicamente 87 mantienen el cumplimiento de esta obligación.</w:t>
      </w:r>
      <w:r>
        <w:rPr>
          <w:rStyle w:val="Refdenotaalpie"/>
          <w:rFonts w:ascii="Arial" w:hAnsi="Arial" w:cs="Arial"/>
          <w:sz w:val="24"/>
          <w:szCs w:val="24"/>
        </w:rPr>
        <w:footnoteReference w:id="10"/>
      </w:r>
    </w:p>
    <w:p w14:paraId="1CAEFF1D" w14:textId="77777777" w:rsidR="00EB6EA2" w:rsidRPr="0019717E" w:rsidRDefault="00EB6EA2" w:rsidP="00EB6EA2">
      <w:pPr>
        <w:pStyle w:val="Sinespaciado"/>
        <w:spacing w:line="360" w:lineRule="auto"/>
        <w:jc w:val="both"/>
        <w:rPr>
          <w:rFonts w:ascii="Arial" w:hAnsi="Arial" w:cs="Arial"/>
          <w:sz w:val="24"/>
          <w:szCs w:val="24"/>
        </w:rPr>
      </w:pPr>
    </w:p>
    <w:p w14:paraId="007DC08C" w14:textId="77777777" w:rsidR="00EB6EA2" w:rsidRPr="0019717E" w:rsidRDefault="00EB6EA2" w:rsidP="00EB6EA2">
      <w:pPr>
        <w:pStyle w:val="Sinespaciado"/>
        <w:spacing w:line="360" w:lineRule="auto"/>
        <w:jc w:val="both"/>
        <w:rPr>
          <w:rFonts w:ascii="Arial" w:hAnsi="Arial" w:cs="Arial"/>
          <w:sz w:val="24"/>
          <w:szCs w:val="24"/>
        </w:rPr>
      </w:pPr>
      <w:r w:rsidRPr="0019717E">
        <w:rPr>
          <w:rFonts w:ascii="Arial" w:hAnsi="Arial" w:cs="Arial"/>
          <w:sz w:val="24"/>
          <w:szCs w:val="24"/>
        </w:rPr>
        <w:t>Con el propósito de garantizar el entero de estos recursos, el Código Financiero del Estado de México y Municipios prevé que, cuando los municipios o los organismos públicos descentralizados municipales acumulen dos bimestres de incumplimiento y no regularicen el pago dentro del plazo legal, la Secretaría de Finanzas podrá retener el importe correspondiente de las participaciones de ingresos que les sean ministradas por el Gobierno del Estado.</w:t>
      </w:r>
    </w:p>
    <w:p w14:paraId="7350797F" w14:textId="77777777" w:rsidR="00EB6EA2" w:rsidRPr="0019717E" w:rsidRDefault="00EB6EA2" w:rsidP="00EB6EA2">
      <w:pPr>
        <w:pStyle w:val="Sinespaciado"/>
        <w:spacing w:line="360" w:lineRule="auto"/>
        <w:jc w:val="both"/>
        <w:rPr>
          <w:rFonts w:ascii="Arial" w:hAnsi="Arial" w:cs="Arial"/>
          <w:sz w:val="24"/>
          <w:szCs w:val="24"/>
        </w:rPr>
      </w:pPr>
    </w:p>
    <w:p w14:paraId="7151F7A5" w14:textId="77777777" w:rsidR="00EB6EA2" w:rsidRPr="0019717E" w:rsidRDefault="00EB6EA2" w:rsidP="00EB6EA2">
      <w:pPr>
        <w:pStyle w:val="Sinespaciado"/>
        <w:spacing w:line="360" w:lineRule="auto"/>
        <w:jc w:val="both"/>
        <w:rPr>
          <w:rFonts w:ascii="Arial" w:hAnsi="Arial" w:cs="Arial"/>
          <w:sz w:val="24"/>
          <w:szCs w:val="24"/>
        </w:rPr>
      </w:pPr>
      <w:r w:rsidRPr="0019717E">
        <w:rPr>
          <w:rFonts w:ascii="Arial" w:hAnsi="Arial" w:cs="Arial"/>
          <w:sz w:val="24"/>
          <w:szCs w:val="24"/>
        </w:rPr>
        <w:t>Sin embargo, el incumplimiento en el entero de estas aportaciones continúa representando un reto para la suficiencia financiera del Programa. Esta situación resulta particularmente preocupante si se considera que el Estado de México concentra una de las mayores densidades poblacionales del país y cuenta con una extensa superficie forestal que proporciona servicios ambientales esenciales, entre ellos la captación e infiltración del agua, la regulación del clima, la conservación de la biodiversidad y la mitigación de los efectos del cambio climático.</w:t>
      </w:r>
    </w:p>
    <w:p w14:paraId="709659B8" w14:textId="77777777" w:rsidR="00EB6EA2" w:rsidRDefault="00EB6EA2" w:rsidP="00EB6EA2">
      <w:pPr>
        <w:pStyle w:val="Sinespaciado"/>
        <w:spacing w:line="360" w:lineRule="auto"/>
        <w:jc w:val="both"/>
        <w:rPr>
          <w:rFonts w:ascii="Arial" w:hAnsi="Arial" w:cs="Arial"/>
          <w:sz w:val="24"/>
          <w:szCs w:val="24"/>
        </w:rPr>
      </w:pPr>
    </w:p>
    <w:p w14:paraId="52FCCD85" w14:textId="77777777" w:rsidR="00EB6EA2" w:rsidRDefault="00EB6EA2" w:rsidP="00EB6EA2">
      <w:pPr>
        <w:pStyle w:val="Sinespaciado"/>
        <w:spacing w:line="360" w:lineRule="auto"/>
        <w:jc w:val="both"/>
        <w:rPr>
          <w:rFonts w:ascii="Arial" w:hAnsi="Arial" w:cs="Arial"/>
          <w:sz w:val="24"/>
          <w:szCs w:val="24"/>
        </w:rPr>
      </w:pPr>
      <w:r w:rsidRPr="009A03BC">
        <w:rPr>
          <w:rFonts w:ascii="Arial" w:hAnsi="Arial" w:cs="Arial"/>
          <w:sz w:val="24"/>
          <w:szCs w:val="24"/>
        </w:rPr>
        <w:t>En ese contexto, la presente iniciativa propone</w:t>
      </w:r>
      <w:r w:rsidRPr="00864FF8">
        <w:rPr>
          <w:rFonts w:ascii="Arial" w:hAnsi="Arial" w:cs="Arial"/>
          <w:sz w:val="24"/>
          <w:szCs w:val="24"/>
        </w:rPr>
        <w:t xml:space="preserve"> </w:t>
      </w:r>
      <w:r>
        <w:rPr>
          <w:rFonts w:ascii="Arial" w:hAnsi="Arial" w:cs="Arial"/>
          <w:sz w:val="24"/>
          <w:szCs w:val="24"/>
        </w:rPr>
        <w:t>robustecer</w:t>
      </w:r>
      <w:r w:rsidRPr="0019717E">
        <w:rPr>
          <w:rFonts w:ascii="Arial" w:hAnsi="Arial" w:cs="Arial"/>
          <w:sz w:val="24"/>
          <w:szCs w:val="24"/>
        </w:rPr>
        <w:t xml:space="preserve"> el procedimiento previsto en el Código Financiero del Estado de México y Municipios</w:t>
      </w:r>
      <w:r>
        <w:rPr>
          <w:rFonts w:ascii="Arial" w:hAnsi="Arial" w:cs="Arial"/>
          <w:sz w:val="24"/>
          <w:szCs w:val="24"/>
        </w:rPr>
        <w:t xml:space="preserve">, </w:t>
      </w:r>
      <w:r w:rsidRPr="00864FF8">
        <w:rPr>
          <w:rFonts w:ascii="Arial" w:hAnsi="Arial" w:cs="Arial"/>
          <w:sz w:val="24"/>
          <w:szCs w:val="24"/>
        </w:rPr>
        <w:t>reforma</w:t>
      </w:r>
      <w:r>
        <w:rPr>
          <w:rFonts w:ascii="Arial" w:hAnsi="Arial" w:cs="Arial"/>
          <w:sz w:val="24"/>
          <w:szCs w:val="24"/>
        </w:rPr>
        <w:t>ndo</w:t>
      </w:r>
      <w:r w:rsidRPr="00864FF8">
        <w:rPr>
          <w:rFonts w:ascii="Arial" w:hAnsi="Arial" w:cs="Arial"/>
          <w:sz w:val="24"/>
          <w:szCs w:val="24"/>
        </w:rPr>
        <w:t xml:space="preserve"> el artículo 216-J del Código Financiero del Estado de México y Municipios, con el propósito de </w:t>
      </w:r>
      <w:r w:rsidRPr="00864FF8">
        <w:rPr>
          <w:rFonts w:ascii="Arial" w:hAnsi="Arial" w:cs="Arial"/>
          <w:sz w:val="24"/>
          <w:szCs w:val="24"/>
        </w:rPr>
        <w:lastRenderedPageBreak/>
        <w:t xml:space="preserve">fortalecer el procedimiento para garantizar </w:t>
      </w:r>
      <w:r>
        <w:rPr>
          <w:rFonts w:ascii="Arial" w:hAnsi="Arial" w:cs="Arial"/>
          <w:sz w:val="24"/>
          <w:szCs w:val="24"/>
        </w:rPr>
        <w:t xml:space="preserve">por completo </w:t>
      </w:r>
      <w:r w:rsidRPr="00864FF8">
        <w:rPr>
          <w:rFonts w:ascii="Arial" w:hAnsi="Arial" w:cs="Arial"/>
          <w:sz w:val="24"/>
          <w:szCs w:val="24"/>
        </w:rPr>
        <w:t>las aportaciones por servicios ambientales a cargo de los municipios y de los organismos públicos descentralizados municipales prestadores del servicio de agua potable. Para ello, se precisa que, una vez transcurrido el plazo de diez días hábiles otorgado para atender la notificación y cubrir el adeudo correspondiente, la Secretaría de Finanzas deberá realizar sin dilación la retención del importe correspondiente de las participaciones estatales que deban ministrarse al municipio, fortaleciendo la oportunidad y eficacia del mecanismo previsto en la legislación para asegurar el cumplimiento de esta obligación y la suficiencia financiera del Fideicomiso para el Pago por Servicios Ambientales Hidrológicos del Estado de México.</w:t>
      </w:r>
    </w:p>
    <w:p w14:paraId="37A0CF0F" w14:textId="77777777" w:rsidR="00693B0D" w:rsidRDefault="00693B0D" w:rsidP="00EB6EA2">
      <w:pPr>
        <w:pStyle w:val="Sinespaciado"/>
        <w:spacing w:line="360" w:lineRule="auto"/>
        <w:jc w:val="both"/>
        <w:rPr>
          <w:rFonts w:ascii="Arial" w:hAnsi="Arial" w:cs="Arial"/>
          <w:sz w:val="24"/>
          <w:szCs w:val="24"/>
        </w:rPr>
      </w:pPr>
    </w:p>
    <w:p w14:paraId="476553E3" w14:textId="77777777" w:rsidR="00EB6EA2" w:rsidRDefault="00EB6EA2" w:rsidP="00EB6EA2">
      <w:pPr>
        <w:pStyle w:val="Sinespaciado"/>
        <w:spacing w:line="360" w:lineRule="auto"/>
        <w:jc w:val="both"/>
        <w:rPr>
          <w:rFonts w:ascii="Arial" w:hAnsi="Arial" w:cs="Arial"/>
          <w:sz w:val="24"/>
          <w:szCs w:val="24"/>
        </w:rPr>
      </w:pPr>
      <w:r w:rsidRPr="00D459DC">
        <w:rPr>
          <w:rFonts w:ascii="Arial" w:hAnsi="Arial" w:cs="Arial"/>
          <w:sz w:val="24"/>
          <w:szCs w:val="24"/>
        </w:rPr>
        <w:t>Finalmente, se establecen disposiciones transitorias para promover la regularización de los adeudos existentes por concepto de aportaciones por servicios ambientales a cargo de los municipios y organismos públicos descentralizados municipales prestadores del servicio de agua potable. Asimismo, se dispone que la Secretaría de Finanzas aplique, sin dilación, el procedimiento de retención previsto en el artículo 216-J del Código Financiero del Estado de México y Municipios respecto de aquellos sujetos obligados que, al momento de la entrada en vigor del Decreto, se encuentren en los supuestos establecidos por dicho precepto.</w:t>
      </w:r>
    </w:p>
    <w:p w14:paraId="15500CE0" w14:textId="77777777" w:rsidR="00EB6EA2" w:rsidRDefault="00EB6EA2" w:rsidP="00EB6EA2">
      <w:pPr>
        <w:pStyle w:val="Sinespaciado"/>
        <w:spacing w:line="360" w:lineRule="auto"/>
        <w:jc w:val="both"/>
        <w:rPr>
          <w:rFonts w:ascii="Arial" w:hAnsi="Arial" w:cs="Arial"/>
          <w:sz w:val="24"/>
          <w:szCs w:val="24"/>
        </w:rPr>
      </w:pPr>
    </w:p>
    <w:p w14:paraId="3B0AA5F2" w14:textId="77777777" w:rsidR="00EB6EA2" w:rsidRDefault="00EB6EA2" w:rsidP="00EB6EA2">
      <w:pPr>
        <w:pStyle w:val="Sinespaciado"/>
        <w:spacing w:line="360" w:lineRule="auto"/>
        <w:jc w:val="both"/>
        <w:rPr>
          <w:rFonts w:ascii="Arial" w:hAnsi="Arial" w:cs="Arial"/>
          <w:sz w:val="24"/>
          <w:szCs w:val="24"/>
        </w:rPr>
      </w:pPr>
      <w:r w:rsidRPr="00645422">
        <w:rPr>
          <w:rFonts w:ascii="Arial" w:hAnsi="Arial" w:cs="Arial"/>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228D1413" w14:textId="77777777" w:rsidR="00EB6EA2" w:rsidRPr="00645422" w:rsidRDefault="00EB6EA2" w:rsidP="00EB6EA2">
      <w:pPr>
        <w:pStyle w:val="Sinespaciado"/>
        <w:spacing w:line="360" w:lineRule="auto"/>
        <w:jc w:val="both"/>
        <w:rPr>
          <w:rFonts w:ascii="Arial" w:hAnsi="Arial" w:cs="Arial"/>
          <w:sz w:val="24"/>
          <w:szCs w:val="24"/>
        </w:rPr>
      </w:pPr>
    </w:p>
    <w:tbl>
      <w:tblPr>
        <w:tblStyle w:val="Tablaconcuadrculaclara"/>
        <w:tblW w:w="4656" w:type="pct"/>
        <w:tblInd w:w="279" w:type="dxa"/>
        <w:tblLook w:val="04A0" w:firstRow="1" w:lastRow="0" w:firstColumn="1" w:lastColumn="0" w:noHBand="0" w:noVBand="1"/>
      </w:tblPr>
      <w:tblGrid>
        <w:gridCol w:w="3856"/>
        <w:gridCol w:w="4365"/>
      </w:tblGrid>
      <w:tr w:rsidR="00EB6EA2" w:rsidRPr="00811E1D" w14:paraId="76FFFDA5" w14:textId="77777777" w:rsidTr="00E81B25">
        <w:trPr>
          <w:trHeight w:val="204"/>
        </w:trPr>
        <w:tc>
          <w:tcPr>
            <w:tcW w:w="5000" w:type="pct"/>
            <w:gridSpan w:val="2"/>
            <w:shd w:val="clear" w:color="auto" w:fill="D9D9D9" w:themeFill="background1" w:themeFillShade="D9"/>
            <w:hideMark/>
          </w:tcPr>
          <w:p w14:paraId="1947EA9B" w14:textId="77777777" w:rsidR="00EB6EA2" w:rsidRPr="008043B0" w:rsidRDefault="00EB6EA2" w:rsidP="00E81B25">
            <w:pPr>
              <w:jc w:val="center"/>
              <w:rPr>
                <w:rFonts w:ascii="Arial" w:hAnsi="Arial" w:cs="Arial"/>
                <w:b/>
                <w:bCs/>
                <w:sz w:val="20"/>
                <w:szCs w:val="20"/>
              </w:rPr>
            </w:pPr>
            <w:r w:rsidRPr="008043B0">
              <w:rPr>
                <w:rFonts w:ascii="Arial" w:hAnsi="Arial" w:cs="Arial"/>
                <w:b/>
                <w:bCs/>
                <w:sz w:val="20"/>
                <w:szCs w:val="20"/>
              </w:rPr>
              <w:t>CÓDIGO FINANCIERO DEL ESTADO DE MÉXICO Y MUNICIPIOS</w:t>
            </w:r>
          </w:p>
        </w:tc>
      </w:tr>
      <w:tr w:rsidR="00EB6EA2" w:rsidRPr="003276B3" w14:paraId="0D55C7E9" w14:textId="77777777" w:rsidTr="00E81B25">
        <w:trPr>
          <w:trHeight w:val="273"/>
        </w:trPr>
        <w:tc>
          <w:tcPr>
            <w:tcW w:w="2345" w:type="pct"/>
            <w:tcBorders>
              <w:bottom w:val="single" w:sz="4" w:space="0" w:color="BFBFBF" w:themeColor="background1" w:themeShade="BF"/>
            </w:tcBorders>
            <w:shd w:val="clear" w:color="auto" w:fill="F2F2F2" w:themeFill="background1" w:themeFillShade="F2"/>
            <w:hideMark/>
          </w:tcPr>
          <w:p w14:paraId="55B28BC4" w14:textId="77777777" w:rsidR="00EB6EA2" w:rsidRPr="008043B0" w:rsidRDefault="00EB6EA2" w:rsidP="00E81B25">
            <w:pPr>
              <w:jc w:val="center"/>
              <w:rPr>
                <w:rFonts w:ascii="Arial" w:eastAsia="Times New Roman" w:hAnsi="Arial" w:cs="Arial"/>
                <w:b/>
                <w:sz w:val="20"/>
                <w:szCs w:val="20"/>
                <w:lang w:eastAsia="es-ES_tradnl"/>
              </w:rPr>
            </w:pPr>
            <w:r w:rsidRPr="008043B0">
              <w:rPr>
                <w:rFonts w:ascii="Arial" w:hAnsi="Arial" w:cs="Arial"/>
                <w:b/>
                <w:sz w:val="20"/>
                <w:szCs w:val="20"/>
              </w:rPr>
              <w:t>LEY VIGENTE</w:t>
            </w:r>
          </w:p>
        </w:tc>
        <w:tc>
          <w:tcPr>
            <w:tcW w:w="2655" w:type="pct"/>
            <w:tcBorders>
              <w:bottom w:val="single" w:sz="4" w:space="0" w:color="BFBFBF" w:themeColor="background1" w:themeShade="BF"/>
            </w:tcBorders>
            <w:shd w:val="clear" w:color="auto" w:fill="F2F2F2" w:themeFill="background1" w:themeFillShade="F2"/>
            <w:hideMark/>
          </w:tcPr>
          <w:p w14:paraId="3DA8BC8A" w14:textId="77777777" w:rsidR="00EB6EA2" w:rsidRPr="008043B0" w:rsidRDefault="00EB6EA2" w:rsidP="00E81B25">
            <w:pPr>
              <w:jc w:val="center"/>
              <w:rPr>
                <w:rFonts w:ascii="Arial" w:eastAsia="Times New Roman" w:hAnsi="Arial" w:cs="Arial"/>
                <w:b/>
                <w:sz w:val="20"/>
                <w:szCs w:val="20"/>
                <w:lang w:eastAsia="es-ES_tradnl"/>
              </w:rPr>
            </w:pPr>
            <w:r w:rsidRPr="008043B0">
              <w:rPr>
                <w:rFonts w:ascii="Arial" w:hAnsi="Arial" w:cs="Arial"/>
                <w:b/>
                <w:sz w:val="20"/>
                <w:szCs w:val="20"/>
              </w:rPr>
              <w:t>INICIATIVA</w:t>
            </w:r>
          </w:p>
        </w:tc>
      </w:tr>
      <w:tr w:rsidR="00EB6EA2" w:rsidRPr="003276B3" w14:paraId="34281993" w14:textId="77777777" w:rsidTr="00E81B25">
        <w:trPr>
          <w:trHeight w:val="53"/>
        </w:trPr>
        <w:tc>
          <w:tcPr>
            <w:tcW w:w="2345" w:type="pct"/>
            <w:tcBorders>
              <w:bottom w:val="nil"/>
            </w:tcBorders>
          </w:tcPr>
          <w:p w14:paraId="2EE2FDF4" w14:textId="77777777" w:rsidR="00EB6EA2" w:rsidRDefault="00EB6EA2" w:rsidP="00E81B25">
            <w:pPr>
              <w:pStyle w:val="Sinespaciado"/>
              <w:jc w:val="both"/>
              <w:rPr>
                <w:rFonts w:ascii="Arial" w:hAnsi="Arial" w:cs="Arial"/>
                <w:sz w:val="20"/>
                <w:szCs w:val="20"/>
              </w:rPr>
            </w:pPr>
            <w:r w:rsidRPr="008043B0">
              <w:rPr>
                <w:rFonts w:ascii="Arial" w:hAnsi="Arial" w:cs="Arial"/>
                <w:b/>
                <w:sz w:val="20"/>
                <w:szCs w:val="20"/>
              </w:rPr>
              <w:t xml:space="preserve">Artículo 216-J.- </w:t>
            </w:r>
            <w:r w:rsidRPr="008043B0">
              <w:rPr>
                <w:rFonts w:ascii="Arial" w:hAnsi="Arial" w:cs="Arial"/>
                <w:sz w:val="20"/>
                <w:szCs w:val="20"/>
              </w:rPr>
              <w:t>Para determinar el monto a pagar por concepto de aportación de mejoras por servicios ambientales, se aplicará una tarifa del 3.5 por ciento sobre el monto de los ingresos efectivamente recaudados por concepto del suministro de agua potable, sin incluir conceptos diversos a dicho suministro.</w:t>
            </w:r>
          </w:p>
          <w:p w14:paraId="553537FB" w14:textId="77777777" w:rsidR="00EB6EA2" w:rsidRPr="008043B0" w:rsidRDefault="00EB6EA2" w:rsidP="00E81B25">
            <w:pPr>
              <w:pStyle w:val="Sinespaciado"/>
              <w:jc w:val="both"/>
              <w:rPr>
                <w:rFonts w:ascii="Arial" w:hAnsi="Arial" w:cs="Arial"/>
                <w:sz w:val="20"/>
                <w:szCs w:val="20"/>
              </w:rPr>
            </w:pPr>
          </w:p>
        </w:tc>
        <w:tc>
          <w:tcPr>
            <w:tcW w:w="2655" w:type="pct"/>
            <w:tcBorders>
              <w:bottom w:val="nil"/>
            </w:tcBorders>
          </w:tcPr>
          <w:p w14:paraId="75B176D1" w14:textId="77777777" w:rsidR="00EB6EA2" w:rsidRPr="008043B0" w:rsidRDefault="00EB6EA2" w:rsidP="00E81B25">
            <w:pPr>
              <w:pStyle w:val="Sinespaciado"/>
              <w:jc w:val="both"/>
              <w:rPr>
                <w:rFonts w:ascii="Arial" w:hAnsi="Arial" w:cs="Arial"/>
                <w:sz w:val="20"/>
                <w:szCs w:val="20"/>
              </w:rPr>
            </w:pPr>
            <w:r w:rsidRPr="008043B0">
              <w:rPr>
                <w:rFonts w:ascii="Arial" w:hAnsi="Arial" w:cs="Arial"/>
                <w:b/>
                <w:sz w:val="20"/>
                <w:szCs w:val="20"/>
              </w:rPr>
              <w:lastRenderedPageBreak/>
              <w:t xml:space="preserve">Artículo 216-J.- </w:t>
            </w:r>
            <w:r w:rsidRPr="008043B0">
              <w:rPr>
                <w:rFonts w:ascii="Arial" w:hAnsi="Arial" w:cs="Arial"/>
                <w:sz w:val="20"/>
                <w:szCs w:val="20"/>
              </w:rPr>
              <w:t>…</w:t>
            </w:r>
          </w:p>
        </w:tc>
      </w:tr>
      <w:tr w:rsidR="00EB6EA2" w:rsidRPr="003276B3" w14:paraId="489C5271" w14:textId="77777777" w:rsidTr="00E81B25">
        <w:trPr>
          <w:trHeight w:val="53"/>
        </w:trPr>
        <w:tc>
          <w:tcPr>
            <w:tcW w:w="2345" w:type="pct"/>
            <w:tcBorders>
              <w:top w:val="nil"/>
              <w:bottom w:val="nil"/>
            </w:tcBorders>
          </w:tcPr>
          <w:p w14:paraId="0169FABE" w14:textId="77777777" w:rsidR="00EB6EA2" w:rsidRDefault="00EB6EA2" w:rsidP="00E81B25">
            <w:pPr>
              <w:pStyle w:val="Sinespaciado"/>
              <w:jc w:val="both"/>
              <w:rPr>
                <w:rFonts w:ascii="Arial" w:hAnsi="Arial" w:cs="Arial"/>
                <w:sz w:val="20"/>
                <w:szCs w:val="20"/>
              </w:rPr>
            </w:pPr>
            <w:r w:rsidRPr="008043B0">
              <w:rPr>
                <w:rFonts w:ascii="Arial" w:hAnsi="Arial" w:cs="Arial"/>
                <w:sz w:val="20"/>
                <w:szCs w:val="20"/>
              </w:rPr>
              <w:t>Las aportaciones de mejoras, deberán pagarse mediante declaración en la forma oficial aprobada, de manera bimestral, dentro de los diecisiete días siguientes al vencimiento del bimestre que corresponda, a través de depósito al fideicomiso constituido al efecto o a través de los medios autorizados por la Secretaría, debiendo transferirse dichos recursos al fideicomiso en un plazo máximo de 5 días hábiles contados a partir de su recaudación.</w:t>
            </w:r>
          </w:p>
          <w:p w14:paraId="59C4F26F" w14:textId="77777777" w:rsidR="00EB6EA2" w:rsidRPr="008043B0" w:rsidRDefault="00EB6EA2" w:rsidP="00E81B25">
            <w:pPr>
              <w:pStyle w:val="Sinespaciado"/>
              <w:jc w:val="both"/>
              <w:rPr>
                <w:rFonts w:ascii="Arial" w:hAnsi="Arial" w:cs="Arial"/>
                <w:sz w:val="20"/>
                <w:szCs w:val="20"/>
              </w:rPr>
            </w:pPr>
          </w:p>
        </w:tc>
        <w:tc>
          <w:tcPr>
            <w:tcW w:w="2655" w:type="pct"/>
            <w:tcBorders>
              <w:top w:val="nil"/>
              <w:bottom w:val="nil"/>
            </w:tcBorders>
          </w:tcPr>
          <w:p w14:paraId="73957AFE" w14:textId="77777777" w:rsidR="00EB6EA2" w:rsidRPr="008043B0" w:rsidRDefault="00EB6EA2" w:rsidP="00E81B25">
            <w:pPr>
              <w:pStyle w:val="Sinespaciado"/>
              <w:jc w:val="both"/>
              <w:rPr>
                <w:rFonts w:ascii="Arial" w:hAnsi="Arial" w:cs="Arial"/>
                <w:b/>
                <w:sz w:val="20"/>
                <w:szCs w:val="20"/>
              </w:rPr>
            </w:pPr>
            <w:r w:rsidRPr="008043B0">
              <w:rPr>
                <w:rFonts w:ascii="Arial" w:hAnsi="Arial" w:cs="Arial"/>
                <w:b/>
                <w:sz w:val="20"/>
                <w:szCs w:val="20"/>
              </w:rPr>
              <w:t>…</w:t>
            </w:r>
          </w:p>
        </w:tc>
      </w:tr>
      <w:tr w:rsidR="00EB6EA2" w:rsidRPr="003276B3" w14:paraId="48B8119D" w14:textId="77777777" w:rsidTr="00E81B25">
        <w:trPr>
          <w:trHeight w:val="53"/>
        </w:trPr>
        <w:tc>
          <w:tcPr>
            <w:tcW w:w="2345" w:type="pct"/>
            <w:tcBorders>
              <w:top w:val="nil"/>
              <w:bottom w:val="nil"/>
            </w:tcBorders>
          </w:tcPr>
          <w:p w14:paraId="30138FBE" w14:textId="77777777" w:rsidR="00EB6EA2" w:rsidRDefault="00EB6EA2" w:rsidP="00E81B25">
            <w:pPr>
              <w:pStyle w:val="Sinespaciado"/>
              <w:jc w:val="both"/>
              <w:rPr>
                <w:rFonts w:ascii="Arial" w:hAnsi="Arial" w:cs="Arial"/>
                <w:sz w:val="20"/>
                <w:szCs w:val="20"/>
              </w:rPr>
            </w:pPr>
            <w:r w:rsidRPr="008043B0">
              <w:rPr>
                <w:rFonts w:ascii="Arial" w:hAnsi="Arial" w:cs="Arial"/>
                <w:sz w:val="20"/>
                <w:szCs w:val="20"/>
              </w:rPr>
              <w:t>Cuando los municipios o los organismos públicos descentralizados municipales, acumulen dos bimestres sin cubrir el pago referido en el párrafo anterior, la Secretaría notificará y en caso de</w:t>
            </w:r>
            <w:r>
              <w:rPr>
                <w:rFonts w:ascii="Arial" w:hAnsi="Arial" w:cs="Arial"/>
                <w:sz w:val="20"/>
                <w:szCs w:val="20"/>
              </w:rPr>
              <w:t xml:space="preserve"> </w:t>
            </w:r>
            <w:r w:rsidRPr="008043B0">
              <w:rPr>
                <w:rFonts w:ascii="Arial" w:hAnsi="Arial" w:cs="Arial"/>
                <w:sz w:val="20"/>
                <w:szCs w:val="20"/>
              </w:rPr>
              <w:t>no tener respuesta o se realice el pago correspondiente en los 10 (diez) días hábiles siguientes, se retendrá el importe correspondiente de las participaciones de ingresos ministrados por el Gobierno Estatal a que se refieren los incisos A), B) y C) de la fracción II del artículo 219 de este Código, que deban cubrirse al municipio.</w:t>
            </w:r>
          </w:p>
          <w:p w14:paraId="797E4BEE" w14:textId="77777777" w:rsidR="00EB6EA2" w:rsidRPr="008043B0" w:rsidRDefault="00EB6EA2" w:rsidP="00E81B25">
            <w:pPr>
              <w:pStyle w:val="Sinespaciado"/>
              <w:jc w:val="both"/>
              <w:rPr>
                <w:rFonts w:ascii="Arial" w:hAnsi="Arial" w:cs="Arial"/>
                <w:sz w:val="20"/>
                <w:szCs w:val="20"/>
              </w:rPr>
            </w:pPr>
          </w:p>
        </w:tc>
        <w:tc>
          <w:tcPr>
            <w:tcW w:w="2655" w:type="pct"/>
            <w:tcBorders>
              <w:top w:val="nil"/>
              <w:bottom w:val="nil"/>
            </w:tcBorders>
          </w:tcPr>
          <w:p w14:paraId="7D33D67A" w14:textId="77777777" w:rsidR="00EB6EA2" w:rsidRPr="008043B0" w:rsidRDefault="00EB6EA2" w:rsidP="00E81B25">
            <w:pPr>
              <w:pStyle w:val="Sinespaciado"/>
              <w:jc w:val="both"/>
              <w:rPr>
                <w:rFonts w:ascii="Arial" w:hAnsi="Arial" w:cs="Arial"/>
                <w:sz w:val="20"/>
                <w:szCs w:val="20"/>
              </w:rPr>
            </w:pPr>
            <w:r w:rsidRPr="008043B0">
              <w:rPr>
                <w:rFonts w:ascii="Arial" w:hAnsi="Arial" w:cs="Arial"/>
                <w:sz w:val="20"/>
                <w:szCs w:val="20"/>
              </w:rPr>
              <w:t xml:space="preserve">Cuando los municipios o los organismos públicos descentralizados municipales, acumulen dos bimestres sin cubrir el pago referido en el párrafo anterior, la Secretaría notificará y en caso de no tener respuesta o </w:t>
            </w:r>
            <w:r w:rsidRPr="008043B0">
              <w:rPr>
                <w:rFonts w:ascii="Arial" w:hAnsi="Arial" w:cs="Arial"/>
                <w:b/>
                <w:sz w:val="20"/>
                <w:szCs w:val="20"/>
              </w:rPr>
              <w:t>no</w:t>
            </w:r>
            <w:r w:rsidRPr="008043B0">
              <w:rPr>
                <w:rFonts w:ascii="Arial" w:hAnsi="Arial" w:cs="Arial"/>
                <w:sz w:val="20"/>
                <w:szCs w:val="20"/>
              </w:rPr>
              <w:t xml:space="preserve"> se realice el pago correspondiente en los 10 (diez) días hábiles siguientes, </w:t>
            </w:r>
            <w:r w:rsidRPr="008043B0">
              <w:rPr>
                <w:rFonts w:ascii="Arial" w:hAnsi="Arial" w:cs="Arial"/>
                <w:b/>
                <w:sz w:val="20"/>
                <w:szCs w:val="20"/>
              </w:rPr>
              <w:t>la Secretaría</w:t>
            </w:r>
            <w:r w:rsidRPr="008043B0">
              <w:rPr>
                <w:rFonts w:ascii="Arial" w:hAnsi="Arial" w:cs="Arial"/>
                <w:sz w:val="20"/>
                <w:szCs w:val="20"/>
              </w:rPr>
              <w:t xml:space="preserve"> retendrá </w:t>
            </w:r>
            <w:r w:rsidRPr="008043B0">
              <w:rPr>
                <w:rFonts w:ascii="Arial" w:hAnsi="Arial" w:cs="Arial"/>
                <w:b/>
                <w:sz w:val="20"/>
                <w:szCs w:val="20"/>
              </w:rPr>
              <w:t>sin dilación</w:t>
            </w:r>
            <w:r w:rsidRPr="008043B0">
              <w:rPr>
                <w:rFonts w:ascii="Arial" w:hAnsi="Arial" w:cs="Arial"/>
                <w:sz w:val="20"/>
                <w:szCs w:val="20"/>
              </w:rPr>
              <w:t xml:space="preserve"> el importe correspondiente de las participaciones de ingresos ministrados por el Gobierno Estatal a que se refieren los incisos A), B) y C) de la fracción II del artículo 219 de este Código, que deban cubrirse al municipio.</w:t>
            </w:r>
          </w:p>
        </w:tc>
      </w:tr>
      <w:tr w:rsidR="00EB6EA2" w:rsidRPr="003276B3" w14:paraId="05B4D41F" w14:textId="77777777" w:rsidTr="00E81B25">
        <w:trPr>
          <w:trHeight w:val="53"/>
        </w:trPr>
        <w:tc>
          <w:tcPr>
            <w:tcW w:w="2345" w:type="pct"/>
            <w:tcBorders>
              <w:top w:val="nil"/>
            </w:tcBorders>
          </w:tcPr>
          <w:p w14:paraId="58888149" w14:textId="77777777" w:rsidR="00EB6EA2" w:rsidRPr="008043B0" w:rsidRDefault="00EB6EA2" w:rsidP="00E81B25">
            <w:pPr>
              <w:pStyle w:val="Sinespaciado"/>
              <w:jc w:val="both"/>
              <w:rPr>
                <w:rFonts w:ascii="Arial" w:hAnsi="Arial" w:cs="Arial"/>
                <w:sz w:val="20"/>
                <w:szCs w:val="20"/>
              </w:rPr>
            </w:pPr>
            <w:r w:rsidRPr="008043B0">
              <w:rPr>
                <w:rFonts w:ascii="Arial" w:hAnsi="Arial" w:cs="Arial"/>
                <w:sz w:val="20"/>
                <w:szCs w:val="20"/>
              </w:rPr>
              <w:t>En caso de incumplimiento, la Secretaría podrá determinar el monto de las aportaciones por servicios ambientales correspondiente, multiplicando el volumen de</w:t>
            </w:r>
            <w:r w:rsidRPr="008043B0">
              <w:rPr>
                <w:rFonts w:ascii="Arial" w:hAnsi="Arial" w:cs="Arial"/>
                <w:b/>
                <w:sz w:val="20"/>
                <w:szCs w:val="20"/>
              </w:rPr>
              <w:t xml:space="preserve"> </w:t>
            </w:r>
            <w:r w:rsidRPr="008043B0">
              <w:rPr>
                <w:rFonts w:ascii="Arial" w:hAnsi="Arial" w:cs="Arial"/>
                <w:sz w:val="20"/>
                <w:szCs w:val="20"/>
              </w:rPr>
              <w:t>agua establecido en la base de datos del Registro Público de Derechos de Agua de la Comisión Nacional del Agua, o bien, el reportado por la Comisión del Agua del Estado de México, por las tarifas de los aprovechamientos y derechos por concepto de suministro de agua en bloque de las Comisiones antes mencionadas, según corresponda.</w:t>
            </w:r>
          </w:p>
        </w:tc>
        <w:tc>
          <w:tcPr>
            <w:tcW w:w="2655" w:type="pct"/>
            <w:tcBorders>
              <w:top w:val="nil"/>
            </w:tcBorders>
          </w:tcPr>
          <w:p w14:paraId="07D4B1C7" w14:textId="77777777" w:rsidR="00EB6EA2" w:rsidRPr="008043B0" w:rsidRDefault="00EB6EA2" w:rsidP="00E81B25">
            <w:pPr>
              <w:pStyle w:val="Sinespaciado"/>
              <w:jc w:val="both"/>
              <w:rPr>
                <w:rFonts w:ascii="Arial" w:hAnsi="Arial" w:cs="Arial"/>
                <w:sz w:val="20"/>
                <w:szCs w:val="20"/>
              </w:rPr>
            </w:pPr>
            <w:r w:rsidRPr="008043B0">
              <w:rPr>
                <w:rFonts w:ascii="Arial" w:hAnsi="Arial" w:cs="Arial"/>
                <w:sz w:val="20"/>
                <w:szCs w:val="20"/>
              </w:rPr>
              <w:t>…</w:t>
            </w:r>
          </w:p>
        </w:tc>
      </w:tr>
    </w:tbl>
    <w:p w14:paraId="053A5EEA" w14:textId="77777777" w:rsidR="00EB6EA2" w:rsidRPr="003276B3" w:rsidRDefault="00EB6EA2" w:rsidP="00EB6EA2">
      <w:pPr>
        <w:spacing w:after="0" w:line="360" w:lineRule="auto"/>
        <w:jc w:val="both"/>
        <w:rPr>
          <w:rFonts w:ascii="Arial" w:eastAsia="Arial" w:hAnsi="Arial" w:cs="Arial"/>
          <w:color w:val="000000"/>
          <w:sz w:val="24"/>
          <w:szCs w:val="24"/>
        </w:rPr>
      </w:pPr>
    </w:p>
    <w:p w14:paraId="2B57EC95" w14:textId="77777777" w:rsidR="00EB6EA2" w:rsidRDefault="00EB6EA2" w:rsidP="00EB6EA2">
      <w:pPr>
        <w:spacing w:after="0" w:line="360" w:lineRule="auto"/>
        <w:jc w:val="both"/>
        <w:rPr>
          <w:rFonts w:ascii="Arial" w:eastAsia="Arial" w:hAnsi="Arial" w:cs="Arial"/>
          <w:color w:val="000000"/>
          <w:sz w:val="24"/>
          <w:szCs w:val="24"/>
        </w:rPr>
      </w:pPr>
      <w:r w:rsidRPr="0019717E">
        <w:rPr>
          <w:rFonts w:ascii="Arial" w:eastAsia="Arial" w:hAnsi="Arial" w:cs="Arial"/>
          <w:color w:val="000000"/>
          <w:sz w:val="24"/>
          <w:szCs w:val="24"/>
        </w:rPr>
        <w:t>En el Grupo Parlamentario del Partido Verde Ecologista de México estamos convencidos de que la protección de los bosques constituye una prioridad para garantizar el derecho de las presentes y futuras generaciones a un medio ambiente sano. La conservación del patrimonio forestal exige fortalecer los mecanismos que aseguren el financiamiento de las políticas públicas destinadas a preservar los servicios ambientales que los ecosistemas brindan a la población.</w:t>
      </w:r>
    </w:p>
    <w:p w14:paraId="671BE518" w14:textId="77777777" w:rsidR="00EB6EA2" w:rsidRDefault="00EB6EA2" w:rsidP="00EB6EA2">
      <w:pPr>
        <w:spacing w:after="0" w:line="360" w:lineRule="auto"/>
        <w:jc w:val="both"/>
        <w:rPr>
          <w:rFonts w:ascii="Arial" w:eastAsia="Arial" w:hAnsi="Arial" w:cs="Arial"/>
          <w:color w:val="000000"/>
          <w:sz w:val="24"/>
          <w:szCs w:val="24"/>
        </w:rPr>
      </w:pPr>
    </w:p>
    <w:p w14:paraId="3430C92C" w14:textId="77777777" w:rsidR="00EB6EA2" w:rsidRDefault="00EB6EA2" w:rsidP="00EB6EA2">
      <w:pPr>
        <w:spacing w:after="0" w:line="360" w:lineRule="auto"/>
        <w:jc w:val="both"/>
        <w:rPr>
          <w:rFonts w:ascii="Arial" w:hAnsi="Arial" w:cs="Arial"/>
          <w:bCs/>
          <w:sz w:val="24"/>
          <w:szCs w:val="24"/>
        </w:rPr>
      </w:pPr>
      <w:r w:rsidRPr="003276B3">
        <w:rPr>
          <w:rFonts w:ascii="Arial" w:eastAsia="Arial" w:hAnsi="Arial" w:cs="Arial"/>
          <w:color w:val="000000"/>
          <w:sz w:val="24"/>
          <w:szCs w:val="24"/>
        </w:rPr>
        <w:t xml:space="preserve">Por lo anteriormente expuesto, fundamentado y motivado, se somete a la consideración de esta H. Congreso para su análisis, discusión y en su caso aprobación, la presente: </w:t>
      </w:r>
      <w:r w:rsidRPr="00067A7D">
        <w:rPr>
          <w:rFonts w:ascii="Arial" w:hAnsi="Arial" w:cs="Arial"/>
          <w:b/>
          <w:bCs/>
          <w:sz w:val="24"/>
          <w:szCs w:val="24"/>
        </w:rPr>
        <w:t xml:space="preserve">INICIATIVA CON PROYECTO DE DECRETO POR EL QUE </w:t>
      </w:r>
      <w:r w:rsidRPr="00D459DC">
        <w:rPr>
          <w:rFonts w:ascii="Arial" w:hAnsi="Arial" w:cs="Arial"/>
          <w:b/>
          <w:bCs/>
          <w:sz w:val="24"/>
          <w:szCs w:val="24"/>
        </w:rPr>
        <w:t>SE REFORMA EL PÁRRAFO TERCERO DEL ARTÍCULO 216-J DEL CÓDIGO FINANCIERO DEL ESTADO DE MÉXICO</w:t>
      </w:r>
      <w:r w:rsidRPr="00714D01">
        <w:rPr>
          <w:rFonts w:ascii="Arial" w:hAnsi="Arial" w:cs="Arial"/>
          <w:bCs/>
          <w:sz w:val="24"/>
          <w:szCs w:val="24"/>
        </w:rPr>
        <w:t xml:space="preserve"> para que, de</w:t>
      </w:r>
      <w:r>
        <w:rPr>
          <w:rFonts w:ascii="Arial" w:hAnsi="Arial" w:cs="Arial"/>
          <w:bCs/>
          <w:sz w:val="24"/>
          <w:szCs w:val="24"/>
        </w:rPr>
        <w:t xml:space="preserve"> estimarse procedente, se apruebe en sus términos. </w:t>
      </w:r>
    </w:p>
    <w:p w14:paraId="4EA275B3" w14:textId="77777777" w:rsidR="00EB6EA2" w:rsidRPr="00C230B9" w:rsidRDefault="00EB6EA2" w:rsidP="00EB6EA2">
      <w:pPr>
        <w:spacing w:after="0" w:line="360" w:lineRule="auto"/>
        <w:jc w:val="both"/>
        <w:rPr>
          <w:rFonts w:ascii="Arial" w:eastAsia="Arial" w:hAnsi="Arial" w:cs="Arial"/>
          <w:sz w:val="24"/>
          <w:szCs w:val="24"/>
        </w:rPr>
      </w:pPr>
    </w:p>
    <w:p w14:paraId="498A3044" w14:textId="77777777" w:rsidR="00EB6EA2" w:rsidRDefault="00EB6EA2" w:rsidP="00EB6EA2">
      <w:pPr>
        <w:spacing w:after="0" w:line="360" w:lineRule="auto"/>
        <w:jc w:val="center"/>
        <w:rPr>
          <w:rFonts w:ascii="Arial" w:eastAsia="Arial" w:hAnsi="Arial" w:cs="Arial"/>
          <w:b/>
          <w:sz w:val="24"/>
          <w:szCs w:val="24"/>
        </w:rPr>
      </w:pPr>
      <w:r>
        <w:rPr>
          <w:rFonts w:ascii="Arial" w:eastAsia="Arial" w:hAnsi="Arial" w:cs="Arial"/>
          <w:b/>
          <w:sz w:val="24"/>
          <w:szCs w:val="24"/>
        </w:rPr>
        <w:t>A T E N T A M E N T E</w:t>
      </w:r>
    </w:p>
    <w:p w14:paraId="556A6B2E" w14:textId="77777777" w:rsidR="00EB6EA2" w:rsidRDefault="00EB6EA2" w:rsidP="00EB6EA2">
      <w:pPr>
        <w:spacing w:after="0" w:line="360" w:lineRule="auto"/>
        <w:jc w:val="center"/>
        <w:rPr>
          <w:rFonts w:ascii="Arial" w:eastAsia="Arial" w:hAnsi="Arial" w:cs="Arial"/>
          <w:b/>
          <w:sz w:val="24"/>
          <w:szCs w:val="24"/>
        </w:rPr>
      </w:pPr>
    </w:p>
    <w:p w14:paraId="6E9EB2AD" w14:textId="77777777" w:rsidR="00EB6EA2" w:rsidRDefault="00EB6EA2" w:rsidP="00EB6EA2">
      <w:pPr>
        <w:spacing w:after="0" w:line="360" w:lineRule="auto"/>
        <w:jc w:val="center"/>
        <w:rPr>
          <w:rFonts w:ascii="Arial" w:eastAsia="Arial" w:hAnsi="Arial" w:cs="Arial"/>
          <w:b/>
          <w:sz w:val="24"/>
          <w:szCs w:val="24"/>
        </w:rPr>
      </w:pPr>
      <w:r>
        <w:rPr>
          <w:rFonts w:ascii="Arial" w:eastAsia="Arial" w:hAnsi="Arial" w:cs="Arial"/>
          <w:b/>
          <w:sz w:val="24"/>
          <w:szCs w:val="24"/>
        </w:rPr>
        <w:t>DIP. JOSÉ ALBERTO COUTTOLENC BUENTELLO</w:t>
      </w:r>
    </w:p>
    <w:p w14:paraId="5939976C" w14:textId="77777777" w:rsidR="00EB6EA2" w:rsidRDefault="00EB6EA2" w:rsidP="00EB6EA2">
      <w:pPr>
        <w:spacing w:after="0" w:line="360" w:lineRule="auto"/>
        <w:jc w:val="center"/>
        <w:rPr>
          <w:rFonts w:ascii="Arial" w:eastAsia="Arial" w:hAnsi="Arial" w:cs="Arial"/>
          <w:sz w:val="24"/>
          <w:szCs w:val="24"/>
        </w:rPr>
      </w:pPr>
      <w:r>
        <w:rPr>
          <w:rFonts w:ascii="Arial" w:eastAsia="Arial" w:hAnsi="Arial" w:cs="Arial"/>
          <w:sz w:val="24"/>
          <w:szCs w:val="24"/>
        </w:rPr>
        <w:t>COORDINADOR DEL GRUPO PARLAMENTARIO DEL</w:t>
      </w:r>
    </w:p>
    <w:p w14:paraId="1172FEC0" w14:textId="77777777" w:rsidR="00EB6EA2" w:rsidRPr="008043B0" w:rsidRDefault="00EB6EA2" w:rsidP="00EB6EA2">
      <w:pPr>
        <w:spacing w:after="0" w:line="360" w:lineRule="auto"/>
        <w:jc w:val="center"/>
        <w:rPr>
          <w:rFonts w:ascii="Arial" w:eastAsia="Arial" w:hAnsi="Arial" w:cs="Arial"/>
          <w:sz w:val="24"/>
          <w:szCs w:val="24"/>
        </w:rPr>
      </w:pPr>
      <w:r>
        <w:rPr>
          <w:rFonts w:ascii="Arial" w:eastAsia="Arial" w:hAnsi="Arial" w:cs="Arial"/>
          <w:sz w:val="24"/>
          <w:szCs w:val="24"/>
        </w:rPr>
        <w:t>PARTIDO VERDE ECOLOGISTA DE MÉXICO</w:t>
      </w:r>
    </w:p>
    <w:p w14:paraId="6F7E576A" w14:textId="77777777" w:rsidR="007C2F7B" w:rsidRDefault="007C2F7B" w:rsidP="00811E1D">
      <w:pPr>
        <w:spacing w:after="0" w:line="360" w:lineRule="auto"/>
        <w:rPr>
          <w:rFonts w:ascii="Arial" w:eastAsia="Arial" w:hAnsi="Arial" w:cs="Arial"/>
          <w:b/>
          <w:sz w:val="24"/>
          <w:szCs w:val="24"/>
        </w:rPr>
      </w:pPr>
    </w:p>
    <w:p w14:paraId="3AD33F70" w14:textId="77777777" w:rsidR="00EB6EA2" w:rsidRDefault="00EB6EA2" w:rsidP="00811E1D">
      <w:pPr>
        <w:spacing w:after="0" w:line="360" w:lineRule="auto"/>
        <w:rPr>
          <w:rFonts w:ascii="Arial" w:eastAsia="Arial" w:hAnsi="Arial" w:cs="Arial"/>
          <w:b/>
          <w:sz w:val="24"/>
          <w:szCs w:val="24"/>
        </w:rPr>
      </w:pPr>
    </w:p>
    <w:p w14:paraId="005648F8" w14:textId="77777777" w:rsidR="00EB6EA2" w:rsidRDefault="00EB6EA2" w:rsidP="00811E1D">
      <w:pPr>
        <w:spacing w:after="0" w:line="360" w:lineRule="auto"/>
        <w:rPr>
          <w:rFonts w:ascii="Arial" w:eastAsia="Arial" w:hAnsi="Arial" w:cs="Arial"/>
          <w:b/>
          <w:sz w:val="24"/>
          <w:szCs w:val="24"/>
        </w:rPr>
      </w:pPr>
    </w:p>
    <w:p w14:paraId="13E00D9A" w14:textId="77777777" w:rsidR="00EB6EA2" w:rsidRDefault="00EB6EA2" w:rsidP="00811E1D">
      <w:pPr>
        <w:spacing w:after="0" w:line="360" w:lineRule="auto"/>
        <w:rPr>
          <w:rFonts w:ascii="Arial" w:eastAsia="Arial" w:hAnsi="Arial" w:cs="Arial"/>
          <w:b/>
          <w:sz w:val="24"/>
          <w:szCs w:val="24"/>
        </w:rPr>
      </w:pPr>
    </w:p>
    <w:p w14:paraId="7E208551" w14:textId="77777777" w:rsidR="00EB6EA2" w:rsidRDefault="00EB6EA2" w:rsidP="00811E1D">
      <w:pPr>
        <w:spacing w:after="0" w:line="360" w:lineRule="auto"/>
        <w:rPr>
          <w:rFonts w:ascii="Arial" w:eastAsia="Arial" w:hAnsi="Arial" w:cs="Arial"/>
          <w:b/>
          <w:sz w:val="24"/>
          <w:szCs w:val="24"/>
        </w:rPr>
      </w:pPr>
    </w:p>
    <w:p w14:paraId="7250706C" w14:textId="77777777" w:rsidR="00EB6EA2" w:rsidRDefault="00EB6EA2" w:rsidP="00811E1D">
      <w:pPr>
        <w:spacing w:after="0" w:line="360" w:lineRule="auto"/>
        <w:rPr>
          <w:rFonts w:ascii="Arial" w:eastAsia="Arial" w:hAnsi="Arial" w:cs="Arial"/>
          <w:b/>
          <w:sz w:val="24"/>
          <w:szCs w:val="24"/>
        </w:rPr>
      </w:pPr>
    </w:p>
    <w:p w14:paraId="7BC651CF" w14:textId="77777777" w:rsidR="00EB6EA2" w:rsidRDefault="00EB6EA2" w:rsidP="00811E1D">
      <w:pPr>
        <w:spacing w:after="0" w:line="360" w:lineRule="auto"/>
        <w:rPr>
          <w:rFonts w:ascii="Arial" w:eastAsia="Arial" w:hAnsi="Arial" w:cs="Arial"/>
          <w:b/>
          <w:sz w:val="24"/>
          <w:szCs w:val="24"/>
        </w:rPr>
      </w:pPr>
    </w:p>
    <w:p w14:paraId="0B99BCE3" w14:textId="77777777" w:rsidR="00EB6EA2" w:rsidRDefault="00EB6EA2" w:rsidP="00811E1D">
      <w:pPr>
        <w:spacing w:after="0" w:line="360" w:lineRule="auto"/>
        <w:rPr>
          <w:rFonts w:ascii="Arial" w:eastAsia="Arial" w:hAnsi="Arial" w:cs="Arial"/>
          <w:b/>
          <w:sz w:val="24"/>
          <w:szCs w:val="24"/>
        </w:rPr>
      </w:pPr>
    </w:p>
    <w:p w14:paraId="4C49A0E5" w14:textId="77777777" w:rsidR="00EB6EA2" w:rsidRDefault="00EB6EA2" w:rsidP="00811E1D">
      <w:pPr>
        <w:spacing w:after="0" w:line="360" w:lineRule="auto"/>
        <w:rPr>
          <w:rFonts w:ascii="Arial" w:eastAsia="Arial" w:hAnsi="Arial" w:cs="Arial"/>
          <w:b/>
          <w:sz w:val="24"/>
          <w:szCs w:val="24"/>
        </w:rPr>
      </w:pPr>
    </w:p>
    <w:p w14:paraId="1B85BEDC" w14:textId="77777777" w:rsidR="00EB6EA2" w:rsidRDefault="00EB6EA2" w:rsidP="00811E1D">
      <w:pPr>
        <w:spacing w:after="0" w:line="360" w:lineRule="auto"/>
        <w:rPr>
          <w:rFonts w:ascii="Arial" w:eastAsia="Arial" w:hAnsi="Arial" w:cs="Arial"/>
          <w:b/>
          <w:sz w:val="24"/>
          <w:szCs w:val="24"/>
        </w:rPr>
      </w:pPr>
    </w:p>
    <w:p w14:paraId="5F125411" w14:textId="77777777" w:rsidR="00EB6EA2" w:rsidRDefault="00EB6EA2" w:rsidP="00811E1D">
      <w:pPr>
        <w:spacing w:after="0" w:line="360" w:lineRule="auto"/>
        <w:rPr>
          <w:rFonts w:ascii="Arial" w:eastAsia="Arial" w:hAnsi="Arial" w:cs="Arial"/>
          <w:b/>
          <w:sz w:val="24"/>
          <w:szCs w:val="24"/>
        </w:rPr>
      </w:pPr>
    </w:p>
    <w:p w14:paraId="1602C128" w14:textId="77777777" w:rsidR="00EB6EA2" w:rsidRDefault="00EB6EA2" w:rsidP="00811E1D">
      <w:pPr>
        <w:spacing w:after="0" w:line="360" w:lineRule="auto"/>
        <w:rPr>
          <w:rFonts w:ascii="Arial" w:eastAsia="Arial" w:hAnsi="Arial" w:cs="Arial"/>
          <w:b/>
          <w:sz w:val="24"/>
          <w:szCs w:val="24"/>
        </w:rPr>
      </w:pPr>
    </w:p>
    <w:p w14:paraId="0996729F" w14:textId="77777777" w:rsidR="00EB6EA2" w:rsidRDefault="00EB6EA2" w:rsidP="00811E1D">
      <w:pPr>
        <w:spacing w:after="0" w:line="360" w:lineRule="auto"/>
        <w:rPr>
          <w:rFonts w:ascii="Arial" w:eastAsia="Arial" w:hAnsi="Arial" w:cs="Arial"/>
          <w:b/>
          <w:sz w:val="24"/>
          <w:szCs w:val="24"/>
        </w:rPr>
      </w:pPr>
    </w:p>
    <w:p w14:paraId="0D1B7DE5" w14:textId="77777777" w:rsidR="00EB6EA2" w:rsidRDefault="00EB6EA2" w:rsidP="00811E1D">
      <w:pPr>
        <w:spacing w:after="0" w:line="360" w:lineRule="auto"/>
        <w:rPr>
          <w:rFonts w:ascii="Arial" w:eastAsia="Arial" w:hAnsi="Arial" w:cs="Arial"/>
          <w:b/>
          <w:sz w:val="24"/>
          <w:szCs w:val="24"/>
        </w:rPr>
      </w:pPr>
    </w:p>
    <w:p w14:paraId="4F9140B4" w14:textId="77777777" w:rsidR="00EB6EA2" w:rsidRDefault="00EB6EA2" w:rsidP="00811E1D">
      <w:pPr>
        <w:spacing w:after="0" w:line="360" w:lineRule="auto"/>
        <w:rPr>
          <w:rFonts w:ascii="Arial" w:eastAsia="Arial" w:hAnsi="Arial" w:cs="Arial"/>
          <w:b/>
          <w:sz w:val="24"/>
          <w:szCs w:val="24"/>
        </w:rPr>
      </w:pPr>
    </w:p>
    <w:p w14:paraId="5AAB67C1" w14:textId="77777777" w:rsidR="00EB6EA2" w:rsidRDefault="00EB6EA2" w:rsidP="00811E1D">
      <w:pPr>
        <w:spacing w:after="0" w:line="360" w:lineRule="auto"/>
        <w:rPr>
          <w:rFonts w:ascii="Arial" w:eastAsia="Arial" w:hAnsi="Arial" w:cs="Arial"/>
          <w:b/>
          <w:sz w:val="24"/>
          <w:szCs w:val="24"/>
        </w:rPr>
      </w:pPr>
    </w:p>
    <w:p w14:paraId="43F27304" w14:textId="77777777" w:rsidR="00EB6EA2" w:rsidRDefault="00EB6EA2" w:rsidP="00811E1D">
      <w:pPr>
        <w:spacing w:after="0" w:line="360" w:lineRule="auto"/>
        <w:rPr>
          <w:rFonts w:ascii="Arial" w:eastAsia="Arial" w:hAnsi="Arial" w:cs="Arial"/>
          <w:b/>
          <w:sz w:val="24"/>
          <w:szCs w:val="24"/>
        </w:rPr>
      </w:pPr>
    </w:p>
    <w:p w14:paraId="76E1C965" w14:textId="77777777" w:rsidR="007C2F7B" w:rsidRDefault="007C2F7B" w:rsidP="00811E1D">
      <w:pPr>
        <w:spacing w:after="0" w:line="360" w:lineRule="auto"/>
        <w:rPr>
          <w:rFonts w:ascii="Arial" w:eastAsia="Arial" w:hAnsi="Arial" w:cs="Arial"/>
          <w:b/>
          <w:sz w:val="24"/>
          <w:szCs w:val="24"/>
        </w:rPr>
      </w:pPr>
    </w:p>
    <w:p w14:paraId="29DA3525" w14:textId="5CEC78C3" w:rsidR="00811E1D" w:rsidRDefault="00811E1D" w:rsidP="00811E1D">
      <w:pPr>
        <w:spacing w:after="0" w:line="360" w:lineRule="auto"/>
        <w:rPr>
          <w:rFonts w:ascii="Arial" w:eastAsia="Arial" w:hAnsi="Arial" w:cs="Arial"/>
          <w:b/>
          <w:sz w:val="24"/>
          <w:szCs w:val="24"/>
        </w:rPr>
      </w:pPr>
      <w:r>
        <w:rPr>
          <w:rFonts w:ascii="Arial" w:eastAsia="Arial" w:hAnsi="Arial" w:cs="Arial"/>
          <w:b/>
          <w:sz w:val="24"/>
          <w:szCs w:val="24"/>
        </w:rPr>
        <w:lastRenderedPageBreak/>
        <w:t>DECRETO NÚMERO</w:t>
      </w:r>
    </w:p>
    <w:p w14:paraId="333582EA" w14:textId="77777777" w:rsidR="00811E1D" w:rsidRDefault="00811E1D" w:rsidP="00811E1D">
      <w:pPr>
        <w:spacing w:after="0" w:line="360" w:lineRule="auto"/>
        <w:jc w:val="both"/>
        <w:rPr>
          <w:rFonts w:ascii="Arial" w:eastAsia="Arial" w:hAnsi="Arial" w:cs="Arial"/>
          <w:b/>
          <w:sz w:val="24"/>
          <w:szCs w:val="24"/>
        </w:rPr>
      </w:pPr>
      <w:r>
        <w:rPr>
          <w:rFonts w:ascii="Arial" w:eastAsia="Arial" w:hAnsi="Arial" w:cs="Arial"/>
          <w:b/>
          <w:sz w:val="24"/>
          <w:szCs w:val="24"/>
        </w:rPr>
        <w:t>LA LXII LEGISLATURA DEL ESTADO DE MÉXICO</w:t>
      </w:r>
    </w:p>
    <w:p w14:paraId="26EC26DF" w14:textId="77777777" w:rsidR="00811E1D" w:rsidRDefault="00811E1D" w:rsidP="00811E1D">
      <w:pPr>
        <w:spacing w:after="0" w:line="360" w:lineRule="auto"/>
        <w:jc w:val="both"/>
        <w:rPr>
          <w:rFonts w:ascii="Arial" w:eastAsia="Arial" w:hAnsi="Arial" w:cs="Arial"/>
          <w:b/>
          <w:sz w:val="24"/>
          <w:szCs w:val="24"/>
        </w:rPr>
      </w:pPr>
      <w:r>
        <w:rPr>
          <w:rFonts w:ascii="Arial" w:eastAsia="Arial" w:hAnsi="Arial" w:cs="Arial"/>
          <w:b/>
          <w:sz w:val="24"/>
          <w:szCs w:val="24"/>
        </w:rPr>
        <w:t>DECRETA:</w:t>
      </w:r>
    </w:p>
    <w:p w14:paraId="1E4A84BC" w14:textId="77777777" w:rsidR="00811E1D" w:rsidRPr="00F06D15" w:rsidRDefault="00811E1D" w:rsidP="00811E1D">
      <w:pPr>
        <w:jc w:val="both"/>
        <w:rPr>
          <w:rFonts w:ascii="Arial" w:hAnsi="Arial" w:cs="Arial"/>
          <w:b/>
          <w:sz w:val="24"/>
          <w:szCs w:val="24"/>
        </w:rPr>
      </w:pPr>
    </w:p>
    <w:p w14:paraId="3133B7DA" w14:textId="71E328EC" w:rsidR="00654363" w:rsidRDefault="00654363" w:rsidP="00654363">
      <w:pPr>
        <w:pStyle w:val="Sinespaciado"/>
        <w:spacing w:line="360" w:lineRule="auto"/>
        <w:jc w:val="both"/>
        <w:rPr>
          <w:rFonts w:ascii="Arial" w:hAnsi="Arial" w:cs="Arial"/>
          <w:sz w:val="24"/>
        </w:rPr>
      </w:pPr>
      <w:r w:rsidRPr="008D344A">
        <w:rPr>
          <w:rFonts w:ascii="Arial" w:hAnsi="Arial" w:cs="Arial"/>
          <w:b/>
          <w:sz w:val="24"/>
        </w:rPr>
        <w:t>ÚNICO</w:t>
      </w:r>
      <w:r w:rsidRPr="008D344A">
        <w:rPr>
          <w:rFonts w:ascii="Arial" w:hAnsi="Arial" w:cs="Arial"/>
          <w:sz w:val="24"/>
        </w:rPr>
        <w:t>. Se</w:t>
      </w:r>
      <w:r>
        <w:rPr>
          <w:rFonts w:ascii="Arial" w:hAnsi="Arial" w:cs="Arial"/>
          <w:sz w:val="24"/>
        </w:rPr>
        <w:t xml:space="preserve"> reforma el párrafo tercero del a</w:t>
      </w:r>
      <w:r w:rsidRPr="000F37D5">
        <w:rPr>
          <w:rFonts w:ascii="Arial" w:hAnsi="Arial" w:cs="Arial"/>
          <w:sz w:val="24"/>
        </w:rPr>
        <w:t>rtículo 216-J</w:t>
      </w:r>
      <w:r>
        <w:rPr>
          <w:rFonts w:ascii="Arial" w:hAnsi="Arial" w:cs="Arial"/>
          <w:sz w:val="24"/>
        </w:rPr>
        <w:t xml:space="preserve"> del Código Financiero del Estado de México</w:t>
      </w:r>
      <w:r w:rsidR="002218E2">
        <w:rPr>
          <w:rFonts w:ascii="Arial" w:hAnsi="Arial" w:cs="Arial"/>
          <w:sz w:val="24"/>
        </w:rPr>
        <w:t xml:space="preserve"> y Municipios</w:t>
      </w:r>
      <w:r>
        <w:rPr>
          <w:rFonts w:ascii="Arial" w:hAnsi="Arial" w:cs="Arial"/>
          <w:sz w:val="24"/>
        </w:rPr>
        <w:t xml:space="preserve">, para quedar como sigue: </w:t>
      </w:r>
    </w:p>
    <w:p w14:paraId="2820E776" w14:textId="77777777" w:rsidR="00654363" w:rsidRDefault="00654363" w:rsidP="00654363">
      <w:pPr>
        <w:pStyle w:val="Sinespaciado"/>
        <w:spacing w:line="360" w:lineRule="auto"/>
        <w:jc w:val="both"/>
        <w:rPr>
          <w:rFonts w:ascii="Arial" w:hAnsi="Arial" w:cs="Arial"/>
          <w:sz w:val="24"/>
        </w:rPr>
      </w:pPr>
    </w:p>
    <w:p w14:paraId="115C555D" w14:textId="77777777" w:rsidR="00654363" w:rsidRDefault="00654363" w:rsidP="00654363">
      <w:pPr>
        <w:pStyle w:val="Sinespaciado"/>
        <w:spacing w:line="360" w:lineRule="auto"/>
        <w:jc w:val="both"/>
        <w:rPr>
          <w:rFonts w:ascii="Arial" w:hAnsi="Arial" w:cs="Arial"/>
          <w:sz w:val="24"/>
        </w:rPr>
      </w:pPr>
      <w:r w:rsidRPr="000F37D5">
        <w:rPr>
          <w:rFonts w:ascii="Arial" w:hAnsi="Arial" w:cs="Arial"/>
          <w:b/>
          <w:sz w:val="24"/>
        </w:rPr>
        <w:t>Artículo 216-J</w:t>
      </w:r>
      <w:r>
        <w:rPr>
          <w:rFonts w:ascii="Arial" w:hAnsi="Arial" w:cs="Arial"/>
          <w:sz w:val="24"/>
        </w:rPr>
        <w:t>.- …</w:t>
      </w:r>
    </w:p>
    <w:p w14:paraId="1E438CCE" w14:textId="77777777" w:rsidR="00654363" w:rsidRDefault="00654363" w:rsidP="00654363">
      <w:pPr>
        <w:pStyle w:val="Sinespaciado"/>
        <w:spacing w:line="360" w:lineRule="auto"/>
        <w:jc w:val="both"/>
        <w:rPr>
          <w:rFonts w:ascii="Arial" w:hAnsi="Arial" w:cs="Arial"/>
          <w:sz w:val="24"/>
        </w:rPr>
      </w:pPr>
    </w:p>
    <w:p w14:paraId="207D8145" w14:textId="77777777" w:rsidR="00654363" w:rsidRDefault="00654363" w:rsidP="00654363">
      <w:pPr>
        <w:pStyle w:val="Sinespaciado"/>
        <w:spacing w:line="360" w:lineRule="auto"/>
        <w:jc w:val="both"/>
        <w:rPr>
          <w:rFonts w:ascii="Arial" w:hAnsi="Arial" w:cs="Arial"/>
          <w:sz w:val="24"/>
        </w:rPr>
      </w:pPr>
      <w:r>
        <w:rPr>
          <w:rFonts w:ascii="Arial" w:hAnsi="Arial" w:cs="Arial"/>
          <w:sz w:val="24"/>
        </w:rPr>
        <w:t>…</w:t>
      </w:r>
    </w:p>
    <w:p w14:paraId="09D50405" w14:textId="77777777" w:rsidR="00654363" w:rsidRDefault="00654363" w:rsidP="00654363">
      <w:pPr>
        <w:pStyle w:val="Sinespaciado"/>
        <w:spacing w:line="360" w:lineRule="auto"/>
        <w:jc w:val="both"/>
        <w:rPr>
          <w:rFonts w:ascii="Arial" w:hAnsi="Arial" w:cs="Arial"/>
          <w:sz w:val="24"/>
        </w:rPr>
      </w:pPr>
    </w:p>
    <w:p w14:paraId="4C07E006" w14:textId="77777777" w:rsidR="00654363" w:rsidRPr="00C960CE" w:rsidRDefault="00654363" w:rsidP="00654363">
      <w:pPr>
        <w:pStyle w:val="Sinespaciado"/>
        <w:spacing w:line="360" w:lineRule="auto"/>
        <w:jc w:val="both"/>
        <w:rPr>
          <w:rFonts w:ascii="Arial" w:hAnsi="Arial" w:cs="Arial"/>
          <w:sz w:val="24"/>
        </w:rPr>
      </w:pPr>
      <w:r w:rsidRPr="00C960CE">
        <w:rPr>
          <w:rFonts w:ascii="Arial" w:hAnsi="Arial" w:cs="Arial"/>
          <w:sz w:val="24"/>
        </w:rPr>
        <w:t xml:space="preserve">Cuando los municipios o los organismos públicos descentralizados municipales, acumulen dos bimestres sin cubrir el pago referido en el párrafo anterior, la Secretaría notificará y en caso de no tener respuesta o </w:t>
      </w:r>
      <w:r w:rsidRPr="00046220">
        <w:rPr>
          <w:rFonts w:ascii="Arial" w:hAnsi="Arial" w:cs="Arial"/>
          <w:b/>
          <w:sz w:val="24"/>
        </w:rPr>
        <w:t>no</w:t>
      </w:r>
      <w:r>
        <w:rPr>
          <w:rFonts w:ascii="Arial" w:hAnsi="Arial" w:cs="Arial"/>
          <w:sz w:val="24"/>
        </w:rPr>
        <w:t xml:space="preserve"> </w:t>
      </w:r>
      <w:r w:rsidRPr="00C960CE">
        <w:rPr>
          <w:rFonts w:ascii="Arial" w:hAnsi="Arial" w:cs="Arial"/>
          <w:sz w:val="24"/>
        </w:rPr>
        <w:t xml:space="preserve">se realice el pago correspondiente en los 10 (diez) días hábiles siguientes, </w:t>
      </w:r>
      <w:r w:rsidRPr="00864FF8">
        <w:rPr>
          <w:rFonts w:ascii="Arial" w:hAnsi="Arial" w:cs="Arial"/>
          <w:b/>
          <w:sz w:val="24"/>
        </w:rPr>
        <w:t>la Secretaría</w:t>
      </w:r>
      <w:r w:rsidRPr="00C960CE">
        <w:rPr>
          <w:rFonts w:ascii="Arial" w:hAnsi="Arial" w:cs="Arial"/>
          <w:sz w:val="24"/>
        </w:rPr>
        <w:t xml:space="preserve"> retendrá </w:t>
      </w:r>
      <w:r>
        <w:rPr>
          <w:rFonts w:ascii="Arial" w:hAnsi="Arial" w:cs="Arial"/>
          <w:b/>
          <w:sz w:val="24"/>
        </w:rPr>
        <w:t>sin dilación</w:t>
      </w:r>
      <w:r w:rsidRPr="00C960CE">
        <w:rPr>
          <w:rFonts w:ascii="Arial" w:hAnsi="Arial" w:cs="Arial"/>
          <w:sz w:val="24"/>
        </w:rPr>
        <w:t xml:space="preserve"> el importe correspondiente de las participaciones de ingresos ministrados por el Gobierno Estatal a que se refieren los incisos A), B) y C) de la fracción II del artículo 219 de este Código, que deban cubrirse al municipio.</w:t>
      </w:r>
    </w:p>
    <w:p w14:paraId="652A2676" w14:textId="77777777" w:rsidR="00654363" w:rsidRDefault="00654363" w:rsidP="00654363">
      <w:pPr>
        <w:pStyle w:val="Sinespaciado"/>
        <w:spacing w:line="360" w:lineRule="auto"/>
        <w:jc w:val="both"/>
        <w:rPr>
          <w:rFonts w:ascii="Arial" w:hAnsi="Arial" w:cs="Arial"/>
          <w:sz w:val="24"/>
        </w:rPr>
      </w:pPr>
    </w:p>
    <w:p w14:paraId="1D12665E" w14:textId="77777777" w:rsidR="00654363" w:rsidRDefault="00654363" w:rsidP="00654363">
      <w:pPr>
        <w:pStyle w:val="Sinespaciado"/>
        <w:spacing w:line="360" w:lineRule="auto"/>
        <w:jc w:val="both"/>
        <w:rPr>
          <w:rFonts w:ascii="Arial" w:hAnsi="Arial" w:cs="Arial"/>
          <w:sz w:val="24"/>
        </w:rPr>
      </w:pPr>
      <w:r>
        <w:rPr>
          <w:rFonts w:ascii="Arial" w:hAnsi="Arial" w:cs="Arial"/>
          <w:sz w:val="24"/>
        </w:rPr>
        <w:t>…</w:t>
      </w:r>
    </w:p>
    <w:p w14:paraId="65EDF465" w14:textId="77777777" w:rsidR="00654363" w:rsidRDefault="00654363" w:rsidP="00654363">
      <w:pPr>
        <w:pStyle w:val="Sinespaciado"/>
        <w:spacing w:line="360" w:lineRule="auto"/>
        <w:jc w:val="both"/>
        <w:rPr>
          <w:rFonts w:ascii="Arial" w:hAnsi="Arial" w:cs="Arial"/>
          <w:bCs/>
          <w:kern w:val="2"/>
          <w:sz w:val="24"/>
          <w:lang w:val="en-US"/>
          <w14:ligatures w14:val="standardContextual"/>
        </w:rPr>
      </w:pPr>
    </w:p>
    <w:p w14:paraId="07D47B80" w14:textId="77777777" w:rsidR="00654363" w:rsidRDefault="00654363" w:rsidP="00654363">
      <w:pPr>
        <w:pStyle w:val="Sinespaciado"/>
        <w:spacing w:line="360" w:lineRule="auto"/>
        <w:jc w:val="both"/>
        <w:rPr>
          <w:rFonts w:ascii="Arial" w:hAnsi="Arial" w:cs="Arial"/>
          <w:bCs/>
          <w:kern w:val="2"/>
          <w:sz w:val="24"/>
          <w:lang w:val="en-US"/>
          <w14:ligatures w14:val="standardContextual"/>
        </w:rPr>
      </w:pPr>
    </w:p>
    <w:p w14:paraId="74C5B522" w14:textId="77777777" w:rsidR="00654363" w:rsidRPr="008D344A" w:rsidRDefault="00654363" w:rsidP="00654363">
      <w:pPr>
        <w:pStyle w:val="Sinespaciado"/>
        <w:spacing w:line="360" w:lineRule="auto"/>
        <w:jc w:val="center"/>
        <w:rPr>
          <w:rFonts w:ascii="Arial" w:hAnsi="Arial" w:cs="Arial"/>
          <w:b/>
          <w:bCs/>
          <w:kern w:val="2"/>
          <w:sz w:val="24"/>
          <w:lang w:val="en-US"/>
          <w14:ligatures w14:val="standardContextual"/>
        </w:rPr>
      </w:pPr>
      <w:r w:rsidRPr="008D344A">
        <w:rPr>
          <w:rFonts w:ascii="Arial" w:hAnsi="Arial" w:cs="Arial"/>
          <w:b/>
          <w:bCs/>
          <w:kern w:val="2"/>
          <w:sz w:val="24"/>
          <w:lang w:val="en-US"/>
          <w14:ligatures w14:val="standardContextual"/>
        </w:rPr>
        <w:t>T R A N S I T O R I O S</w:t>
      </w:r>
    </w:p>
    <w:p w14:paraId="5FC2CF83" w14:textId="77777777" w:rsidR="00654363" w:rsidRPr="008D344A" w:rsidRDefault="00654363" w:rsidP="00654363">
      <w:pPr>
        <w:pStyle w:val="Sinespaciado"/>
        <w:spacing w:line="360" w:lineRule="auto"/>
        <w:jc w:val="both"/>
        <w:rPr>
          <w:rFonts w:ascii="Arial" w:hAnsi="Arial" w:cs="Arial"/>
          <w:b/>
          <w:bCs/>
          <w:kern w:val="2"/>
          <w:sz w:val="24"/>
          <w:lang w:val="en-US"/>
          <w14:ligatures w14:val="standardContextual"/>
        </w:rPr>
      </w:pPr>
    </w:p>
    <w:p w14:paraId="4F9FBFA9" w14:textId="77777777" w:rsidR="00654363" w:rsidRPr="008D344A" w:rsidRDefault="00654363" w:rsidP="00654363">
      <w:pPr>
        <w:pStyle w:val="Sinespaciado"/>
        <w:spacing w:line="360" w:lineRule="auto"/>
        <w:jc w:val="both"/>
        <w:rPr>
          <w:rFonts w:ascii="Arial" w:hAnsi="Arial" w:cs="Arial"/>
          <w:bCs/>
          <w:kern w:val="2"/>
          <w:sz w:val="24"/>
          <w14:ligatures w14:val="standardContextual"/>
        </w:rPr>
      </w:pPr>
      <w:r w:rsidRPr="008D344A">
        <w:rPr>
          <w:rFonts w:ascii="Arial" w:hAnsi="Arial" w:cs="Arial"/>
          <w:b/>
          <w:bCs/>
          <w:kern w:val="2"/>
          <w:sz w:val="24"/>
          <w14:ligatures w14:val="standardContextual"/>
        </w:rPr>
        <w:t>PRIMERO</w:t>
      </w:r>
      <w:r w:rsidRPr="008D344A">
        <w:rPr>
          <w:rFonts w:ascii="Arial" w:hAnsi="Arial" w:cs="Arial"/>
          <w:bCs/>
          <w:kern w:val="2"/>
          <w:sz w:val="24"/>
          <w14:ligatures w14:val="standardContextual"/>
        </w:rPr>
        <w:t>. Publíquese el presente Decreto en el Periódico Oficial “Gaceta del Gobierno”.</w:t>
      </w:r>
    </w:p>
    <w:p w14:paraId="3E88A5E3" w14:textId="77777777" w:rsidR="00654363" w:rsidRPr="008D344A" w:rsidRDefault="00654363" w:rsidP="00654363">
      <w:pPr>
        <w:pStyle w:val="Sinespaciado"/>
        <w:spacing w:line="360" w:lineRule="auto"/>
        <w:jc w:val="both"/>
        <w:rPr>
          <w:rFonts w:ascii="Arial" w:hAnsi="Arial" w:cs="Arial"/>
          <w:bCs/>
          <w:kern w:val="2"/>
          <w:sz w:val="24"/>
          <w14:ligatures w14:val="standardContextual"/>
        </w:rPr>
      </w:pPr>
    </w:p>
    <w:p w14:paraId="1B50DA19" w14:textId="77777777" w:rsidR="00654363" w:rsidRPr="008D344A" w:rsidRDefault="00654363" w:rsidP="00654363">
      <w:pPr>
        <w:pStyle w:val="Sinespaciado"/>
        <w:spacing w:line="360" w:lineRule="auto"/>
        <w:jc w:val="both"/>
        <w:rPr>
          <w:rFonts w:ascii="Arial" w:hAnsi="Arial" w:cs="Arial"/>
          <w:bCs/>
          <w:kern w:val="2"/>
          <w:sz w:val="24"/>
          <w14:ligatures w14:val="standardContextual"/>
        </w:rPr>
      </w:pPr>
      <w:r w:rsidRPr="008D344A">
        <w:rPr>
          <w:rFonts w:ascii="Arial" w:hAnsi="Arial" w:cs="Arial"/>
          <w:b/>
          <w:bCs/>
          <w:kern w:val="2"/>
          <w:sz w:val="24"/>
          <w14:ligatures w14:val="standardContextual"/>
        </w:rPr>
        <w:t>SEGUNDO</w:t>
      </w:r>
      <w:r w:rsidRPr="008D344A">
        <w:rPr>
          <w:rFonts w:ascii="Arial" w:hAnsi="Arial" w:cs="Arial"/>
          <w:bCs/>
          <w:kern w:val="2"/>
          <w:sz w:val="24"/>
          <w14:ligatures w14:val="standardContextual"/>
        </w:rPr>
        <w:t>. El presente Decreto entrará en vigor al día siguiente de su publicación en el Periódico Oficial “Gaceta del Gobierno”.</w:t>
      </w:r>
    </w:p>
    <w:p w14:paraId="07CBA263" w14:textId="77777777" w:rsidR="00654363" w:rsidRPr="008D344A" w:rsidRDefault="00654363" w:rsidP="00654363">
      <w:pPr>
        <w:pStyle w:val="Sinespaciado"/>
        <w:spacing w:line="360" w:lineRule="auto"/>
        <w:jc w:val="both"/>
        <w:rPr>
          <w:rFonts w:ascii="Arial" w:hAnsi="Arial" w:cs="Arial"/>
          <w:bCs/>
          <w:kern w:val="2"/>
          <w:sz w:val="24"/>
          <w14:ligatures w14:val="standardContextual"/>
        </w:rPr>
      </w:pPr>
    </w:p>
    <w:p w14:paraId="2A217760" w14:textId="77777777" w:rsidR="00654363" w:rsidRDefault="00654363" w:rsidP="00654363">
      <w:pPr>
        <w:pStyle w:val="Sinespaciado"/>
        <w:spacing w:line="360" w:lineRule="auto"/>
        <w:jc w:val="both"/>
        <w:rPr>
          <w:rFonts w:ascii="Arial" w:hAnsi="Arial" w:cs="Arial"/>
          <w:bCs/>
          <w:kern w:val="2"/>
          <w:sz w:val="24"/>
          <w14:ligatures w14:val="standardContextual"/>
        </w:rPr>
      </w:pPr>
      <w:r w:rsidRPr="008D344A">
        <w:rPr>
          <w:rFonts w:ascii="Arial" w:hAnsi="Arial" w:cs="Arial"/>
          <w:b/>
          <w:bCs/>
          <w:kern w:val="2"/>
          <w:sz w:val="24"/>
          <w14:ligatures w14:val="standardContextual"/>
        </w:rPr>
        <w:lastRenderedPageBreak/>
        <w:t>TERCERO</w:t>
      </w:r>
      <w:r w:rsidRPr="008D344A">
        <w:rPr>
          <w:rFonts w:ascii="Arial" w:hAnsi="Arial" w:cs="Arial"/>
          <w:bCs/>
          <w:kern w:val="2"/>
          <w:sz w:val="24"/>
          <w14:ligatures w14:val="standardContextual"/>
        </w:rPr>
        <w:t xml:space="preserve">. </w:t>
      </w:r>
      <w:r w:rsidRPr="00864FF8">
        <w:rPr>
          <w:rFonts w:ascii="Arial" w:hAnsi="Arial" w:cs="Arial"/>
          <w:bCs/>
          <w:kern w:val="2"/>
          <w:sz w:val="24"/>
          <w14:ligatures w14:val="standardContextual"/>
        </w:rPr>
        <w:t>Los municipios y los organismos públicos descentralizados municipales prestadores del servicio de agua potable que, a la entrada en vigor del presente Decreto, mantengan adeudos por concepto de aportaciones por servicios ambientales, deberán regularizar el cumplimiento de sus obligaciones conforme a lo previsto en el Código Financiero del Estado de México y Municipios.</w:t>
      </w:r>
    </w:p>
    <w:p w14:paraId="60ED5552" w14:textId="77777777" w:rsidR="00654363" w:rsidRDefault="00654363" w:rsidP="00654363">
      <w:pPr>
        <w:pStyle w:val="Sinespaciado"/>
        <w:spacing w:line="360" w:lineRule="auto"/>
        <w:jc w:val="both"/>
        <w:rPr>
          <w:rFonts w:ascii="Arial" w:hAnsi="Arial" w:cs="Arial"/>
          <w:bCs/>
          <w:kern w:val="2"/>
          <w:sz w:val="24"/>
          <w14:ligatures w14:val="standardContextual"/>
        </w:rPr>
      </w:pPr>
    </w:p>
    <w:p w14:paraId="0BEF1484" w14:textId="77777777" w:rsidR="00654363" w:rsidRDefault="00654363" w:rsidP="00654363">
      <w:pPr>
        <w:pStyle w:val="Sinespaciado"/>
        <w:spacing w:line="360" w:lineRule="auto"/>
        <w:jc w:val="both"/>
        <w:rPr>
          <w:rFonts w:ascii="Arial" w:hAnsi="Arial" w:cs="Arial"/>
          <w:bCs/>
          <w:kern w:val="2"/>
          <w:sz w:val="24"/>
          <w14:ligatures w14:val="standardContextual"/>
        </w:rPr>
      </w:pPr>
      <w:r w:rsidRPr="00864FF8">
        <w:rPr>
          <w:rFonts w:ascii="Arial" w:hAnsi="Arial" w:cs="Arial"/>
          <w:b/>
          <w:bCs/>
          <w:kern w:val="2"/>
          <w:sz w:val="24"/>
          <w14:ligatures w14:val="standardContextual"/>
        </w:rPr>
        <w:t>CUARTO.</w:t>
      </w:r>
      <w:r>
        <w:rPr>
          <w:rFonts w:ascii="Arial" w:hAnsi="Arial" w:cs="Arial"/>
          <w:bCs/>
          <w:kern w:val="2"/>
          <w:sz w:val="24"/>
          <w14:ligatures w14:val="standardContextual"/>
        </w:rPr>
        <w:t xml:space="preserve"> </w:t>
      </w:r>
      <w:r w:rsidRPr="00864FF8">
        <w:rPr>
          <w:rFonts w:ascii="Arial" w:hAnsi="Arial" w:cs="Arial"/>
          <w:bCs/>
          <w:kern w:val="2"/>
          <w:sz w:val="24"/>
          <w14:ligatures w14:val="standardContextual"/>
        </w:rPr>
        <w:t>La Secretaría de Finanzas deberá iniciar, sin dilación, los procedimientos de retención previstos en el artículo 216-J del Código Financiero del Estado de México y Municipios respecto de los municipios y organismos públicos descentralizados municipales que, a la entrada en vigor del presente Decreto, se encuentren en los supuestos establecidos por dicho artículo.</w:t>
      </w:r>
    </w:p>
    <w:p w14:paraId="6DF2CABE" w14:textId="77777777" w:rsidR="00654363" w:rsidRPr="008D344A" w:rsidRDefault="00654363" w:rsidP="00654363">
      <w:pPr>
        <w:pStyle w:val="Sinespaciado"/>
        <w:spacing w:line="360" w:lineRule="auto"/>
        <w:jc w:val="both"/>
        <w:rPr>
          <w:rFonts w:ascii="Arial" w:hAnsi="Arial" w:cs="Arial"/>
          <w:kern w:val="2"/>
          <w:sz w:val="24"/>
          <w14:ligatures w14:val="standardContextual"/>
        </w:rPr>
      </w:pPr>
    </w:p>
    <w:p w14:paraId="1658BD1C" w14:textId="77777777" w:rsidR="00654363" w:rsidRDefault="00654363" w:rsidP="00654363">
      <w:pPr>
        <w:pStyle w:val="Sinespaciado"/>
        <w:spacing w:line="360" w:lineRule="auto"/>
        <w:jc w:val="both"/>
        <w:rPr>
          <w:rFonts w:ascii="Arial" w:hAnsi="Arial" w:cs="Arial"/>
          <w:kern w:val="2"/>
          <w:sz w:val="24"/>
          <w14:ligatures w14:val="standardContextual"/>
        </w:rPr>
      </w:pPr>
    </w:p>
    <w:p w14:paraId="5412F01C" w14:textId="6FFADFB9" w:rsidR="00BB636F" w:rsidRPr="00654363" w:rsidRDefault="00654363" w:rsidP="00654363">
      <w:pPr>
        <w:pStyle w:val="Sinespaciado"/>
        <w:spacing w:line="360" w:lineRule="auto"/>
        <w:jc w:val="both"/>
        <w:rPr>
          <w:rFonts w:ascii="Arial" w:hAnsi="Arial" w:cs="Arial"/>
          <w:kern w:val="2"/>
          <w:sz w:val="24"/>
          <w14:ligatures w14:val="standardContextual"/>
        </w:rPr>
      </w:pPr>
      <w:r w:rsidRPr="008D344A">
        <w:rPr>
          <w:rFonts w:ascii="Arial" w:hAnsi="Arial" w:cs="Arial"/>
          <w:kern w:val="2"/>
          <w:sz w:val="24"/>
          <w14:ligatures w14:val="standardContextual"/>
        </w:rPr>
        <w:t>Dado en el Palacio del Poder Legislativo en la Ciudad de Toluca, Capital del Estado de México, a los __ días del mes de ____________ de _______.</w:t>
      </w:r>
    </w:p>
    <w:sectPr w:rsidR="00BB636F" w:rsidRPr="00654363">
      <w:headerReference w:type="default" r:id="rId11"/>
      <w:footerReference w:type="default" r:id="rId12"/>
      <w:pgSz w:w="12240" w:h="15840"/>
      <w:pgMar w:top="1560" w:right="1701" w:bottom="1417"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5D4078" w14:textId="77777777" w:rsidR="00F91B11" w:rsidRDefault="00F91B11">
      <w:pPr>
        <w:spacing w:after="0" w:line="240" w:lineRule="auto"/>
      </w:pPr>
      <w:r>
        <w:separator/>
      </w:r>
    </w:p>
  </w:endnote>
  <w:endnote w:type="continuationSeparator" w:id="0">
    <w:p w14:paraId="5FFB3740" w14:textId="77777777" w:rsidR="00F91B11" w:rsidRDefault="00F91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306160" w14:textId="77777777" w:rsidR="00BB636F" w:rsidRDefault="003803EC">
    <w:pPr>
      <w:pBdr>
        <w:top w:val="nil"/>
        <w:left w:val="nil"/>
        <w:bottom w:val="nil"/>
        <w:right w:val="nil"/>
        <w:between w:val="nil"/>
      </w:pBdr>
      <w:tabs>
        <w:tab w:val="center" w:pos="4419"/>
        <w:tab w:val="right" w:pos="8838"/>
      </w:tabs>
      <w:spacing w:after="0" w:line="240" w:lineRule="auto"/>
      <w:rPr>
        <w:rFonts w:ascii="Arial" w:eastAsia="Arial" w:hAnsi="Arial" w:cs="Arial"/>
        <w:color w:val="97184B"/>
        <w:sz w:val="16"/>
        <w:szCs w:val="16"/>
      </w:rPr>
    </w:pPr>
    <w:r>
      <w:rPr>
        <w:rFonts w:ascii="Arial" w:eastAsia="Arial" w:hAnsi="Arial" w:cs="Arial"/>
        <w:color w:val="97184B"/>
        <w:sz w:val="16"/>
        <w:szCs w:val="16"/>
      </w:rPr>
      <w:t xml:space="preserve">Plaza Hidalgo S/N. Col. Centro </w:t>
    </w:r>
    <w:r>
      <w:rPr>
        <w:noProof/>
      </w:rPr>
      <w:drawing>
        <wp:anchor distT="0" distB="0" distL="114300" distR="114300" simplePos="0" relativeHeight="251661312" behindDoc="0" locked="0" layoutInCell="1" hidden="0" allowOverlap="1" wp14:anchorId="344C5006" wp14:editId="6EA6CC58">
          <wp:simplePos x="0" y="0"/>
          <wp:positionH relativeFrom="column">
            <wp:posOffset>2491064</wp:posOffset>
          </wp:positionH>
          <wp:positionV relativeFrom="paragraph">
            <wp:posOffset>3175</wp:posOffset>
          </wp:positionV>
          <wp:extent cx="630000" cy="630000"/>
          <wp:effectExtent l="0" t="0" r="0" b="0"/>
          <wp:wrapSquare wrapText="bothSides" distT="0" distB="0" distL="114300" distR="114300"/>
          <wp:docPr id="11" name="image2.jpg" descr="C:\Users\XW4400\AppData\Local\Microsoft\Windows\Temporary Internet Files\Content.Word\IMG-20180907-WA0006.jpg"/>
          <wp:cNvGraphicFramePr/>
          <a:graphic xmlns:a="http://schemas.openxmlformats.org/drawingml/2006/main">
            <a:graphicData uri="http://schemas.openxmlformats.org/drawingml/2006/picture">
              <pic:pic xmlns:pic="http://schemas.openxmlformats.org/drawingml/2006/picture">
                <pic:nvPicPr>
                  <pic:cNvPr id="0" name="image2.jpg" descr="C:\Users\XW4400\AppData\Local\Microsoft\Windows\Temporary Internet Files\Content.Word\IMG-20180907-WA0006.jpg"/>
                  <pic:cNvPicPr preferRelativeResize="0"/>
                </pic:nvPicPr>
                <pic:blipFill>
                  <a:blip r:embed="rId1"/>
                  <a:srcRect/>
                  <a:stretch>
                    <a:fillRect/>
                  </a:stretch>
                </pic:blipFill>
                <pic:spPr>
                  <a:xfrm>
                    <a:off x="0" y="0"/>
                    <a:ext cx="630000" cy="630000"/>
                  </a:xfrm>
                  <a:prstGeom prst="rect">
                    <a:avLst/>
                  </a:prstGeom>
                  <a:ln/>
                </pic:spPr>
              </pic:pic>
            </a:graphicData>
          </a:graphic>
        </wp:anchor>
      </w:drawing>
    </w:r>
  </w:p>
  <w:p w14:paraId="40146A5B" w14:textId="1B9FC325" w:rsidR="00BB636F" w:rsidRDefault="003803EC">
    <w:pPr>
      <w:pBdr>
        <w:top w:val="nil"/>
        <w:left w:val="nil"/>
        <w:bottom w:val="nil"/>
        <w:right w:val="nil"/>
        <w:between w:val="nil"/>
      </w:pBdr>
      <w:tabs>
        <w:tab w:val="center" w:pos="4419"/>
        <w:tab w:val="right" w:pos="8838"/>
        <w:tab w:val="right" w:pos="12900"/>
      </w:tabs>
      <w:spacing w:after="0" w:line="240" w:lineRule="auto"/>
      <w:rPr>
        <w:rFonts w:ascii="Arial" w:eastAsia="Arial" w:hAnsi="Arial" w:cs="Arial"/>
        <w:b/>
        <w:color w:val="97184B"/>
        <w:sz w:val="16"/>
        <w:szCs w:val="16"/>
      </w:rPr>
    </w:pPr>
    <w:r>
      <w:rPr>
        <w:rFonts w:ascii="Arial" w:eastAsia="Arial" w:hAnsi="Arial" w:cs="Arial"/>
        <w:b/>
        <w:color w:val="97184B"/>
        <w:sz w:val="16"/>
        <w:szCs w:val="16"/>
      </w:rPr>
      <w:t xml:space="preserve">Toluca, </w:t>
    </w:r>
    <w:r w:rsidR="00F81DC4">
      <w:rPr>
        <w:rFonts w:ascii="Arial" w:eastAsia="Arial" w:hAnsi="Arial" w:cs="Arial"/>
        <w:b/>
        <w:color w:val="97184B"/>
        <w:sz w:val="16"/>
        <w:szCs w:val="16"/>
      </w:rPr>
      <w:t>México</w:t>
    </w:r>
    <w:r>
      <w:rPr>
        <w:rFonts w:ascii="Arial" w:eastAsia="Arial" w:hAnsi="Arial" w:cs="Arial"/>
        <w:b/>
        <w:color w:val="97184B"/>
        <w:sz w:val="16"/>
        <w:szCs w:val="16"/>
      </w:rPr>
      <w:t>, C. P. 50000</w:t>
    </w:r>
    <w:r>
      <w:rPr>
        <w:noProof/>
      </w:rPr>
      <mc:AlternateContent>
        <mc:Choice Requires="wps">
          <w:drawing>
            <wp:anchor distT="0" distB="0" distL="114300" distR="114300" simplePos="0" relativeHeight="251662336" behindDoc="0" locked="0" layoutInCell="1" hidden="0" allowOverlap="1" wp14:anchorId="0FFA47D4" wp14:editId="0FA24D3C">
              <wp:simplePos x="0" y="0"/>
              <wp:positionH relativeFrom="column">
                <wp:posOffset>3276600</wp:posOffset>
              </wp:positionH>
              <wp:positionV relativeFrom="paragraph">
                <wp:posOffset>7912100</wp:posOffset>
              </wp:positionV>
              <wp:extent cx="2331500" cy="302128"/>
              <wp:effectExtent l="0" t="0" r="0" b="0"/>
              <wp:wrapNone/>
              <wp:docPr id="10" name="Rectángulo 10"/>
              <wp:cNvGraphicFramePr/>
              <a:graphic xmlns:a="http://schemas.openxmlformats.org/drawingml/2006/main">
                <a:graphicData uri="http://schemas.microsoft.com/office/word/2010/wordprocessingShape">
                  <wps:wsp>
                    <wps:cNvSpPr/>
                    <wps:spPr>
                      <a:xfrm>
                        <a:off x="4189775" y="3638461"/>
                        <a:ext cx="2312450" cy="283078"/>
                      </a:xfrm>
                      <a:prstGeom prst="rect">
                        <a:avLst/>
                      </a:prstGeom>
                      <a:noFill/>
                      <a:ln>
                        <a:noFill/>
                      </a:ln>
                    </wps:spPr>
                    <wps:txbx>
                      <w:txbxContent>
                        <w:p w14:paraId="70F40601" w14:textId="77777777" w:rsidR="00BB636F" w:rsidRDefault="003803EC">
                          <w:pPr>
                            <w:spacing w:line="275" w:lineRule="auto"/>
                            <w:jc w:val="center"/>
                            <w:textDirection w:val="btLr"/>
                          </w:pPr>
                          <w:r>
                            <w:rPr>
                              <w:rFonts w:ascii="Arial" w:eastAsia="Arial" w:hAnsi="Arial" w:cs="Arial"/>
                              <w:b/>
                              <w:color w:val="97184B"/>
                            </w:rPr>
                            <w:t>www.legislativoedomex.gob.mx</w:t>
                          </w:r>
                        </w:p>
                      </w:txbxContent>
                    </wps:txbx>
                    <wps:bodyPr spcFirstLastPara="1" wrap="square" lIns="91425" tIns="45700" rIns="91425" bIns="45700" anchor="t" anchorCtr="0">
                      <a:noAutofit/>
                    </wps:bodyPr>
                  </wps:wsp>
                </a:graphicData>
              </a:graphic>
            </wp:anchor>
          </w:drawing>
        </mc:Choice>
        <mc:Fallback>
          <w:pict>
            <v:rect w14:anchorId="0FFA47D4" id="Rectángulo 10" o:spid="_x0000_s1028" style="position:absolute;margin-left:258pt;margin-top:623pt;width:183.6pt;height:23.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Y4/vwAEAAGEDAAAOAAAAZHJzL2Uyb0RvYy54bWysU8tu2zAQvBfIPxC813pYthXBclA0cFEg&#13;&#10;aA0k/QCaIi0CEslyaUv++y4pJ3bSW9ELtdxdzM7MUuuHse/ISThQRtc0m6WUCM1No/Shpr9etp9L&#13;&#10;SsAz3bDOaFHTswD6sLn7tB5sJXLTmq4RjiCIhmqwNW29t1WSAG9Fz2BmrNBYlMb1zOPVHZLGsQHR&#13;&#10;+y7J03SZDMY11hkuADD7OBXpJuJLKbj/KSUIT7qaIjcfTxfPfTiTzZpVB8dsq/iFBvsHFj1TGoe+&#13;&#10;QT0yz8jRqb+gesWdASP9jJs+MVIqLqIGVJOlH9Q8t8yKqAXNAftmE/w/WP7j9Gx3Dm0YLFSAYVAx&#13;&#10;SteHL/IjY02LrLxfrRaUnGs6X87LYplNxonRE44N+TzLiwX6y7EjL+fpqgwNyRXJOvDfhOlJCGrq&#13;&#10;cDHRL3Z6Aj+1vraEwdpsVdfF5XT6XQIxQya50g2RH/cjUQ0OD3NDZm+a884RsHyrcOQTA79jDneb&#13;&#10;UTLgvmsKv4/MCUq67xoNvc+KHBX6eCkWqxTVuNvK/rbCNG8NPiNPyRR+9fFRTVS/HL2RKsq6Urlw&#13;&#10;xj1GYy5vLjyU23vsuv4Zmz8AAAD//wMAUEsDBBQABgAIAAAAIQAh68e94QAAABIBAAAPAAAAZHJz&#13;&#10;L2Rvd25yZXYueG1sTE9Lb4MwDL5P2n+IPGm3NdAHYpRQTXscdhzdYceUeICWOIiElv77mdN2sWx/&#13;&#10;9vcoD7Oz4oxj6D0pSFcJCKTGm55aBZ/Ht4ccRIiajLaeUMEVAxyq25tSF8Zf6APPdWwFk1AotIIu&#13;&#10;xqGQMjQdOh1WfkBi7NuPTkcex1aaUV+Y3Fm5TpJMOt0TK3R6wOcOm596cgoGtGay2zr5auTrSGn2&#13;&#10;fpTXnVL3d/PLnsvTHkTEOf59wJKB/UPFxk5+IhOEVbBLMw4UGVhvl45P8nyzBnFaVo+bDGRVyv9R&#13;&#10;ql8AAAD//wMAUEsBAi0AFAAGAAgAAAAhALaDOJL+AAAA4QEAABMAAAAAAAAAAAAAAAAAAAAAAFtD&#13;&#10;b250ZW50X1R5cGVzXS54bWxQSwECLQAUAAYACAAAACEAOP0h/9YAAACUAQAACwAAAAAAAAAAAAAA&#13;&#10;AAAvAQAAX3JlbHMvLnJlbHNQSwECLQAUAAYACAAAACEARmOP78ABAABhAwAADgAAAAAAAAAAAAAA&#13;&#10;AAAuAgAAZHJzL2Uyb0RvYy54bWxQSwECLQAUAAYACAAAACEAIevHveEAAAASAQAADwAAAAAAAAAA&#13;&#10;AAAAAAAaBAAAZHJzL2Rvd25yZXYueG1sUEsFBgAAAAAEAAQA8wAAACgFAAAAAA==&#13;&#10;" filled="f" stroked="f">
              <v:textbox inset="2.53958mm,1.2694mm,2.53958mm,1.2694mm">
                <w:txbxContent>
                  <w:p w14:paraId="70F40601" w14:textId="77777777" w:rsidR="00BB636F" w:rsidRDefault="003803EC">
                    <w:pPr>
                      <w:spacing w:line="275" w:lineRule="auto"/>
                      <w:jc w:val="center"/>
                      <w:textDirection w:val="btLr"/>
                    </w:pPr>
                    <w:r>
                      <w:rPr>
                        <w:rFonts w:ascii="Arial" w:eastAsia="Arial" w:hAnsi="Arial" w:cs="Arial"/>
                        <w:b/>
                        <w:color w:val="97184B"/>
                      </w:rPr>
                      <w:t>www.legislativoedomex.gob.mx</w:t>
                    </w:r>
                  </w:p>
                </w:txbxContent>
              </v:textbox>
            </v:rect>
          </w:pict>
        </mc:Fallback>
      </mc:AlternateContent>
    </w:r>
  </w:p>
  <w:p w14:paraId="6A40EDA9" w14:textId="3FA05A22" w:rsidR="00BB636F" w:rsidRDefault="00D62B29" w:rsidP="00D62B29">
    <w:pPr>
      <w:pBdr>
        <w:top w:val="nil"/>
        <w:left w:val="nil"/>
        <w:bottom w:val="nil"/>
        <w:right w:val="nil"/>
        <w:between w:val="nil"/>
      </w:pBdr>
      <w:tabs>
        <w:tab w:val="center" w:pos="4419"/>
        <w:tab w:val="right" w:pos="8838"/>
        <w:tab w:val="right" w:pos="12900"/>
      </w:tabs>
      <w:spacing w:after="0" w:line="240" w:lineRule="auto"/>
      <w:rPr>
        <w:rFonts w:ascii="Arial" w:eastAsia="Arial" w:hAnsi="Arial" w:cs="Arial"/>
        <w:b/>
        <w:color w:val="97184B"/>
        <w:sz w:val="16"/>
        <w:szCs w:val="16"/>
      </w:rPr>
    </w:pPr>
    <w:r w:rsidRPr="00D62B29">
      <w:rPr>
        <w:rFonts w:ascii="Arial" w:eastAsia="Arial" w:hAnsi="Arial" w:cs="Arial"/>
        <w:b/>
        <w:color w:val="97184B"/>
        <w:sz w:val="16"/>
        <w:szCs w:val="16"/>
      </w:rPr>
      <w:t>Tel. 722 279 6574 y 722 279 6474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317399" w14:textId="77777777" w:rsidR="00BB636F" w:rsidRDefault="003803EC">
    <w:pPr>
      <w:pBdr>
        <w:top w:val="nil"/>
        <w:left w:val="nil"/>
        <w:bottom w:val="nil"/>
        <w:right w:val="nil"/>
        <w:between w:val="nil"/>
      </w:pBdr>
      <w:tabs>
        <w:tab w:val="center" w:pos="4419"/>
        <w:tab w:val="right" w:pos="8838"/>
      </w:tabs>
      <w:spacing w:after="0" w:line="240" w:lineRule="auto"/>
      <w:jc w:val="center"/>
      <w:rPr>
        <w:color w:val="000000"/>
      </w:rPr>
    </w:pPr>
    <w:r>
      <w:rPr>
        <w:rFonts w:ascii="Arial" w:eastAsia="Arial" w:hAnsi="Arial" w:cs="Arial"/>
        <w:color w:val="000000"/>
        <w:sz w:val="20"/>
        <w:szCs w:val="20"/>
      </w:rPr>
      <w:t xml:space="preserve">Página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13E5C">
      <w:rPr>
        <w:rFonts w:ascii="Arial" w:eastAsia="Arial" w:hAnsi="Arial" w:cs="Arial"/>
        <w:noProof/>
        <w:color w:val="000000"/>
        <w:sz w:val="20"/>
        <w:szCs w:val="20"/>
      </w:rPr>
      <w:t>2</w:t>
    </w:r>
    <w:r>
      <w:rPr>
        <w:rFonts w:ascii="Arial" w:eastAsia="Arial" w:hAnsi="Arial" w:cs="Arial"/>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E13E5C">
      <w:rPr>
        <w:rFonts w:ascii="Arial" w:eastAsia="Arial" w:hAnsi="Arial" w:cs="Arial"/>
        <w:noProof/>
        <w:color w:val="000000"/>
        <w:sz w:val="20"/>
        <w:szCs w:val="20"/>
      </w:rPr>
      <w:t>3</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D6CC05" w14:textId="77777777" w:rsidR="00F91B11" w:rsidRDefault="00F91B11">
      <w:pPr>
        <w:spacing w:after="0" w:line="240" w:lineRule="auto"/>
      </w:pPr>
      <w:r>
        <w:separator/>
      </w:r>
    </w:p>
  </w:footnote>
  <w:footnote w:type="continuationSeparator" w:id="0">
    <w:p w14:paraId="3654C1A9" w14:textId="77777777" w:rsidR="00F91B11" w:rsidRDefault="00F91B11">
      <w:pPr>
        <w:spacing w:after="0" w:line="240" w:lineRule="auto"/>
      </w:pPr>
      <w:r>
        <w:continuationSeparator/>
      </w:r>
    </w:p>
  </w:footnote>
  <w:footnote w:id="1">
    <w:p w14:paraId="03A3D08A" w14:textId="77777777" w:rsidR="00EB6EA2" w:rsidRPr="00470E78" w:rsidRDefault="00EB6EA2" w:rsidP="00EB6EA2">
      <w:pPr>
        <w:pStyle w:val="Textonotapie"/>
        <w:jc w:val="both"/>
        <w:rPr>
          <w:rFonts w:ascii="Arial" w:hAnsi="Arial" w:cs="Arial"/>
          <w:sz w:val="16"/>
          <w:szCs w:val="16"/>
        </w:rPr>
      </w:pPr>
      <w:r w:rsidRPr="00470E78">
        <w:rPr>
          <w:rStyle w:val="Refdenotaalpie"/>
          <w:rFonts w:ascii="Arial" w:hAnsi="Arial" w:cs="Arial"/>
          <w:sz w:val="16"/>
          <w:szCs w:val="16"/>
        </w:rPr>
        <w:footnoteRef/>
      </w:r>
      <w:r w:rsidRPr="00470E78">
        <w:rPr>
          <w:rFonts w:ascii="Arial" w:hAnsi="Arial" w:cs="Arial"/>
          <w:sz w:val="16"/>
          <w:szCs w:val="16"/>
        </w:rPr>
        <w:t xml:space="preserve"> Noticias ONU, La deforestación mundial se ralentiza, pero los bosques siguen bajo presión, 2025. Disponible en: https://news.un.org/es/story/2025/10/1540606</w:t>
      </w:r>
    </w:p>
  </w:footnote>
  <w:footnote w:id="2">
    <w:p w14:paraId="3E83E7DE" w14:textId="77777777" w:rsidR="00EB6EA2" w:rsidRPr="00DA3A50" w:rsidRDefault="00EB6EA2" w:rsidP="00EB6EA2">
      <w:pPr>
        <w:pStyle w:val="Textonotapie"/>
        <w:jc w:val="both"/>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w:t>
      </w:r>
      <w:r w:rsidRPr="00470E78">
        <w:rPr>
          <w:rFonts w:ascii="Arial" w:hAnsi="Arial" w:cs="Arial"/>
          <w:sz w:val="16"/>
          <w:szCs w:val="16"/>
        </w:rPr>
        <w:t>ONU, ¿Por qué los bosques son importantes?. Disponible en: https://www.unep.org/es/topics/forests/por-que-los-bosques-son-importantes</w:t>
      </w:r>
    </w:p>
  </w:footnote>
  <w:footnote w:id="3">
    <w:p w14:paraId="65631027" w14:textId="77777777" w:rsidR="00EB6EA2" w:rsidRPr="006C359B" w:rsidRDefault="00EB6EA2" w:rsidP="00EB6EA2">
      <w:pPr>
        <w:pStyle w:val="Textonotapie"/>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w:t>
      </w:r>
      <w:r w:rsidRPr="00470E78">
        <w:rPr>
          <w:rFonts w:ascii="Arial" w:hAnsi="Arial" w:cs="Arial"/>
          <w:sz w:val="16"/>
          <w:szCs w:val="16"/>
        </w:rPr>
        <w:t>ONU, Op. Cit.</w:t>
      </w:r>
    </w:p>
  </w:footnote>
  <w:footnote w:id="4">
    <w:p w14:paraId="246FA693" w14:textId="77777777" w:rsidR="00EB6EA2" w:rsidRPr="00470E78" w:rsidRDefault="00EB6EA2" w:rsidP="00EB6EA2">
      <w:pPr>
        <w:pStyle w:val="Textonotapie"/>
        <w:jc w:val="both"/>
        <w:rPr>
          <w:rFonts w:ascii="Arial" w:hAnsi="Arial" w:cs="Arial"/>
          <w:sz w:val="16"/>
          <w:szCs w:val="16"/>
        </w:rPr>
      </w:pPr>
      <w:r w:rsidRPr="00470E78">
        <w:rPr>
          <w:rStyle w:val="Refdenotaalpie"/>
          <w:rFonts w:ascii="Arial" w:hAnsi="Arial" w:cs="Arial"/>
          <w:sz w:val="16"/>
          <w:szCs w:val="16"/>
        </w:rPr>
        <w:footnoteRef/>
      </w:r>
      <w:r w:rsidRPr="00470E78">
        <w:rPr>
          <w:rFonts w:ascii="Arial" w:hAnsi="Arial" w:cs="Arial"/>
          <w:sz w:val="16"/>
          <w:szCs w:val="16"/>
        </w:rPr>
        <w:t xml:space="preserve"> </w:t>
      </w:r>
      <w:r w:rsidRPr="00470E78">
        <w:rPr>
          <w:rFonts w:ascii="Arial" w:hAnsi="Arial" w:cs="Arial"/>
          <w:sz w:val="16"/>
          <w:szCs w:val="16"/>
        </w:rPr>
        <w:t>A diferencia de los bosques secundarios donde la mano del hombre intervino para crearlos o alterarlos, decir bosques primarios es referirnos a la superficie terrestre que constituye un gran reservorio de genes, mantiene la mayor biodiversidad y variedad de ecosistemas, es hábitat de pueblos y comunidades indígenas, reúne belleza paisajística, regula el clima, realiza una acción depuradora y es una verdadera farmacia natural. Disponible en: https://www.gob.mx/semarnat/articulos/bosques-de-mexico-riqueza-forestal-y-biodiversidad?idiom=es</w:t>
      </w:r>
    </w:p>
  </w:footnote>
  <w:footnote w:id="5">
    <w:p w14:paraId="6A561949" w14:textId="77777777" w:rsidR="00EB6EA2" w:rsidRDefault="00EB6EA2" w:rsidP="00EB6EA2">
      <w:pPr>
        <w:pStyle w:val="Textonotapie"/>
        <w:jc w:val="both"/>
      </w:pPr>
      <w:r w:rsidRPr="00470E78">
        <w:rPr>
          <w:rStyle w:val="Refdenotaalpie"/>
          <w:rFonts w:ascii="Arial" w:hAnsi="Arial" w:cs="Arial"/>
          <w:sz w:val="16"/>
          <w:szCs w:val="16"/>
        </w:rPr>
        <w:footnoteRef/>
      </w:r>
      <w:r w:rsidRPr="00470E78">
        <w:rPr>
          <w:rFonts w:ascii="Arial" w:hAnsi="Arial" w:cs="Arial"/>
          <w:sz w:val="16"/>
          <w:szCs w:val="16"/>
        </w:rPr>
        <w:t xml:space="preserve"> </w:t>
      </w:r>
      <w:r w:rsidRPr="00470E78">
        <w:rPr>
          <w:rFonts w:ascii="Arial" w:hAnsi="Arial" w:cs="Arial"/>
          <w:sz w:val="16"/>
          <w:szCs w:val="16"/>
        </w:rPr>
        <w:t>SECRETARÍA DE MEDIO AMBIENTE Y RECURSOS NATURALES, Bosques de México, riqueza forestal y biodiversidad, 2021. Disponible en: https://www.gob.mx/semarnat/articulos/bosques-de-mexico-riqueza-forestal-y-biodiversidad?idiom=es</w:t>
      </w:r>
    </w:p>
  </w:footnote>
  <w:footnote w:id="6">
    <w:p w14:paraId="0414F517" w14:textId="77777777" w:rsidR="00EB6EA2" w:rsidRPr="006C359B" w:rsidRDefault="00EB6EA2" w:rsidP="00EB6EA2">
      <w:pPr>
        <w:pStyle w:val="Textonotapie"/>
        <w:jc w:val="both"/>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w:t>
      </w:r>
      <w:r w:rsidRPr="00470E78">
        <w:rPr>
          <w:rFonts w:ascii="Arial" w:hAnsi="Arial" w:cs="Arial"/>
          <w:sz w:val="16"/>
          <w:szCs w:val="16"/>
        </w:rPr>
        <w:t>CAMACHO Zósimo, México ha perdido 4.77 millones de hectáreas de bosque en dos décadas, 2025. Disponible en: https://www.diario-red.com/articulo/mexico/mexico-perdio-477-millones-hectareas-bosque-dos-decadas/20250418120000045722.html</w:t>
      </w:r>
    </w:p>
  </w:footnote>
  <w:footnote w:id="7">
    <w:p w14:paraId="330B3897" w14:textId="77777777" w:rsidR="00EB6EA2" w:rsidRPr="006C359B" w:rsidRDefault="00EB6EA2" w:rsidP="00EB6EA2">
      <w:pPr>
        <w:pStyle w:val="Textonotapie"/>
        <w:jc w:val="both"/>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w:t>
      </w:r>
      <w:r w:rsidRPr="00470E78">
        <w:rPr>
          <w:rFonts w:ascii="Arial" w:hAnsi="Arial" w:cs="Arial"/>
          <w:sz w:val="16"/>
          <w:szCs w:val="16"/>
        </w:rPr>
        <w:t>MONTOYA Paola, Bosques cubren 49% del Edomex; alertan riesgos, 2026. Disponible en: https://oem.com.mx/elsoldetoluca/local/bosques-cubren-49-del-edomex-alertan-riesgos-29097957</w:t>
      </w:r>
    </w:p>
  </w:footnote>
  <w:footnote w:id="8">
    <w:p w14:paraId="5086CC66" w14:textId="77777777" w:rsidR="00EB6EA2" w:rsidRPr="006C359B" w:rsidRDefault="00EB6EA2" w:rsidP="00EB6EA2">
      <w:pPr>
        <w:pStyle w:val="Textonotapie"/>
        <w:jc w:val="both"/>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w:t>
      </w:r>
      <w:r w:rsidRPr="00470E78">
        <w:rPr>
          <w:rFonts w:ascii="Arial" w:hAnsi="Arial" w:cs="Arial"/>
          <w:sz w:val="16"/>
          <w:szCs w:val="16"/>
        </w:rPr>
        <w:t>MONTOYA Paola, PROBOSQUE ha plantado cerca de un millón de árboles en los primeros 15 días de la campaña de reforestación. Disponible en: https://oem.com.mx/elsoldetoluca/local/probosque-ha-plantado-cerca-de-un-millon-de-arboles-en-los-primeros-15-dias-de-la-campana-de-reforestacion-30866200</w:t>
      </w:r>
    </w:p>
  </w:footnote>
  <w:footnote w:id="9">
    <w:p w14:paraId="5E5C5333" w14:textId="77777777" w:rsidR="00EB6EA2" w:rsidRPr="00B953E5" w:rsidRDefault="00EB6EA2" w:rsidP="00EB6EA2">
      <w:pPr>
        <w:pStyle w:val="Textonotapie"/>
        <w:jc w:val="both"/>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w:t>
      </w:r>
      <w:r w:rsidRPr="00470E78">
        <w:rPr>
          <w:rFonts w:ascii="Arial" w:hAnsi="Arial" w:cs="Arial"/>
          <w:sz w:val="16"/>
          <w:szCs w:val="16"/>
        </w:rPr>
        <w:t>PROBOSQUE, Servicios Ambientales Hidrológicos (PSAHEM). Disponible en: https://probosque.edomex.gob.mx/fipasahem</w:t>
      </w:r>
    </w:p>
  </w:footnote>
  <w:footnote w:id="10">
    <w:p w14:paraId="16F0A5D2" w14:textId="77777777" w:rsidR="00EB6EA2" w:rsidRPr="0034171E" w:rsidRDefault="00EB6EA2" w:rsidP="00EB6EA2">
      <w:pPr>
        <w:pStyle w:val="Textonotapie"/>
        <w:jc w:val="both"/>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w:t>
      </w:r>
      <w:r w:rsidRPr="00470E78">
        <w:rPr>
          <w:rFonts w:ascii="Arial" w:hAnsi="Arial" w:cs="Arial"/>
          <w:sz w:val="16"/>
          <w:szCs w:val="16"/>
        </w:rPr>
        <w:t>MONTOYA Paola, ¿Qué municipios aportan y cuáles no para cuidar los bosques del Edomex?, 2026. Disponible en: https://oem.com.mx/elsoldetoluca/local/que-municipios-aportan-y-cuales-no-para-cuidar-los-bosques-del-edomex-30825666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052EF1" w14:textId="79179763" w:rsidR="00BB636F" w:rsidRDefault="00BB636F">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44E6A885" w14:textId="11AB633E" w:rsidR="00BB636F" w:rsidRDefault="00BB636F">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753A6BCE" w14:textId="61CF1415" w:rsidR="007736D3" w:rsidRDefault="007736D3" w:rsidP="007736D3">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bookmarkStart w:id="0" w:name="_Hlk196747622"/>
    <w:bookmarkStart w:id="1" w:name="_Hlk196747623"/>
    <w:r>
      <w:rPr>
        <w:noProof/>
      </w:rPr>
      <w:drawing>
        <wp:anchor distT="0" distB="0" distL="0" distR="0" simplePos="0" relativeHeight="251666432" behindDoc="1" locked="0" layoutInCell="1" hidden="0" allowOverlap="1" wp14:anchorId="7762C063" wp14:editId="6A1D3903">
          <wp:simplePos x="0" y="0"/>
          <wp:positionH relativeFrom="column">
            <wp:posOffset>1960418</wp:posOffset>
          </wp:positionH>
          <wp:positionV relativeFrom="paragraph">
            <wp:posOffset>-222352</wp:posOffset>
          </wp:positionV>
          <wp:extent cx="2055248" cy="667270"/>
          <wp:effectExtent l="0" t="0" r="2540" b="0"/>
          <wp:wrapNone/>
          <wp:docPr id="1422842524" name="image2.png" descr="Diagrama, Dibujo de ingenierí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699353730" name="image2.png" descr="Diagrama, Dibujo de ingeniería&#10;&#10;El contenido generado por IA puede ser incorrecto."/>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055248" cy="667270"/>
                  </a:xfrm>
                  <a:prstGeom prst="rect">
                    <a:avLst/>
                  </a:prstGeom>
                  <a:ln/>
                </pic:spPr>
              </pic:pic>
            </a:graphicData>
          </a:graphic>
          <wp14:sizeRelV relativeFrom="margin">
            <wp14:pctHeight>0</wp14:pctHeight>
          </wp14:sizeRelV>
        </wp:anchor>
      </w:drawing>
    </w:r>
  </w:p>
  <w:p w14:paraId="5D46BF76" w14:textId="45B7163A" w:rsidR="007736D3" w:rsidRDefault="007736D3" w:rsidP="007736D3">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7E2BF4FE" w14:textId="328715AD" w:rsidR="007736D3" w:rsidRDefault="007736D3" w:rsidP="007736D3">
    <w:pPr>
      <w:pBdr>
        <w:top w:val="nil"/>
        <w:left w:val="nil"/>
        <w:bottom w:val="nil"/>
        <w:right w:val="nil"/>
        <w:between w:val="nil"/>
      </w:pBdr>
      <w:tabs>
        <w:tab w:val="center" w:pos="4419"/>
        <w:tab w:val="right" w:pos="8838"/>
        <w:tab w:val="center" w:pos="4702"/>
        <w:tab w:val="left" w:pos="5180"/>
      </w:tabs>
      <w:spacing w:after="0" w:line="240" w:lineRule="auto"/>
      <w:rPr>
        <w:rFonts w:ascii="Arial" w:eastAsia="Arial" w:hAnsi="Arial" w:cs="Arial"/>
        <w:color w:val="000000"/>
        <w:sz w:val="18"/>
        <w:szCs w:val="18"/>
      </w:rPr>
    </w:pPr>
    <w:r>
      <w:rPr>
        <w:noProof/>
      </w:rPr>
      <mc:AlternateContent>
        <mc:Choice Requires="wps">
          <w:drawing>
            <wp:anchor distT="0" distB="0" distL="114300" distR="114300" simplePos="0" relativeHeight="251667456" behindDoc="0" locked="0" layoutInCell="1" hidden="0" allowOverlap="1" wp14:anchorId="7859D717" wp14:editId="4B935836">
              <wp:simplePos x="0" y="0"/>
              <wp:positionH relativeFrom="column">
                <wp:posOffset>2390775</wp:posOffset>
              </wp:positionH>
              <wp:positionV relativeFrom="paragraph">
                <wp:posOffset>49537</wp:posOffset>
              </wp:positionV>
              <wp:extent cx="2529525" cy="189525"/>
              <wp:effectExtent l="0" t="0" r="0" b="0"/>
              <wp:wrapNone/>
              <wp:docPr id="1699353728" name="Rectángulo 1699353728"/>
              <wp:cNvGraphicFramePr/>
              <a:graphic xmlns:a="http://schemas.openxmlformats.org/drawingml/2006/main">
                <a:graphicData uri="http://schemas.microsoft.com/office/word/2010/wordprocessingShape">
                  <wps:wsp>
                    <wps:cNvSpPr/>
                    <wps:spPr>
                      <a:xfrm>
                        <a:off x="4086000" y="3690000"/>
                        <a:ext cx="2520000" cy="180000"/>
                      </a:xfrm>
                      <a:prstGeom prst="rect">
                        <a:avLst/>
                      </a:prstGeom>
                      <a:noFill/>
                      <a:ln>
                        <a:noFill/>
                      </a:ln>
                    </wps:spPr>
                    <wps:txbx>
                      <w:txbxContent>
                        <w:p w14:paraId="0238348A" w14:textId="77777777" w:rsidR="007736D3" w:rsidRDefault="007736D3" w:rsidP="007736D3">
                          <w:pPr>
                            <w:spacing w:line="275" w:lineRule="auto"/>
                            <w:jc w:val="center"/>
                            <w:textDirection w:val="btLr"/>
                          </w:pPr>
                          <w:r>
                            <w:rPr>
                              <w:rFonts w:ascii="Arial" w:eastAsia="Arial" w:hAnsi="Arial" w:cs="Arial"/>
                              <w:color w:val="97184B"/>
                              <w:sz w:val="10"/>
                            </w:rPr>
                            <w:t>GRUPO PARLAMENTARIO DEL PARTIDO VERDE ECOLOGISTA DE MEXICO</w:t>
                          </w:r>
                        </w:p>
                      </w:txbxContent>
                    </wps:txbx>
                    <wps:bodyPr spcFirstLastPara="1" wrap="square" lIns="91425" tIns="45700" rIns="91425" bIns="45700" anchor="b" anchorCtr="0">
                      <a:noAutofit/>
                    </wps:bodyPr>
                  </wps:wsp>
                </a:graphicData>
              </a:graphic>
            </wp:anchor>
          </w:drawing>
        </mc:Choice>
        <mc:Fallback>
          <w:pict>
            <v:rect w14:anchorId="7859D717" id="Rectángulo 1699353728" o:spid="_x0000_s1026" style="position:absolute;margin-left:188.25pt;margin-top:3.9pt;width:199.2pt;height:14.9pt;z-index:25166745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wnptgEAAFoDAAAOAAAAZHJzL2Uyb0RvYy54bWysU8Fu2zAMvQ/YPwi6L7azJEuNOMWwIsOA&#13;&#10;YgvQ9QNkWYoF2JJGKrHz96MUt8nW27CLTIkPj++R9OZ+7Dt2UoDG2YoXs5wzZaVrjD1U/Pnn7sOa&#13;&#10;MwzCNqJzVlX8rJDfb9+/2wy+VHPXuq5RwIjEYjn4irch+DLLULaqFzhzXllKage9CHSFQ9aAGIi9&#13;&#10;77J5nq+ywUHjwUmFSK8PlyTfJn6tlQw/tEYVWFdx0hbSCems45ltN6I8gPCtkZMM8Q8qemEsFX2l&#13;&#10;ehBBsCOYN1S9keDQ6TCTrs+c1kaq5IHcFPlfbp5a4VXyQs1B/9om/H+08vvpye+B2jB4LJHC6GLU&#13;&#10;0Mcv6WNjxRf5epXn1L5zxT+u7iicGqfGwCQB5kuaRQRIQhTrF0B2ZfKA4atyPYtBxYEGk/olTo8Y&#13;&#10;qDpBXyCxsHU703VpOJ3944GA8SW7yo1RGOtx8lC75rwHhl7uDNV6FBj2AmioBWcDDbri+OsoQHHW&#13;&#10;fbPUybtiMV/SZqTLYvkp2oDbTH2bEVa2jvan5uwSfglpmy4aPx+D0yb5iaouUiaxNMBkc1q2uCG3&#13;&#10;94S6/hLb3wAAAP//AwBQSwMEFAAGAAgAAAAhAA5mmWTiAAAADQEAAA8AAABkcnMvZG93bnJldi54&#13;&#10;bWxMj81OwzAQhO9IvIO1SNyoU9r8NI1TFRDi1EMKD+DGSxKI11HstqFPz8IFLiutZnZ2vmIz2V6c&#13;&#10;cPSdIwXzWQQCqXamo0bB2+vzXQbCB01G945QwRd62JTXV4XOjTtThad9aASHkM+1gjaEIZfS1y1a&#13;&#10;7WduQGLt3Y1WB17HRppRnznc9vI+ihJpdUf8odUDPrZYf+6PVsFyirfzbFHFOK6yxL9Ul8vD7kOp&#13;&#10;25vpac1juwYRcAp/F/DDwP2h5GIHdyTjRa9gkSYxWxWkjMF6mi5XIA6/AsiykP8pym8AAAD//wMA&#13;&#10;UEsBAi0AFAAGAAgAAAAhALaDOJL+AAAA4QEAABMAAAAAAAAAAAAAAAAAAAAAAFtDb250ZW50X1R5&#13;&#10;cGVzXS54bWxQSwECLQAUAAYACAAAACEAOP0h/9YAAACUAQAACwAAAAAAAAAAAAAAAAAvAQAAX3Jl&#13;&#10;bHMvLnJlbHNQSwECLQAUAAYACAAAACEAUTcJ6bYBAABaAwAADgAAAAAAAAAAAAAAAAAuAgAAZHJz&#13;&#10;L2Uyb0RvYy54bWxQSwECLQAUAAYACAAAACEADmaZZOIAAAANAQAADwAAAAAAAAAAAAAAAAAQBAAA&#13;&#10;ZHJzL2Rvd25yZXYueG1sUEsFBgAAAAAEAAQA8wAAAB8FAAAAAA==&#13;&#10;" filled="f" stroked="f">
              <v:textbox inset="2.53958mm,1.2694mm,2.53958mm,1.2694mm">
                <w:txbxContent>
                  <w:p w14:paraId="0238348A" w14:textId="77777777" w:rsidR="007736D3" w:rsidRDefault="007736D3" w:rsidP="007736D3">
                    <w:pPr>
                      <w:spacing w:line="275" w:lineRule="auto"/>
                      <w:jc w:val="center"/>
                      <w:textDirection w:val="btLr"/>
                    </w:pPr>
                    <w:r>
                      <w:rPr>
                        <w:rFonts w:ascii="Arial" w:eastAsia="Arial" w:hAnsi="Arial" w:cs="Arial"/>
                        <w:color w:val="97184B"/>
                        <w:sz w:val="10"/>
                      </w:rPr>
                      <w:t>GRUPO PARLAMENTARIO DEL PARTIDO VERDE ECOLOGISTA DE MEXICO</w:t>
                    </w:r>
                  </w:p>
                </w:txbxContent>
              </v:textbox>
            </v:rect>
          </w:pict>
        </mc:Fallback>
      </mc:AlternateContent>
    </w:r>
  </w:p>
  <w:bookmarkEnd w:id="0"/>
  <w:bookmarkEnd w:id="1"/>
  <w:p w14:paraId="5FDBCF68" w14:textId="1917A974" w:rsidR="00BB636F" w:rsidRDefault="008D435F">
    <w:pPr>
      <w:pBdr>
        <w:top w:val="nil"/>
        <w:left w:val="nil"/>
        <w:bottom w:val="nil"/>
        <w:right w:val="nil"/>
        <w:between w:val="nil"/>
      </w:pBdr>
      <w:tabs>
        <w:tab w:val="center" w:pos="4419"/>
        <w:tab w:val="right" w:pos="8838"/>
        <w:tab w:val="center" w:pos="4702"/>
        <w:tab w:val="left" w:pos="5180"/>
      </w:tabs>
      <w:spacing w:after="0" w:line="240" w:lineRule="auto"/>
      <w:rPr>
        <w:rFonts w:ascii="Arial" w:eastAsia="Arial" w:hAnsi="Arial" w:cs="Arial"/>
        <w:color w:val="000000"/>
        <w:sz w:val="18"/>
        <w:szCs w:val="18"/>
      </w:rPr>
    </w:pPr>
    <w:r>
      <w:rPr>
        <w:noProof/>
      </w:rPr>
      <mc:AlternateContent>
        <mc:Choice Requires="wps">
          <w:drawing>
            <wp:anchor distT="0" distB="0" distL="114300" distR="114300" simplePos="0" relativeHeight="251668480" behindDoc="0" locked="0" layoutInCell="1" hidden="0" allowOverlap="1" wp14:anchorId="1D8B8A6B" wp14:editId="21B36E70">
              <wp:simplePos x="0" y="0"/>
              <wp:positionH relativeFrom="column">
                <wp:posOffset>99060</wp:posOffset>
              </wp:positionH>
              <wp:positionV relativeFrom="paragraph">
                <wp:posOffset>102870</wp:posOffset>
              </wp:positionV>
              <wp:extent cx="5950585" cy="225425"/>
              <wp:effectExtent l="0" t="0" r="0" b="0"/>
              <wp:wrapNone/>
              <wp:docPr id="1699353729" name="Rectángulo 1699353729"/>
              <wp:cNvGraphicFramePr/>
              <a:graphic xmlns:a="http://schemas.openxmlformats.org/drawingml/2006/main">
                <a:graphicData uri="http://schemas.microsoft.com/office/word/2010/wordprocessingShape">
                  <wps:wsp>
                    <wps:cNvSpPr/>
                    <wps:spPr>
                      <a:xfrm>
                        <a:off x="0" y="0"/>
                        <a:ext cx="5950585" cy="225425"/>
                      </a:xfrm>
                      <a:prstGeom prst="rect">
                        <a:avLst/>
                      </a:prstGeom>
                      <a:noFill/>
                      <a:ln>
                        <a:noFill/>
                      </a:ln>
                    </wps:spPr>
                    <wps:txbx>
                      <w:txbxContent>
                        <w:p w14:paraId="35B6FFBD" w14:textId="77777777" w:rsidR="00760CDB" w:rsidRDefault="00760CDB" w:rsidP="00760CDB">
                          <w:pPr>
                            <w:spacing w:line="275" w:lineRule="auto"/>
                            <w:jc w:val="center"/>
                            <w:textDirection w:val="btLr"/>
                          </w:pPr>
                          <w:r>
                            <w:rPr>
                              <w:rFonts w:ascii="Arial" w:eastAsia="Arial" w:hAnsi="Arial" w:cs="Arial"/>
                              <w:color w:val="920000"/>
                              <w:sz w:val="16"/>
                            </w:rPr>
                            <w:t xml:space="preserve">“2026. </w:t>
                          </w:r>
                          <w:r w:rsidRPr="000D0F6D">
                            <w:rPr>
                              <w:rFonts w:ascii="Arial" w:eastAsia="Arial" w:hAnsi="Arial" w:cs="Arial"/>
                              <w:color w:val="920000"/>
                              <w:sz w:val="16"/>
                            </w:rPr>
                            <w:t>Año del Humanismo Mexicano en el Estado de México</w:t>
                          </w:r>
                          <w:r>
                            <w:rPr>
                              <w:rFonts w:ascii="Arial" w:eastAsia="Arial" w:hAnsi="Arial" w:cs="Arial"/>
                              <w:color w:val="920000"/>
                              <w:sz w:val="16"/>
                            </w:rPr>
                            <w:t>”.</w:t>
                          </w:r>
                        </w:p>
                        <w:p w14:paraId="4144533F" w14:textId="7B6A3D1A" w:rsidR="007736D3" w:rsidRDefault="007736D3" w:rsidP="007736D3">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1D8B8A6B" id="Rectángulo 1699353729" o:spid="_x0000_s1027" style="position:absolute;margin-left:7.8pt;margin-top:8.1pt;width:468.55pt;height:17.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MjLsgEAAFcDAAAOAAAAZHJzL2Uyb0RvYy54bWysU8Fu2zAMvQ/oPwi6L3aMumuNOMWwIsOA&#13;&#10;YgvQ7QMUWYoFyJJKKrHz96WUNMm227ALLZLy4+MjtXicBsv2CtB41/L5rORMOek747Yt//Vz9fGe&#13;&#10;M4zCdcJ6p1p+UMgflzcfFmNoVOV7bzsFjEAcNmNoeR9jaIoCZa8GgTMflKOk9jCISC5siw7ESOiD&#13;&#10;LaqyvCtGD10ALxUiRZ+OSb7M+ForGX9ojSoy23LiFrOFbDfJFsuFaLYgQm/kiYb4BxaDMI6KnqGe&#13;&#10;RBRsB+YvqMFI8Oh1nEk/FF5rI1XugbqZl39089KLoHIvJA6Gs0z4/2Dl9/1LWAPJMAZskI6pi0nD&#13;&#10;kL7Ej01ZrMNZLDVFJilYP9RlfV9zJilXVfVtVSc1i8vfATB+VX5g6dByoGFkjcT+GePx6vuVVMz5&#13;&#10;lbE2D8S63wKEmSLFhWI6xWkzMdPR1qW6KbLx3WENDINcGSr5LDCuBdA855yNNOOW4+tOgOLMfnMk&#13;&#10;4sM8kWYxO7f1p5I2BK4zm+uMcLL3tDoyAmdH50vMq3Qk+3kXvTa5sQuZE2uaXpbmtGlpPa79fOvy&#13;&#10;HpZvAAAA//8DAFBLAwQUAAYACAAAACEAOwMWY+AAAAANAQAADwAAAGRycy9kb3ducmV2LnhtbExP&#13;&#10;TU+DQBC9m/gfNmPixdgFFCqUpfEjXrzZkvS6ZadAZGcJu7T47x1PepnJy5t5H+V2sYM44+R7Rwri&#13;&#10;VQQCqXGmp1ZBvX+/fwLhgyajB0eo4Bs9bKvrq1IXxl3oE8+70AoWIV9oBV0IYyGlbzq02q/ciMTc&#13;&#10;yU1WB4ZTK82kLyxuB5lEUSat7okdOj3ia4fN1262CtyhPzz6IT/lD3G9ly93c/RRo1K3N8vbhsfz&#13;&#10;BkTAJfx9wG8Hzg8VBzu6mYwXA+M040veWQKC+TxN1iCOCtJ4DbIq5f8W1Q8AAAD//wMAUEsBAi0A&#13;&#10;FAAGAAgAAAAhALaDOJL+AAAA4QEAABMAAAAAAAAAAAAAAAAAAAAAAFtDb250ZW50X1R5cGVzXS54&#13;&#10;bWxQSwECLQAUAAYACAAAACEAOP0h/9YAAACUAQAACwAAAAAAAAAAAAAAAAAvAQAAX3JlbHMvLnJl&#13;&#10;bHNQSwECLQAUAAYACAAAACEAb3jIy7IBAABXAwAADgAAAAAAAAAAAAAAAAAuAgAAZHJzL2Uyb0Rv&#13;&#10;Yy54bWxQSwECLQAUAAYACAAAACEAOwMWY+AAAAANAQAADwAAAAAAAAAAAAAAAAAMBAAAZHJzL2Rv&#13;&#10;d25yZXYueG1sUEsFBgAAAAAEAAQA8wAAABkFAAAAAA==&#13;&#10;" filled="f" stroked="f">
              <v:textbox inset="2.53958mm,1.2694mm,2.53958mm,1.2694mm">
                <w:txbxContent>
                  <w:p w14:paraId="35B6FFBD" w14:textId="77777777" w:rsidR="00760CDB" w:rsidRDefault="00760CDB" w:rsidP="00760CDB">
                    <w:pPr>
                      <w:spacing w:line="275" w:lineRule="auto"/>
                      <w:jc w:val="center"/>
                      <w:textDirection w:val="btLr"/>
                    </w:pPr>
                    <w:r>
                      <w:rPr>
                        <w:rFonts w:ascii="Arial" w:eastAsia="Arial" w:hAnsi="Arial" w:cs="Arial"/>
                        <w:color w:val="920000"/>
                        <w:sz w:val="16"/>
                      </w:rPr>
                      <w:t xml:space="preserve">“2026. </w:t>
                    </w:r>
                    <w:r w:rsidRPr="000D0F6D">
                      <w:rPr>
                        <w:rFonts w:ascii="Arial" w:eastAsia="Arial" w:hAnsi="Arial" w:cs="Arial"/>
                        <w:color w:val="920000"/>
                        <w:sz w:val="16"/>
                      </w:rPr>
                      <w:t>Año del Humanismo Mexicano en el Estado de México</w:t>
                    </w:r>
                    <w:r>
                      <w:rPr>
                        <w:rFonts w:ascii="Arial" w:eastAsia="Arial" w:hAnsi="Arial" w:cs="Arial"/>
                        <w:color w:val="920000"/>
                        <w:sz w:val="16"/>
                      </w:rPr>
                      <w:t>”.</w:t>
                    </w:r>
                  </w:p>
                  <w:p w14:paraId="4144533F" w14:textId="7B6A3D1A" w:rsidR="007736D3" w:rsidRDefault="007736D3" w:rsidP="007736D3">
                    <w:pPr>
                      <w:spacing w:line="275" w:lineRule="auto"/>
                      <w:jc w:val="center"/>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635A9B" w14:textId="72DE546B" w:rsidR="00BB636F" w:rsidRDefault="007736D3">
    <w:pPr>
      <w:pBdr>
        <w:top w:val="nil"/>
        <w:left w:val="nil"/>
        <w:bottom w:val="nil"/>
        <w:right w:val="nil"/>
        <w:between w:val="nil"/>
      </w:pBdr>
      <w:tabs>
        <w:tab w:val="center" w:pos="4419"/>
        <w:tab w:val="right" w:pos="8838"/>
      </w:tabs>
      <w:spacing w:after="0" w:line="240" w:lineRule="auto"/>
      <w:jc w:val="both"/>
      <w:rPr>
        <w:color w:val="000000"/>
      </w:rPr>
    </w:pPr>
    <w:r>
      <w:rPr>
        <w:rFonts w:ascii="Arial" w:eastAsia="Arial" w:hAnsi="Arial" w:cs="Arial"/>
        <w:noProof/>
        <w:color w:val="000000"/>
        <w:sz w:val="20"/>
        <w:szCs w:val="20"/>
      </w:rPr>
      <w:drawing>
        <wp:anchor distT="0" distB="0" distL="114300" distR="114300" simplePos="0" relativeHeight="251670528" behindDoc="0" locked="0" layoutInCell="1" hidden="0" allowOverlap="1" wp14:anchorId="565991CB" wp14:editId="2BA2E2D5">
          <wp:simplePos x="0" y="0"/>
          <wp:positionH relativeFrom="margin">
            <wp:align>left</wp:align>
          </wp:positionH>
          <wp:positionV relativeFrom="margin">
            <wp:posOffset>-624840</wp:posOffset>
          </wp:positionV>
          <wp:extent cx="1806575" cy="445135"/>
          <wp:effectExtent l="0" t="0" r="3175" b="0"/>
          <wp:wrapSquare wrapText="bothSides" distT="0" distB="0" distL="114300" distR="114300"/>
          <wp:docPr id="1" name="image3.png" descr="Diagrama, Dibujo de ingenierí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Diagrama, Dibujo de ingeniería&#10;&#10;El contenido generado por IA puede ser incorrecto."/>
                  <pic:cNvPicPr preferRelativeResize="0"/>
                </pic:nvPicPr>
                <pic:blipFill rotWithShape="1">
                  <a:blip r:embed="rId1">
                    <a:extLst>
                      <a:ext uri="{28A0092B-C50C-407E-A947-70E740481C1C}">
                        <a14:useLocalDpi xmlns:a14="http://schemas.microsoft.com/office/drawing/2010/main" val="0"/>
                      </a:ext>
                    </a:extLst>
                  </a:blip>
                  <a:srcRect l="2845" t="14226" r="2928" b="14062"/>
                  <a:stretch/>
                </pic:blipFill>
                <pic:spPr bwMode="auto">
                  <a:xfrm>
                    <a:off x="0" y="0"/>
                    <a:ext cx="1806575" cy="445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noProof/>
        <w:color w:val="000000"/>
        <w:sz w:val="20"/>
        <w:szCs w:val="20"/>
      </w:rPr>
      <w:drawing>
        <wp:anchor distT="114300" distB="114300" distL="114300" distR="114300" simplePos="0" relativeHeight="251664384" behindDoc="0" locked="0" layoutInCell="1" hidden="0" allowOverlap="1" wp14:anchorId="1EADB76C" wp14:editId="0E6FD22A">
          <wp:simplePos x="0" y="0"/>
          <wp:positionH relativeFrom="margin">
            <wp:align>right</wp:align>
          </wp:positionH>
          <wp:positionV relativeFrom="page">
            <wp:posOffset>363855</wp:posOffset>
          </wp:positionV>
          <wp:extent cx="1750060" cy="363855"/>
          <wp:effectExtent l="0" t="0" r="0" b="0"/>
          <wp:wrapSquare wrapText="bothSides" distT="114300" distB="114300" distL="114300" distR="11430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750060" cy="3638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F63A4B"/>
    <w:multiLevelType w:val="multilevel"/>
    <w:tmpl w:val="05EE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95CF0"/>
    <w:multiLevelType w:val="hybridMultilevel"/>
    <w:tmpl w:val="723E3A26"/>
    <w:lvl w:ilvl="0" w:tplc="2E26F69A">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850D09"/>
    <w:multiLevelType w:val="hybridMultilevel"/>
    <w:tmpl w:val="71262168"/>
    <w:lvl w:ilvl="0" w:tplc="7C1CDBE4">
      <w:start w:val="1"/>
      <w:numFmt w:val="low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 w15:restartNumberingAfterBreak="0">
    <w:nsid w:val="3BAF6E8F"/>
    <w:multiLevelType w:val="multilevel"/>
    <w:tmpl w:val="69B4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9A66CE"/>
    <w:multiLevelType w:val="hybridMultilevel"/>
    <w:tmpl w:val="723E3A26"/>
    <w:lvl w:ilvl="0" w:tplc="FFFFFFFF">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46C0141"/>
    <w:multiLevelType w:val="hybridMultilevel"/>
    <w:tmpl w:val="62A4B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8A50D8A"/>
    <w:multiLevelType w:val="hybridMultilevel"/>
    <w:tmpl w:val="2084B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18B5739"/>
    <w:multiLevelType w:val="multilevel"/>
    <w:tmpl w:val="E1FA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31DC4"/>
    <w:multiLevelType w:val="multilevel"/>
    <w:tmpl w:val="4428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C62593"/>
    <w:multiLevelType w:val="hybridMultilevel"/>
    <w:tmpl w:val="B61AAF1C"/>
    <w:lvl w:ilvl="0" w:tplc="11E869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2FE5080"/>
    <w:multiLevelType w:val="hybridMultilevel"/>
    <w:tmpl w:val="942CF8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B0E1E45"/>
    <w:multiLevelType w:val="multilevel"/>
    <w:tmpl w:val="CC101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B73E6F"/>
    <w:multiLevelType w:val="hybridMultilevel"/>
    <w:tmpl w:val="F06C1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D853695"/>
    <w:multiLevelType w:val="hybridMultilevel"/>
    <w:tmpl w:val="0A5CBF9C"/>
    <w:lvl w:ilvl="0" w:tplc="5C988F2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DBB31C7"/>
    <w:multiLevelType w:val="hybridMultilevel"/>
    <w:tmpl w:val="EEF6E8E4"/>
    <w:lvl w:ilvl="0" w:tplc="CD9A4218">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num w:numId="1" w16cid:durableId="1055858241">
    <w:abstractNumId w:val="1"/>
  </w:num>
  <w:num w:numId="2" w16cid:durableId="876160720">
    <w:abstractNumId w:val="4"/>
  </w:num>
  <w:num w:numId="3" w16cid:durableId="1343508004">
    <w:abstractNumId w:val="12"/>
  </w:num>
  <w:num w:numId="4" w16cid:durableId="861943710">
    <w:abstractNumId w:val="14"/>
  </w:num>
  <w:num w:numId="5" w16cid:durableId="1677533030">
    <w:abstractNumId w:val="2"/>
  </w:num>
  <w:num w:numId="6" w16cid:durableId="1749038418">
    <w:abstractNumId w:val="5"/>
  </w:num>
  <w:num w:numId="7" w16cid:durableId="988511221">
    <w:abstractNumId w:val="10"/>
  </w:num>
  <w:num w:numId="8" w16cid:durableId="612131179">
    <w:abstractNumId w:val="9"/>
  </w:num>
  <w:num w:numId="9" w16cid:durableId="461582750">
    <w:abstractNumId w:val="13"/>
  </w:num>
  <w:num w:numId="10" w16cid:durableId="306477616">
    <w:abstractNumId w:val="11"/>
  </w:num>
  <w:num w:numId="11" w16cid:durableId="1650555730">
    <w:abstractNumId w:val="7"/>
  </w:num>
  <w:num w:numId="12" w16cid:durableId="49228127">
    <w:abstractNumId w:val="3"/>
  </w:num>
  <w:num w:numId="13" w16cid:durableId="1215775504">
    <w:abstractNumId w:val="8"/>
  </w:num>
  <w:num w:numId="14" w16cid:durableId="995569795">
    <w:abstractNumId w:val="0"/>
  </w:num>
  <w:num w:numId="15" w16cid:durableId="1015613702">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36F"/>
    <w:rsid w:val="000065F3"/>
    <w:rsid w:val="0001456D"/>
    <w:rsid w:val="00027FAC"/>
    <w:rsid w:val="00032454"/>
    <w:rsid w:val="000348F2"/>
    <w:rsid w:val="000422DC"/>
    <w:rsid w:val="00047708"/>
    <w:rsid w:val="00072136"/>
    <w:rsid w:val="0008029C"/>
    <w:rsid w:val="000A0A3F"/>
    <w:rsid w:val="000A5841"/>
    <w:rsid w:val="000C08EF"/>
    <w:rsid w:val="000E60CE"/>
    <w:rsid w:val="00122782"/>
    <w:rsid w:val="0012287A"/>
    <w:rsid w:val="00123CCF"/>
    <w:rsid w:val="001341FB"/>
    <w:rsid w:val="00135C4E"/>
    <w:rsid w:val="001411A1"/>
    <w:rsid w:val="00141344"/>
    <w:rsid w:val="001462F0"/>
    <w:rsid w:val="001736DF"/>
    <w:rsid w:val="00187827"/>
    <w:rsid w:val="00192D7E"/>
    <w:rsid w:val="001A24C5"/>
    <w:rsid w:val="001B1552"/>
    <w:rsid w:val="001B551A"/>
    <w:rsid w:val="001C2CBB"/>
    <w:rsid w:val="001C4852"/>
    <w:rsid w:val="001C4B56"/>
    <w:rsid w:val="001D1AB0"/>
    <w:rsid w:val="001E3C60"/>
    <w:rsid w:val="001E6D19"/>
    <w:rsid w:val="001F10E6"/>
    <w:rsid w:val="00213FEA"/>
    <w:rsid w:val="00215176"/>
    <w:rsid w:val="002218E2"/>
    <w:rsid w:val="002405B6"/>
    <w:rsid w:val="00240851"/>
    <w:rsid w:val="0024222A"/>
    <w:rsid w:val="00257A44"/>
    <w:rsid w:val="00257CA0"/>
    <w:rsid w:val="002647DF"/>
    <w:rsid w:val="00290E2A"/>
    <w:rsid w:val="002915AE"/>
    <w:rsid w:val="00296116"/>
    <w:rsid w:val="002C002A"/>
    <w:rsid w:val="002C6F66"/>
    <w:rsid w:val="002F31DD"/>
    <w:rsid w:val="002F5591"/>
    <w:rsid w:val="003147D9"/>
    <w:rsid w:val="00315814"/>
    <w:rsid w:val="00315EC5"/>
    <w:rsid w:val="003178DC"/>
    <w:rsid w:val="00330F2C"/>
    <w:rsid w:val="0033112A"/>
    <w:rsid w:val="00361AED"/>
    <w:rsid w:val="00362FCD"/>
    <w:rsid w:val="00366AA8"/>
    <w:rsid w:val="003670F0"/>
    <w:rsid w:val="00367CD1"/>
    <w:rsid w:val="00370417"/>
    <w:rsid w:val="0037574F"/>
    <w:rsid w:val="003803EC"/>
    <w:rsid w:val="003817E1"/>
    <w:rsid w:val="003A35AB"/>
    <w:rsid w:val="003A3B2D"/>
    <w:rsid w:val="003B32BC"/>
    <w:rsid w:val="003C0348"/>
    <w:rsid w:val="003C5E24"/>
    <w:rsid w:val="003D5394"/>
    <w:rsid w:val="003F319D"/>
    <w:rsid w:val="003F6770"/>
    <w:rsid w:val="00400B5A"/>
    <w:rsid w:val="00404E7C"/>
    <w:rsid w:val="00430A42"/>
    <w:rsid w:val="00440C1D"/>
    <w:rsid w:val="00454989"/>
    <w:rsid w:val="0047153A"/>
    <w:rsid w:val="0047792B"/>
    <w:rsid w:val="0049151B"/>
    <w:rsid w:val="00497028"/>
    <w:rsid w:val="004A27F6"/>
    <w:rsid w:val="004A388C"/>
    <w:rsid w:val="004C1843"/>
    <w:rsid w:val="004C24F6"/>
    <w:rsid w:val="00503E88"/>
    <w:rsid w:val="00527312"/>
    <w:rsid w:val="0054335D"/>
    <w:rsid w:val="00551B38"/>
    <w:rsid w:val="00560CF6"/>
    <w:rsid w:val="00582752"/>
    <w:rsid w:val="0058427D"/>
    <w:rsid w:val="00593673"/>
    <w:rsid w:val="0059682B"/>
    <w:rsid w:val="005B3958"/>
    <w:rsid w:val="005C2FC4"/>
    <w:rsid w:val="005D412A"/>
    <w:rsid w:val="005D6B60"/>
    <w:rsid w:val="0060252F"/>
    <w:rsid w:val="00611179"/>
    <w:rsid w:val="00613418"/>
    <w:rsid w:val="00616B7E"/>
    <w:rsid w:val="006231BB"/>
    <w:rsid w:val="00633E10"/>
    <w:rsid w:val="00634586"/>
    <w:rsid w:val="00642D8E"/>
    <w:rsid w:val="00650BDB"/>
    <w:rsid w:val="00654266"/>
    <w:rsid w:val="00654363"/>
    <w:rsid w:val="00693B0D"/>
    <w:rsid w:val="0069424C"/>
    <w:rsid w:val="006A0994"/>
    <w:rsid w:val="006B22CD"/>
    <w:rsid w:val="006D0C22"/>
    <w:rsid w:val="006D6EDE"/>
    <w:rsid w:val="006E229D"/>
    <w:rsid w:val="006E41A8"/>
    <w:rsid w:val="006E5FFF"/>
    <w:rsid w:val="00700C14"/>
    <w:rsid w:val="00703297"/>
    <w:rsid w:val="007040F7"/>
    <w:rsid w:val="00713867"/>
    <w:rsid w:val="00721079"/>
    <w:rsid w:val="007244B1"/>
    <w:rsid w:val="00732C53"/>
    <w:rsid w:val="0073337A"/>
    <w:rsid w:val="0074459E"/>
    <w:rsid w:val="00754988"/>
    <w:rsid w:val="00760CDB"/>
    <w:rsid w:val="00761E63"/>
    <w:rsid w:val="007736D3"/>
    <w:rsid w:val="00773820"/>
    <w:rsid w:val="00794A85"/>
    <w:rsid w:val="007A2983"/>
    <w:rsid w:val="007C2F7B"/>
    <w:rsid w:val="007C54E4"/>
    <w:rsid w:val="007D1219"/>
    <w:rsid w:val="007E2CCF"/>
    <w:rsid w:val="008074A9"/>
    <w:rsid w:val="00811E1D"/>
    <w:rsid w:val="00814D8A"/>
    <w:rsid w:val="00814DEA"/>
    <w:rsid w:val="00823D9C"/>
    <w:rsid w:val="00824C19"/>
    <w:rsid w:val="00825058"/>
    <w:rsid w:val="008306E6"/>
    <w:rsid w:val="00832EEB"/>
    <w:rsid w:val="008505AB"/>
    <w:rsid w:val="00850EED"/>
    <w:rsid w:val="008704FD"/>
    <w:rsid w:val="008941C9"/>
    <w:rsid w:val="008950ED"/>
    <w:rsid w:val="00896B0F"/>
    <w:rsid w:val="008A05C2"/>
    <w:rsid w:val="008B488D"/>
    <w:rsid w:val="008C01DD"/>
    <w:rsid w:val="008C2E9B"/>
    <w:rsid w:val="008D02CE"/>
    <w:rsid w:val="008D435F"/>
    <w:rsid w:val="008D57A5"/>
    <w:rsid w:val="00935ACB"/>
    <w:rsid w:val="00974B56"/>
    <w:rsid w:val="00986E78"/>
    <w:rsid w:val="009967A9"/>
    <w:rsid w:val="009E5A98"/>
    <w:rsid w:val="00A01A37"/>
    <w:rsid w:val="00A033B9"/>
    <w:rsid w:val="00A07E32"/>
    <w:rsid w:val="00A17A95"/>
    <w:rsid w:val="00A40237"/>
    <w:rsid w:val="00A4119B"/>
    <w:rsid w:val="00A446A2"/>
    <w:rsid w:val="00A46C75"/>
    <w:rsid w:val="00A51301"/>
    <w:rsid w:val="00A659A0"/>
    <w:rsid w:val="00A93702"/>
    <w:rsid w:val="00AC4139"/>
    <w:rsid w:val="00AE7415"/>
    <w:rsid w:val="00B0209D"/>
    <w:rsid w:val="00B20CA9"/>
    <w:rsid w:val="00B444B9"/>
    <w:rsid w:val="00B720E5"/>
    <w:rsid w:val="00B74400"/>
    <w:rsid w:val="00B8073C"/>
    <w:rsid w:val="00BA305A"/>
    <w:rsid w:val="00BA6EC1"/>
    <w:rsid w:val="00BA7DC7"/>
    <w:rsid w:val="00BB636F"/>
    <w:rsid w:val="00BC5A89"/>
    <w:rsid w:val="00BF63C6"/>
    <w:rsid w:val="00BF65AE"/>
    <w:rsid w:val="00BF7F1A"/>
    <w:rsid w:val="00C12E54"/>
    <w:rsid w:val="00C157E7"/>
    <w:rsid w:val="00C17A4A"/>
    <w:rsid w:val="00C21256"/>
    <w:rsid w:val="00C3466F"/>
    <w:rsid w:val="00C517BF"/>
    <w:rsid w:val="00C65A24"/>
    <w:rsid w:val="00CC3D85"/>
    <w:rsid w:val="00CD438C"/>
    <w:rsid w:val="00D171CE"/>
    <w:rsid w:val="00D34515"/>
    <w:rsid w:val="00D562CB"/>
    <w:rsid w:val="00D62B29"/>
    <w:rsid w:val="00D71FB0"/>
    <w:rsid w:val="00D7652B"/>
    <w:rsid w:val="00D76BED"/>
    <w:rsid w:val="00D8156B"/>
    <w:rsid w:val="00D90B5C"/>
    <w:rsid w:val="00DB04A4"/>
    <w:rsid w:val="00DD030B"/>
    <w:rsid w:val="00DF48C8"/>
    <w:rsid w:val="00DF4D46"/>
    <w:rsid w:val="00E13E5C"/>
    <w:rsid w:val="00E1534A"/>
    <w:rsid w:val="00E20E64"/>
    <w:rsid w:val="00E31626"/>
    <w:rsid w:val="00E34838"/>
    <w:rsid w:val="00E50135"/>
    <w:rsid w:val="00E62472"/>
    <w:rsid w:val="00E81E90"/>
    <w:rsid w:val="00E83C1B"/>
    <w:rsid w:val="00E91D9D"/>
    <w:rsid w:val="00EA1AF3"/>
    <w:rsid w:val="00EA335E"/>
    <w:rsid w:val="00EB6EA2"/>
    <w:rsid w:val="00EC0AF5"/>
    <w:rsid w:val="00ED68DE"/>
    <w:rsid w:val="00ED7BD7"/>
    <w:rsid w:val="00ED7C9C"/>
    <w:rsid w:val="00F0687D"/>
    <w:rsid w:val="00F1233D"/>
    <w:rsid w:val="00F14E04"/>
    <w:rsid w:val="00F20EAB"/>
    <w:rsid w:val="00F25B2F"/>
    <w:rsid w:val="00F34E3B"/>
    <w:rsid w:val="00F56746"/>
    <w:rsid w:val="00F737D4"/>
    <w:rsid w:val="00F81DC4"/>
    <w:rsid w:val="00F91B11"/>
    <w:rsid w:val="00FA11EC"/>
    <w:rsid w:val="00FE3D27"/>
    <w:rsid w:val="00FE59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B32CD"/>
  <w15:docId w15:val="{20244BE0-4A9C-49CB-B272-6DFEFA84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F7B"/>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paragraph" w:styleId="Prrafodelista">
    <w:name w:val="List Paragraph"/>
    <w:basedOn w:val="Normal"/>
    <w:uiPriority w:val="34"/>
    <w:qFormat/>
    <w:rsid w:val="00855115"/>
    <w:pPr>
      <w:ind w:left="720"/>
      <w:contextualSpacing/>
    </w:pPr>
  </w:style>
  <w:style w:type="table" w:customStyle="1" w:styleId="a1">
    <w:basedOn w:val="TableNormal0"/>
    <w:tblPr>
      <w:tblStyleRowBandSize w:val="1"/>
      <w:tblStyleColBandSize w:val="1"/>
      <w:tblCellMar>
        <w:left w:w="115" w:type="dxa"/>
        <w:right w:w="115" w:type="dxa"/>
      </w:tblCellMar>
    </w:tblPr>
  </w:style>
  <w:style w:type="table" w:styleId="Tablaconcuadrcula">
    <w:name w:val="Table Grid"/>
    <w:basedOn w:val="Tablanormal"/>
    <w:uiPriority w:val="39"/>
    <w:rsid w:val="00E13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503E8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03E88"/>
    <w:rPr>
      <w:sz w:val="20"/>
      <w:szCs w:val="20"/>
    </w:rPr>
  </w:style>
  <w:style w:type="character" w:styleId="Refdenotaalpie">
    <w:name w:val="footnote reference"/>
    <w:basedOn w:val="Fuentedeprrafopredeter"/>
    <w:uiPriority w:val="99"/>
    <w:semiHidden/>
    <w:unhideWhenUsed/>
    <w:rsid w:val="00503E88"/>
    <w:rPr>
      <w:vertAlign w:val="superscript"/>
    </w:rPr>
  </w:style>
  <w:style w:type="character" w:styleId="Hipervnculo">
    <w:name w:val="Hyperlink"/>
    <w:basedOn w:val="Fuentedeprrafopredeter"/>
    <w:uiPriority w:val="99"/>
    <w:unhideWhenUsed/>
    <w:rsid w:val="00503E88"/>
    <w:rPr>
      <w:color w:val="0000FF" w:themeColor="hyperlink"/>
      <w:u w:val="single"/>
    </w:rPr>
  </w:style>
  <w:style w:type="character" w:styleId="Mencinsinresolver">
    <w:name w:val="Unresolved Mention"/>
    <w:basedOn w:val="Fuentedeprrafopredeter"/>
    <w:uiPriority w:val="99"/>
    <w:semiHidden/>
    <w:unhideWhenUsed/>
    <w:rsid w:val="00503E88"/>
    <w:rPr>
      <w:color w:val="605E5C"/>
      <w:shd w:val="clear" w:color="auto" w:fill="E1DFDD"/>
    </w:rPr>
  </w:style>
  <w:style w:type="paragraph" w:styleId="Encabezado">
    <w:name w:val="header"/>
    <w:basedOn w:val="Normal"/>
    <w:link w:val="EncabezadoCar"/>
    <w:uiPriority w:val="99"/>
    <w:unhideWhenUsed/>
    <w:rsid w:val="007736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36D3"/>
  </w:style>
  <w:style w:type="paragraph" w:styleId="Piedepgina">
    <w:name w:val="footer"/>
    <w:basedOn w:val="Normal"/>
    <w:link w:val="PiedepginaCar"/>
    <w:uiPriority w:val="99"/>
    <w:unhideWhenUsed/>
    <w:rsid w:val="007736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36D3"/>
  </w:style>
  <w:style w:type="paragraph" w:styleId="NormalWeb">
    <w:name w:val="Normal (Web)"/>
    <w:basedOn w:val="Normal"/>
    <w:uiPriority w:val="99"/>
    <w:semiHidden/>
    <w:unhideWhenUsed/>
    <w:rsid w:val="00E91D9D"/>
    <w:rPr>
      <w:rFonts w:ascii="Times New Roman" w:hAnsi="Times New Roman" w:cs="Times New Roman"/>
      <w:sz w:val="24"/>
      <w:szCs w:val="24"/>
    </w:rPr>
  </w:style>
  <w:style w:type="paragraph" w:styleId="Sinespaciado">
    <w:name w:val="No Spacing"/>
    <w:uiPriority w:val="1"/>
    <w:qFormat/>
    <w:rsid w:val="00EB6EA2"/>
    <w:pPr>
      <w:spacing w:after="0" w:line="240" w:lineRule="auto"/>
    </w:pPr>
  </w:style>
  <w:style w:type="table" w:styleId="Tablaconcuadrculaclara">
    <w:name w:val="Grid Table Light"/>
    <w:basedOn w:val="Tablanormal"/>
    <w:uiPriority w:val="40"/>
    <w:rsid w:val="00EB6EA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07010334">
      <w:bodyDiv w:val="1"/>
      <w:marLeft w:val="0"/>
      <w:marRight w:val="0"/>
      <w:marTop w:val="0"/>
      <w:marBottom w:val="0"/>
      <w:divBdr>
        <w:top w:val="none" w:sz="0" w:space="0" w:color="auto"/>
        <w:left w:val="none" w:sz="0" w:space="0" w:color="auto"/>
        <w:bottom w:val="none" w:sz="0" w:space="0" w:color="auto"/>
        <w:right w:val="none" w:sz="0" w:space="0" w:color="auto"/>
      </w:divBdr>
    </w:div>
    <w:div w:id="1406806029">
      <w:bodyDiv w:val="1"/>
      <w:marLeft w:val="0"/>
      <w:marRight w:val="0"/>
      <w:marTop w:val="0"/>
      <w:marBottom w:val="0"/>
      <w:divBdr>
        <w:top w:val="none" w:sz="0" w:space="0" w:color="auto"/>
        <w:left w:val="none" w:sz="0" w:space="0" w:color="auto"/>
        <w:bottom w:val="none" w:sz="0" w:space="0" w:color="auto"/>
        <w:right w:val="none" w:sz="0" w:space="0" w:color="auto"/>
      </w:divBdr>
    </w:div>
    <w:div w:id="1457290804">
      <w:bodyDiv w:val="1"/>
      <w:marLeft w:val="0"/>
      <w:marRight w:val="0"/>
      <w:marTop w:val="0"/>
      <w:marBottom w:val="0"/>
      <w:divBdr>
        <w:top w:val="none" w:sz="0" w:space="0" w:color="auto"/>
        <w:left w:val="none" w:sz="0" w:space="0" w:color="auto"/>
        <w:bottom w:val="none" w:sz="0" w:space="0" w:color="auto"/>
        <w:right w:val="none" w:sz="0" w:space="0" w:color="auto"/>
      </w:divBdr>
    </w:div>
    <w:div w:id="1908146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VTx+lEc2LBm4MNUDyObIMZhefQ==">CgMxLjA4AHIhMVVfQkhJS0dsb3gyNDRoWGNIU29iclJvQ2U0a01PaGF4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C835DF-91FE-468E-9E18-7076D66FE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4404</Words>
  <Characters>24227</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Ramírez</dc:creator>
  <cp:lastModifiedBy>Ada Abigail Bernal Gonzalez</cp:lastModifiedBy>
  <cp:revision>2</cp:revision>
  <cp:lastPrinted>2026-07-06T22:13:00Z</cp:lastPrinted>
  <dcterms:created xsi:type="dcterms:W3CDTF">2026-07-06T22:14:00Z</dcterms:created>
  <dcterms:modified xsi:type="dcterms:W3CDTF">2026-07-06T22:14:00Z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e7fcdc0e-86eb-4181-ba52-e81125a19b84</vt:lpwstr>
  </property>
</Properties>
</file>