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DDE973" w14:textId="102E14A5" w:rsidR="001B33A0" w:rsidRDefault="008E307F" w:rsidP="008E307F">
      <w:pPr>
        <w:jc w:val="right"/>
        <w:rPr>
          <w:rFonts w:ascii="Arial" w:hAnsi="Arial" w:cs="Arial"/>
        </w:rPr>
      </w:pPr>
      <w:r>
        <w:rPr>
          <w:rFonts w:ascii="Arial" w:hAnsi="Arial" w:cs="Arial"/>
        </w:rPr>
        <w:t>Toluca de Lerdo</w:t>
      </w:r>
      <w:r w:rsidR="009819F2">
        <w:rPr>
          <w:rFonts w:ascii="Arial" w:hAnsi="Arial" w:cs="Arial"/>
        </w:rPr>
        <w:t xml:space="preserve"> </w:t>
      </w:r>
      <w:proofErr w:type="gramStart"/>
      <w:r>
        <w:rPr>
          <w:rFonts w:ascii="Arial" w:hAnsi="Arial" w:cs="Arial"/>
        </w:rPr>
        <w:t>México</w:t>
      </w:r>
      <w:r w:rsidR="009819F2">
        <w:rPr>
          <w:rFonts w:ascii="Arial" w:hAnsi="Arial" w:cs="Arial"/>
        </w:rPr>
        <w:t xml:space="preserve">; </w:t>
      </w:r>
      <w:r>
        <w:rPr>
          <w:rFonts w:ascii="Arial" w:hAnsi="Arial" w:cs="Arial"/>
        </w:rPr>
        <w:t xml:space="preserve"> </w:t>
      </w:r>
      <w:r w:rsidR="00B85F47">
        <w:rPr>
          <w:rFonts w:ascii="Arial" w:hAnsi="Arial" w:cs="Arial"/>
        </w:rPr>
        <w:t xml:space="preserve"> </w:t>
      </w:r>
      <w:proofErr w:type="gramEnd"/>
      <w:r w:rsidR="00B85F47">
        <w:rPr>
          <w:rFonts w:ascii="Arial" w:hAnsi="Arial" w:cs="Arial"/>
        </w:rPr>
        <w:t xml:space="preserve"> </w:t>
      </w:r>
      <w:r w:rsidR="009819F2">
        <w:rPr>
          <w:rFonts w:ascii="Arial" w:hAnsi="Arial" w:cs="Arial"/>
        </w:rPr>
        <w:t xml:space="preserve"> </w:t>
      </w:r>
      <w:r>
        <w:rPr>
          <w:rFonts w:ascii="Arial" w:hAnsi="Arial" w:cs="Arial"/>
        </w:rPr>
        <w:t xml:space="preserve">de </w:t>
      </w:r>
      <w:r w:rsidR="00490317">
        <w:rPr>
          <w:rFonts w:ascii="Arial" w:hAnsi="Arial" w:cs="Arial"/>
        </w:rPr>
        <w:t>octubre</w:t>
      </w:r>
      <w:r>
        <w:rPr>
          <w:rFonts w:ascii="Arial" w:hAnsi="Arial" w:cs="Arial"/>
        </w:rPr>
        <w:t xml:space="preserve"> de 2025.</w:t>
      </w:r>
    </w:p>
    <w:p w14:paraId="63B340B8" w14:textId="77777777" w:rsidR="008E307F" w:rsidRDefault="008E307F" w:rsidP="008E307F">
      <w:pPr>
        <w:jc w:val="right"/>
        <w:rPr>
          <w:rFonts w:ascii="Arial" w:hAnsi="Arial" w:cs="Arial"/>
        </w:rPr>
      </w:pPr>
    </w:p>
    <w:p w14:paraId="261AB0DD" w14:textId="20607F9F" w:rsidR="00D11EDD" w:rsidRDefault="008E307F" w:rsidP="009F48FC">
      <w:pPr>
        <w:spacing w:after="0" w:line="240" w:lineRule="auto"/>
        <w:rPr>
          <w:rFonts w:ascii="Arial" w:hAnsi="Arial" w:cs="Arial"/>
          <w:b/>
          <w:bCs/>
        </w:rPr>
      </w:pPr>
      <w:r>
        <w:rPr>
          <w:rFonts w:ascii="Arial" w:hAnsi="Arial" w:cs="Arial"/>
          <w:b/>
          <w:bCs/>
        </w:rPr>
        <w:t xml:space="preserve">DIP. </w:t>
      </w:r>
      <w:r w:rsidR="009F48FC">
        <w:rPr>
          <w:rFonts w:ascii="Arial" w:hAnsi="Arial" w:cs="Arial"/>
          <w:b/>
          <w:bCs/>
        </w:rPr>
        <w:t xml:space="preserve">MARTHA AZUCENA CAMACHO REYNOSO </w:t>
      </w:r>
    </w:p>
    <w:p w14:paraId="0183459A" w14:textId="58EA8905" w:rsidR="00D11EDD" w:rsidRDefault="008E307F" w:rsidP="009F48FC">
      <w:pPr>
        <w:spacing w:after="0" w:line="240" w:lineRule="auto"/>
        <w:rPr>
          <w:rFonts w:ascii="Arial" w:hAnsi="Arial" w:cs="Arial"/>
          <w:b/>
          <w:bCs/>
        </w:rPr>
      </w:pPr>
      <w:r>
        <w:rPr>
          <w:rFonts w:ascii="Arial" w:hAnsi="Arial" w:cs="Arial"/>
          <w:b/>
          <w:bCs/>
        </w:rPr>
        <w:t>PRESIDENT</w:t>
      </w:r>
      <w:r w:rsidR="009F48FC">
        <w:rPr>
          <w:rFonts w:ascii="Arial" w:hAnsi="Arial" w:cs="Arial"/>
          <w:b/>
          <w:bCs/>
        </w:rPr>
        <w:t>A</w:t>
      </w:r>
      <w:r>
        <w:rPr>
          <w:rFonts w:ascii="Arial" w:hAnsi="Arial" w:cs="Arial"/>
          <w:b/>
          <w:bCs/>
        </w:rPr>
        <w:t xml:space="preserve"> DE LA DIRECTIVA DE LA H. LXII LEGISLATURA </w:t>
      </w:r>
    </w:p>
    <w:p w14:paraId="3364DF88" w14:textId="4F2CB75D" w:rsidR="008E307F" w:rsidRDefault="008E307F" w:rsidP="009F48FC">
      <w:pPr>
        <w:spacing w:after="0" w:line="240" w:lineRule="auto"/>
        <w:rPr>
          <w:rFonts w:ascii="Arial" w:hAnsi="Arial" w:cs="Arial"/>
          <w:b/>
          <w:bCs/>
        </w:rPr>
      </w:pPr>
      <w:r>
        <w:rPr>
          <w:rFonts w:ascii="Arial" w:hAnsi="Arial" w:cs="Arial"/>
          <w:b/>
          <w:bCs/>
        </w:rPr>
        <w:t xml:space="preserve">DEL ESTADO LIBRE Y SOBERANO DE MÉXICO </w:t>
      </w:r>
    </w:p>
    <w:p w14:paraId="7F53FC96" w14:textId="2F9A9D8E" w:rsidR="008E307F" w:rsidRDefault="008E307F" w:rsidP="009F48FC">
      <w:pPr>
        <w:spacing w:after="0"/>
        <w:rPr>
          <w:rFonts w:ascii="Arial" w:hAnsi="Arial" w:cs="Arial"/>
          <w:b/>
          <w:bCs/>
        </w:rPr>
      </w:pPr>
      <w:r>
        <w:rPr>
          <w:rFonts w:ascii="Arial" w:hAnsi="Arial" w:cs="Arial"/>
          <w:b/>
          <w:bCs/>
        </w:rPr>
        <w:t>PRESENTE</w:t>
      </w:r>
    </w:p>
    <w:p w14:paraId="2EDA3EBD" w14:textId="77777777" w:rsidR="008E307F" w:rsidRDefault="008E307F" w:rsidP="008E307F">
      <w:pPr>
        <w:rPr>
          <w:rFonts w:ascii="Arial" w:hAnsi="Arial" w:cs="Arial"/>
          <w:b/>
          <w:bCs/>
        </w:rPr>
      </w:pPr>
    </w:p>
    <w:p w14:paraId="3909800D" w14:textId="77777777" w:rsidR="00490317" w:rsidRPr="00D5554E" w:rsidRDefault="00490317" w:rsidP="00490317">
      <w:pPr>
        <w:jc w:val="both"/>
        <w:rPr>
          <w:rFonts w:ascii="Arial" w:hAnsi="Arial" w:cs="Arial"/>
        </w:rPr>
      </w:pPr>
      <w:r w:rsidRPr="00D5554E">
        <w:rPr>
          <w:rFonts w:ascii="Arial" w:hAnsi="Arial" w:cs="Arial"/>
        </w:rPr>
        <w:t xml:space="preserve">Los que suscriben </w:t>
      </w:r>
      <w:r>
        <w:rPr>
          <w:rFonts w:ascii="Arial" w:hAnsi="Arial" w:cs="Arial"/>
        </w:rPr>
        <w:t xml:space="preserve">la </w:t>
      </w:r>
      <w:r w:rsidRPr="00D5554E">
        <w:rPr>
          <w:rFonts w:ascii="Arial" w:hAnsi="Arial" w:cs="Arial"/>
          <w:b/>
        </w:rPr>
        <w:t>Diputada</w:t>
      </w:r>
      <w:r>
        <w:rPr>
          <w:rFonts w:ascii="Arial" w:hAnsi="Arial" w:cs="Arial"/>
        </w:rPr>
        <w:t xml:space="preserve"> </w:t>
      </w:r>
      <w:r w:rsidRPr="00D5554E">
        <w:rPr>
          <w:rFonts w:ascii="Arial" w:hAnsi="Arial" w:cs="Arial"/>
          <w:b/>
          <w:bCs/>
        </w:rPr>
        <w:t xml:space="preserve">Emma Laura Álvarez Villavicencio y </w:t>
      </w:r>
      <w:r>
        <w:rPr>
          <w:rFonts w:ascii="Arial" w:hAnsi="Arial" w:cs="Arial"/>
          <w:b/>
          <w:bCs/>
        </w:rPr>
        <w:t xml:space="preserve">el Diputado </w:t>
      </w:r>
      <w:r w:rsidRPr="00D5554E">
        <w:rPr>
          <w:rFonts w:ascii="Arial" w:hAnsi="Arial" w:cs="Arial"/>
          <w:b/>
          <w:bCs/>
        </w:rPr>
        <w:t>Pablo Fernández De Cevallos González</w:t>
      </w:r>
      <w:r w:rsidRPr="00D5554E">
        <w:rPr>
          <w:rFonts w:ascii="Arial" w:hAnsi="Arial" w:cs="Arial"/>
        </w:rPr>
        <w:t>, a nombre del Grupo Parlamentario del Partido Acción Nacional en el H. Congreso del Estado Libre y Soberano de México, con fundamento en los artículos 116 de la Constitución Política de los Estados Unidos Mexicanos; 51 fracción II, 55, 57 y 61 fracción I de la Constitución Política del Estado Libre y Soberano de México; 38 fracción IV, 78 de la Ley Orgánica del Poder Legislativo del Estado Libre y Soberano de México, así como 72 y 74 de su Reglamento, someto a la consideración de esta Honorable Legislatura el siguiente LXII Legislatura del Estado Libre y Soberano de México</w:t>
      </w:r>
      <w:r>
        <w:rPr>
          <w:rFonts w:ascii="Arial" w:hAnsi="Arial" w:cs="Arial"/>
        </w:rPr>
        <w:t>; Se</w:t>
      </w:r>
      <w:r w:rsidRPr="00D5554E">
        <w:rPr>
          <w:rFonts w:ascii="Arial" w:hAnsi="Arial" w:cs="Arial"/>
        </w:rPr>
        <w:t xml:space="preserve"> </w:t>
      </w:r>
      <w:r>
        <w:rPr>
          <w:rFonts w:ascii="Arial" w:hAnsi="Arial" w:cs="Arial"/>
        </w:rPr>
        <w:t>e</w:t>
      </w:r>
      <w:r w:rsidRPr="00D5554E">
        <w:rPr>
          <w:rFonts w:ascii="Arial" w:hAnsi="Arial" w:cs="Arial"/>
        </w:rPr>
        <w:t>xhorta respetuosamente al Gobierno del Estado de México a implementar una estrategia integral para promover el uso y la inversión en energías renovables en la entidad, priorizando el aprovechamiento del potencial solar, eólico y geotérmico del Estado, especialmente en las regiones de oriente y sur de la Entidad, en coordinación con los 125 municipios, el gobierno federal, la academia y el sector privado., conforme a los siguientes:</w:t>
      </w:r>
    </w:p>
    <w:p w14:paraId="3C824CB6" w14:textId="77777777" w:rsidR="00490317" w:rsidRPr="00D5554E" w:rsidRDefault="00490317" w:rsidP="00490317">
      <w:pPr>
        <w:jc w:val="center"/>
        <w:rPr>
          <w:rFonts w:ascii="Arial" w:hAnsi="Arial" w:cs="Arial"/>
          <w:b/>
          <w:bCs/>
        </w:rPr>
      </w:pPr>
      <w:r w:rsidRPr="00D5554E">
        <w:rPr>
          <w:rFonts w:ascii="Arial" w:hAnsi="Arial" w:cs="Arial"/>
          <w:b/>
          <w:bCs/>
        </w:rPr>
        <w:t>CONSIDERANDOS</w:t>
      </w:r>
    </w:p>
    <w:p w14:paraId="6DC5C1B9" w14:textId="77777777" w:rsidR="00490317" w:rsidRPr="00D5554E" w:rsidRDefault="00490317" w:rsidP="00490317">
      <w:pPr>
        <w:jc w:val="both"/>
        <w:rPr>
          <w:rFonts w:ascii="Arial" w:hAnsi="Arial" w:cs="Arial"/>
        </w:rPr>
      </w:pPr>
      <w:r w:rsidRPr="00D5554E">
        <w:rPr>
          <w:rFonts w:ascii="Arial" w:hAnsi="Arial" w:cs="Arial"/>
          <w:b/>
          <w:bCs/>
        </w:rPr>
        <w:t xml:space="preserve">Primero. </w:t>
      </w:r>
      <w:r w:rsidRPr="00D5554E">
        <w:rPr>
          <w:rFonts w:ascii="Arial" w:hAnsi="Arial" w:cs="Arial"/>
        </w:rPr>
        <w:t>El Estado de México, como una de las entidades más industrializadas del país, enfrenta retos significativos en términos de sostenibilidad y cambio climático, lo que hace necesario diversificar su matriz energética y adoptar fuentes de energía renovables. En este contexto, las energías renovables representan una solución viable para garantizar el desarrollo económico y la protección del medio ambiente en el Estado de México.</w:t>
      </w:r>
    </w:p>
    <w:p w14:paraId="56A5CDB7" w14:textId="77777777" w:rsidR="00490317" w:rsidRPr="00D5554E" w:rsidRDefault="00490317" w:rsidP="00490317">
      <w:pPr>
        <w:jc w:val="both"/>
        <w:rPr>
          <w:rFonts w:ascii="Arial" w:hAnsi="Arial" w:cs="Arial"/>
        </w:rPr>
      </w:pPr>
      <w:r w:rsidRPr="00D5554E">
        <w:rPr>
          <w:rFonts w:ascii="Arial" w:hAnsi="Arial" w:cs="Arial"/>
          <w:b/>
          <w:bCs/>
        </w:rPr>
        <w:t>Segundo.</w:t>
      </w:r>
      <w:r w:rsidRPr="00D5554E">
        <w:rPr>
          <w:rFonts w:ascii="Arial" w:hAnsi="Arial" w:cs="Arial"/>
        </w:rPr>
        <w:t xml:space="preserve"> Las energías renovables, como la solar, eólica, geotérmica e hidráulica, han demostrado ser fuentes limpias y abundantes que no solo contribuyen a la mitigación del cambio climático, sino que también pueden reducir la dependencia de los combustibles fósiles y generar empleos verdes, como lo establece la Ley de Energías Renovables del Estado de México.</w:t>
      </w:r>
    </w:p>
    <w:p w14:paraId="31D1DAE5" w14:textId="77777777" w:rsidR="00490317" w:rsidRPr="00D5554E" w:rsidRDefault="00490317" w:rsidP="00490317">
      <w:pPr>
        <w:jc w:val="both"/>
        <w:rPr>
          <w:rFonts w:ascii="Arial" w:hAnsi="Arial" w:cs="Arial"/>
        </w:rPr>
      </w:pPr>
      <w:r w:rsidRPr="00D5554E">
        <w:rPr>
          <w:rFonts w:ascii="Arial" w:hAnsi="Arial" w:cs="Arial"/>
          <w:b/>
          <w:bCs/>
        </w:rPr>
        <w:lastRenderedPageBreak/>
        <w:t>Tercero.</w:t>
      </w:r>
      <w:r w:rsidRPr="00D5554E">
        <w:rPr>
          <w:rFonts w:ascii="Arial" w:hAnsi="Arial" w:cs="Arial"/>
        </w:rPr>
        <w:t xml:space="preserve"> De acuerdo con la Ley de Transición Energética de México y la Agenda 2030, es imperativo avanzar en la implementación de tecnologías limpias, y el Estado de México puede liderar este proceso dada su ubicación geográfica, su alta radiación solar y su potencial en energía eólica, lo que permitiría aprovechar de manera más eficiente estos recursos.</w:t>
      </w:r>
    </w:p>
    <w:p w14:paraId="5AC74EDE" w14:textId="77777777" w:rsidR="00490317" w:rsidRPr="00D5554E" w:rsidRDefault="00490317" w:rsidP="00490317">
      <w:pPr>
        <w:jc w:val="both"/>
        <w:rPr>
          <w:rFonts w:ascii="Arial" w:hAnsi="Arial" w:cs="Arial"/>
        </w:rPr>
      </w:pPr>
      <w:r w:rsidRPr="00D5554E">
        <w:rPr>
          <w:rFonts w:ascii="Arial" w:hAnsi="Arial" w:cs="Arial"/>
          <w:b/>
          <w:bCs/>
        </w:rPr>
        <w:t>Cuarto.</w:t>
      </w:r>
      <w:r w:rsidRPr="00D5554E">
        <w:rPr>
          <w:rFonts w:ascii="Arial" w:hAnsi="Arial" w:cs="Arial"/>
        </w:rPr>
        <w:t xml:space="preserve"> El oriente del Estado de México, particularmente en municipios como Ecatepec, Texcoco y Chalco, cuenta con un gran potencial en materia de energías renovables, especialmente para la instalación de parques solares, debido a su alto índice de radiación solar anual. Estudios realizados por la Universidad Autónoma del Estado de México (UAEM) demuestran que esta región tiene condiciones idóneas para la generación de electricidad limpia y accesible para la población local.</w:t>
      </w:r>
    </w:p>
    <w:p w14:paraId="2B298606" w14:textId="77777777" w:rsidR="00490317" w:rsidRPr="00D5554E" w:rsidRDefault="00490317" w:rsidP="00490317">
      <w:pPr>
        <w:jc w:val="both"/>
        <w:rPr>
          <w:rFonts w:ascii="Arial" w:hAnsi="Arial" w:cs="Arial"/>
        </w:rPr>
      </w:pPr>
      <w:r w:rsidRPr="00D5554E">
        <w:rPr>
          <w:rFonts w:ascii="Arial" w:hAnsi="Arial" w:cs="Arial"/>
          <w:b/>
          <w:bCs/>
        </w:rPr>
        <w:t>Quinto</w:t>
      </w:r>
      <w:r w:rsidRPr="00D5554E">
        <w:rPr>
          <w:rFonts w:ascii="Arial" w:hAnsi="Arial" w:cs="Arial"/>
        </w:rPr>
        <w:t>. El impulso a las energías renovables en los municipios del oriente del Estado de México no solo fortalecería la oferta energética local, sino que también permitiría la creación de empleos directos e indirectos, impulsando la economía regional, como lo señalan investigaciones de la Universidad Autónoma de Baja California (UABC) sobre el impacto de las energías limpias en las comunidades.</w:t>
      </w:r>
    </w:p>
    <w:p w14:paraId="730752D1" w14:textId="77777777" w:rsidR="00490317" w:rsidRPr="00D5554E" w:rsidRDefault="00490317" w:rsidP="00490317">
      <w:pPr>
        <w:jc w:val="both"/>
        <w:rPr>
          <w:rFonts w:ascii="Arial" w:hAnsi="Arial" w:cs="Arial"/>
        </w:rPr>
      </w:pPr>
      <w:r w:rsidRPr="00D5554E">
        <w:rPr>
          <w:rFonts w:ascii="Arial" w:hAnsi="Arial" w:cs="Arial"/>
          <w:b/>
          <w:bCs/>
        </w:rPr>
        <w:t>Sexto.</w:t>
      </w:r>
      <w:r w:rsidRPr="00D5554E">
        <w:rPr>
          <w:rFonts w:ascii="Arial" w:hAnsi="Arial" w:cs="Arial"/>
        </w:rPr>
        <w:t xml:space="preserve"> La Ley General de Cambio Climático establece metas claras para la reducción de emisiones de gases de efecto invernadero, lo que hace urgente que el Estado de México implemente políticas públicas y proyectos que favorezcan el uso de energías renovables, contribuyendo así al cumplimiento de los compromisos nacionales e internacionales en materia de medio ambiente.</w:t>
      </w:r>
    </w:p>
    <w:p w14:paraId="7B01166E" w14:textId="77777777" w:rsidR="00490317" w:rsidRPr="00D5554E" w:rsidRDefault="00490317" w:rsidP="00490317">
      <w:pPr>
        <w:jc w:val="both"/>
        <w:rPr>
          <w:rFonts w:ascii="Arial" w:hAnsi="Arial" w:cs="Arial"/>
        </w:rPr>
      </w:pPr>
      <w:r w:rsidRPr="00D5554E">
        <w:rPr>
          <w:rFonts w:ascii="Arial" w:hAnsi="Arial" w:cs="Arial"/>
          <w:b/>
          <w:bCs/>
        </w:rPr>
        <w:t>Séptimo.</w:t>
      </w:r>
      <w:r w:rsidRPr="00D5554E">
        <w:rPr>
          <w:rFonts w:ascii="Arial" w:hAnsi="Arial" w:cs="Arial"/>
        </w:rPr>
        <w:t xml:space="preserve"> El desarrollo de proyectos de energías renovables en la región oriente del Estado de México representa una oportunidad estratégica para mejorar la calidad del aire y reducir los efectos negativos de la contaminación, beneficiando la salud pública y la calidad de vida de los habitantes, conforme a los estudios realizados por la Universidad Autónoma de Chapingo (UACH).</w:t>
      </w:r>
    </w:p>
    <w:p w14:paraId="29459985" w14:textId="6E1F5A15" w:rsidR="00490317" w:rsidRPr="00D5554E" w:rsidRDefault="00490317" w:rsidP="00490317">
      <w:pPr>
        <w:jc w:val="both"/>
        <w:rPr>
          <w:rFonts w:ascii="Arial" w:hAnsi="Arial" w:cs="Arial"/>
        </w:rPr>
      </w:pPr>
      <w:r w:rsidRPr="00D5554E">
        <w:rPr>
          <w:rFonts w:ascii="Arial" w:hAnsi="Arial" w:cs="Arial"/>
          <w:b/>
          <w:bCs/>
        </w:rPr>
        <w:t>Octavo</w:t>
      </w:r>
      <w:r w:rsidRPr="00D5554E">
        <w:rPr>
          <w:rFonts w:ascii="Arial" w:hAnsi="Arial" w:cs="Arial"/>
        </w:rPr>
        <w:t>. Las tecnologías de energía solar, eólica y biogás tienen un gran potencial en los municipios de la región oriente, lo cual ha sido reconocido en estudios y proyectos de inversión, como el informe de la NASA sobre el uso de energías renovables en zonas rurales. La implementación de estos sistemas en áreas cercanas a la infraestructura agrícola y ganadera podría optimizar recursos y generar energía limpia.</w:t>
      </w:r>
    </w:p>
    <w:p w14:paraId="2032700B" w14:textId="77777777" w:rsidR="00490317" w:rsidRPr="00D5554E" w:rsidRDefault="00490317" w:rsidP="00490317">
      <w:pPr>
        <w:jc w:val="both"/>
        <w:rPr>
          <w:rFonts w:ascii="Arial" w:hAnsi="Arial" w:cs="Arial"/>
        </w:rPr>
      </w:pPr>
      <w:r w:rsidRPr="00D5554E">
        <w:rPr>
          <w:rFonts w:ascii="Arial" w:hAnsi="Arial" w:cs="Arial"/>
          <w:b/>
          <w:bCs/>
        </w:rPr>
        <w:lastRenderedPageBreak/>
        <w:t>Noveno.</w:t>
      </w:r>
      <w:r w:rsidRPr="00D5554E">
        <w:rPr>
          <w:rFonts w:ascii="Arial" w:hAnsi="Arial" w:cs="Arial"/>
        </w:rPr>
        <w:t xml:space="preserve"> La creación de parques solares y eólicos en el Estado de México, particularmente en el oriente, contribuiría significativamente a la reducción de costos energéticos para las empresas locales, mejorando la competitividad económica en sectores clave como la agricultura, la industria y el comercio, como lo sugiere la investigación de la Universidad de California, Los Ángeles (UCLA) sobre el impacto económico de las energías renovables en comunidades rurales.</w:t>
      </w:r>
    </w:p>
    <w:p w14:paraId="4A010AAC" w14:textId="77777777" w:rsidR="00490317" w:rsidRPr="00D5554E" w:rsidRDefault="00490317" w:rsidP="00490317">
      <w:pPr>
        <w:jc w:val="both"/>
        <w:rPr>
          <w:rFonts w:ascii="Arial" w:hAnsi="Arial" w:cs="Arial"/>
        </w:rPr>
      </w:pPr>
      <w:r w:rsidRPr="00D5554E">
        <w:rPr>
          <w:rFonts w:ascii="Arial" w:hAnsi="Arial" w:cs="Arial"/>
          <w:b/>
          <w:bCs/>
        </w:rPr>
        <w:t>Décimo.</w:t>
      </w:r>
      <w:r w:rsidRPr="00D5554E">
        <w:rPr>
          <w:rFonts w:ascii="Arial" w:hAnsi="Arial" w:cs="Arial"/>
        </w:rPr>
        <w:t xml:space="preserve"> El Estado de México, al contar con una infraestructura energética básica y su proximidad a la Ciudad de México, tiene el potencial de convertirse en un nodo estratégico de distribución de energía limpia para la zona centro del país. Esto sería posible a través de la integración de proyectos de energía renovable a gran escala que alimenten tanto a zonas urbanas como rurales, con la capacidad de disminuir los costos de generación y distribución, tal como lo expone la Ley de Energía de México.</w:t>
      </w:r>
    </w:p>
    <w:p w14:paraId="25033690" w14:textId="77777777" w:rsidR="00490317" w:rsidRPr="00D5554E" w:rsidRDefault="00490317" w:rsidP="00490317">
      <w:pPr>
        <w:jc w:val="both"/>
        <w:rPr>
          <w:rFonts w:ascii="Arial" w:hAnsi="Arial" w:cs="Arial"/>
        </w:rPr>
      </w:pPr>
      <w:r w:rsidRPr="00D5554E">
        <w:rPr>
          <w:rFonts w:ascii="Arial" w:hAnsi="Arial" w:cs="Arial"/>
          <w:b/>
          <w:bCs/>
        </w:rPr>
        <w:t>Undécimo.</w:t>
      </w:r>
      <w:r w:rsidRPr="00D5554E">
        <w:rPr>
          <w:rFonts w:ascii="Arial" w:hAnsi="Arial" w:cs="Arial"/>
        </w:rPr>
        <w:t xml:space="preserve"> A nivel internacional, países como España y Alemania han logrado importantes avances en la implementación de energías renovables, demostrando que es posible aumentar la participación de las energías limpias en la matriz energética sin afectar negativamente el desarrollo económico. El Estado de México debe considerar estos modelos exitosos como referencia para sus propios proyectos.</w:t>
      </w:r>
    </w:p>
    <w:p w14:paraId="0750F022" w14:textId="77777777" w:rsidR="00490317" w:rsidRPr="00D5554E" w:rsidRDefault="00490317" w:rsidP="00490317">
      <w:pPr>
        <w:jc w:val="both"/>
        <w:rPr>
          <w:rFonts w:ascii="Arial" w:hAnsi="Arial" w:cs="Arial"/>
        </w:rPr>
      </w:pPr>
      <w:r w:rsidRPr="00D5554E">
        <w:rPr>
          <w:rFonts w:ascii="Arial" w:hAnsi="Arial" w:cs="Arial"/>
          <w:b/>
          <w:bCs/>
        </w:rPr>
        <w:t>Duodécimo.</w:t>
      </w:r>
      <w:r w:rsidRPr="00D5554E">
        <w:rPr>
          <w:rFonts w:ascii="Arial" w:hAnsi="Arial" w:cs="Arial"/>
        </w:rPr>
        <w:t xml:space="preserve"> El impulso a las energías renovables contribuiría a fortalecer la infraestructura verde del Estado de México, promoviendo la eficiencia energética y reduciendo los impactos negativos del cambio climático. Las inversiones en energías limpias no solo benefician al medio ambiente, sino que también generan un impacto económico positivo, como lo evidencian los análisis realizados por la NASA sobre el potencial de energías renovables para mitigar el cambio climático.</w:t>
      </w:r>
    </w:p>
    <w:p w14:paraId="4718F635" w14:textId="77777777" w:rsidR="00490317" w:rsidRPr="00D5554E" w:rsidRDefault="00490317" w:rsidP="00490317">
      <w:pPr>
        <w:jc w:val="both"/>
        <w:rPr>
          <w:rFonts w:ascii="Arial" w:hAnsi="Arial" w:cs="Arial"/>
        </w:rPr>
      </w:pPr>
      <w:r w:rsidRPr="00D5554E">
        <w:rPr>
          <w:rFonts w:ascii="Arial" w:hAnsi="Arial" w:cs="Arial"/>
          <w:b/>
          <w:bCs/>
        </w:rPr>
        <w:t>Decimotercero</w:t>
      </w:r>
      <w:r w:rsidRPr="00D5554E">
        <w:rPr>
          <w:rFonts w:ascii="Arial" w:hAnsi="Arial" w:cs="Arial"/>
        </w:rPr>
        <w:t>. La infraestructura tecnológica necesaria para la implementación de proyectos de energía solar y eólica en la región oriente del Estado de México también podría incluir sistemas de almacenamiento de energía, lo que mejoraría la resiliencia energética de las comunidades rurales y urbanas frente a situaciones de emergencia o desastres naturales.</w:t>
      </w:r>
    </w:p>
    <w:p w14:paraId="23AA2F64" w14:textId="77777777" w:rsidR="00490317" w:rsidRPr="00D5554E" w:rsidRDefault="00490317" w:rsidP="00490317">
      <w:pPr>
        <w:jc w:val="both"/>
        <w:rPr>
          <w:rFonts w:ascii="Arial" w:hAnsi="Arial" w:cs="Arial"/>
        </w:rPr>
      </w:pPr>
      <w:r w:rsidRPr="00D5554E">
        <w:rPr>
          <w:rFonts w:ascii="Arial" w:hAnsi="Arial" w:cs="Arial"/>
          <w:b/>
          <w:bCs/>
        </w:rPr>
        <w:t>Decimocuarto.</w:t>
      </w:r>
      <w:r w:rsidRPr="00D5554E">
        <w:rPr>
          <w:rFonts w:ascii="Arial" w:hAnsi="Arial" w:cs="Arial"/>
        </w:rPr>
        <w:t xml:space="preserve"> De acuerdo con la Agenda 2030 de la ONU y los compromisos del Acuerdo de París, el Estado de México debe adoptar políticas que prioricen las energías renovables y la eficiencia energética en su desarrollo económico y social, lo que permitirá no solo el cumplimiento de sus metas en materia ambiental, sino </w:t>
      </w:r>
      <w:r w:rsidRPr="00D5554E">
        <w:rPr>
          <w:rFonts w:ascii="Arial" w:hAnsi="Arial" w:cs="Arial"/>
        </w:rPr>
        <w:lastRenderedPageBreak/>
        <w:t>también la mejora de las condiciones de vida de la población. Esta estrategia deberá incluir:</w:t>
      </w:r>
    </w:p>
    <w:p w14:paraId="52E8C487" w14:textId="77777777" w:rsidR="00490317" w:rsidRPr="00D5554E" w:rsidRDefault="00490317" w:rsidP="00490317">
      <w:pPr>
        <w:jc w:val="both"/>
        <w:rPr>
          <w:rFonts w:ascii="Arial" w:hAnsi="Arial" w:cs="Arial"/>
        </w:rPr>
      </w:pPr>
      <w:r w:rsidRPr="00D5554E">
        <w:rPr>
          <w:rFonts w:ascii="Arial" w:hAnsi="Arial" w:cs="Arial"/>
        </w:rPr>
        <w:tab/>
        <w:t>1.</w:t>
      </w:r>
      <w:r w:rsidRPr="00D5554E">
        <w:rPr>
          <w:rFonts w:ascii="Arial" w:hAnsi="Arial" w:cs="Arial"/>
        </w:rPr>
        <w:tab/>
        <w:t>El diseño de políticas públicas que faciliten la instalación de parques solares y eólicos en las zonas con mayor potencial, como los municipios de Ecatepec, Texcoco, Chalco, Ixtapaluca y otros del oriente, generando empleo y desarrollo económico regional.</w:t>
      </w:r>
    </w:p>
    <w:p w14:paraId="46C84788" w14:textId="77777777" w:rsidR="00490317" w:rsidRPr="00D5554E" w:rsidRDefault="00490317" w:rsidP="00490317">
      <w:pPr>
        <w:jc w:val="both"/>
        <w:rPr>
          <w:rFonts w:ascii="Arial" w:hAnsi="Arial" w:cs="Arial"/>
        </w:rPr>
      </w:pPr>
      <w:r w:rsidRPr="00D5554E">
        <w:rPr>
          <w:rFonts w:ascii="Arial" w:hAnsi="Arial" w:cs="Arial"/>
        </w:rPr>
        <w:tab/>
        <w:t>2.</w:t>
      </w:r>
      <w:r w:rsidRPr="00D5554E">
        <w:rPr>
          <w:rFonts w:ascii="Arial" w:hAnsi="Arial" w:cs="Arial"/>
        </w:rPr>
        <w:tab/>
        <w:t>El impulso a la infraestructura verde para promover la eficiencia energética en todos los sectores económicos del Estado de México, reduciendo la huella de carbono y contribuyendo al cumplimiento de los compromisos nacionales e internacionales en materia de cambio climático.</w:t>
      </w:r>
    </w:p>
    <w:p w14:paraId="0C6D1A1B" w14:textId="77777777" w:rsidR="00490317" w:rsidRPr="00D5554E" w:rsidRDefault="00490317" w:rsidP="00490317">
      <w:pPr>
        <w:jc w:val="both"/>
        <w:rPr>
          <w:rFonts w:ascii="Arial" w:hAnsi="Arial" w:cs="Arial"/>
        </w:rPr>
      </w:pPr>
      <w:r w:rsidRPr="00D5554E">
        <w:rPr>
          <w:rFonts w:ascii="Arial" w:hAnsi="Arial" w:cs="Arial"/>
        </w:rPr>
        <w:tab/>
        <w:t>3.</w:t>
      </w:r>
      <w:r w:rsidRPr="00D5554E">
        <w:rPr>
          <w:rFonts w:ascii="Arial" w:hAnsi="Arial" w:cs="Arial"/>
        </w:rPr>
        <w:tab/>
        <w:t>La creación de programas de capacitación en energías renovables para los habitantes de las regiones rurales y urbanas del Estado de México, con el objetivo de generar un capital humano especializado que favorezca la implementación y el mantenimiento de tecnologías limpias.</w:t>
      </w:r>
    </w:p>
    <w:p w14:paraId="508F2E49" w14:textId="77777777" w:rsidR="00490317" w:rsidRPr="00D5554E" w:rsidRDefault="00490317" w:rsidP="00490317">
      <w:pPr>
        <w:jc w:val="both"/>
        <w:rPr>
          <w:rFonts w:ascii="Arial" w:hAnsi="Arial" w:cs="Arial"/>
        </w:rPr>
      </w:pPr>
      <w:r w:rsidRPr="00D5554E">
        <w:rPr>
          <w:rFonts w:ascii="Arial" w:hAnsi="Arial" w:cs="Arial"/>
        </w:rPr>
        <w:tab/>
        <w:t>4.</w:t>
      </w:r>
      <w:r w:rsidRPr="00D5554E">
        <w:rPr>
          <w:rFonts w:ascii="Arial" w:hAnsi="Arial" w:cs="Arial"/>
        </w:rPr>
        <w:tab/>
        <w:t>El establecimiento de incentivos fiscales y financieros para las empresas e inversionistas interesados en proyectos de energías limpias, así como el fomento de alianzas público-privadas que fortalezcan la infraestructura energética en el Estado de México, facilitando el acceso a tecnologías renovables.</w:t>
      </w:r>
    </w:p>
    <w:p w14:paraId="1FEF945E" w14:textId="77777777" w:rsidR="00490317" w:rsidRPr="00D5554E" w:rsidRDefault="00490317" w:rsidP="00490317">
      <w:pPr>
        <w:jc w:val="both"/>
        <w:rPr>
          <w:rFonts w:ascii="Arial" w:hAnsi="Arial" w:cs="Arial"/>
        </w:rPr>
      </w:pPr>
      <w:r w:rsidRPr="00D5554E">
        <w:rPr>
          <w:rFonts w:ascii="Arial" w:hAnsi="Arial" w:cs="Arial"/>
        </w:rPr>
        <w:tab/>
        <w:t>5.</w:t>
      </w:r>
      <w:r w:rsidRPr="00D5554E">
        <w:rPr>
          <w:rFonts w:ascii="Arial" w:hAnsi="Arial" w:cs="Arial"/>
        </w:rPr>
        <w:tab/>
        <w:t>La integración de los proyectos de energías renovables en los Planes de Desarrollo Municipal, garantizando que todas las regiones del Estado de México se beneficien de estos avances, y asegurando que los municipios más alejados también tengan acceso a fuentes de energía limpias y sostenibles.</w:t>
      </w:r>
    </w:p>
    <w:p w14:paraId="451B9890" w14:textId="77777777" w:rsidR="00490317" w:rsidRPr="00D5554E" w:rsidRDefault="00490317" w:rsidP="00490317">
      <w:pPr>
        <w:jc w:val="both"/>
        <w:rPr>
          <w:rFonts w:ascii="Arial" w:hAnsi="Arial" w:cs="Arial"/>
        </w:rPr>
      </w:pPr>
      <w:r w:rsidRPr="00D5554E">
        <w:rPr>
          <w:rFonts w:ascii="Arial" w:hAnsi="Arial" w:cs="Arial"/>
        </w:rPr>
        <w:tab/>
        <w:t>6.</w:t>
      </w:r>
      <w:r w:rsidRPr="00D5554E">
        <w:rPr>
          <w:rFonts w:ascii="Arial" w:hAnsi="Arial" w:cs="Arial"/>
        </w:rPr>
        <w:tab/>
        <w:t>La realización de estudios técnicos y de impacto ambiental que permitan identificar las zonas de mayor viabilidad para la implementación de proyectos de energías renovables y minimizar los impactos negativos sobre el ecosistema local.</w:t>
      </w:r>
    </w:p>
    <w:p w14:paraId="4EB8B1EA" w14:textId="77777777" w:rsidR="00490317" w:rsidRPr="00D5554E" w:rsidRDefault="00490317" w:rsidP="00490317">
      <w:pPr>
        <w:jc w:val="both"/>
        <w:rPr>
          <w:rFonts w:ascii="Arial" w:hAnsi="Arial" w:cs="Arial"/>
        </w:rPr>
      </w:pPr>
      <w:r w:rsidRPr="00D5554E">
        <w:rPr>
          <w:rFonts w:ascii="Arial" w:hAnsi="Arial" w:cs="Arial"/>
        </w:rPr>
        <w:tab/>
        <w:t>7.</w:t>
      </w:r>
      <w:r w:rsidRPr="00D5554E">
        <w:rPr>
          <w:rFonts w:ascii="Arial" w:hAnsi="Arial" w:cs="Arial"/>
        </w:rPr>
        <w:tab/>
        <w:t>Promover la implementación de sistemas de almacenamiento de energía para garantizar la estabilidad y confiabilidad del suministro, aprovechando los avances en tecnologías de baterías y almacenamiento de energía a gran escala.</w:t>
      </w:r>
    </w:p>
    <w:p w14:paraId="1E8E438A" w14:textId="77777777" w:rsidR="00490317" w:rsidRPr="00D5554E" w:rsidRDefault="00490317" w:rsidP="00490317">
      <w:pPr>
        <w:jc w:val="both"/>
        <w:rPr>
          <w:rFonts w:ascii="Arial" w:hAnsi="Arial" w:cs="Arial"/>
        </w:rPr>
      </w:pPr>
      <w:r w:rsidRPr="00D5554E">
        <w:rPr>
          <w:rFonts w:ascii="Arial" w:hAnsi="Arial" w:cs="Arial"/>
        </w:rPr>
        <w:tab/>
        <w:t>8.</w:t>
      </w:r>
      <w:r w:rsidRPr="00D5554E">
        <w:rPr>
          <w:rFonts w:ascii="Arial" w:hAnsi="Arial" w:cs="Arial"/>
        </w:rPr>
        <w:tab/>
        <w:t>Desarrollar un marco normativo local que regule de manera efectiva la generación distribuida de energía, incentivando el uso de paneles solares, energía eólica y otras tecnologías limpias en viviendas y empresas del Estado de México.</w:t>
      </w:r>
    </w:p>
    <w:p w14:paraId="52C1BD54" w14:textId="77777777" w:rsidR="00490317" w:rsidRPr="00D5554E" w:rsidRDefault="00490317" w:rsidP="00490317">
      <w:pPr>
        <w:jc w:val="both"/>
        <w:rPr>
          <w:rFonts w:ascii="Arial" w:hAnsi="Arial" w:cs="Arial"/>
        </w:rPr>
      </w:pPr>
      <w:r w:rsidRPr="00D5554E">
        <w:rPr>
          <w:rFonts w:ascii="Arial" w:hAnsi="Arial" w:cs="Arial"/>
        </w:rPr>
        <w:lastRenderedPageBreak/>
        <w:tab/>
        <w:t>9.</w:t>
      </w:r>
      <w:r w:rsidRPr="00D5554E">
        <w:rPr>
          <w:rFonts w:ascii="Arial" w:hAnsi="Arial" w:cs="Arial"/>
        </w:rPr>
        <w:tab/>
        <w:t>La promoción de la participación ciudadana en la toma de decisiones y la gestión de proyectos relacionados con las energías renovables, asegurando que las comunidades tengan voz en los procesos que impacten su desarrollo y bienestar.</w:t>
      </w:r>
    </w:p>
    <w:p w14:paraId="6D892232" w14:textId="77777777" w:rsidR="00490317" w:rsidRPr="00D5554E" w:rsidRDefault="00490317" w:rsidP="00490317">
      <w:pPr>
        <w:jc w:val="both"/>
        <w:rPr>
          <w:rFonts w:ascii="Arial" w:hAnsi="Arial" w:cs="Arial"/>
        </w:rPr>
      </w:pPr>
      <w:r w:rsidRPr="00D5554E">
        <w:rPr>
          <w:rFonts w:ascii="Arial" w:hAnsi="Arial" w:cs="Arial"/>
        </w:rPr>
        <w:tab/>
        <w:t>10.</w:t>
      </w:r>
      <w:r w:rsidRPr="00D5554E">
        <w:rPr>
          <w:rFonts w:ascii="Arial" w:hAnsi="Arial" w:cs="Arial"/>
        </w:rPr>
        <w:tab/>
        <w:t>La colaboración con universidades e instituciones académicas del Estado de México, como la Universidad Autónoma del Estado de México (UAEM), la Universidad Autónoma de Baja California (UABC) y la Universidad Autónoma de Chapingo (UACH), para la realización de estudios y proyectos conjuntos sobre la viabilidad, costos y beneficios de las energías renovables en la región.</w:t>
      </w:r>
    </w:p>
    <w:p w14:paraId="40F1BA78" w14:textId="77777777" w:rsidR="00490317" w:rsidRPr="00D5554E" w:rsidRDefault="00490317" w:rsidP="00490317">
      <w:pPr>
        <w:jc w:val="both"/>
        <w:rPr>
          <w:rFonts w:ascii="Arial" w:hAnsi="Arial" w:cs="Arial"/>
        </w:rPr>
      </w:pPr>
      <w:r w:rsidRPr="00D5554E">
        <w:rPr>
          <w:rFonts w:ascii="Arial" w:hAnsi="Arial" w:cs="Arial"/>
        </w:rPr>
        <w:t>Que este esfuerzo conjunto impulse al Estado de México como un líder nacional en la transición energética hacia fuentes más limpias y sostenibles, y que sus proyectos sirvan de modelo para otras entidades federativas del país.</w:t>
      </w:r>
    </w:p>
    <w:p w14:paraId="148B736D" w14:textId="77777777" w:rsidR="00490317" w:rsidRPr="00D5554E" w:rsidRDefault="00490317" w:rsidP="00490317">
      <w:pPr>
        <w:jc w:val="both"/>
        <w:rPr>
          <w:rFonts w:ascii="Arial" w:hAnsi="Arial" w:cs="Arial"/>
        </w:rPr>
      </w:pPr>
      <w:r w:rsidRPr="00D5554E">
        <w:rPr>
          <w:rFonts w:ascii="Arial" w:hAnsi="Arial" w:cs="Arial"/>
          <w:b/>
          <w:bCs/>
        </w:rPr>
        <w:t>Decimoquinto.</w:t>
      </w:r>
      <w:r w:rsidRPr="00D5554E">
        <w:rPr>
          <w:rFonts w:ascii="Arial" w:hAnsi="Arial" w:cs="Arial"/>
        </w:rPr>
        <w:t xml:space="preserve"> Es fundamental que, en la implementación de proyectos de energías renovables, se promueva la participación activa de las comunidades locales, garantizando que los beneficios sean distribuidos equitativamente entre las zonas urbanas y rurales. La cooperación entre el gobierno estatal, municipal, empresas privadas y la sociedad civil es clave para el éxito de estos proyectos redactados en torno a las energías renovables en el Estado de México, con un énfasis en la región oriente y el impacto positivo que estas pueden generar tanto en términos económicos como ambientales.</w:t>
      </w:r>
    </w:p>
    <w:p w14:paraId="44D7CA4E" w14:textId="77777777" w:rsidR="00490317" w:rsidRPr="00D5554E" w:rsidRDefault="00490317" w:rsidP="00490317">
      <w:pPr>
        <w:jc w:val="both"/>
        <w:rPr>
          <w:rFonts w:ascii="Arial" w:hAnsi="Arial" w:cs="Arial"/>
        </w:rPr>
      </w:pPr>
      <w:r w:rsidRPr="00D5554E">
        <w:rPr>
          <w:rFonts w:ascii="Arial" w:hAnsi="Arial" w:cs="Arial"/>
        </w:rPr>
        <w:t>Basados en los razonamientos y propuestas anteriores, y con el objetivo de lograr un mejor Estado de México, ponemos a consideración de está Soberanía el siguiente</w:t>
      </w:r>
      <w:r>
        <w:rPr>
          <w:rFonts w:ascii="Arial" w:hAnsi="Arial" w:cs="Arial"/>
        </w:rPr>
        <w:t xml:space="preserve"> Punto de Acuerdo</w:t>
      </w:r>
      <w:r w:rsidRPr="00087645">
        <w:rPr>
          <w:rFonts w:ascii="Arial" w:hAnsi="Arial" w:cs="Arial"/>
        </w:rPr>
        <w:t>:</w:t>
      </w:r>
    </w:p>
    <w:p w14:paraId="2578E489" w14:textId="77777777" w:rsidR="00490317" w:rsidRPr="00E504F7" w:rsidRDefault="00490317" w:rsidP="00490317">
      <w:pPr>
        <w:pStyle w:val="NormalWeb"/>
        <w:shd w:val="clear" w:color="auto" w:fill="FFFFFF"/>
        <w:jc w:val="center"/>
        <w:rPr>
          <w:rFonts w:ascii="Arial" w:hAnsi="Arial" w:cs="Arial"/>
          <w:b/>
          <w:lang w:val="pt-BR"/>
        </w:rPr>
      </w:pPr>
      <w:r w:rsidRPr="00E504F7">
        <w:rPr>
          <w:rFonts w:ascii="Arial" w:hAnsi="Arial" w:cs="Arial"/>
          <w:b/>
          <w:lang w:val="pt-BR"/>
        </w:rPr>
        <w:t>A T E N T A M E N T E</w:t>
      </w:r>
    </w:p>
    <w:p w14:paraId="29E41936" w14:textId="77777777" w:rsidR="00490317" w:rsidRDefault="00490317" w:rsidP="00490317">
      <w:pPr>
        <w:spacing w:line="240" w:lineRule="auto"/>
        <w:jc w:val="both"/>
        <w:rPr>
          <w:rFonts w:ascii="Arial" w:hAnsi="Arial" w:cs="Arial"/>
          <w:b/>
          <w:lang w:val="pt-BR"/>
        </w:rPr>
      </w:pPr>
    </w:p>
    <w:p w14:paraId="2EA8045C" w14:textId="77777777" w:rsidR="00490317" w:rsidRDefault="00490317" w:rsidP="00490317">
      <w:pPr>
        <w:spacing w:line="240" w:lineRule="auto"/>
        <w:jc w:val="both"/>
        <w:rPr>
          <w:rFonts w:ascii="Arial" w:hAnsi="Arial" w:cs="Arial"/>
          <w:b/>
          <w:lang w:val="pt-BR"/>
        </w:rPr>
      </w:pPr>
    </w:p>
    <w:p w14:paraId="7EBC0BCB" w14:textId="77777777" w:rsidR="00490317" w:rsidRPr="00E504F7" w:rsidRDefault="00490317" w:rsidP="00490317">
      <w:pPr>
        <w:spacing w:line="240" w:lineRule="auto"/>
        <w:jc w:val="both"/>
        <w:rPr>
          <w:rFonts w:ascii="Arial" w:hAnsi="Arial" w:cs="Arial"/>
          <w:b/>
          <w:lang w:val="pt-BR"/>
        </w:rPr>
      </w:pPr>
    </w:p>
    <w:p w14:paraId="0F1D6ACD" w14:textId="77777777" w:rsidR="00490317" w:rsidRDefault="00490317" w:rsidP="00490317">
      <w:pPr>
        <w:spacing w:after="0" w:line="240" w:lineRule="auto"/>
        <w:ind w:left="-1276" w:right="-1227"/>
        <w:jc w:val="center"/>
        <w:rPr>
          <w:rFonts w:ascii="Arial" w:hAnsi="Arial" w:cs="Arial"/>
          <w:b/>
          <w:bCs/>
        </w:rPr>
      </w:pPr>
      <w:r w:rsidRPr="005D30D2">
        <w:rPr>
          <w:rFonts w:ascii="Arial" w:hAnsi="Arial" w:cs="Arial"/>
          <w:b/>
        </w:rPr>
        <w:t xml:space="preserve">DIP. </w:t>
      </w:r>
      <w:r w:rsidRPr="005D30D2">
        <w:rPr>
          <w:rFonts w:ascii="Arial" w:hAnsi="Arial" w:cs="Arial"/>
          <w:b/>
          <w:bCs/>
        </w:rPr>
        <w:t xml:space="preserve">EMMA LAURA ALVAREZ VILLAVICENCIO            DIP. </w:t>
      </w:r>
      <w:r>
        <w:rPr>
          <w:rFonts w:ascii="Arial" w:hAnsi="Arial" w:cs="Arial"/>
          <w:b/>
          <w:bCs/>
        </w:rPr>
        <w:t>PABLO FERNÁNDEZ DE CEVALLOS GONZÁLEZ</w:t>
      </w:r>
    </w:p>
    <w:p w14:paraId="7696FE48" w14:textId="77777777" w:rsidR="00490317" w:rsidRPr="0029609E" w:rsidRDefault="00490317" w:rsidP="00490317">
      <w:pPr>
        <w:spacing w:after="0" w:line="240" w:lineRule="auto"/>
        <w:jc w:val="center"/>
        <w:rPr>
          <w:rFonts w:ascii="Arial" w:hAnsi="Arial" w:cs="Arial"/>
          <w:b/>
          <w:sz w:val="16"/>
          <w:szCs w:val="16"/>
        </w:rPr>
      </w:pPr>
    </w:p>
    <w:p w14:paraId="19A5F8C2" w14:textId="77777777" w:rsidR="00490317" w:rsidRPr="00B7418B" w:rsidRDefault="00490317" w:rsidP="00490317">
      <w:pPr>
        <w:spacing w:after="0" w:line="240" w:lineRule="auto"/>
        <w:jc w:val="center"/>
        <w:rPr>
          <w:rFonts w:ascii="Arial" w:hAnsi="Arial" w:cs="Arial"/>
          <w:b/>
        </w:rPr>
      </w:pPr>
      <w:r w:rsidRPr="00B7418B">
        <w:rPr>
          <w:rFonts w:ascii="Arial" w:hAnsi="Arial" w:cs="Arial"/>
          <w:b/>
        </w:rPr>
        <w:t>Grupo Parlamentario del Partido Acción Nacional</w:t>
      </w:r>
    </w:p>
    <w:p w14:paraId="7EA9B256" w14:textId="77777777" w:rsidR="00490317" w:rsidRDefault="00490317" w:rsidP="008F3E36">
      <w:pPr>
        <w:spacing w:line="240" w:lineRule="auto"/>
        <w:rPr>
          <w:rFonts w:ascii="Arial" w:hAnsi="Arial" w:cs="Arial"/>
          <w:b/>
          <w:bCs/>
        </w:rPr>
      </w:pPr>
    </w:p>
    <w:p w14:paraId="5020BD86" w14:textId="77777777" w:rsidR="00490317" w:rsidRDefault="00490317" w:rsidP="00490317">
      <w:pPr>
        <w:spacing w:line="240" w:lineRule="auto"/>
        <w:jc w:val="center"/>
        <w:rPr>
          <w:rFonts w:ascii="Arial" w:hAnsi="Arial" w:cs="Arial"/>
          <w:b/>
          <w:bCs/>
        </w:rPr>
      </w:pPr>
      <w:r w:rsidRPr="00087645">
        <w:rPr>
          <w:rFonts w:ascii="Arial" w:hAnsi="Arial" w:cs="Arial"/>
          <w:b/>
          <w:bCs/>
        </w:rPr>
        <w:lastRenderedPageBreak/>
        <w:t>PUNTO DE ACUERDO</w:t>
      </w:r>
    </w:p>
    <w:p w14:paraId="1313AC94" w14:textId="77777777" w:rsidR="00490317" w:rsidRDefault="00490317" w:rsidP="00490317">
      <w:pPr>
        <w:spacing w:after="0" w:line="240" w:lineRule="auto"/>
        <w:jc w:val="center"/>
        <w:rPr>
          <w:rFonts w:ascii="Arial" w:hAnsi="Arial" w:cs="Arial"/>
          <w:b/>
          <w:bCs/>
        </w:rPr>
      </w:pPr>
    </w:p>
    <w:p w14:paraId="74D056A5" w14:textId="77777777" w:rsidR="00490317" w:rsidRDefault="00490317" w:rsidP="00490317">
      <w:pPr>
        <w:spacing w:after="0" w:line="360" w:lineRule="auto"/>
        <w:jc w:val="both"/>
        <w:rPr>
          <w:rFonts w:ascii="Arial" w:hAnsi="Arial" w:cs="Arial"/>
          <w:b/>
          <w:bCs/>
        </w:rPr>
      </w:pPr>
      <w:r w:rsidRPr="008F2B06">
        <w:rPr>
          <w:rFonts w:ascii="Arial" w:hAnsi="Arial" w:cs="Arial"/>
          <w:b/>
          <w:bCs/>
        </w:rPr>
        <w:t>LA H. “LXI</w:t>
      </w:r>
      <w:r>
        <w:rPr>
          <w:rFonts w:ascii="Arial" w:hAnsi="Arial" w:cs="Arial"/>
          <w:b/>
          <w:bCs/>
        </w:rPr>
        <w:t>I</w:t>
      </w:r>
      <w:r w:rsidRPr="008F2B06">
        <w:rPr>
          <w:rFonts w:ascii="Arial" w:hAnsi="Arial" w:cs="Arial"/>
          <w:b/>
          <w:bCs/>
        </w:rPr>
        <w:t xml:space="preserve">” LEGISLATURA EN EJERCICIO DE LAS FACULTADES QUE LE CONFIEREN LOS ARTÍCULOS </w:t>
      </w:r>
      <w:r>
        <w:rPr>
          <w:rFonts w:ascii="Arial" w:hAnsi="Arial" w:cs="Arial"/>
          <w:b/>
          <w:bCs/>
        </w:rPr>
        <w:t xml:space="preserve">51, </w:t>
      </w:r>
      <w:r w:rsidRPr="008F2B06">
        <w:rPr>
          <w:rFonts w:ascii="Arial" w:hAnsi="Arial" w:cs="Arial"/>
          <w:b/>
          <w:bCs/>
        </w:rPr>
        <w:t>57, 61, FRACCIÓN I DE LA CONSTITUCIÓN POLÍTICA DEL ESTADO LIBRE Y SOBERANO DE MÉXICO; 38 FRACCIÓN IV DE LA LEY ORGÁNICA DEL PODER LEGISLATIVO DEL ESTADO LIBRE Y SOBERANO DE MÉXICO Y 72 DEL REGLAMENTO DEL PODER LEGISLATIVO DEL ESTADO DE MÉXICO, HA TENIDO A BIEN EL SIGUIENTE:</w:t>
      </w:r>
    </w:p>
    <w:p w14:paraId="7798F093" w14:textId="77777777" w:rsidR="00490317" w:rsidRDefault="00490317" w:rsidP="00490317">
      <w:pPr>
        <w:jc w:val="center"/>
        <w:rPr>
          <w:rFonts w:ascii="Arial" w:hAnsi="Arial" w:cs="Arial"/>
          <w:b/>
          <w:bCs/>
        </w:rPr>
      </w:pPr>
    </w:p>
    <w:p w14:paraId="41522253" w14:textId="77777777" w:rsidR="00490317" w:rsidRDefault="00490317" w:rsidP="00490317">
      <w:pPr>
        <w:jc w:val="center"/>
        <w:rPr>
          <w:rFonts w:ascii="Arial" w:hAnsi="Arial" w:cs="Arial"/>
          <w:b/>
          <w:bCs/>
        </w:rPr>
      </w:pPr>
      <w:r>
        <w:rPr>
          <w:rFonts w:ascii="Arial" w:hAnsi="Arial" w:cs="Arial"/>
          <w:b/>
          <w:bCs/>
        </w:rPr>
        <w:t>ACUERDO</w:t>
      </w:r>
    </w:p>
    <w:p w14:paraId="06FBABCA" w14:textId="77777777" w:rsidR="00490317" w:rsidRPr="00D5554E" w:rsidRDefault="00490317" w:rsidP="00490317">
      <w:pPr>
        <w:spacing w:after="0" w:line="360" w:lineRule="auto"/>
        <w:jc w:val="both"/>
        <w:rPr>
          <w:rFonts w:ascii="Arial" w:hAnsi="Arial" w:cs="Arial"/>
          <w:bCs/>
        </w:rPr>
      </w:pPr>
      <w:r w:rsidRPr="00D5554E">
        <w:rPr>
          <w:rFonts w:ascii="Arial" w:hAnsi="Arial" w:cs="Arial"/>
          <w:b/>
          <w:bCs/>
        </w:rPr>
        <w:t>Único.</w:t>
      </w:r>
      <w:r w:rsidRPr="00D5554E">
        <w:rPr>
          <w:rFonts w:ascii="Arial" w:hAnsi="Arial" w:cs="Arial"/>
          <w:bCs/>
        </w:rPr>
        <w:t xml:space="preserve"> La LXII Legislatura del Estado Libre y Soberano de México exhorta respetuosamente al Gobierno del Estado de México a implementar una estrategia integral para promover el uso y la inversión en energías renovables en la entidad, priorizando el aprovechamiento del potencial solar, eólico y geotérmico del Estado, especialmente en las regiones de oriente y sur de la Entidad, en coordinación con los 125 municipios, el gobierno federal, la academia y el sector privado. </w:t>
      </w:r>
    </w:p>
    <w:p w14:paraId="7FFA0B7E" w14:textId="77777777" w:rsidR="00490317" w:rsidRPr="00D5554E" w:rsidRDefault="00490317" w:rsidP="00490317">
      <w:pPr>
        <w:spacing w:after="0" w:line="360" w:lineRule="auto"/>
        <w:jc w:val="both"/>
        <w:rPr>
          <w:rFonts w:ascii="Arial" w:hAnsi="Arial" w:cs="Arial"/>
          <w:bCs/>
        </w:rPr>
      </w:pPr>
    </w:p>
    <w:p w14:paraId="3697D9EF" w14:textId="77777777" w:rsidR="00490317" w:rsidRDefault="00490317" w:rsidP="00490317">
      <w:pPr>
        <w:pStyle w:val="NormalWeb"/>
        <w:shd w:val="clear" w:color="auto" w:fill="FFFFFF"/>
        <w:spacing w:before="0" w:beforeAutospacing="0" w:after="0" w:afterAutospacing="0" w:line="360" w:lineRule="auto"/>
        <w:jc w:val="both"/>
        <w:rPr>
          <w:rFonts w:ascii="Arial" w:hAnsi="Arial" w:cs="Arial"/>
          <w:bCs/>
        </w:rPr>
      </w:pPr>
      <w:r w:rsidRPr="005F5A0F">
        <w:rPr>
          <w:rFonts w:ascii="Arial" w:hAnsi="Arial" w:cs="Arial"/>
          <w:b/>
          <w:bCs/>
        </w:rPr>
        <w:t>ARTÍCULO PRIMERO. -</w:t>
      </w:r>
      <w:r w:rsidRPr="005F5A0F">
        <w:rPr>
          <w:rFonts w:ascii="Arial" w:hAnsi="Arial" w:cs="Arial"/>
          <w:bCs/>
        </w:rPr>
        <w:t xml:space="preserve"> Publíquese este Acuerdo en el Periódico Oficial “Gaceta del Gobierno” del Estado de México.</w:t>
      </w:r>
    </w:p>
    <w:p w14:paraId="7A9074B8" w14:textId="77777777" w:rsidR="00490317" w:rsidRPr="005F5A0F" w:rsidRDefault="00490317" w:rsidP="00490317">
      <w:pPr>
        <w:pStyle w:val="NormalWeb"/>
        <w:shd w:val="clear" w:color="auto" w:fill="FFFFFF"/>
        <w:spacing w:before="0" w:beforeAutospacing="0" w:after="0" w:afterAutospacing="0" w:line="360" w:lineRule="auto"/>
        <w:jc w:val="both"/>
        <w:rPr>
          <w:rFonts w:ascii="Arial" w:hAnsi="Arial" w:cs="Arial"/>
          <w:bCs/>
        </w:rPr>
      </w:pPr>
    </w:p>
    <w:p w14:paraId="12DAC150" w14:textId="77777777" w:rsidR="00490317" w:rsidRDefault="00490317" w:rsidP="00490317">
      <w:pPr>
        <w:pStyle w:val="NormalWeb"/>
        <w:shd w:val="clear" w:color="auto" w:fill="FFFFFF"/>
        <w:spacing w:before="0" w:beforeAutospacing="0" w:after="0" w:afterAutospacing="0" w:line="360" w:lineRule="auto"/>
        <w:jc w:val="both"/>
        <w:rPr>
          <w:rFonts w:ascii="Arial" w:hAnsi="Arial" w:cs="Arial"/>
          <w:bCs/>
        </w:rPr>
      </w:pPr>
      <w:r w:rsidRPr="005F5A0F">
        <w:rPr>
          <w:rFonts w:ascii="Arial" w:hAnsi="Arial" w:cs="Arial"/>
          <w:b/>
          <w:bCs/>
        </w:rPr>
        <w:t xml:space="preserve">ARTÍCULO SEGUNDO. </w:t>
      </w:r>
      <w:r>
        <w:rPr>
          <w:rFonts w:ascii="Arial" w:hAnsi="Arial" w:cs="Arial"/>
          <w:b/>
          <w:bCs/>
        </w:rPr>
        <w:t xml:space="preserve">- </w:t>
      </w:r>
      <w:r w:rsidRPr="005F5A0F">
        <w:rPr>
          <w:rFonts w:ascii="Arial" w:hAnsi="Arial" w:cs="Arial"/>
          <w:bCs/>
        </w:rPr>
        <w:t>Comuníquese el presente Acuerdo a las autoridades competentes, para los efectos correspondientes.</w:t>
      </w:r>
    </w:p>
    <w:p w14:paraId="6D36E750" w14:textId="77777777" w:rsidR="00490317" w:rsidRDefault="00490317" w:rsidP="00490317">
      <w:pPr>
        <w:pStyle w:val="NormalWeb"/>
        <w:shd w:val="clear" w:color="auto" w:fill="FFFFFF"/>
        <w:spacing w:before="0" w:beforeAutospacing="0" w:after="0" w:afterAutospacing="0" w:line="360" w:lineRule="auto"/>
        <w:jc w:val="both"/>
        <w:rPr>
          <w:rFonts w:ascii="Arial" w:hAnsi="Arial" w:cs="Arial"/>
          <w:bCs/>
        </w:rPr>
      </w:pPr>
    </w:p>
    <w:p w14:paraId="6E54CC50" w14:textId="64C2F5CE" w:rsidR="00490317" w:rsidRDefault="00490317" w:rsidP="00490317">
      <w:pPr>
        <w:pStyle w:val="NormalWeb"/>
        <w:shd w:val="clear" w:color="auto" w:fill="FFFFFF"/>
        <w:spacing w:before="0" w:beforeAutospacing="0" w:after="0" w:afterAutospacing="0" w:line="360" w:lineRule="auto"/>
        <w:jc w:val="both"/>
        <w:rPr>
          <w:rFonts w:ascii="Arial" w:hAnsi="Arial" w:cs="Arial"/>
          <w:bCs/>
        </w:rPr>
      </w:pPr>
      <w:r w:rsidRPr="005F5A0F">
        <w:rPr>
          <w:rFonts w:ascii="Arial" w:hAnsi="Arial" w:cs="Arial"/>
          <w:bCs/>
        </w:rPr>
        <w:t xml:space="preserve">Dado en el Palacio del Poder Legislativo, en la ciudad de Toluca de Lerdo, capital del Estado de México, a los </w:t>
      </w:r>
      <w:r>
        <w:rPr>
          <w:rFonts w:ascii="Arial" w:hAnsi="Arial" w:cs="Arial"/>
          <w:bCs/>
        </w:rPr>
        <w:t>__</w:t>
      </w:r>
      <w:r w:rsidRPr="005F5A0F">
        <w:rPr>
          <w:rFonts w:ascii="Arial" w:hAnsi="Arial" w:cs="Arial"/>
          <w:bCs/>
        </w:rPr>
        <w:t xml:space="preserve"> días del mes de </w:t>
      </w:r>
      <w:r>
        <w:rPr>
          <w:rFonts w:ascii="Arial" w:hAnsi="Arial" w:cs="Arial"/>
          <w:bCs/>
        </w:rPr>
        <w:t>octubre</w:t>
      </w:r>
      <w:r>
        <w:rPr>
          <w:rFonts w:ascii="Arial" w:hAnsi="Arial" w:cs="Arial"/>
          <w:bCs/>
        </w:rPr>
        <w:t xml:space="preserve"> </w:t>
      </w:r>
      <w:r w:rsidRPr="005F5A0F">
        <w:rPr>
          <w:rFonts w:ascii="Arial" w:hAnsi="Arial" w:cs="Arial"/>
          <w:bCs/>
        </w:rPr>
        <w:t xml:space="preserve">del año dos mil </w:t>
      </w:r>
      <w:r>
        <w:rPr>
          <w:rFonts w:ascii="Arial" w:hAnsi="Arial" w:cs="Arial"/>
          <w:bCs/>
        </w:rPr>
        <w:t>veintic</w:t>
      </w:r>
      <w:r>
        <w:rPr>
          <w:rFonts w:ascii="Arial" w:hAnsi="Arial" w:cs="Arial"/>
          <w:bCs/>
        </w:rPr>
        <w:t>inco</w:t>
      </w:r>
      <w:r w:rsidRPr="005F5A0F">
        <w:rPr>
          <w:rFonts w:ascii="Arial" w:hAnsi="Arial" w:cs="Arial"/>
          <w:bCs/>
        </w:rPr>
        <w:t xml:space="preserve">. </w:t>
      </w:r>
    </w:p>
    <w:p w14:paraId="462F1AC3" w14:textId="77777777" w:rsidR="00490317" w:rsidRDefault="00490317" w:rsidP="00490317">
      <w:pPr>
        <w:jc w:val="center"/>
        <w:rPr>
          <w:rFonts w:ascii="Arial" w:hAnsi="Arial" w:cs="Arial"/>
          <w:b/>
          <w:bCs/>
        </w:rPr>
      </w:pPr>
      <w:bookmarkStart w:id="0" w:name="_GoBack"/>
    </w:p>
    <w:p w14:paraId="182294DE" w14:textId="265CC810" w:rsidR="00490317" w:rsidRDefault="00490317" w:rsidP="00490317">
      <w:pPr>
        <w:jc w:val="center"/>
        <w:rPr>
          <w:rFonts w:ascii="Arial" w:hAnsi="Arial" w:cs="Arial"/>
          <w:b/>
          <w:bCs/>
        </w:rPr>
      </w:pPr>
    </w:p>
    <w:bookmarkEnd w:id="0"/>
    <w:p w14:paraId="5073DAB0" w14:textId="77777777" w:rsidR="00490317" w:rsidRDefault="00490317" w:rsidP="00490317">
      <w:pPr>
        <w:jc w:val="center"/>
        <w:rPr>
          <w:rFonts w:ascii="Arial" w:hAnsi="Arial" w:cs="Arial"/>
          <w:b/>
          <w:bCs/>
        </w:rPr>
      </w:pPr>
    </w:p>
    <w:p w14:paraId="01B5BCF4"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lastRenderedPageBreak/>
        <w:t>BIBLIOGRAFÍA CONSULTADA:</w:t>
      </w:r>
    </w:p>
    <w:p w14:paraId="341E87E0"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tab/>
        <w:t>1.</w:t>
      </w:r>
      <w:r w:rsidRPr="00D5554E">
        <w:rPr>
          <w:rFonts w:ascii="Arial" w:hAnsi="Arial" w:cs="Arial"/>
          <w:b/>
          <w:bCs/>
          <w:color w:val="0070C0"/>
          <w:sz w:val="18"/>
          <w:szCs w:val="18"/>
        </w:rPr>
        <w:tab/>
        <w:t>Constitución Política de los Estados Unidos Mexicanos. (Última reforma publicada en el Diario Oficial de la Federación el 28 de mayo de 2021).</w:t>
      </w:r>
    </w:p>
    <w:p w14:paraId="124F6ECD"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tab/>
        <w:t>2.</w:t>
      </w:r>
      <w:r w:rsidRPr="00D5554E">
        <w:rPr>
          <w:rFonts w:ascii="Arial" w:hAnsi="Arial" w:cs="Arial"/>
          <w:b/>
          <w:bCs/>
          <w:color w:val="0070C0"/>
          <w:sz w:val="18"/>
          <w:szCs w:val="18"/>
        </w:rPr>
        <w:tab/>
        <w:t>Constitución Política del Estado Libre y Soberano de México. (Última reforma publicada en el Periódico Oficial “Gaceta del Gobierno” el 31 de diciembre de 2021).</w:t>
      </w:r>
    </w:p>
    <w:p w14:paraId="0C5A7176"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tab/>
        <w:t>3.</w:t>
      </w:r>
      <w:r w:rsidRPr="00D5554E">
        <w:rPr>
          <w:rFonts w:ascii="Arial" w:hAnsi="Arial" w:cs="Arial"/>
          <w:b/>
          <w:bCs/>
          <w:color w:val="0070C0"/>
          <w:sz w:val="18"/>
          <w:szCs w:val="18"/>
        </w:rPr>
        <w:tab/>
        <w:t>Ley General de Cambio Climático. (Publicada en el Diario Oficial de la Federación el 6 de junio de 2012).</w:t>
      </w:r>
    </w:p>
    <w:p w14:paraId="04BF7E2F"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tab/>
        <w:t>4.</w:t>
      </w:r>
      <w:r w:rsidRPr="00D5554E">
        <w:rPr>
          <w:rFonts w:ascii="Arial" w:hAnsi="Arial" w:cs="Arial"/>
          <w:b/>
          <w:bCs/>
          <w:color w:val="0070C0"/>
          <w:sz w:val="18"/>
          <w:szCs w:val="18"/>
        </w:rPr>
        <w:tab/>
        <w:t>Ley de Energías Renovables del Estado de México. (Publicada en el Periódico Oficial “Gaceta del Gobierno” el 5 de mayo de 2014).</w:t>
      </w:r>
    </w:p>
    <w:p w14:paraId="41587B09"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tab/>
        <w:t>5.</w:t>
      </w:r>
      <w:r w:rsidRPr="00D5554E">
        <w:rPr>
          <w:rFonts w:ascii="Arial" w:hAnsi="Arial" w:cs="Arial"/>
          <w:b/>
          <w:bCs/>
          <w:color w:val="0070C0"/>
          <w:sz w:val="18"/>
          <w:szCs w:val="18"/>
        </w:rPr>
        <w:tab/>
        <w:t>Ley de Transición Energética de México. (Publicada en el Diario Oficial de la Federación el 11 de diciembre de 2015).</w:t>
      </w:r>
    </w:p>
    <w:p w14:paraId="7A74D751"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tab/>
        <w:t>6.</w:t>
      </w:r>
      <w:r w:rsidRPr="00D5554E">
        <w:rPr>
          <w:rFonts w:ascii="Arial" w:hAnsi="Arial" w:cs="Arial"/>
          <w:b/>
          <w:bCs/>
          <w:color w:val="0070C0"/>
          <w:sz w:val="18"/>
          <w:szCs w:val="18"/>
        </w:rPr>
        <w:tab/>
        <w:t>Agenda 2030 para el Desarrollo Sostenible de la ONU. (Adoptada por la Asamblea General de la ONU el 25 de septiembre de 2015).</w:t>
      </w:r>
    </w:p>
    <w:p w14:paraId="6F753077"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tab/>
        <w:t>7.</w:t>
      </w:r>
      <w:r w:rsidRPr="00D5554E">
        <w:rPr>
          <w:rFonts w:ascii="Arial" w:hAnsi="Arial" w:cs="Arial"/>
          <w:b/>
          <w:bCs/>
          <w:color w:val="0070C0"/>
          <w:sz w:val="18"/>
          <w:szCs w:val="18"/>
        </w:rPr>
        <w:tab/>
        <w:t>Informe sobre la implementación de energías renovables en zonas rurales, NASA. (NASA, 2021).</w:t>
      </w:r>
    </w:p>
    <w:p w14:paraId="7DD130C0"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tab/>
        <w:t>8.</w:t>
      </w:r>
      <w:r w:rsidRPr="00D5554E">
        <w:rPr>
          <w:rFonts w:ascii="Arial" w:hAnsi="Arial" w:cs="Arial"/>
          <w:b/>
          <w:bCs/>
          <w:color w:val="0070C0"/>
          <w:sz w:val="18"/>
          <w:szCs w:val="18"/>
        </w:rPr>
        <w:tab/>
        <w:t>Energías renovables y su impacto económico en comunidades rurales, UCLA. (Rodríguez et al., 2020).</w:t>
      </w:r>
    </w:p>
    <w:p w14:paraId="5D4828C3"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tab/>
        <w:t>9.</w:t>
      </w:r>
      <w:r w:rsidRPr="00D5554E">
        <w:rPr>
          <w:rFonts w:ascii="Arial" w:hAnsi="Arial" w:cs="Arial"/>
          <w:b/>
          <w:bCs/>
          <w:color w:val="0070C0"/>
          <w:sz w:val="18"/>
          <w:szCs w:val="18"/>
        </w:rPr>
        <w:tab/>
        <w:t>Desarrollo de energías limpias y su impacto en la competitividad económica, Universidad Autónoma de Baja California. (López et al., 2021).</w:t>
      </w:r>
    </w:p>
    <w:p w14:paraId="3450BA26"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tab/>
        <w:t>10.</w:t>
      </w:r>
      <w:r w:rsidRPr="00D5554E">
        <w:rPr>
          <w:rFonts w:ascii="Arial" w:hAnsi="Arial" w:cs="Arial"/>
          <w:b/>
          <w:bCs/>
          <w:color w:val="0070C0"/>
          <w:sz w:val="18"/>
          <w:szCs w:val="18"/>
        </w:rPr>
        <w:tab/>
        <w:t>Potencial de energía solar y eólica en el Estado de México, Universidad Autónoma del Estado de México. (González, 2019).</w:t>
      </w:r>
    </w:p>
    <w:p w14:paraId="18022092"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tab/>
        <w:t>11.</w:t>
      </w:r>
      <w:r w:rsidRPr="00D5554E">
        <w:rPr>
          <w:rFonts w:ascii="Arial" w:hAnsi="Arial" w:cs="Arial"/>
          <w:b/>
          <w:bCs/>
          <w:color w:val="0070C0"/>
          <w:sz w:val="18"/>
          <w:szCs w:val="18"/>
        </w:rPr>
        <w:tab/>
        <w:t>Estudio sobre la utilización de energías renovables en la agricultura y ganadería, Universidad Autónoma de Chapingo. (Márquez, 2022).</w:t>
      </w:r>
    </w:p>
    <w:p w14:paraId="24A82F92"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tab/>
        <w:t>12.</w:t>
      </w:r>
      <w:r w:rsidRPr="00D5554E">
        <w:rPr>
          <w:rFonts w:ascii="Arial" w:hAnsi="Arial" w:cs="Arial"/>
          <w:b/>
          <w:bCs/>
          <w:color w:val="0070C0"/>
          <w:sz w:val="18"/>
          <w:szCs w:val="18"/>
        </w:rPr>
        <w:tab/>
        <w:t>Energías renovables y su contribución al cambio climático, NASA. (2020).</w:t>
      </w:r>
    </w:p>
    <w:p w14:paraId="6335C629"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tab/>
        <w:t>13.</w:t>
      </w:r>
      <w:r w:rsidRPr="00D5554E">
        <w:rPr>
          <w:rFonts w:ascii="Arial" w:hAnsi="Arial" w:cs="Arial"/>
          <w:b/>
          <w:bCs/>
          <w:color w:val="0070C0"/>
          <w:sz w:val="18"/>
          <w:szCs w:val="18"/>
        </w:rPr>
        <w:tab/>
        <w:t>Impacto de las energías renovables en la infraestructura energética, Universidad Autónoma Metropolitana. (Pérez &amp; González, 2017).</w:t>
      </w:r>
    </w:p>
    <w:p w14:paraId="20FFEFBC"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tab/>
        <w:t>14.</w:t>
      </w:r>
      <w:r w:rsidRPr="00D5554E">
        <w:rPr>
          <w:rFonts w:ascii="Arial" w:hAnsi="Arial" w:cs="Arial"/>
          <w:b/>
          <w:bCs/>
          <w:color w:val="0070C0"/>
          <w:sz w:val="18"/>
          <w:szCs w:val="18"/>
        </w:rPr>
        <w:tab/>
        <w:t>Política Energética Internacional y Desarrollo Sostenible, Gobierno Federal de México. (Publicada en la Gaceta Oficial de la Federación, 2020).</w:t>
      </w:r>
    </w:p>
    <w:p w14:paraId="159CB4CC" w14:textId="77777777" w:rsidR="00490317" w:rsidRPr="00D5554E" w:rsidRDefault="00490317" w:rsidP="00490317">
      <w:pPr>
        <w:jc w:val="both"/>
        <w:rPr>
          <w:rFonts w:ascii="Arial" w:hAnsi="Arial" w:cs="Arial"/>
          <w:b/>
          <w:bCs/>
          <w:color w:val="0070C0"/>
          <w:sz w:val="18"/>
          <w:szCs w:val="18"/>
        </w:rPr>
      </w:pPr>
      <w:r w:rsidRPr="00D5554E">
        <w:rPr>
          <w:rFonts w:ascii="Arial" w:hAnsi="Arial" w:cs="Arial"/>
          <w:b/>
          <w:bCs/>
          <w:color w:val="0070C0"/>
          <w:sz w:val="18"/>
          <w:szCs w:val="18"/>
        </w:rPr>
        <w:tab/>
        <w:t>15.</w:t>
      </w:r>
      <w:r w:rsidRPr="00D5554E">
        <w:rPr>
          <w:rFonts w:ascii="Arial" w:hAnsi="Arial" w:cs="Arial"/>
          <w:b/>
          <w:bCs/>
          <w:color w:val="0070C0"/>
          <w:sz w:val="18"/>
          <w:szCs w:val="18"/>
        </w:rPr>
        <w:tab/>
        <w:t>Informe sobre la implementación del Acuerdo de París en México, Secretaría de Medio Ambiente y Recursos Naturales (SEMARNAT). (Publicación oficial de SEMARNAT, 2021).</w:t>
      </w:r>
    </w:p>
    <w:p w14:paraId="37D0C41C" w14:textId="77777777" w:rsidR="00490317" w:rsidRPr="00D5554E" w:rsidRDefault="00490317" w:rsidP="00490317">
      <w:pPr>
        <w:jc w:val="both"/>
        <w:rPr>
          <w:rFonts w:ascii="Arial" w:hAnsi="Arial" w:cs="Arial"/>
          <w:b/>
          <w:bCs/>
          <w:color w:val="0070C0"/>
          <w:sz w:val="18"/>
          <w:szCs w:val="18"/>
        </w:rPr>
      </w:pPr>
    </w:p>
    <w:p w14:paraId="7DD41D2E" w14:textId="5214056B" w:rsidR="005879C5" w:rsidRPr="005879C5" w:rsidRDefault="005879C5" w:rsidP="00490317">
      <w:pPr>
        <w:spacing w:line="480" w:lineRule="auto"/>
        <w:jc w:val="both"/>
        <w:rPr>
          <w:rFonts w:ascii="Arial" w:hAnsi="Arial" w:cs="Arial"/>
          <w:b/>
          <w:bCs/>
          <w:i/>
          <w:iCs/>
        </w:rPr>
      </w:pPr>
    </w:p>
    <w:sectPr w:rsidR="005879C5" w:rsidRPr="005879C5" w:rsidSect="008F3E36">
      <w:headerReference w:type="default" r:id="rId8"/>
      <w:footerReference w:type="default" r:id="rId9"/>
      <w:pgSz w:w="12240" w:h="15840"/>
      <w:pgMar w:top="1417" w:right="1701" w:bottom="1417" w:left="1701" w:header="708" w:footer="6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EBC6A2" w14:textId="77777777" w:rsidR="00694F62" w:rsidRDefault="00694F62" w:rsidP="001B33A0">
      <w:pPr>
        <w:spacing w:after="0" w:line="240" w:lineRule="auto"/>
      </w:pPr>
      <w:r>
        <w:separator/>
      </w:r>
    </w:p>
  </w:endnote>
  <w:endnote w:type="continuationSeparator" w:id="0">
    <w:p w14:paraId="0920B471" w14:textId="77777777" w:rsidR="00694F62" w:rsidRDefault="00694F62" w:rsidP="001B3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A00000AF" w:usb1="50006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61DFD" w14:textId="04F4A352" w:rsidR="001B33A0" w:rsidRPr="001E44FA" w:rsidRDefault="00DC4CAD" w:rsidP="001B33A0">
    <w:pPr>
      <w:pStyle w:val="Piedepgina"/>
      <w:rPr>
        <w:rFonts w:ascii="Lato" w:hAnsi="Lato"/>
        <w:noProof/>
        <w:color w:val="595959" w:themeColor="text1" w:themeTint="A6"/>
        <w:sz w:val="18"/>
      </w:rPr>
    </w:pPr>
    <w:bookmarkStart w:id="1" w:name="_Hlk177114220"/>
    <w:r w:rsidRPr="001E44FA">
      <w:rPr>
        <w:rFonts w:ascii="Lato" w:hAnsi="Lato"/>
        <w:noProof/>
        <w:color w:val="595959" w:themeColor="text1" w:themeTint="A6"/>
        <w:sz w:val="18"/>
      </w:rPr>
      <w:drawing>
        <wp:anchor distT="0" distB="0" distL="114300" distR="114300" simplePos="0" relativeHeight="251661312" behindDoc="0" locked="0" layoutInCell="1" allowOverlap="1" wp14:anchorId="0F34395A" wp14:editId="12D92AE3">
          <wp:simplePos x="0" y="0"/>
          <wp:positionH relativeFrom="margin">
            <wp:posOffset>2555875</wp:posOffset>
          </wp:positionH>
          <wp:positionV relativeFrom="paragraph">
            <wp:posOffset>144780</wp:posOffset>
          </wp:positionV>
          <wp:extent cx="615263" cy="560173"/>
          <wp:effectExtent l="0" t="0" r="0" b="0"/>
          <wp:wrapNone/>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5263" cy="560173"/>
                  </a:xfrm>
                  <a:prstGeom prst="rect">
                    <a:avLst/>
                  </a:prstGeom>
                </pic:spPr>
              </pic:pic>
            </a:graphicData>
          </a:graphic>
          <wp14:sizeRelH relativeFrom="margin">
            <wp14:pctWidth>0</wp14:pctWidth>
          </wp14:sizeRelH>
          <wp14:sizeRelV relativeFrom="margin">
            <wp14:pctHeight>0</wp14:pctHeight>
          </wp14:sizeRelV>
        </wp:anchor>
      </w:drawing>
    </w:r>
    <w:r w:rsidR="001B33A0" w:rsidRPr="001E44FA">
      <w:rPr>
        <w:rFonts w:ascii="Lato" w:hAnsi="Lato"/>
        <w:noProof/>
        <w:color w:val="595959" w:themeColor="text1" w:themeTint="A6"/>
        <w:sz w:val="18"/>
      </w:rPr>
      <w:t xml:space="preserve">Plaza Hidalgo S/N. Col. Centro  </w:t>
    </w:r>
  </w:p>
  <w:p w14:paraId="41496254" w14:textId="2FD37BE3" w:rsidR="001B33A0" w:rsidRPr="001E44FA" w:rsidRDefault="001B33A0" w:rsidP="001B33A0">
    <w:pPr>
      <w:tabs>
        <w:tab w:val="left" w:pos="1219"/>
      </w:tabs>
      <w:spacing w:after="0" w:line="240" w:lineRule="auto"/>
      <w:contextualSpacing/>
      <w:rPr>
        <w:color w:val="595959" w:themeColor="text1" w:themeTint="A6"/>
      </w:rPr>
    </w:pPr>
    <w:r w:rsidRPr="006D1D4A">
      <w:rPr>
        <w:rFonts w:ascii="Lato" w:hAnsi="Lato"/>
        <w:noProof/>
        <w:color w:val="595959" w:themeColor="text1" w:themeTint="A6"/>
        <w:sz w:val="18"/>
      </w:rPr>
      <w:drawing>
        <wp:anchor distT="0" distB="0" distL="114300" distR="114300" simplePos="0" relativeHeight="251663360" behindDoc="0" locked="0" layoutInCell="1" allowOverlap="1" wp14:anchorId="1264D1B9" wp14:editId="16A7D333">
          <wp:simplePos x="0" y="0"/>
          <wp:positionH relativeFrom="column">
            <wp:posOffset>4517990</wp:posOffset>
          </wp:positionH>
          <wp:positionV relativeFrom="paragraph">
            <wp:posOffset>7620</wp:posOffset>
          </wp:positionV>
          <wp:extent cx="2054345" cy="345989"/>
          <wp:effectExtent l="19050" t="0" r="3055" b="0"/>
          <wp:wrapNone/>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diputados-0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54345" cy="345989"/>
                  </a:xfrm>
                  <a:prstGeom prst="rect">
                    <a:avLst/>
                  </a:prstGeom>
                </pic:spPr>
              </pic:pic>
            </a:graphicData>
          </a:graphic>
        </wp:anchor>
      </w:drawing>
    </w:r>
    <w:r w:rsidRPr="001E44FA">
      <w:rPr>
        <w:rFonts w:ascii="Lato" w:hAnsi="Lato"/>
        <w:noProof/>
        <w:color w:val="595959" w:themeColor="text1" w:themeTint="A6"/>
        <w:sz w:val="18"/>
      </w:rPr>
      <w:t>Toluca, México, C. P. 50000</w:t>
    </w:r>
    <w:r w:rsidRPr="001E44FA">
      <w:rPr>
        <w:rFonts w:ascii="Lato" w:hAnsi="Lato"/>
        <w:noProof/>
        <w:color w:val="595959" w:themeColor="text1" w:themeTint="A6"/>
        <w:sz w:val="18"/>
      </w:rPr>
      <w:br/>
      <w:t>Tels. (722) 2 79 64 00 y 2 79 65 00</w:t>
    </w:r>
  </w:p>
  <w:bookmarkEnd w:id="1"/>
  <w:p w14:paraId="70407276" w14:textId="5C1B71B9" w:rsidR="001B33A0" w:rsidRDefault="001B33A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1F3A7" w14:textId="77777777" w:rsidR="00694F62" w:rsidRDefault="00694F62" w:rsidP="001B33A0">
      <w:pPr>
        <w:spacing w:after="0" w:line="240" w:lineRule="auto"/>
      </w:pPr>
      <w:r>
        <w:separator/>
      </w:r>
    </w:p>
  </w:footnote>
  <w:footnote w:type="continuationSeparator" w:id="0">
    <w:p w14:paraId="0EC22A31" w14:textId="77777777" w:rsidR="00694F62" w:rsidRDefault="00694F62" w:rsidP="001B33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FB76D" w14:textId="189EA7A2" w:rsidR="001B33A0" w:rsidRDefault="001B33A0" w:rsidP="001B33A0">
    <w:pPr>
      <w:pStyle w:val="Encabezado"/>
      <w:tabs>
        <w:tab w:val="clear" w:pos="4419"/>
      </w:tabs>
    </w:pPr>
    <w:r>
      <w:rPr>
        <w:noProof/>
      </w:rPr>
      <w:drawing>
        <wp:anchor distT="0" distB="0" distL="114300" distR="114300" simplePos="0" relativeHeight="251659264" behindDoc="1" locked="0" layoutInCell="1" allowOverlap="1" wp14:anchorId="19032446" wp14:editId="27CB0F87">
          <wp:simplePos x="0" y="0"/>
          <wp:positionH relativeFrom="margin">
            <wp:align>center</wp:align>
          </wp:positionH>
          <wp:positionV relativeFrom="paragraph">
            <wp:posOffset>-353060</wp:posOffset>
          </wp:positionV>
          <wp:extent cx="2153432" cy="799465"/>
          <wp:effectExtent l="0" t="0" r="0" b="635"/>
          <wp:wrapNone/>
          <wp:docPr id="4" name="Imagen 4" descr="C:\Users\LEGISLATURA\Documents\LXI Legislatura\Griss Sáenz\Logos\logo LXII Diputados Locales gris 5x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GISLATURA\Documents\LXI Legislatura\Griss Sáenz\Logos\logo LXII Diputados Locales gris 5x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3432" cy="799465"/>
                  </a:xfrm>
                  <a:prstGeom prst="rect">
                    <a:avLst/>
                  </a:prstGeom>
                  <a:noFill/>
                  <a:ln>
                    <a:noFill/>
                  </a:ln>
                </pic:spPr>
              </pic:pic>
            </a:graphicData>
          </a:graphic>
        </wp:anchor>
      </w:drawing>
    </w:r>
    <w:r>
      <w:tab/>
    </w:r>
  </w:p>
  <w:p w14:paraId="033E3C2A" w14:textId="77777777" w:rsidR="001B33A0" w:rsidRDefault="001B33A0" w:rsidP="001B33A0">
    <w:pPr>
      <w:pStyle w:val="Encabezado"/>
      <w:tabs>
        <w:tab w:val="clear" w:pos="4419"/>
      </w:tabs>
    </w:pPr>
  </w:p>
  <w:p w14:paraId="078FE195" w14:textId="77777777" w:rsidR="001B33A0" w:rsidRDefault="001B33A0" w:rsidP="001B33A0">
    <w:pPr>
      <w:pStyle w:val="Encabezado"/>
      <w:tabs>
        <w:tab w:val="clear" w:pos="4419"/>
      </w:tabs>
    </w:pPr>
  </w:p>
  <w:p w14:paraId="325BF0B9" w14:textId="77777777" w:rsidR="001B33A0" w:rsidRPr="004E7667" w:rsidRDefault="001B33A0" w:rsidP="001B33A0">
    <w:pPr>
      <w:pStyle w:val="NormalWeb"/>
      <w:spacing w:before="0" w:beforeAutospacing="0" w:after="0" w:afterAutospacing="0"/>
      <w:jc w:val="center"/>
      <w:rPr>
        <w:rFonts w:ascii="Arial" w:hAnsi="Arial" w:cs="Arial"/>
        <w:b/>
        <w:sz w:val="20"/>
        <w:szCs w:val="20"/>
      </w:rPr>
    </w:pPr>
    <w:r>
      <w:rPr>
        <w:rFonts w:ascii="Arial" w:hAnsi="Arial" w:cs="Arial"/>
        <w:b/>
        <w:sz w:val="20"/>
        <w:szCs w:val="20"/>
      </w:rPr>
      <w:t xml:space="preserve">Grupo Parlamentario </w:t>
    </w:r>
    <w:r w:rsidRPr="004E7667">
      <w:rPr>
        <w:rFonts w:ascii="Arial" w:hAnsi="Arial" w:cs="Arial"/>
        <w:b/>
        <w:sz w:val="20"/>
        <w:szCs w:val="20"/>
      </w:rPr>
      <w:t>del P</w:t>
    </w:r>
    <w:r>
      <w:rPr>
        <w:rFonts w:ascii="Arial" w:hAnsi="Arial" w:cs="Arial"/>
        <w:b/>
        <w:sz w:val="20"/>
        <w:szCs w:val="20"/>
      </w:rPr>
      <w:t xml:space="preserve">artido </w:t>
    </w:r>
    <w:r w:rsidRPr="004E7667">
      <w:rPr>
        <w:rFonts w:ascii="Arial" w:hAnsi="Arial" w:cs="Arial"/>
        <w:b/>
        <w:sz w:val="20"/>
        <w:szCs w:val="20"/>
      </w:rPr>
      <w:t>A</w:t>
    </w:r>
    <w:r>
      <w:rPr>
        <w:rFonts w:ascii="Arial" w:hAnsi="Arial" w:cs="Arial"/>
        <w:b/>
        <w:sz w:val="20"/>
        <w:szCs w:val="20"/>
      </w:rPr>
      <w:t xml:space="preserve">cción </w:t>
    </w:r>
    <w:r w:rsidRPr="004E7667">
      <w:rPr>
        <w:rFonts w:ascii="Arial" w:hAnsi="Arial" w:cs="Arial"/>
        <w:b/>
        <w:sz w:val="20"/>
        <w:szCs w:val="20"/>
      </w:rPr>
      <w:t>N</w:t>
    </w:r>
    <w:r>
      <w:rPr>
        <w:rFonts w:ascii="Arial" w:hAnsi="Arial" w:cs="Arial"/>
        <w:b/>
        <w:sz w:val="20"/>
        <w:szCs w:val="20"/>
      </w:rPr>
      <w:t>acional</w:t>
    </w:r>
  </w:p>
  <w:p w14:paraId="0C2EC67F" w14:textId="77777777" w:rsidR="001B33A0" w:rsidRPr="00C04441" w:rsidRDefault="001B33A0" w:rsidP="001B33A0">
    <w:pPr>
      <w:pStyle w:val="NormalWeb"/>
      <w:spacing w:before="0" w:beforeAutospacing="0" w:after="0" w:afterAutospacing="0"/>
      <w:jc w:val="center"/>
      <w:rPr>
        <w:rFonts w:ascii="Arial" w:hAnsi="Arial" w:cs="Arial"/>
        <w:sz w:val="16"/>
        <w:szCs w:val="16"/>
      </w:rPr>
    </w:pPr>
  </w:p>
  <w:p w14:paraId="7981AF14" w14:textId="77777777" w:rsidR="001B33A0" w:rsidRDefault="001B33A0" w:rsidP="001B33A0">
    <w:pPr>
      <w:pStyle w:val="NormalWeb"/>
      <w:spacing w:before="0" w:beforeAutospacing="0" w:after="0" w:afterAutospacing="0"/>
      <w:jc w:val="center"/>
    </w:pPr>
    <w:r w:rsidRPr="001E44FA">
      <w:rPr>
        <w:rFonts w:ascii="Arial" w:hAnsi="Arial" w:cs="Arial"/>
        <w:sz w:val="16"/>
        <w:szCs w:val="16"/>
      </w:rPr>
      <w:t>“202</w:t>
    </w:r>
    <w:r>
      <w:rPr>
        <w:rFonts w:ascii="Arial" w:hAnsi="Arial" w:cs="Arial"/>
        <w:sz w:val="16"/>
        <w:szCs w:val="16"/>
      </w:rPr>
      <w:t>5</w:t>
    </w:r>
    <w:r w:rsidRPr="001E44FA">
      <w:rPr>
        <w:rFonts w:ascii="Arial" w:hAnsi="Arial" w:cs="Arial"/>
        <w:sz w:val="16"/>
        <w:szCs w:val="16"/>
      </w:rPr>
      <w:t xml:space="preserve">. </w:t>
    </w:r>
    <w:r>
      <w:rPr>
        <w:rFonts w:ascii="Arial" w:hAnsi="Arial" w:cs="Arial"/>
        <w:sz w:val="16"/>
        <w:szCs w:val="16"/>
      </w:rPr>
      <w:t>Bicentenario de la vida municipal en el Estado de México</w:t>
    </w:r>
    <w:r w:rsidRPr="001E44FA">
      <w:rPr>
        <w:rFonts w:ascii="Arial" w:hAnsi="Arial" w:cs="Arial"/>
        <w:sz w:val="16"/>
        <w:szCs w:val="16"/>
      </w:rPr>
      <w:t>”</w:t>
    </w:r>
  </w:p>
  <w:p w14:paraId="33F5CD3C" w14:textId="77777777" w:rsidR="001B33A0" w:rsidRDefault="001B33A0" w:rsidP="001B33A0">
    <w:pPr>
      <w:pStyle w:val="Encabezado"/>
      <w:tabs>
        <w:tab w:val="clear" w:pos="441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C0F3B"/>
    <w:multiLevelType w:val="multilevel"/>
    <w:tmpl w:val="DFEE3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165A5D"/>
    <w:multiLevelType w:val="multilevel"/>
    <w:tmpl w:val="D6FAB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4C23E8"/>
    <w:multiLevelType w:val="multilevel"/>
    <w:tmpl w:val="535A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6B3871"/>
    <w:multiLevelType w:val="multilevel"/>
    <w:tmpl w:val="F69E9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761723"/>
    <w:multiLevelType w:val="multilevel"/>
    <w:tmpl w:val="85104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402B93"/>
    <w:multiLevelType w:val="multilevel"/>
    <w:tmpl w:val="BDF05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3A0"/>
    <w:rsid w:val="000004BE"/>
    <w:rsid w:val="00015366"/>
    <w:rsid w:val="00020BC2"/>
    <w:rsid w:val="00022FE3"/>
    <w:rsid w:val="00024876"/>
    <w:rsid w:val="00024D44"/>
    <w:rsid w:val="00033BFE"/>
    <w:rsid w:val="00037980"/>
    <w:rsid w:val="0004003D"/>
    <w:rsid w:val="00043EC0"/>
    <w:rsid w:val="00051774"/>
    <w:rsid w:val="00055507"/>
    <w:rsid w:val="00061460"/>
    <w:rsid w:val="00063A4A"/>
    <w:rsid w:val="00071E87"/>
    <w:rsid w:val="000726FD"/>
    <w:rsid w:val="000843BA"/>
    <w:rsid w:val="00091CE6"/>
    <w:rsid w:val="00096688"/>
    <w:rsid w:val="00096F5C"/>
    <w:rsid w:val="000B0457"/>
    <w:rsid w:val="000C0949"/>
    <w:rsid w:val="000C36C2"/>
    <w:rsid w:val="000D2EA4"/>
    <w:rsid w:val="000E25EC"/>
    <w:rsid w:val="000E63F6"/>
    <w:rsid w:val="001006A2"/>
    <w:rsid w:val="00102FC7"/>
    <w:rsid w:val="00106A39"/>
    <w:rsid w:val="001531D2"/>
    <w:rsid w:val="001756D9"/>
    <w:rsid w:val="00177DBE"/>
    <w:rsid w:val="00183171"/>
    <w:rsid w:val="001A74C5"/>
    <w:rsid w:val="001B2060"/>
    <w:rsid w:val="001B2F8B"/>
    <w:rsid w:val="001B33A0"/>
    <w:rsid w:val="001B40E0"/>
    <w:rsid w:val="001C06CF"/>
    <w:rsid w:val="001D4261"/>
    <w:rsid w:val="00220EBB"/>
    <w:rsid w:val="00227547"/>
    <w:rsid w:val="00230932"/>
    <w:rsid w:val="00247367"/>
    <w:rsid w:val="00250706"/>
    <w:rsid w:val="002619DF"/>
    <w:rsid w:val="00270E89"/>
    <w:rsid w:val="00293555"/>
    <w:rsid w:val="00294C87"/>
    <w:rsid w:val="002B48C3"/>
    <w:rsid w:val="002B58C6"/>
    <w:rsid w:val="002C0E29"/>
    <w:rsid w:val="003109F6"/>
    <w:rsid w:val="00311F93"/>
    <w:rsid w:val="00315464"/>
    <w:rsid w:val="0031573A"/>
    <w:rsid w:val="00316AD4"/>
    <w:rsid w:val="00320857"/>
    <w:rsid w:val="00336E1C"/>
    <w:rsid w:val="00376E7D"/>
    <w:rsid w:val="00390556"/>
    <w:rsid w:val="003A5CC8"/>
    <w:rsid w:val="003D440D"/>
    <w:rsid w:val="003E14EC"/>
    <w:rsid w:val="003F138F"/>
    <w:rsid w:val="003F24FA"/>
    <w:rsid w:val="003F6C09"/>
    <w:rsid w:val="004150D0"/>
    <w:rsid w:val="00416A26"/>
    <w:rsid w:val="0041705D"/>
    <w:rsid w:val="00446AD1"/>
    <w:rsid w:val="00447009"/>
    <w:rsid w:val="00456BA3"/>
    <w:rsid w:val="004629C4"/>
    <w:rsid w:val="00487D1F"/>
    <w:rsid w:val="00490317"/>
    <w:rsid w:val="004A729D"/>
    <w:rsid w:val="004B6EF4"/>
    <w:rsid w:val="004C13E0"/>
    <w:rsid w:val="004D02A6"/>
    <w:rsid w:val="004E4A36"/>
    <w:rsid w:val="004F030E"/>
    <w:rsid w:val="004F5FB6"/>
    <w:rsid w:val="005159C1"/>
    <w:rsid w:val="00524A30"/>
    <w:rsid w:val="00525086"/>
    <w:rsid w:val="00537B57"/>
    <w:rsid w:val="00545510"/>
    <w:rsid w:val="00546F96"/>
    <w:rsid w:val="00552458"/>
    <w:rsid w:val="00577356"/>
    <w:rsid w:val="00577358"/>
    <w:rsid w:val="0058092B"/>
    <w:rsid w:val="00583C19"/>
    <w:rsid w:val="00587555"/>
    <w:rsid w:val="005879C5"/>
    <w:rsid w:val="005B4E58"/>
    <w:rsid w:val="005C4A2C"/>
    <w:rsid w:val="005F1764"/>
    <w:rsid w:val="005F7C3E"/>
    <w:rsid w:val="00600756"/>
    <w:rsid w:val="00613236"/>
    <w:rsid w:val="00626541"/>
    <w:rsid w:val="0063128F"/>
    <w:rsid w:val="00635609"/>
    <w:rsid w:val="00641459"/>
    <w:rsid w:val="00650794"/>
    <w:rsid w:val="006622B0"/>
    <w:rsid w:val="00663A07"/>
    <w:rsid w:val="00672F09"/>
    <w:rsid w:val="006945DB"/>
    <w:rsid w:val="00694F62"/>
    <w:rsid w:val="006C0B0F"/>
    <w:rsid w:val="006D1A96"/>
    <w:rsid w:val="006F7EA4"/>
    <w:rsid w:val="0071059F"/>
    <w:rsid w:val="00722C89"/>
    <w:rsid w:val="00727D73"/>
    <w:rsid w:val="00731633"/>
    <w:rsid w:val="0073210E"/>
    <w:rsid w:val="00753B94"/>
    <w:rsid w:val="007941C0"/>
    <w:rsid w:val="007C1A3F"/>
    <w:rsid w:val="007E48F1"/>
    <w:rsid w:val="007E4DEE"/>
    <w:rsid w:val="00810408"/>
    <w:rsid w:val="00810E88"/>
    <w:rsid w:val="00821D03"/>
    <w:rsid w:val="00830368"/>
    <w:rsid w:val="00836D4E"/>
    <w:rsid w:val="00837B5D"/>
    <w:rsid w:val="008535BC"/>
    <w:rsid w:val="0088329C"/>
    <w:rsid w:val="00883DAF"/>
    <w:rsid w:val="00886D1C"/>
    <w:rsid w:val="00887695"/>
    <w:rsid w:val="00896EFE"/>
    <w:rsid w:val="00897E1A"/>
    <w:rsid w:val="008A1249"/>
    <w:rsid w:val="008A269B"/>
    <w:rsid w:val="008A6B53"/>
    <w:rsid w:val="008C5970"/>
    <w:rsid w:val="008C695D"/>
    <w:rsid w:val="008C7F0E"/>
    <w:rsid w:val="008E307F"/>
    <w:rsid w:val="008E53BF"/>
    <w:rsid w:val="008F3E36"/>
    <w:rsid w:val="008F6A18"/>
    <w:rsid w:val="00903C85"/>
    <w:rsid w:val="00915150"/>
    <w:rsid w:val="009362C5"/>
    <w:rsid w:val="00944BD8"/>
    <w:rsid w:val="00944CDE"/>
    <w:rsid w:val="00965603"/>
    <w:rsid w:val="009753DE"/>
    <w:rsid w:val="009819F2"/>
    <w:rsid w:val="009844C8"/>
    <w:rsid w:val="009935D0"/>
    <w:rsid w:val="009A03EB"/>
    <w:rsid w:val="009B3E68"/>
    <w:rsid w:val="009B420B"/>
    <w:rsid w:val="009C40A4"/>
    <w:rsid w:val="009C5B7E"/>
    <w:rsid w:val="009E0D76"/>
    <w:rsid w:val="009E1A74"/>
    <w:rsid w:val="009E330A"/>
    <w:rsid w:val="009F48FC"/>
    <w:rsid w:val="009F5563"/>
    <w:rsid w:val="00A0031F"/>
    <w:rsid w:val="00A02CDC"/>
    <w:rsid w:val="00A12E09"/>
    <w:rsid w:val="00A223F0"/>
    <w:rsid w:val="00A31B41"/>
    <w:rsid w:val="00A337E3"/>
    <w:rsid w:val="00A548E9"/>
    <w:rsid w:val="00A679EA"/>
    <w:rsid w:val="00A801DE"/>
    <w:rsid w:val="00A84602"/>
    <w:rsid w:val="00A966DC"/>
    <w:rsid w:val="00AA4860"/>
    <w:rsid w:val="00AA7DB5"/>
    <w:rsid w:val="00AC73DE"/>
    <w:rsid w:val="00AD7F3D"/>
    <w:rsid w:val="00B25434"/>
    <w:rsid w:val="00B4046D"/>
    <w:rsid w:val="00B5345D"/>
    <w:rsid w:val="00B66D68"/>
    <w:rsid w:val="00B720C2"/>
    <w:rsid w:val="00B85F47"/>
    <w:rsid w:val="00B9386A"/>
    <w:rsid w:val="00B9575A"/>
    <w:rsid w:val="00BA0701"/>
    <w:rsid w:val="00BB37BC"/>
    <w:rsid w:val="00BC0AB1"/>
    <w:rsid w:val="00BC4D2C"/>
    <w:rsid w:val="00BD40F4"/>
    <w:rsid w:val="00BE1AD9"/>
    <w:rsid w:val="00C058F8"/>
    <w:rsid w:val="00C121C6"/>
    <w:rsid w:val="00C14F0F"/>
    <w:rsid w:val="00C45BD1"/>
    <w:rsid w:val="00C46A96"/>
    <w:rsid w:val="00C561C0"/>
    <w:rsid w:val="00C76C00"/>
    <w:rsid w:val="00C83E01"/>
    <w:rsid w:val="00C85E56"/>
    <w:rsid w:val="00C85EA9"/>
    <w:rsid w:val="00C93CDE"/>
    <w:rsid w:val="00C97D2A"/>
    <w:rsid w:val="00CC306E"/>
    <w:rsid w:val="00CF21D4"/>
    <w:rsid w:val="00CF4C0B"/>
    <w:rsid w:val="00D00697"/>
    <w:rsid w:val="00D00AC5"/>
    <w:rsid w:val="00D11EDD"/>
    <w:rsid w:val="00D21E21"/>
    <w:rsid w:val="00D37E2F"/>
    <w:rsid w:val="00D463E5"/>
    <w:rsid w:val="00D46E61"/>
    <w:rsid w:val="00D55D6E"/>
    <w:rsid w:val="00D616FC"/>
    <w:rsid w:val="00D712EB"/>
    <w:rsid w:val="00D90916"/>
    <w:rsid w:val="00D9370C"/>
    <w:rsid w:val="00D93FB8"/>
    <w:rsid w:val="00DB651C"/>
    <w:rsid w:val="00DC1822"/>
    <w:rsid w:val="00DC2FEA"/>
    <w:rsid w:val="00DC4CAD"/>
    <w:rsid w:val="00DC5410"/>
    <w:rsid w:val="00DC571B"/>
    <w:rsid w:val="00DC5B68"/>
    <w:rsid w:val="00DD4D08"/>
    <w:rsid w:val="00DE4CC1"/>
    <w:rsid w:val="00E016F7"/>
    <w:rsid w:val="00E1110C"/>
    <w:rsid w:val="00E26C91"/>
    <w:rsid w:val="00E44C58"/>
    <w:rsid w:val="00E52F20"/>
    <w:rsid w:val="00E53EEB"/>
    <w:rsid w:val="00E609DC"/>
    <w:rsid w:val="00E71AA6"/>
    <w:rsid w:val="00E82C4D"/>
    <w:rsid w:val="00EA4AA9"/>
    <w:rsid w:val="00EC734F"/>
    <w:rsid w:val="00ED2D27"/>
    <w:rsid w:val="00EE114F"/>
    <w:rsid w:val="00EF0BC5"/>
    <w:rsid w:val="00EF2D79"/>
    <w:rsid w:val="00F014AB"/>
    <w:rsid w:val="00F05CA9"/>
    <w:rsid w:val="00F10E2D"/>
    <w:rsid w:val="00F23461"/>
    <w:rsid w:val="00F32FA0"/>
    <w:rsid w:val="00F56B77"/>
    <w:rsid w:val="00F57CB6"/>
    <w:rsid w:val="00F600E2"/>
    <w:rsid w:val="00F608C3"/>
    <w:rsid w:val="00F60FF4"/>
    <w:rsid w:val="00F61BF1"/>
    <w:rsid w:val="00F81CC2"/>
    <w:rsid w:val="00F9322F"/>
    <w:rsid w:val="00F945FC"/>
    <w:rsid w:val="00F953C3"/>
    <w:rsid w:val="00FB21F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E6F1DD"/>
  <w15:chartTrackingRefBased/>
  <w15:docId w15:val="{D869EF4E-9AC2-4236-B698-8C18FA69B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1B33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B33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B33A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B33A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B33A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B33A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B33A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B33A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B33A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3A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B33A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B33A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B33A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B33A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B33A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B33A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B33A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B33A0"/>
    <w:rPr>
      <w:rFonts w:eastAsiaTheme="majorEastAsia" w:cstheme="majorBidi"/>
      <w:color w:val="272727" w:themeColor="text1" w:themeTint="D8"/>
    </w:rPr>
  </w:style>
  <w:style w:type="paragraph" w:styleId="Ttulo">
    <w:name w:val="Title"/>
    <w:basedOn w:val="Normal"/>
    <w:next w:val="Normal"/>
    <w:link w:val="TtuloCar"/>
    <w:uiPriority w:val="10"/>
    <w:qFormat/>
    <w:rsid w:val="001B33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B33A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B33A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B33A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B33A0"/>
    <w:pPr>
      <w:spacing w:before="160"/>
      <w:jc w:val="center"/>
    </w:pPr>
    <w:rPr>
      <w:i/>
      <w:iCs/>
      <w:color w:val="404040" w:themeColor="text1" w:themeTint="BF"/>
    </w:rPr>
  </w:style>
  <w:style w:type="character" w:customStyle="1" w:styleId="CitaCar">
    <w:name w:val="Cita Car"/>
    <w:basedOn w:val="Fuentedeprrafopredeter"/>
    <w:link w:val="Cita"/>
    <w:uiPriority w:val="29"/>
    <w:rsid w:val="001B33A0"/>
    <w:rPr>
      <w:i/>
      <w:iCs/>
      <w:color w:val="404040" w:themeColor="text1" w:themeTint="BF"/>
    </w:rPr>
  </w:style>
  <w:style w:type="paragraph" w:styleId="Prrafodelista">
    <w:name w:val="List Paragraph"/>
    <w:basedOn w:val="Normal"/>
    <w:uiPriority w:val="34"/>
    <w:qFormat/>
    <w:rsid w:val="001B33A0"/>
    <w:pPr>
      <w:ind w:left="720"/>
      <w:contextualSpacing/>
    </w:pPr>
  </w:style>
  <w:style w:type="character" w:styleId="nfasisintenso">
    <w:name w:val="Intense Emphasis"/>
    <w:basedOn w:val="Fuentedeprrafopredeter"/>
    <w:uiPriority w:val="21"/>
    <w:qFormat/>
    <w:rsid w:val="001B33A0"/>
    <w:rPr>
      <w:i/>
      <w:iCs/>
      <w:color w:val="2F5496" w:themeColor="accent1" w:themeShade="BF"/>
    </w:rPr>
  </w:style>
  <w:style w:type="paragraph" w:styleId="Citadestacada">
    <w:name w:val="Intense Quote"/>
    <w:basedOn w:val="Normal"/>
    <w:next w:val="Normal"/>
    <w:link w:val="CitadestacadaCar"/>
    <w:uiPriority w:val="30"/>
    <w:qFormat/>
    <w:rsid w:val="001B33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B33A0"/>
    <w:rPr>
      <w:i/>
      <w:iCs/>
      <w:color w:val="2F5496" w:themeColor="accent1" w:themeShade="BF"/>
    </w:rPr>
  </w:style>
  <w:style w:type="character" w:styleId="Referenciaintensa">
    <w:name w:val="Intense Reference"/>
    <w:basedOn w:val="Fuentedeprrafopredeter"/>
    <w:uiPriority w:val="32"/>
    <w:qFormat/>
    <w:rsid w:val="001B33A0"/>
    <w:rPr>
      <w:b/>
      <w:bCs/>
      <w:smallCaps/>
      <w:color w:val="2F5496" w:themeColor="accent1" w:themeShade="BF"/>
      <w:spacing w:val="5"/>
    </w:rPr>
  </w:style>
  <w:style w:type="paragraph" w:styleId="Encabezado">
    <w:name w:val="header"/>
    <w:basedOn w:val="Normal"/>
    <w:link w:val="EncabezadoCar"/>
    <w:uiPriority w:val="99"/>
    <w:unhideWhenUsed/>
    <w:rsid w:val="001B33A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B33A0"/>
  </w:style>
  <w:style w:type="paragraph" w:styleId="Piedepgina">
    <w:name w:val="footer"/>
    <w:basedOn w:val="Normal"/>
    <w:link w:val="PiedepginaCar"/>
    <w:uiPriority w:val="99"/>
    <w:unhideWhenUsed/>
    <w:rsid w:val="001B33A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B33A0"/>
  </w:style>
  <w:style w:type="paragraph" w:styleId="NormalWeb">
    <w:name w:val="Normal (Web)"/>
    <w:basedOn w:val="Normal"/>
    <w:uiPriority w:val="99"/>
    <w:unhideWhenUsed/>
    <w:rsid w:val="001B33A0"/>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Hipervnculo">
    <w:name w:val="Hyperlink"/>
    <w:basedOn w:val="Fuentedeprrafopredeter"/>
    <w:uiPriority w:val="99"/>
    <w:unhideWhenUsed/>
    <w:rsid w:val="00D00AC5"/>
    <w:rPr>
      <w:color w:val="0563C1" w:themeColor="hyperlink"/>
      <w:u w:val="single"/>
    </w:rPr>
  </w:style>
  <w:style w:type="character" w:styleId="Mencinsinresolver">
    <w:name w:val="Unresolved Mention"/>
    <w:basedOn w:val="Fuentedeprrafopredeter"/>
    <w:uiPriority w:val="99"/>
    <w:semiHidden/>
    <w:unhideWhenUsed/>
    <w:rsid w:val="00D00AC5"/>
    <w:rPr>
      <w:color w:val="605E5C"/>
      <w:shd w:val="clear" w:color="auto" w:fill="E1DFDD"/>
    </w:rPr>
  </w:style>
  <w:style w:type="paragraph" w:styleId="Textonotaalfinal">
    <w:name w:val="endnote text"/>
    <w:basedOn w:val="Normal"/>
    <w:link w:val="TextonotaalfinalCar"/>
    <w:uiPriority w:val="99"/>
    <w:semiHidden/>
    <w:unhideWhenUsed/>
    <w:rsid w:val="00320857"/>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20857"/>
    <w:rPr>
      <w:sz w:val="20"/>
      <w:szCs w:val="20"/>
    </w:rPr>
  </w:style>
  <w:style w:type="character" w:styleId="Refdenotaalfinal">
    <w:name w:val="endnote reference"/>
    <w:basedOn w:val="Fuentedeprrafopredeter"/>
    <w:uiPriority w:val="99"/>
    <w:semiHidden/>
    <w:unhideWhenUsed/>
    <w:rsid w:val="00320857"/>
    <w:rPr>
      <w:vertAlign w:val="superscript"/>
    </w:rPr>
  </w:style>
  <w:style w:type="table" w:styleId="Tablaconcuadrcula">
    <w:name w:val="Table Grid"/>
    <w:basedOn w:val="Tablanormal"/>
    <w:uiPriority w:val="39"/>
    <w:rsid w:val="003208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456BA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56B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311455">
      <w:bodyDiv w:val="1"/>
      <w:marLeft w:val="0"/>
      <w:marRight w:val="0"/>
      <w:marTop w:val="0"/>
      <w:marBottom w:val="0"/>
      <w:divBdr>
        <w:top w:val="none" w:sz="0" w:space="0" w:color="auto"/>
        <w:left w:val="none" w:sz="0" w:space="0" w:color="auto"/>
        <w:bottom w:val="none" w:sz="0" w:space="0" w:color="auto"/>
        <w:right w:val="none" w:sz="0" w:space="0" w:color="auto"/>
      </w:divBdr>
    </w:div>
    <w:div w:id="1007441771">
      <w:bodyDiv w:val="1"/>
      <w:marLeft w:val="0"/>
      <w:marRight w:val="0"/>
      <w:marTop w:val="0"/>
      <w:marBottom w:val="0"/>
      <w:divBdr>
        <w:top w:val="none" w:sz="0" w:space="0" w:color="auto"/>
        <w:left w:val="none" w:sz="0" w:space="0" w:color="auto"/>
        <w:bottom w:val="none" w:sz="0" w:space="0" w:color="auto"/>
        <w:right w:val="none" w:sz="0" w:space="0" w:color="auto"/>
      </w:divBdr>
    </w:div>
    <w:div w:id="1381400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DF351-7084-4808-8938-79ADC7EBC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12005</TotalTime>
  <Pages>7</Pages>
  <Words>2203</Words>
  <Characters>12118</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Arias Delgado</dc:creator>
  <cp:keywords/>
  <dc:description/>
  <cp:lastModifiedBy>PRODESK</cp:lastModifiedBy>
  <cp:revision>201</cp:revision>
  <cp:lastPrinted>2025-10-22T21:37:00Z</cp:lastPrinted>
  <dcterms:created xsi:type="dcterms:W3CDTF">2025-02-07T17:04:00Z</dcterms:created>
  <dcterms:modified xsi:type="dcterms:W3CDTF">2025-10-22T22:43:00Z</dcterms:modified>
</cp:coreProperties>
</file>