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F0554" w14:textId="52F8FB11" w:rsidR="00E53AC1" w:rsidRDefault="00E53AC1" w:rsidP="004B7942">
      <w:pPr>
        <w:snapToGrid w:val="0"/>
        <w:spacing w:before="240" w:line="360" w:lineRule="auto"/>
        <w:ind w:left="708" w:hanging="708"/>
        <w:jc w:val="right"/>
        <w:rPr>
          <w:rFonts w:ascii="Arial" w:eastAsia="Calibri" w:hAnsi="Arial" w:cs="Arial"/>
          <w:sz w:val="24"/>
          <w:szCs w:val="24"/>
        </w:rPr>
      </w:pPr>
      <w:bookmarkStart w:id="0" w:name="_GoBack"/>
      <w:bookmarkEnd w:id="0"/>
      <w:r w:rsidRPr="000651F9">
        <w:rPr>
          <w:rFonts w:ascii="Arial" w:eastAsia="Calibri" w:hAnsi="Arial" w:cs="Arial"/>
          <w:sz w:val="24"/>
          <w:szCs w:val="24"/>
        </w:rPr>
        <w:t xml:space="preserve">Toluca de Lerdo, Estado de México, a </w:t>
      </w:r>
      <w:r w:rsidR="0095297D">
        <w:rPr>
          <w:rFonts w:ascii="Arial" w:eastAsia="Calibri" w:hAnsi="Arial" w:cs="Arial"/>
          <w:sz w:val="24"/>
          <w:szCs w:val="24"/>
        </w:rPr>
        <w:t xml:space="preserve">27 </w:t>
      </w:r>
      <w:r w:rsidR="0095297D" w:rsidRPr="000651F9">
        <w:rPr>
          <w:rFonts w:ascii="Arial" w:eastAsia="Calibri" w:hAnsi="Arial" w:cs="Arial"/>
          <w:sz w:val="24"/>
          <w:szCs w:val="24"/>
        </w:rPr>
        <w:t>de octubre</w:t>
      </w:r>
      <w:r w:rsidR="00485106" w:rsidRPr="000651F9">
        <w:rPr>
          <w:rFonts w:ascii="Arial" w:eastAsia="Calibri" w:hAnsi="Arial" w:cs="Arial"/>
          <w:sz w:val="24"/>
          <w:szCs w:val="24"/>
        </w:rPr>
        <w:t xml:space="preserve"> </w:t>
      </w:r>
      <w:r w:rsidRPr="000651F9">
        <w:rPr>
          <w:rFonts w:ascii="Arial" w:eastAsia="Calibri" w:hAnsi="Arial" w:cs="Arial"/>
          <w:sz w:val="24"/>
          <w:szCs w:val="24"/>
        </w:rPr>
        <w:t>de 202</w:t>
      </w:r>
      <w:r w:rsidR="007E1DF6" w:rsidRPr="000651F9">
        <w:rPr>
          <w:rFonts w:ascii="Arial" w:eastAsia="Calibri" w:hAnsi="Arial" w:cs="Arial"/>
          <w:sz w:val="24"/>
          <w:szCs w:val="24"/>
        </w:rPr>
        <w:t>2</w:t>
      </w:r>
      <w:r w:rsidRPr="000651F9">
        <w:rPr>
          <w:rFonts w:ascii="Arial" w:eastAsia="Calibri" w:hAnsi="Arial" w:cs="Arial"/>
          <w:sz w:val="24"/>
          <w:szCs w:val="24"/>
        </w:rPr>
        <w:t>.</w:t>
      </w:r>
    </w:p>
    <w:p w14:paraId="37972772" w14:textId="77777777" w:rsidR="004B7942" w:rsidRPr="000651F9" w:rsidRDefault="004B7942" w:rsidP="004B7942">
      <w:pPr>
        <w:snapToGrid w:val="0"/>
        <w:spacing w:before="240" w:line="360" w:lineRule="auto"/>
        <w:ind w:left="708" w:hanging="708"/>
        <w:jc w:val="right"/>
        <w:rPr>
          <w:rFonts w:ascii="Arial" w:eastAsia="Calibri" w:hAnsi="Arial" w:cs="Arial"/>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tblGrid>
      <w:tr w:rsidR="00540990" w:rsidRPr="000651F9" w14:paraId="6CB0DB38" w14:textId="77777777" w:rsidTr="00BC71A9">
        <w:trPr>
          <w:trHeight w:val="1119"/>
        </w:trPr>
        <w:tc>
          <w:tcPr>
            <w:tcW w:w="6520" w:type="dxa"/>
          </w:tcPr>
          <w:p w14:paraId="6A8AC086" w14:textId="77777777" w:rsidR="00EF6A0E" w:rsidRDefault="00485106" w:rsidP="00B968A5">
            <w:pPr>
              <w:snapToGrid w:val="0"/>
              <w:spacing w:after="0" w:line="240" w:lineRule="auto"/>
              <w:rPr>
                <w:rFonts w:ascii="Arial" w:eastAsia="Calibri" w:hAnsi="Arial" w:cs="Arial"/>
                <w:b/>
                <w:sz w:val="24"/>
                <w:szCs w:val="24"/>
              </w:rPr>
            </w:pPr>
            <w:r w:rsidRPr="000651F9">
              <w:rPr>
                <w:rFonts w:ascii="Arial" w:eastAsia="Calibri" w:hAnsi="Arial" w:cs="Arial"/>
                <w:b/>
                <w:sz w:val="24"/>
                <w:szCs w:val="24"/>
              </w:rPr>
              <w:t>DIP. ENRIQUE EDGARDO JACOB ROCHA</w:t>
            </w:r>
          </w:p>
          <w:p w14:paraId="03F17CF8" w14:textId="6808D495" w:rsidR="00540990" w:rsidRPr="000651F9" w:rsidRDefault="00485106" w:rsidP="00B968A5">
            <w:pPr>
              <w:snapToGrid w:val="0"/>
              <w:spacing w:after="0" w:line="240" w:lineRule="auto"/>
              <w:rPr>
                <w:rFonts w:ascii="Arial" w:eastAsia="Calibri" w:hAnsi="Arial" w:cs="Arial"/>
                <w:b/>
                <w:sz w:val="24"/>
                <w:szCs w:val="24"/>
              </w:rPr>
            </w:pPr>
            <w:r w:rsidRPr="000651F9">
              <w:rPr>
                <w:rFonts w:ascii="Arial" w:eastAsia="Calibri" w:hAnsi="Arial" w:cs="Arial"/>
                <w:b/>
                <w:sz w:val="24"/>
                <w:szCs w:val="24"/>
              </w:rPr>
              <w:t xml:space="preserve">PRESIDENTE </w:t>
            </w:r>
            <w:r w:rsidR="00983D82" w:rsidRPr="000651F9">
              <w:rPr>
                <w:rFonts w:ascii="Arial" w:eastAsia="Calibri" w:hAnsi="Arial" w:cs="Arial"/>
                <w:b/>
                <w:sz w:val="24"/>
                <w:szCs w:val="24"/>
              </w:rPr>
              <w:t xml:space="preserve">DE LA </w:t>
            </w:r>
            <w:r w:rsidRPr="000651F9">
              <w:rPr>
                <w:rFonts w:ascii="Arial" w:eastAsia="Calibri" w:hAnsi="Arial" w:cs="Arial"/>
                <w:b/>
                <w:sz w:val="24"/>
                <w:szCs w:val="24"/>
              </w:rPr>
              <w:t>DIRECTIVA DE LA L</w:t>
            </w:r>
            <w:r w:rsidR="00A62814" w:rsidRPr="000651F9">
              <w:rPr>
                <w:rFonts w:ascii="Arial" w:eastAsia="Calibri" w:hAnsi="Arial" w:cs="Arial"/>
                <w:b/>
                <w:sz w:val="24"/>
                <w:szCs w:val="24"/>
              </w:rPr>
              <w:t xml:space="preserve">XI </w:t>
            </w:r>
            <w:r w:rsidR="00983D82" w:rsidRPr="000651F9">
              <w:rPr>
                <w:rFonts w:ascii="Arial" w:eastAsia="Calibri" w:hAnsi="Arial" w:cs="Arial"/>
                <w:b/>
                <w:sz w:val="24"/>
                <w:szCs w:val="24"/>
              </w:rPr>
              <w:t xml:space="preserve">LEGISLATURA </w:t>
            </w:r>
            <w:r w:rsidRPr="000651F9">
              <w:rPr>
                <w:rFonts w:ascii="Arial" w:eastAsia="Calibri" w:hAnsi="Arial" w:cs="Arial"/>
                <w:b/>
                <w:sz w:val="24"/>
                <w:szCs w:val="24"/>
              </w:rPr>
              <w:t>D</w:t>
            </w:r>
            <w:r w:rsidR="00BC71A9" w:rsidRPr="000651F9">
              <w:rPr>
                <w:rFonts w:ascii="Arial" w:eastAsia="Calibri" w:hAnsi="Arial" w:cs="Arial"/>
                <w:b/>
                <w:sz w:val="24"/>
                <w:szCs w:val="24"/>
              </w:rPr>
              <w:t>EL ESTADO DE MÉXICO</w:t>
            </w:r>
          </w:p>
          <w:p w14:paraId="1F0A6426" w14:textId="2747AE2B" w:rsidR="00983D82" w:rsidRPr="000651F9" w:rsidRDefault="00983D82" w:rsidP="00B968A5">
            <w:pPr>
              <w:snapToGrid w:val="0"/>
              <w:spacing w:after="0" w:line="240" w:lineRule="auto"/>
              <w:rPr>
                <w:rFonts w:ascii="Arial" w:eastAsia="Calibri" w:hAnsi="Arial" w:cs="Arial"/>
                <w:b/>
                <w:sz w:val="24"/>
                <w:szCs w:val="24"/>
              </w:rPr>
            </w:pPr>
            <w:r w:rsidRPr="000651F9">
              <w:rPr>
                <w:rFonts w:ascii="Arial" w:eastAsia="Calibri" w:hAnsi="Arial" w:cs="Arial"/>
                <w:b/>
                <w:sz w:val="24"/>
                <w:szCs w:val="24"/>
              </w:rPr>
              <w:t>P R E S E N T E</w:t>
            </w:r>
          </w:p>
        </w:tc>
      </w:tr>
    </w:tbl>
    <w:p w14:paraId="756B99DD" w14:textId="77777777" w:rsidR="00C04515" w:rsidRDefault="00C04515" w:rsidP="00C04515">
      <w:pPr>
        <w:snapToGrid w:val="0"/>
        <w:spacing w:before="240" w:line="360" w:lineRule="auto"/>
        <w:jc w:val="both"/>
        <w:rPr>
          <w:rFonts w:ascii="Arial" w:eastAsia="Calibri" w:hAnsi="Arial" w:cs="Arial"/>
          <w:b/>
          <w:sz w:val="24"/>
          <w:szCs w:val="24"/>
        </w:rPr>
      </w:pPr>
    </w:p>
    <w:p w14:paraId="006F26DD" w14:textId="285127FF" w:rsidR="002B5BB8" w:rsidRDefault="00C04515" w:rsidP="00C04515">
      <w:pPr>
        <w:snapToGrid w:val="0"/>
        <w:spacing w:before="240" w:line="360" w:lineRule="auto"/>
        <w:jc w:val="both"/>
        <w:rPr>
          <w:rFonts w:ascii="Arial" w:hAnsi="Arial" w:cs="Arial"/>
          <w:bCs/>
          <w:color w:val="000000"/>
          <w:sz w:val="24"/>
          <w:szCs w:val="24"/>
        </w:rPr>
      </w:pPr>
      <w:r w:rsidRPr="00C04515">
        <w:rPr>
          <w:rFonts w:ascii="Arial" w:eastAsia="Calibri" w:hAnsi="Arial" w:cs="Arial"/>
          <w:b/>
          <w:sz w:val="24"/>
          <w:szCs w:val="24"/>
        </w:rPr>
        <w:t>D</w:t>
      </w:r>
      <w:r w:rsidR="0095297D" w:rsidRPr="00C04515">
        <w:rPr>
          <w:rFonts w:ascii="Arial" w:eastAsia="Calibri" w:hAnsi="Arial" w:cs="Arial"/>
          <w:b/>
          <w:sz w:val="24"/>
          <w:szCs w:val="24"/>
        </w:rPr>
        <w:t xml:space="preserve">iputadas Karina Labastida </w:t>
      </w:r>
      <w:bookmarkStart w:id="1" w:name="_Hlk117162571"/>
      <w:r w:rsidR="0095297D" w:rsidRPr="00C04515">
        <w:rPr>
          <w:rFonts w:ascii="Arial" w:eastAsia="Calibri" w:hAnsi="Arial" w:cs="Arial"/>
          <w:b/>
          <w:sz w:val="24"/>
          <w:szCs w:val="24"/>
        </w:rPr>
        <w:t xml:space="preserve">Sotelo, María Isabel Sánchez Holguín, María De Los Ángeles Dávila Vargas, Lourdes Jezabel Delgado Flores, Yesica Yanet Rojas Hernández, Mónica Angélica Álvarez Nemer, Paola Jiménez Hernández, Gretel González Aguirre, Ingrid Krasopani Schemelensky Castro, Silvia Barberena Maldonado, Viridiana Fuentes Cruz, Claudia Desiree Morales Robledo, Juana Bonilla Jaime </w:t>
      </w:r>
      <w:r w:rsidR="0095297D">
        <w:rPr>
          <w:rFonts w:ascii="Arial" w:eastAsia="Calibri" w:hAnsi="Arial" w:cs="Arial"/>
          <w:b/>
          <w:sz w:val="24"/>
          <w:szCs w:val="24"/>
        </w:rPr>
        <w:t>y</w:t>
      </w:r>
      <w:r w:rsidR="0095297D" w:rsidRPr="00C04515">
        <w:rPr>
          <w:rFonts w:ascii="Arial" w:eastAsia="Calibri" w:hAnsi="Arial" w:cs="Arial"/>
          <w:b/>
          <w:sz w:val="24"/>
          <w:szCs w:val="24"/>
        </w:rPr>
        <w:t xml:space="preserve"> Mónica Miriam Granillo Velazco, Integrantes </w:t>
      </w:r>
      <w:r w:rsidR="0095297D">
        <w:rPr>
          <w:rFonts w:ascii="Arial" w:eastAsia="Calibri" w:hAnsi="Arial" w:cs="Arial"/>
          <w:b/>
          <w:sz w:val="24"/>
          <w:szCs w:val="24"/>
        </w:rPr>
        <w:t>d</w:t>
      </w:r>
      <w:r w:rsidR="0095297D" w:rsidRPr="00C04515">
        <w:rPr>
          <w:rFonts w:ascii="Arial" w:eastAsia="Calibri" w:hAnsi="Arial" w:cs="Arial"/>
          <w:b/>
          <w:sz w:val="24"/>
          <w:szCs w:val="24"/>
        </w:rPr>
        <w:t xml:space="preserve">e </w:t>
      </w:r>
      <w:r w:rsidR="0095297D">
        <w:rPr>
          <w:rFonts w:ascii="Arial" w:eastAsia="Calibri" w:hAnsi="Arial" w:cs="Arial"/>
          <w:b/>
          <w:sz w:val="24"/>
          <w:szCs w:val="24"/>
        </w:rPr>
        <w:t>l</w:t>
      </w:r>
      <w:r w:rsidR="0095297D" w:rsidRPr="00C04515">
        <w:rPr>
          <w:rFonts w:ascii="Arial" w:eastAsia="Calibri" w:hAnsi="Arial" w:cs="Arial"/>
          <w:b/>
          <w:sz w:val="24"/>
          <w:szCs w:val="24"/>
        </w:rPr>
        <w:t xml:space="preserve">a Comisión </w:t>
      </w:r>
      <w:r w:rsidR="0095297D">
        <w:rPr>
          <w:rFonts w:ascii="Arial" w:eastAsia="Calibri" w:hAnsi="Arial" w:cs="Arial"/>
          <w:b/>
          <w:sz w:val="24"/>
          <w:szCs w:val="24"/>
        </w:rPr>
        <w:t>p</w:t>
      </w:r>
      <w:r w:rsidR="0095297D" w:rsidRPr="00C04515">
        <w:rPr>
          <w:rFonts w:ascii="Arial" w:eastAsia="Calibri" w:hAnsi="Arial" w:cs="Arial"/>
          <w:b/>
          <w:sz w:val="24"/>
          <w:szCs w:val="24"/>
        </w:rPr>
        <w:t xml:space="preserve">ara </w:t>
      </w:r>
      <w:r w:rsidR="0095297D">
        <w:rPr>
          <w:rFonts w:ascii="Arial" w:eastAsia="Calibri" w:hAnsi="Arial" w:cs="Arial"/>
          <w:b/>
          <w:sz w:val="24"/>
          <w:szCs w:val="24"/>
        </w:rPr>
        <w:t>l</w:t>
      </w:r>
      <w:r w:rsidR="0095297D" w:rsidRPr="00C04515">
        <w:rPr>
          <w:rFonts w:ascii="Arial" w:eastAsia="Calibri" w:hAnsi="Arial" w:cs="Arial"/>
          <w:b/>
          <w:sz w:val="24"/>
          <w:szCs w:val="24"/>
        </w:rPr>
        <w:t xml:space="preserve">as Declaratorias </w:t>
      </w:r>
      <w:r w:rsidR="0095297D">
        <w:rPr>
          <w:rFonts w:ascii="Arial" w:eastAsia="Calibri" w:hAnsi="Arial" w:cs="Arial"/>
          <w:b/>
          <w:sz w:val="24"/>
          <w:szCs w:val="24"/>
        </w:rPr>
        <w:t>d</w:t>
      </w:r>
      <w:r w:rsidR="0095297D" w:rsidRPr="00C04515">
        <w:rPr>
          <w:rFonts w:ascii="Arial" w:eastAsia="Calibri" w:hAnsi="Arial" w:cs="Arial"/>
          <w:b/>
          <w:sz w:val="24"/>
          <w:szCs w:val="24"/>
        </w:rPr>
        <w:t xml:space="preserve">e Alerta </w:t>
      </w:r>
      <w:r w:rsidR="0095297D">
        <w:rPr>
          <w:rFonts w:ascii="Arial" w:eastAsia="Calibri" w:hAnsi="Arial" w:cs="Arial"/>
          <w:b/>
          <w:sz w:val="24"/>
          <w:szCs w:val="24"/>
        </w:rPr>
        <w:t>d</w:t>
      </w:r>
      <w:r w:rsidR="0095297D" w:rsidRPr="00C04515">
        <w:rPr>
          <w:rFonts w:ascii="Arial" w:eastAsia="Calibri" w:hAnsi="Arial" w:cs="Arial"/>
          <w:b/>
          <w:sz w:val="24"/>
          <w:szCs w:val="24"/>
        </w:rPr>
        <w:t xml:space="preserve">e Violencia </w:t>
      </w:r>
      <w:r w:rsidR="0095297D">
        <w:rPr>
          <w:rFonts w:ascii="Arial" w:eastAsia="Calibri" w:hAnsi="Arial" w:cs="Arial"/>
          <w:b/>
          <w:sz w:val="24"/>
          <w:szCs w:val="24"/>
        </w:rPr>
        <w:t>d</w:t>
      </w:r>
      <w:r w:rsidR="0095297D" w:rsidRPr="00C04515">
        <w:rPr>
          <w:rFonts w:ascii="Arial" w:eastAsia="Calibri" w:hAnsi="Arial" w:cs="Arial"/>
          <w:b/>
          <w:sz w:val="24"/>
          <w:szCs w:val="24"/>
        </w:rPr>
        <w:t xml:space="preserve">e Género </w:t>
      </w:r>
      <w:r w:rsidR="0095297D">
        <w:rPr>
          <w:rFonts w:ascii="Arial" w:eastAsia="Calibri" w:hAnsi="Arial" w:cs="Arial"/>
          <w:b/>
          <w:sz w:val="24"/>
          <w:szCs w:val="24"/>
        </w:rPr>
        <w:t>c</w:t>
      </w:r>
      <w:r w:rsidR="0095297D" w:rsidRPr="00C04515">
        <w:rPr>
          <w:rFonts w:ascii="Arial" w:eastAsia="Calibri" w:hAnsi="Arial" w:cs="Arial"/>
          <w:b/>
          <w:sz w:val="24"/>
          <w:szCs w:val="24"/>
        </w:rPr>
        <w:t xml:space="preserve">ontra </w:t>
      </w:r>
      <w:r w:rsidR="0095297D">
        <w:rPr>
          <w:rFonts w:ascii="Arial" w:eastAsia="Calibri" w:hAnsi="Arial" w:cs="Arial"/>
          <w:b/>
          <w:sz w:val="24"/>
          <w:szCs w:val="24"/>
        </w:rPr>
        <w:t>l</w:t>
      </w:r>
      <w:r w:rsidR="0095297D" w:rsidRPr="00C04515">
        <w:rPr>
          <w:rFonts w:ascii="Arial" w:eastAsia="Calibri" w:hAnsi="Arial" w:cs="Arial"/>
          <w:b/>
          <w:sz w:val="24"/>
          <w:szCs w:val="24"/>
        </w:rPr>
        <w:t xml:space="preserve">as </w:t>
      </w:r>
      <w:r w:rsidR="0095297D">
        <w:rPr>
          <w:rFonts w:ascii="Arial" w:eastAsia="Calibri" w:hAnsi="Arial" w:cs="Arial"/>
          <w:b/>
          <w:sz w:val="24"/>
          <w:szCs w:val="24"/>
        </w:rPr>
        <w:t>m</w:t>
      </w:r>
      <w:r w:rsidR="0095297D" w:rsidRPr="00C04515">
        <w:rPr>
          <w:rFonts w:ascii="Arial" w:eastAsia="Calibri" w:hAnsi="Arial" w:cs="Arial"/>
          <w:b/>
          <w:sz w:val="24"/>
          <w:szCs w:val="24"/>
        </w:rPr>
        <w:t xml:space="preserve">ujeres </w:t>
      </w:r>
      <w:r w:rsidR="0095297D">
        <w:rPr>
          <w:rFonts w:ascii="Arial" w:eastAsia="Calibri" w:hAnsi="Arial" w:cs="Arial"/>
          <w:b/>
          <w:sz w:val="24"/>
          <w:szCs w:val="24"/>
        </w:rPr>
        <w:t>p</w:t>
      </w:r>
      <w:r w:rsidR="0095297D" w:rsidRPr="00C04515">
        <w:rPr>
          <w:rFonts w:ascii="Arial" w:eastAsia="Calibri" w:hAnsi="Arial" w:cs="Arial"/>
          <w:b/>
          <w:sz w:val="24"/>
          <w:szCs w:val="24"/>
        </w:rPr>
        <w:t xml:space="preserve">or </w:t>
      </w:r>
      <w:r w:rsidR="0095297D">
        <w:rPr>
          <w:rFonts w:ascii="Arial" w:eastAsia="Calibri" w:hAnsi="Arial" w:cs="Arial"/>
          <w:b/>
          <w:sz w:val="24"/>
          <w:szCs w:val="24"/>
        </w:rPr>
        <w:t>f</w:t>
      </w:r>
      <w:r w:rsidR="0095297D" w:rsidRPr="00C04515">
        <w:rPr>
          <w:rFonts w:ascii="Arial" w:eastAsia="Calibri" w:hAnsi="Arial" w:cs="Arial"/>
          <w:b/>
          <w:sz w:val="24"/>
          <w:szCs w:val="24"/>
        </w:rPr>
        <w:t xml:space="preserve">eminicidio </w:t>
      </w:r>
      <w:r w:rsidR="0095297D">
        <w:rPr>
          <w:rFonts w:ascii="Arial" w:eastAsia="Calibri" w:hAnsi="Arial" w:cs="Arial"/>
          <w:b/>
          <w:sz w:val="24"/>
          <w:szCs w:val="24"/>
        </w:rPr>
        <w:t>y</w:t>
      </w:r>
      <w:r w:rsidR="0095297D" w:rsidRPr="00C04515">
        <w:rPr>
          <w:rFonts w:ascii="Arial" w:eastAsia="Calibri" w:hAnsi="Arial" w:cs="Arial"/>
          <w:b/>
          <w:sz w:val="24"/>
          <w:szCs w:val="24"/>
        </w:rPr>
        <w:t xml:space="preserve"> </w:t>
      </w:r>
      <w:r w:rsidR="0095297D">
        <w:rPr>
          <w:rFonts w:ascii="Arial" w:eastAsia="Calibri" w:hAnsi="Arial" w:cs="Arial"/>
          <w:b/>
          <w:sz w:val="24"/>
          <w:szCs w:val="24"/>
        </w:rPr>
        <w:t>d</w:t>
      </w:r>
      <w:r w:rsidR="0095297D" w:rsidRPr="00C04515">
        <w:rPr>
          <w:rFonts w:ascii="Arial" w:eastAsia="Calibri" w:hAnsi="Arial" w:cs="Arial"/>
          <w:b/>
          <w:sz w:val="24"/>
          <w:szCs w:val="24"/>
        </w:rPr>
        <w:t xml:space="preserve">esaparición </w:t>
      </w:r>
      <w:r w:rsidR="0095297D">
        <w:rPr>
          <w:rFonts w:ascii="Arial" w:eastAsia="Calibri" w:hAnsi="Arial" w:cs="Arial"/>
          <w:b/>
          <w:sz w:val="24"/>
          <w:szCs w:val="24"/>
        </w:rPr>
        <w:t>d</w:t>
      </w:r>
      <w:r w:rsidR="0095297D" w:rsidRPr="00C04515">
        <w:rPr>
          <w:rFonts w:ascii="Arial" w:eastAsia="Calibri" w:hAnsi="Arial" w:cs="Arial"/>
          <w:b/>
          <w:sz w:val="24"/>
          <w:szCs w:val="24"/>
        </w:rPr>
        <w:t xml:space="preserve">e </w:t>
      </w:r>
      <w:r w:rsidR="0095297D">
        <w:rPr>
          <w:rFonts w:ascii="Arial" w:eastAsia="Calibri" w:hAnsi="Arial" w:cs="Arial"/>
          <w:b/>
          <w:sz w:val="24"/>
          <w:szCs w:val="24"/>
        </w:rPr>
        <w:t>l</w:t>
      </w:r>
      <w:r w:rsidR="0095297D" w:rsidRPr="00C04515">
        <w:rPr>
          <w:rFonts w:ascii="Arial" w:eastAsia="Calibri" w:hAnsi="Arial" w:cs="Arial"/>
          <w:b/>
          <w:sz w:val="24"/>
          <w:szCs w:val="24"/>
        </w:rPr>
        <w:t>a L</w:t>
      </w:r>
      <w:r w:rsidR="0095297D">
        <w:rPr>
          <w:rFonts w:ascii="Arial" w:eastAsia="Calibri" w:hAnsi="Arial" w:cs="Arial"/>
          <w:b/>
          <w:sz w:val="24"/>
          <w:szCs w:val="24"/>
        </w:rPr>
        <w:t>XI</w:t>
      </w:r>
      <w:r w:rsidR="0095297D" w:rsidRPr="00C04515">
        <w:rPr>
          <w:rFonts w:ascii="Arial" w:eastAsia="Calibri" w:hAnsi="Arial" w:cs="Arial"/>
          <w:b/>
          <w:sz w:val="24"/>
          <w:szCs w:val="24"/>
        </w:rPr>
        <w:t xml:space="preserve"> Legislatura </w:t>
      </w:r>
      <w:r w:rsidR="0095297D">
        <w:rPr>
          <w:rFonts w:ascii="Arial" w:eastAsia="Calibri" w:hAnsi="Arial" w:cs="Arial"/>
          <w:b/>
          <w:sz w:val="24"/>
          <w:szCs w:val="24"/>
        </w:rPr>
        <w:t>d</w:t>
      </w:r>
      <w:r w:rsidR="0095297D" w:rsidRPr="00C04515">
        <w:rPr>
          <w:rFonts w:ascii="Arial" w:eastAsia="Calibri" w:hAnsi="Arial" w:cs="Arial"/>
          <w:b/>
          <w:sz w:val="24"/>
          <w:szCs w:val="24"/>
        </w:rPr>
        <w:t xml:space="preserve">el Estado </w:t>
      </w:r>
      <w:r w:rsidR="0095297D">
        <w:rPr>
          <w:rFonts w:ascii="Arial" w:eastAsia="Calibri" w:hAnsi="Arial" w:cs="Arial"/>
          <w:b/>
          <w:sz w:val="24"/>
          <w:szCs w:val="24"/>
        </w:rPr>
        <w:t>d</w:t>
      </w:r>
      <w:r w:rsidR="0095297D" w:rsidRPr="00C04515">
        <w:rPr>
          <w:rFonts w:ascii="Arial" w:eastAsia="Calibri" w:hAnsi="Arial" w:cs="Arial"/>
          <w:b/>
          <w:sz w:val="24"/>
          <w:szCs w:val="24"/>
        </w:rPr>
        <w:t>e México</w:t>
      </w:r>
      <w:bookmarkEnd w:id="1"/>
      <w:r w:rsidR="00E53AC1" w:rsidRPr="000651F9">
        <w:rPr>
          <w:rFonts w:ascii="Arial" w:eastAsia="Calibri" w:hAnsi="Arial" w:cs="Arial"/>
          <w:sz w:val="24"/>
          <w:szCs w:val="24"/>
        </w:rPr>
        <w:t xml:space="preserve">, con fundamento </w:t>
      </w:r>
      <w:r w:rsidR="00210D63" w:rsidRPr="000651F9">
        <w:rPr>
          <w:rFonts w:ascii="Arial" w:eastAsia="Calibri" w:hAnsi="Arial" w:cs="Arial"/>
          <w:sz w:val="24"/>
          <w:szCs w:val="24"/>
        </w:rPr>
        <w:t xml:space="preserve">en </w:t>
      </w:r>
      <w:r w:rsidR="00485106" w:rsidRPr="000651F9">
        <w:rPr>
          <w:rFonts w:ascii="Arial" w:eastAsia="Calibri" w:hAnsi="Arial" w:cs="Arial"/>
          <w:sz w:val="24"/>
          <w:szCs w:val="24"/>
        </w:rPr>
        <w:t xml:space="preserve">los </w:t>
      </w:r>
      <w:r w:rsidR="00210D63" w:rsidRPr="000651F9">
        <w:rPr>
          <w:rFonts w:ascii="Arial" w:eastAsia="Calibri" w:hAnsi="Arial" w:cs="Arial"/>
          <w:sz w:val="24"/>
          <w:szCs w:val="24"/>
        </w:rPr>
        <w:t>artículo</w:t>
      </w:r>
      <w:r w:rsidR="00485106" w:rsidRPr="000651F9">
        <w:rPr>
          <w:rFonts w:ascii="Arial" w:eastAsia="Calibri" w:hAnsi="Arial" w:cs="Arial"/>
          <w:sz w:val="24"/>
          <w:szCs w:val="24"/>
        </w:rPr>
        <w:t>s</w:t>
      </w:r>
      <w:r w:rsidR="00E53AC1" w:rsidRPr="000651F9">
        <w:rPr>
          <w:rFonts w:ascii="Arial" w:eastAsia="Calibri" w:hAnsi="Arial" w:cs="Arial"/>
          <w:sz w:val="24"/>
          <w:szCs w:val="24"/>
        </w:rPr>
        <w:t xml:space="preserve"> 116 de la Constitución Política de los Estados Unidos Mexicanos; 51, fracción II; 57 y 61, fracción I</w:t>
      </w:r>
      <w:r w:rsidR="00592F35" w:rsidRPr="000651F9">
        <w:rPr>
          <w:rFonts w:ascii="Arial" w:eastAsia="Calibri" w:hAnsi="Arial" w:cs="Arial"/>
          <w:sz w:val="24"/>
          <w:szCs w:val="24"/>
        </w:rPr>
        <w:t>,</w:t>
      </w:r>
      <w:r w:rsidR="00E53AC1" w:rsidRPr="000651F9">
        <w:rPr>
          <w:rFonts w:ascii="Arial" w:eastAsia="Calibri" w:hAnsi="Arial" w:cs="Arial"/>
          <w:sz w:val="24"/>
          <w:szCs w:val="24"/>
        </w:rPr>
        <w:t xml:space="preserve"> de la Constitución Política del Estado Libre y Soberano de México; 28, fracción I; 30 primer párrafo y 38, fracción II, de la Ley Orgánica del Poder Legislativo del Estado Libre y Soberano de México, así como 68 de</w:t>
      </w:r>
      <w:r w:rsidR="00983D82" w:rsidRPr="000651F9">
        <w:rPr>
          <w:rFonts w:ascii="Arial" w:eastAsia="Calibri" w:hAnsi="Arial" w:cs="Arial"/>
          <w:sz w:val="24"/>
          <w:szCs w:val="24"/>
        </w:rPr>
        <w:t xml:space="preserve"> su R</w:t>
      </w:r>
      <w:r w:rsidR="00E53AC1" w:rsidRPr="000651F9">
        <w:rPr>
          <w:rFonts w:ascii="Arial" w:eastAsia="Calibri" w:hAnsi="Arial" w:cs="Arial"/>
          <w:sz w:val="24"/>
          <w:szCs w:val="24"/>
        </w:rPr>
        <w:t>eglamento, somet</w:t>
      </w:r>
      <w:r>
        <w:rPr>
          <w:rFonts w:ascii="Arial" w:eastAsia="Calibri" w:hAnsi="Arial" w:cs="Arial"/>
          <w:sz w:val="24"/>
          <w:szCs w:val="24"/>
        </w:rPr>
        <w:t>emos</w:t>
      </w:r>
      <w:r w:rsidR="00E53AC1" w:rsidRPr="000651F9">
        <w:rPr>
          <w:rFonts w:ascii="Arial" w:eastAsia="Calibri" w:hAnsi="Arial" w:cs="Arial"/>
          <w:sz w:val="24"/>
          <w:szCs w:val="24"/>
        </w:rPr>
        <w:t xml:space="preserve"> a su elevada consideración, </w:t>
      </w:r>
      <w:r w:rsidR="00C4291E" w:rsidRPr="000651F9">
        <w:rPr>
          <w:rFonts w:ascii="Arial" w:eastAsia="Calibri" w:hAnsi="Arial" w:cs="Arial"/>
          <w:sz w:val="24"/>
          <w:szCs w:val="24"/>
        </w:rPr>
        <w:t xml:space="preserve">la </w:t>
      </w:r>
      <w:r w:rsidR="00C4291E" w:rsidRPr="000651F9">
        <w:rPr>
          <w:rFonts w:ascii="Arial" w:eastAsia="Calibri" w:hAnsi="Arial" w:cs="Arial"/>
          <w:b/>
          <w:sz w:val="24"/>
          <w:szCs w:val="24"/>
        </w:rPr>
        <w:t xml:space="preserve">Iniciativa con Proyecto de Decreto por el que </w:t>
      </w:r>
      <w:r w:rsidR="0075778D" w:rsidRPr="000651F9">
        <w:rPr>
          <w:rFonts w:ascii="Arial" w:eastAsia="Calibri" w:hAnsi="Arial" w:cs="Arial"/>
          <w:b/>
          <w:sz w:val="24"/>
          <w:szCs w:val="24"/>
        </w:rPr>
        <w:t>se reforma</w:t>
      </w:r>
      <w:r w:rsidR="00B968A5">
        <w:rPr>
          <w:rFonts w:ascii="Arial" w:eastAsia="Calibri" w:hAnsi="Arial" w:cs="Arial"/>
          <w:b/>
          <w:sz w:val="24"/>
          <w:szCs w:val="24"/>
        </w:rPr>
        <w:t xml:space="preserve"> el artículo 281 del Código Penal para el Estado de México, </w:t>
      </w:r>
      <w:r w:rsidR="0075778D" w:rsidRPr="000651F9">
        <w:rPr>
          <w:rFonts w:ascii="Arial" w:hAnsi="Arial" w:cs="Arial"/>
          <w:bCs/>
          <w:color w:val="000000"/>
          <w:sz w:val="24"/>
          <w:szCs w:val="24"/>
        </w:rPr>
        <w:t>de acuerdo a la siguiente:</w:t>
      </w:r>
    </w:p>
    <w:p w14:paraId="4C78315C" w14:textId="3A0A7A74" w:rsidR="0095297D" w:rsidRDefault="0095297D" w:rsidP="00C04515">
      <w:pPr>
        <w:snapToGrid w:val="0"/>
        <w:spacing w:before="240" w:line="360" w:lineRule="auto"/>
        <w:jc w:val="both"/>
        <w:rPr>
          <w:rFonts w:ascii="Arial" w:hAnsi="Arial" w:cs="Arial"/>
          <w:bCs/>
          <w:color w:val="000000"/>
          <w:sz w:val="24"/>
          <w:szCs w:val="24"/>
        </w:rPr>
      </w:pPr>
    </w:p>
    <w:p w14:paraId="3F087A6C" w14:textId="77777777" w:rsidR="0095297D" w:rsidRDefault="0095297D" w:rsidP="00C04515">
      <w:pPr>
        <w:snapToGrid w:val="0"/>
        <w:spacing w:before="240" w:line="360" w:lineRule="auto"/>
        <w:jc w:val="both"/>
        <w:rPr>
          <w:rFonts w:ascii="Arial" w:hAnsi="Arial" w:cs="Arial"/>
          <w:bCs/>
          <w:color w:val="000000"/>
          <w:sz w:val="24"/>
          <w:szCs w:val="24"/>
        </w:rPr>
      </w:pPr>
    </w:p>
    <w:p w14:paraId="1FBE2F79" w14:textId="09665564" w:rsidR="00CC0350" w:rsidRPr="000651F9" w:rsidRDefault="00983B85" w:rsidP="004B7942">
      <w:pPr>
        <w:snapToGrid w:val="0"/>
        <w:spacing w:before="240" w:line="360" w:lineRule="auto"/>
        <w:jc w:val="center"/>
        <w:rPr>
          <w:rFonts w:ascii="Arial" w:hAnsi="Arial" w:cs="Arial"/>
          <w:b/>
          <w:color w:val="000000"/>
          <w:sz w:val="24"/>
          <w:szCs w:val="24"/>
        </w:rPr>
      </w:pPr>
      <w:r w:rsidRPr="000651F9">
        <w:rPr>
          <w:rFonts w:ascii="Arial" w:hAnsi="Arial" w:cs="Arial"/>
          <w:b/>
          <w:color w:val="000000"/>
          <w:sz w:val="24"/>
          <w:szCs w:val="24"/>
        </w:rPr>
        <w:lastRenderedPageBreak/>
        <w:t>EXPOSICIÓN DE MOTIVOS</w:t>
      </w:r>
    </w:p>
    <w:p w14:paraId="5EF4170F" w14:textId="77777777" w:rsidR="001C5F57" w:rsidRDefault="001C5F57" w:rsidP="004B7942">
      <w:pPr>
        <w:snapToGrid w:val="0"/>
        <w:spacing w:before="240" w:line="360" w:lineRule="auto"/>
        <w:jc w:val="both"/>
        <w:rPr>
          <w:rFonts w:ascii="Arial" w:hAnsi="Arial" w:cs="Arial"/>
          <w:color w:val="000000"/>
          <w:sz w:val="24"/>
          <w:szCs w:val="24"/>
        </w:rPr>
      </w:pPr>
    </w:p>
    <w:p w14:paraId="022A887F" w14:textId="75D3CE8E" w:rsidR="003C6464" w:rsidRPr="003C6464" w:rsidRDefault="001D0818" w:rsidP="003C6464">
      <w:pPr>
        <w:spacing w:before="240" w:line="360" w:lineRule="auto"/>
        <w:ind w:firstLine="708"/>
        <w:jc w:val="both"/>
        <w:rPr>
          <w:rFonts w:ascii="Arial" w:hAnsi="Arial" w:cs="Arial"/>
          <w:sz w:val="24"/>
          <w:szCs w:val="24"/>
          <w:lang w:val="es-ES"/>
        </w:rPr>
      </w:pPr>
      <w:r>
        <w:rPr>
          <w:rFonts w:ascii="Arial" w:hAnsi="Arial" w:cs="Arial"/>
          <w:sz w:val="24"/>
          <w:szCs w:val="24"/>
          <w:lang w:val="es-ES"/>
        </w:rPr>
        <w:t>L</w:t>
      </w:r>
      <w:r w:rsidR="003C6464" w:rsidRPr="003C6464">
        <w:rPr>
          <w:rFonts w:ascii="Arial" w:hAnsi="Arial" w:cs="Arial"/>
          <w:sz w:val="24"/>
          <w:szCs w:val="24"/>
          <w:lang w:val="es-ES"/>
        </w:rPr>
        <w:t xml:space="preserve">a cultura de la violencia de género </w:t>
      </w:r>
      <w:r>
        <w:rPr>
          <w:rFonts w:ascii="Arial" w:hAnsi="Arial" w:cs="Arial"/>
          <w:sz w:val="24"/>
          <w:szCs w:val="24"/>
          <w:lang w:val="es-ES"/>
        </w:rPr>
        <w:t xml:space="preserve">en la sociedad </w:t>
      </w:r>
      <w:r w:rsidR="003C6464" w:rsidRPr="003C6464">
        <w:rPr>
          <w:rFonts w:ascii="Arial" w:hAnsi="Arial" w:cs="Arial"/>
          <w:sz w:val="24"/>
          <w:szCs w:val="24"/>
          <w:lang w:val="es-ES"/>
        </w:rPr>
        <w:t xml:space="preserve">está extendida; son frecuentes las situaciones cotidianas donde se ejerce la violencia en contra de las mujeres y se multiplican los actos de personas que no reconocen sus derechos </w:t>
      </w:r>
      <w:r>
        <w:rPr>
          <w:rFonts w:ascii="Arial" w:hAnsi="Arial" w:cs="Arial"/>
          <w:sz w:val="24"/>
          <w:szCs w:val="24"/>
          <w:lang w:val="es-ES"/>
        </w:rPr>
        <w:t xml:space="preserve">humanos </w:t>
      </w:r>
      <w:r w:rsidR="003C6464" w:rsidRPr="003C6464">
        <w:rPr>
          <w:rFonts w:ascii="Arial" w:hAnsi="Arial" w:cs="Arial"/>
          <w:sz w:val="24"/>
          <w:szCs w:val="24"/>
          <w:lang w:val="es-ES"/>
        </w:rPr>
        <w:t xml:space="preserve">y su dignidad. </w:t>
      </w:r>
    </w:p>
    <w:p w14:paraId="3C769881" w14:textId="54EF2753" w:rsidR="003C6464" w:rsidRPr="003C6464" w:rsidRDefault="003C6464" w:rsidP="003C6464">
      <w:pPr>
        <w:spacing w:before="240" w:line="360" w:lineRule="auto"/>
        <w:jc w:val="both"/>
        <w:rPr>
          <w:rFonts w:ascii="Arial" w:hAnsi="Arial" w:cs="Arial"/>
          <w:sz w:val="24"/>
          <w:szCs w:val="24"/>
          <w:lang w:val="es-ES"/>
        </w:rPr>
      </w:pPr>
      <w:r w:rsidRPr="003C6464">
        <w:rPr>
          <w:rFonts w:ascii="Arial" w:hAnsi="Arial" w:cs="Arial"/>
          <w:sz w:val="24"/>
          <w:szCs w:val="24"/>
          <w:lang w:val="es-ES"/>
        </w:rPr>
        <w:tab/>
        <w:t xml:space="preserve">El feminicidio es la </w:t>
      </w:r>
      <w:r>
        <w:rPr>
          <w:rFonts w:ascii="Arial" w:hAnsi="Arial" w:cs="Arial"/>
          <w:sz w:val="24"/>
          <w:szCs w:val="24"/>
          <w:lang w:val="es-ES"/>
        </w:rPr>
        <w:t>muerte violenta de mujeres por razones de género ya sea que tenga lugar dentro de la familiar, unidad doméstica o en cualquier otra relación interpersonal, en la comunidad, por parte de cualquier persona, o sea perpetrada o tolerada por el Estado y sus agentes, por actos de acción u omisión.</w:t>
      </w:r>
      <w:r>
        <w:rPr>
          <w:rStyle w:val="Refdenotaalpie"/>
          <w:rFonts w:ascii="Arial" w:hAnsi="Arial" w:cs="Arial"/>
          <w:sz w:val="24"/>
          <w:szCs w:val="24"/>
          <w:lang w:val="es-ES"/>
        </w:rPr>
        <w:footnoteReference w:id="1"/>
      </w:r>
      <w:r w:rsidRPr="003C6464">
        <w:rPr>
          <w:rFonts w:ascii="Arial" w:hAnsi="Arial" w:cs="Arial"/>
          <w:sz w:val="24"/>
          <w:szCs w:val="24"/>
          <w:lang w:val="es-ES"/>
        </w:rPr>
        <w:t xml:space="preserve"> </w:t>
      </w:r>
    </w:p>
    <w:p w14:paraId="2CC56295" w14:textId="219CB608" w:rsidR="003C6464" w:rsidRPr="003C6464" w:rsidRDefault="003C6464" w:rsidP="003C6464">
      <w:pPr>
        <w:spacing w:before="240" w:line="360" w:lineRule="auto"/>
        <w:jc w:val="both"/>
        <w:rPr>
          <w:rFonts w:ascii="Arial" w:hAnsi="Arial" w:cs="Arial"/>
          <w:sz w:val="24"/>
          <w:szCs w:val="24"/>
          <w:lang w:val="es-ES"/>
        </w:rPr>
      </w:pPr>
      <w:r w:rsidRPr="003C6464">
        <w:rPr>
          <w:rFonts w:ascii="Arial" w:hAnsi="Arial" w:cs="Arial"/>
          <w:sz w:val="24"/>
          <w:szCs w:val="24"/>
          <w:lang w:val="es-ES"/>
        </w:rPr>
        <w:tab/>
        <w:t xml:space="preserve">El feminicidio tiene su origen en la desigualdad de género, es decir, deriva de las relaciones de poder históricamente desiguales entre hombres y mujeres; está dirigido a mujeres de todas edades y es resultado de varios factores entre los que destacan </w:t>
      </w:r>
      <w:r w:rsidR="001D0818">
        <w:rPr>
          <w:rFonts w:ascii="Arial" w:hAnsi="Arial" w:cs="Arial"/>
          <w:sz w:val="24"/>
          <w:szCs w:val="24"/>
          <w:lang w:val="es-ES"/>
        </w:rPr>
        <w:t>la impunidad que lo rodea</w:t>
      </w:r>
      <w:r w:rsidRPr="003C6464">
        <w:rPr>
          <w:rFonts w:ascii="Arial" w:hAnsi="Arial" w:cs="Arial"/>
          <w:sz w:val="24"/>
          <w:szCs w:val="24"/>
          <w:lang w:val="es-ES"/>
        </w:rPr>
        <w:t>.</w:t>
      </w:r>
      <w:r w:rsidR="00163E0F">
        <w:rPr>
          <w:rStyle w:val="Refdenotaalpie"/>
          <w:rFonts w:ascii="Arial" w:hAnsi="Arial" w:cs="Arial"/>
          <w:sz w:val="24"/>
          <w:szCs w:val="24"/>
          <w:lang w:val="es-ES"/>
        </w:rPr>
        <w:footnoteReference w:id="2"/>
      </w:r>
      <w:r w:rsidRPr="003C6464">
        <w:rPr>
          <w:rFonts w:ascii="Arial" w:hAnsi="Arial" w:cs="Arial"/>
          <w:sz w:val="24"/>
          <w:szCs w:val="24"/>
          <w:lang w:val="es-ES"/>
        </w:rPr>
        <w:t xml:space="preserve">  </w:t>
      </w:r>
    </w:p>
    <w:p w14:paraId="340B76CE" w14:textId="53173F45" w:rsidR="00163E0F" w:rsidRDefault="003C6464" w:rsidP="00990929">
      <w:pPr>
        <w:spacing w:line="360" w:lineRule="auto"/>
        <w:jc w:val="both"/>
        <w:rPr>
          <w:rFonts w:ascii="Arial" w:hAnsi="Arial" w:cs="Arial"/>
          <w:lang w:val="es-ES"/>
        </w:rPr>
      </w:pPr>
      <w:r w:rsidRPr="003C6464">
        <w:rPr>
          <w:rFonts w:ascii="Arial" w:hAnsi="Arial" w:cs="Arial"/>
          <w:sz w:val="24"/>
          <w:szCs w:val="24"/>
          <w:lang w:val="es-ES"/>
        </w:rPr>
        <w:tab/>
        <w:t>En el Estado de México, la tipificación del delito de feminicidio, se llevó a cabo el 18 de marzo de 2011</w:t>
      </w:r>
      <w:r w:rsidR="00163E0F">
        <w:rPr>
          <w:rFonts w:ascii="Arial" w:hAnsi="Arial" w:cs="Arial"/>
          <w:sz w:val="24"/>
          <w:szCs w:val="24"/>
          <w:lang w:val="es-ES"/>
        </w:rPr>
        <w:t xml:space="preserve">, en el </w:t>
      </w:r>
      <w:r w:rsidR="007675B6">
        <w:rPr>
          <w:rFonts w:ascii="Arial" w:hAnsi="Arial" w:cs="Arial"/>
          <w:sz w:val="24"/>
          <w:szCs w:val="24"/>
          <w:lang w:val="es-ES"/>
        </w:rPr>
        <w:t>contexto</w:t>
      </w:r>
      <w:r w:rsidRPr="003C6464">
        <w:rPr>
          <w:rFonts w:ascii="Arial" w:hAnsi="Arial" w:cs="Arial"/>
          <w:sz w:val="24"/>
          <w:szCs w:val="24"/>
          <w:lang w:val="es-ES"/>
        </w:rPr>
        <w:t xml:space="preserve"> </w:t>
      </w:r>
      <w:r w:rsidR="00163E0F">
        <w:rPr>
          <w:rFonts w:ascii="Arial" w:hAnsi="Arial" w:cs="Arial"/>
          <w:sz w:val="24"/>
          <w:szCs w:val="24"/>
          <w:lang w:val="es-ES"/>
        </w:rPr>
        <w:t xml:space="preserve">de </w:t>
      </w:r>
      <w:r w:rsidRPr="003C6464">
        <w:rPr>
          <w:rFonts w:ascii="Arial" w:hAnsi="Arial" w:cs="Arial"/>
          <w:sz w:val="24"/>
          <w:szCs w:val="24"/>
          <w:lang w:val="es-ES"/>
        </w:rPr>
        <w:t xml:space="preserve">la “Solicitud de Investigación sobre la Procedencia de Declaratoria de Alerta de Violencia de Género contra las Mujeres”, presentada el 8 de diciembre de 2010, ante el Sistema Nacional para Prevenir, Atender, Sancionar y Erradicar la Violencia Contra las Mujeres, por la Comisión Mexicana de Defensa y Promoción de los Derechos Humanos, A.C. y el </w:t>
      </w:r>
      <w:r w:rsidRPr="003C6464">
        <w:rPr>
          <w:rFonts w:ascii="Arial" w:hAnsi="Arial" w:cs="Arial"/>
          <w:sz w:val="24"/>
          <w:szCs w:val="24"/>
          <w:lang w:val="es-ES"/>
        </w:rPr>
        <w:lastRenderedPageBreak/>
        <w:t>Observatorio Ciudadano Nacional del Feminicidio , motivada por la brutalidad y la saña con la que se encontraban los cuerpos de las mujeres asesinadas en el Estado de México</w:t>
      </w:r>
      <w:r w:rsidR="00163E0F">
        <w:rPr>
          <w:rFonts w:ascii="Arial" w:hAnsi="Arial" w:cs="Arial"/>
          <w:sz w:val="24"/>
          <w:szCs w:val="24"/>
          <w:lang w:val="es-ES"/>
        </w:rPr>
        <w:t xml:space="preserve">. Posteriormente, el </w:t>
      </w:r>
      <w:r w:rsidR="00163E0F" w:rsidRPr="00B0061A">
        <w:rPr>
          <w:rFonts w:ascii="Arial" w:hAnsi="Arial" w:cs="Arial"/>
          <w:b/>
          <w:lang w:val="es-ES"/>
        </w:rPr>
        <w:t>22 de enero de 2014</w:t>
      </w:r>
      <w:r w:rsidR="00163E0F" w:rsidRPr="00B0061A">
        <w:rPr>
          <w:rFonts w:ascii="Arial" w:hAnsi="Arial" w:cs="Arial"/>
          <w:lang w:val="es-ES"/>
        </w:rPr>
        <w:t>,</w:t>
      </w:r>
      <w:r w:rsidR="00163E0F" w:rsidRPr="00B0061A">
        <w:rPr>
          <w:rFonts w:ascii="Arial" w:hAnsi="Arial" w:cs="Arial"/>
          <w:position w:val="8"/>
          <w:lang w:val="es-ES"/>
        </w:rPr>
        <w:t xml:space="preserve"> </w:t>
      </w:r>
      <w:r w:rsidR="00163E0F" w:rsidRPr="00B0061A">
        <w:rPr>
          <w:rFonts w:ascii="Arial" w:hAnsi="Arial" w:cs="Arial"/>
          <w:lang w:val="es-ES"/>
        </w:rPr>
        <w:t>se homologó el delito de feminicidio al tipo penal federal</w:t>
      </w:r>
      <w:r w:rsidR="00163E0F">
        <w:rPr>
          <w:rFonts w:ascii="Arial" w:hAnsi="Arial" w:cs="Arial"/>
          <w:lang w:val="es-ES"/>
        </w:rPr>
        <w:t>.</w:t>
      </w:r>
      <w:r w:rsidR="00163E0F" w:rsidRPr="00B0061A">
        <w:rPr>
          <w:rStyle w:val="Refdenotaalpie"/>
          <w:rFonts w:ascii="Arial" w:hAnsi="Arial" w:cs="Arial"/>
          <w:sz w:val="20"/>
          <w:szCs w:val="20"/>
          <w:lang w:val="es-ES"/>
        </w:rPr>
        <w:footnoteReference w:id="3"/>
      </w:r>
      <w:r w:rsidR="00163E0F" w:rsidRPr="00B0061A">
        <w:rPr>
          <w:rFonts w:ascii="Arial" w:hAnsi="Arial" w:cs="Arial"/>
          <w:lang w:val="es-ES"/>
        </w:rPr>
        <w:t xml:space="preserve"> </w:t>
      </w:r>
      <w:r w:rsidR="00990929">
        <w:rPr>
          <w:rFonts w:ascii="Arial" w:hAnsi="Arial" w:cs="Arial"/>
          <w:lang w:val="es-ES"/>
        </w:rPr>
        <w:t>Desde entonces, han transcurrido más de ocho años</w:t>
      </w:r>
      <w:r w:rsidR="007B5316">
        <w:rPr>
          <w:rFonts w:ascii="Arial" w:hAnsi="Arial" w:cs="Arial"/>
          <w:lang w:val="es-ES"/>
        </w:rPr>
        <w:t xml:space="preserve">, </w:t>
      </w:r>
      <w:r w:rsidR="007675B6">
        <w:rPr>
          <w:rFonts w:ascii="Arial" w:hAnsi="Arial" w:cs="Arial"/>
          <w:lang w:val="es-ES"/>
        </w:rPr>
        <w:t>sin que se hayan llevado ajustes normativos a éste que den respuesta a la creciente espiral de feminicidios cometidos anualmente:</w:t>
      </w:r>
    </w:p>
    <w:tbl>
      <w:tblPr>
        <w:tblStyle w:val="Tablaconcuadrcula"/>
        <w:tblW w:w="0" w:type="auto"/>
        <w:tblBorders>
          <w:top w:val="single" w:sz="4" w:space="0" w:color="990033"/>
          <w:left w:val="single" w:sz="4" w:space="0" w:color="990033"/>
          <w:bottom w:val="single" w:sz="4" w:space="0" w:color="990033"/>
          <w:right w:val="single" w:sz="4" w:space="0" w:color="990033"/>
          <w:insideH w:val="single" w:sz="4" w:space="0" w:color="990033"/>
          <w:insideV w:val="single" w:sz="4" w:space="0" w:color="990033"/>
        </w:tblBorders>
        <w:tblLook w:val="04A0" w:firstRow="1" w:lastRow="0" w:firstColumn="1" w:lastColumn="0" w:noHBand="0" w:noVBand="1"/>
      </w:tblPr>
      <w:tblGrid>
        <w:gridCol w:w="2938"/>
        <w:gridCol w:w="2947"/>
        <w:gridCol w:w="2943"/>
      </w:tblGrid>
      <w:tr w:rsidR="00B277B0" w:rsidRPr="002B6949" w14:paraId="00A6A9DA" w14:textId="77777777" w:rsidTr="006163F1">
        <w:tc>
          <w:tcPr>
            <w:tcW w:w="8828" w:type="dxa"/>
            <w:gridSpan w:val="3"/>
            <w:tcBorders>
              <w:bottom w:val="single" w:sz="4" w:space="0" w:color="990033"/>
            </w:tcBorders>
            <w:shd w:val="clear" w:color="auto" w:fill="990033"/>
          </w:tcPr>
          <w:p w14:paraId="7C9F26F6" w14:textId="77777777" w:rsidR="00B277B0" w:rsidRPr="002B6949" w:rsidRDefault="00B277B0" w:rsidP="006163F1">
            <w:pPr>
              <w:snapToGrid w:val="0"/>
              <w:spacing w:before="100" w:beforeAutospacing="1" w:after="100" w:afterAutospacing="1" w:line="360" w:lineRule="auto"/>
              <w:jc w:val="center"/>
              <w:rPr>
                <w:rFonts w:ascii="Arial" w:hAnsi="Arial" w:cs="Arial"/>
                <w:b/>
                <w:color w:val="000000"/>
                <w:sz w:val="20"/>
                <w:szCs w:val="20"/>
              </w:rPr>
            </w:pPr>
            <w:r w:rsidRPr="002B6949">
              <w:rPr>
                <w:rFonts w:ascii="Arial" w:hAnsi="Arial" w:cs="Arial"/>
                <w:b/>
                <w:color w:val="FFFFFF" w:themeColor="background1"/>
                <w:sz w:val="20"/>
                <w:szCs w:val="20"/>
              </w:rPr>
              <w:t>FEMINICIDIO</w:t>
            </w:r>
          </w:p>
        </w:tc>
      </w:tr>
      <w:tr w:rsidR="00B277B0" w:rsidRPr="002B6949" w14:paraId="04F37C4B" w14:textId="77777777" w:rsidTr="006163F1">
        <w:tc>
          <w:tcPr>
            <w:tcW w:w="2938" w:type="dxa"/>
            <w:vMerge w:val="restart"/>
            <w:shd w:val="clear" w:color="auto" w:fill="A6A6A6" w:themeFill="background1" w:themeFillShade="A6"/>
          </w:tcPr>
          <w:p w14:paraId="14CEB4B0"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Año</w:t>
            </w:r>
          </w:p>
        </w:tc>
        <w:tc>
          <w:tcPr>
            <w:tcW w:w="5890" w:type="dxa"/>
            <w:gridSpan w:val="2"/>
            <w:tcBorders>
              <w:bottom w:val="single" w:sz="4" w:space="0" w:color="990033"/>
            </w:tcBorders>
            <w:shd w:val="clear" w:color="auto" w:fill="A6A6A6" w:themeFill="background1" w:themeFillShade="A6"/>
          </w:tcPr>
          <w:p w14:paraId="58F68905"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Número de delitos por cada 100 mil mujeres</w:t>
            </w:r>
          </w:p>
        </w:tc>
      </w:tr>
      <w:tr w:rsidR="00B277B0" w:rsidRPr="002B6949" w14:paraId="7E3D1064" w14:textId="77777777" w:rsidTr="006163F1">
        <w:tc>
          <w:tcPr>
            <w:tcW w:w="2938" w:type="dxa"/>
            <w:vMerge/>
            <w:shd w:val="clear" w:color="auto" w:fill="A6A6A6" w:themeFill="background1" w:themeFillShade="A6"/>
          </w:tcPr>
          <w:p w14:paraId="0BF40198" w14:textId="77777777" w:rsidR="00B277B0" w:rsidRPr="002B6949" w:rsidRDefault="00B277B0" w:rsidP="006163F1">
            <w:pPr>
              <w:snapToGrid w:val="0"/>
              <w:spacing w:before="100" w:beforeAutospacing="1" w:after="100" w:afterAutospacing="1" w:line="360" w:lineRule="auto"/>
              <w:jc w:val="both"/>
              <w:rPr>
                <w:rFonts w:ascii="Arial" w:hAnsi="Arial" w:cs="Arial"/>
                <w:color w:val="000000"/>
                <w:sz w:val="20"/>
                <w:szCs w:val="20"/>
              </w:rPr>
            </w:pPr>
          </w:p>
        </w:tc>
        <w:tc>
          <w:tcPr>
            <w:tcW w:w="2947" w:type="dxa"/>
            <w:shd w:val="clear" w:color="auto" w:fill="D9D9D9" w:themeFill="background1" w:themeFillShade="D9"/>
          </w:tcPr>
          <w:p w14:paraId="2AEDEE79"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Nacional</w:t>
            </w:r>
          </w:p>
        </w:tc>
        <w:tc>
          <w:tcPr>
            <w:tcW w:w="2943" w:type="dxa"/>
            <w:shd w:val="clear" w:color="auto" w:fill="D9D9D9" w:themeFill="background1" w:themeFillShade="D9"/>
          </w:tcPr>
          <w:p w14:paraId="04E27206"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Estado de México</w:t>
            </w:r>
          </w:p>
        </w:tc>
      </w:tr>
      <w:tr w:rsidR="00B277B0" w:rsidRPr="002B6949" w14:paraId="2C6BE796" w14:textId="77777777" w:rsidTr="006163F1">
        <w:tc>
          <w:tcPr>
            <w:tcW w:w="2938" w:type="dxa"/>
          </w:tcPr>
          <w:p w14:paraId="07AABFB9"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2015</w:t>
            </w:r>
          </w:p>
        </w:tc>
        <w:tc>
          <w:tcPr>
            <w:tcW w:w="2947" w:type="dxa"/>
          </w:tcPr>
          <w:p w14:paraId="3C89C531"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0.67</w:t>
            </w:r>
          </w:p>
        </w:tc>
        <w:tc>
          <w:tcPr>
            <w:tcW w:w="2943" w:type="dxa"/>
          </w:tcPr>
          <w:p w14:paraId="0C5ED05B"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0.71</w:t>
            </w:r>
          </w:p>
        </w:tc>
      </w:tr>
      <w:tr w:rsidR="00B277B0" w:rsidRPr="002B6949" w14:paraId="18986AB7" w14:textId="77777777" w:rsidTr="006163F1">
        <w:tc>
          <w:tcPr>
            <w:tcW w:w="2938" w:type="dxa"/>
          </w:tcPr>
          <w:p w14:paraId="42A025A2"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2016</w:t>
            </w:r>
          </w:p>
        </w:tc>
        <w:tc>
          <w:tcPr>
            <w:tcW w:w="2947" w:type="dxa"/>
          </w:tcPr>
          <w:p w14:paraId="14D07DEA"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0.97</w:t>
            </w:r>
          </w:p>
        </w:tc>
        <w:tc>
          <w:tcPr>
            <w:tcW w:w="2943" w:type="dxa"/>
          </w:tcPr>
          <w:p w14:paraId="1D7B271E"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0.67</w:t>
            </w:r>
          </w:p>
        </w:tc>
      </w:tr>
      <w:tr w:rsidR="00B277B0" w:rsidRPr="002B6949" w14:paraId="7A1FE9C0" w14:textId="77777777" w:rsidTr="006163F1">
        <w:tc>
          <w:tcPr>
            <w:tcW w:w="2938" w:type="dxa"/>
          </w:tcPr>
          <w:p w14:paraId="2A42A687"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2017</w:t>
            </w:r>
          </w:p>
        </w:tc>
        <w:tc>
          <w:tcPr>
            <w:tcW w:w="2947" w:type="dxa"/>
          </w:tcPr>
          <w:p w14:paraId="59FB5DC9"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1.17</w:t>
            </w:r>
          </w:p>
        </w:tc>
        <w:tc>
          <w:tcPr>
            <w:tcW w:w="2943" w:type="dxa"/>
          </w:tcPr>
          <w:p w14:paraId="1B49D292"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0.81</w:t>
            </w:r>
          </w:p>
        </w:tc>
      </w:tr>
      <w:tr w:rsidR="00B277B0" w:rsidRPr="002B6949" w14:paraId="7B9E45CF" w14:textId="77777777" w:rsidTr="006163F1">
        <w:tc>
          <w:tcPr>
            <w:tcW w:w="2938" w:type="dxa"/>
          </w:tcPr>
          <w:p w14:paraId="35576C3A"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2018</w:t>
            </w:r>
          </w:p>
        </w:tc>
        <w:tc>
          <w:tcPr>
            <w:tcW w:w="2947" w:type="dxa"/>
          </w:tcPr>
          <w:p w14:paraId="75DFC21C"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1.40</w:t>
            </w:r>
          </w:p>
        </w:tc>
        <w:tc>
          <w:tcPr>
            <w:tcW w:w="2943" w:type="dxa"/>
          </w:tcPr>
          <w:p w14:paraId="2426B298"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1.32</w:t>
            </w:r>
          </w:p>
        </w:tc>
      </w:tr>
      <w:tr w:rsidR="00B277B0" w:rsidRPr="002B6949" w14:paraId="3E27D21E" w14:textId="77777777" w:rsidTr="006163F1">
        <w:tc>
          <w:tcPr>
            <w:tcW w:w="2938" w:type="dxa"/>
          </w:tcPr>
          <w:p w14:paraId="01E9192E"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2019</w:t>
            </w:r>
          </w:p>
        </w:tc>
        <w:tc>
          <w:tcPr>
            <w:tcW w:w="2947" w:type="dxa"/>
          </w:tcPr>
          <w:p w14:paraId="66779A4D"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1.47</w:t>
            </w:r>
          </w:p>
        </w:tc>
        <w:tc>
          <w:tcPr>
            <w:tcW w:w="2943" w:type="dxa"/>
          </w:tcPr>
          <w:p w14:paraId="15677CB4"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1.37</w:t>
            </w:r>
          </w:p>
        </w:tc>
      </w:tr>
      <w:tr w:rsidR="00B277B0" w:rsidRPr="002B6949" w14:paraId="6E9F114A" w14:textId="77777777" w:rsidTr="006163F1">
        <w:tc>
          <w:tcPr>
            <w:tcW w:w="2938" w:type="dxa"/>
          </w:tcPr>
          <w:p w14:paraId="18B4A2BD"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2020</w:t>
            </w:r>
          </w:p>
        </w:tc>
        <w:tc>
          <w:tcPr>
            <w:tcW w:w="2947" w:type="dxa"/>
          </w:tcPr>
          <w:p w14:paraId="64D3FE54"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1.45</w:t>
            </w:r>
          </w:p>
        </w:tc>
        <w:tc>
          <w:tcPr>
            <w:tcW w:w="2943" w:type="dxa"/>
          </w:tcPr>
          <w:p w14:paraId="33D0DC45"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1.68</w:t>
            </w:r>
          </w:p>
        </w:tc>
      </w:tr>
      <w:tr w:rsidR="00B277B0" w:rsidRPr="002B6949" w14:paraId="30C043CD" w14:textId="77777777" w:rsidTr="006163F1">
        <w:tc>
          <w:tcPr>
            <w:tcW w:w="2938" w:type="dxa"/>
          </w:tcPr>
          <w:p w14:paraId="676735FF"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2021</w:t>
            </w:r>
          </w:p>
        </w:tc>
        <w:tc>
          <w:tcPr>
            <w:tcW w:w="2947" w:type="dxa"/>
          </w:tcPr>
          <w:p w14:paraId="7D8F6A0C"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1.49</w:t>
            </w:r>
          </w:p>
        </w:tc>
        <w:tc>
          <w:tcPr>
            <w:tcW w:w="2943" w:type="dxa"/>
          </w:tcPr>
          <w:p w14:paraId="01E45C94" w14:textId="77777777" w:rsidR="00B277B0" w:rsidRPr="002B6949" w:rsidRDefault="00B277B0" w:rsidP="006163F1">
            <w:pPr>
              <w:snapToGrid w:val="0"/>
              <w:spacing w:before="100" w:beforeAutospacing="1" w:after="100" w:afterAutospacing="1" w:line="360" w:lineRule="auto"/>
              <w:jc w:val="center"/>
              <w:rPr>
                <w:rFonts w:ascii="Arial" w:hAnsi="Arial" w:cs="Arial"/>
                <w:color w:val="000000"/>
                <w:sz w:val="20"/>
                <w:szCs w:val="20"/>
              </w:rPr>
            </w:pPr>
            <w:r w:rsidRPr="002B6949">
              <w:rPr>
                <w:rFonts w:ascii="Arial" w:hAnsi="Arial" w:cs="Arial"/>
                <w:color w:val="000000"/>
                <w:sz w:val="20"/>
                <w:szCs w:val="20"/>
              </w:rPr>
              <w:t>1.61</w:t>
            </w:r>
          </w:p>
        </w:tc>
      </w:tr>
    </w:tbl>
    <w:p w14:paraId="0E4FEFB5" w14:textId="77777777" w:rsidR="007675B6" w:rsidRPr="00163E0F" w:rsidRDefault="007675B6" w:rsidP="00990929">
      <w:pPr>
        <w:spacing w:line="360" w:lineRule="auto"/>
        <w:jc w:val="both"/>
        <w:rPr>
          <w:rFonts w:ascii="Arial" w:hAnsi="Arial" w:cs="Arial"/>
          <w:sz w:val="24"/>
          <w:szCs w:val="24"/>
        </w:rPr>
      </w:pPr>
    </w:p>
    <w:p w14:paraId="261F23AE" w14:textId="0A28B3C1" w:rsidR="00FA0FCC" w:rsidRDefault="00AB74F1" w:rsidP="002A7B2D">
      <w:pPr>
        <w:spacing w:before="240" w:line="360" w:lineRule="auto"/>
        <w:ind w:firstLine="708"/>
        <w:jc w:val="both"/>
        <w:rPr>
          <w:rFonts w:ascii="Arial" w:hAnsi="Arial" w:cs="Arial"/>
          <w:sz w:val="24"/>
          <w:szCs w:val="24"/>
          <w:lang w:val="es-ES"/>
        </w:rPr>
      </w:pPr>
      <w:r>
        <w:rPr>
          <w:rFonts w:ascii="Arial" w:hAnsi="Arial" w:cs="Arial"/>
          <w:sz w:val="24"/>
          <w:szCs w:val="24"/>
          <w:lang w:val="es-ES"/>
        </w:rPr>
        <w:t>Cabe señalar, que l</w:t>
      </w:r>
      <w:r w:rsidR="00FA0FCC">
        <w:rPr>
          <w:rFonts w:ascii="Arial" w:hAnsi="Arial" w:cs="Arial"/>
          <w:sz w:val="24"/>
          <w:szCs w:val="24"/>
          <w:lang w:val="es-ES"/>
        </w:rPr>
        <w:t>as entidades</w:t>
      </w:r>
      <w:r>
        <w:rPr>
          <w:rFonts w:ascii="Arial" w:hAnsi="Arial" w:cs="Arial"/>
          <w:sz w:val="24"/>
          <w:szCs w:val="24"/>
          <w:lang w:val="es-ES"/>
        </w:rPr>
        <w:t xml:space="preserve"> federativas</w:t>
      </w:r>
      <w:r w:rsidR="00FA0FCC">
        <w:rPr>
          <w:rFonts w:ascii="Arial" w:hAnsi="Arial" w:cs="Arial"/>
          <w:sz w:val="24"/>
          <w:szCs w:val="24"/>
          <w:lang w:val="es-ES"/>
        </w:rPr>
        <w:t xml:space="preserve"> cuenta con libertad de configuración legislativa, respecto de la tipificación del feminicidio, por ello en relación con la diversidad de tipos penales existentes</w:t>
      </w:r>
      <w:r>
        <w:rPr>
          <w:rFonts w:ascii="Arial" w:hAnsi="Arial" w:cs="Arial"/>
          <w:sz w:val="24"/>
          <w:szCs w:val="24"/>
          <w:lang w:val="es-ES"/>
        </w:rPr>
        <w:t xml:space="preserve"> en nuestro país</w:t>
      </w:r>
      <w:r w:rsidR="00FA0FCC">
        <w:rPr>
          <w:rFonts w:ascii="Arial" w:hAnsi="Arial" w:cs="Arial"/>
          <w:sz w:val="24"/>
          <w:szCs w:val="24"/>
          <w:lang w:val="es-ES"/>
        </w:rPr>
        <w:t xml:space="preserve">, en julio de 2018, en las </w:t>
      </w:r>
      <w:r w:rsidR="00FA0FCC" w:rsidRPr="00AB74F1">
        <w:rPr>
          <w:rFonts w:ascii="Arial" w:hAnsi="Arial" w:cs="Arial"/>
          <w:b/>
          <w:sz w:val="24"/>
          <w:szCs w:val="24"/>
          <w:lang w:val="es-ES"/>
        </w:rPr>
        <w:t xml:space="preserve">Observaciones finales sobre el </w:t>
      </w:r>
      <w:r w:rsidRPr="00AB74F1">
        <w:rPr>
          <w:rFonts w:ascii="Arial" w:hAnsi="Arial" w:cs="Arial"/>
          <w:b/>
          <w:sz w:val="24"/>
          <w:szCs w:val="24"/>
          <w:lang w:val="es-ES"/>
        </w:rPr>
        <w:t>Noveno</w:t>
      </w:r>
      <w:r w:rsidR="00FA0FCC" w:rsidRPr="00AB74F1">
        <w:rPr>
          <w:rFonts w:ascii="Arial" w:hAnsi="Arial" w:cs="Arial"/>
          <w:b/>
          <w:sz w:val="24"/>
          <w:szCs w:val="24"/>
          <w:lang w:val="es-ES"/>
        </w:rPr>
        <w:t xml:space="preserve"> Informe Periódico de México, en cumplimiento de la Convención sobre la Eliminación de Todas las Formas de Discriminación contra la Mujer</w:t>
      </w:r>
      <w:r w:rsidR="00FA0FCC" w:rsidRPr="00AB74F1">
        <w:rPr>
          <w:rFonts w:ascii="Arial" w:hAnsi="Arial" w:cs="Arial"/>
          <w:sz w:val="24"/>
          <w:szCs w:val="24"/>
          <w:lang w:val="es-ES"/>
        </w:rPr>
        <w:t xml:space="preserve">, </w:t>
      </w:r>
      <w:r w:rsidR="00FA0FCC">
        <w:rPr>
          <w:rFonts w:ascii="Arial" w:hAnsi="Arial" w:cs="Arial"/>
          <w:sz w:val="24"/>
          <w:szCs w:val="24"/>
          <w:lang w:val="es-ES"/>
        </w:rPr>
        <w:t>el Comité para la Eliminación de todas las Formas de Discriminación contra la Mujer (CEDAW), reiteró la Recomendación General Número 19 al Estado mexicano que, dispuso:</w:t>
      </w:r>
    </w:p>
    <w:p w14:paraId="2297F9BC" w14:textId="77777777" w:rsidR="00FA0FCC" w:rsidRDefault="00FA0FCC" w:rsidP="003C6464">
      <w:pPr>
        <w:spacing w:before="240" w:line="360" w:lineRule="auto"/>
        <w:jc w:val="both"/>
        <w:rPr>
          <w:rFonts w:ascii="Arial" w:hAnsi="Arial" w:cs="Arial"/>
          <w:sz w:val="24"/>
          <w:szCs w:val="24"/>
          <w:lang w:val="es-ES"/>
        </w:rPr>
      </w:pPr>
    </w:p>
    <w:tbl>
      <w:tblPr>
        <w:tblStyle w:val="Tablaconcuadrcula"/>
        <w:tblW w:w="0" w:type="auto"/>
        <w:tblInd w:w="675" w:type="dxa"/>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7371"/>
      </w:tblGrid>
      <w:tr w:rsidR="00FA0FCC" w:rsidRPr="00FA0FCC" w14:paraId="6F6690D8" w14:textId="77777777" w:rsidTr="00FA0FCC">
        <w:tc>
          <w:tcPr>
            <w:tcW w:w="7371" w:type="dxa"/>
          </w:tcPr>
          <w:p w14:paraId="610F5BD4" w14:textId="2542B533" w:rsidR="00FA0FCC" w:rsidRPr="00FA0FCC" w:rsidRDefault="00FA0FCC" w:rsidP="00FA0FCC">
            <w:pPr>
              <w:spacing w:before="240" w:line="240" w:lineRule="auto"/>
              <w:jc w:val="both"/>
              <w:rPr>
                <w:rFonts w:ascii="Arial" w:hAnsi="Arial" w:cs="Arial"/>
                <w:sz w:val="20"/>
                <w:szCs w:val="20"/>
                <w:lang w:val="es-ES"/>
              </w:rPr>
            </w:pPr>
            <w:r w:rsidRPr="00FA0FCC">
              <w:rPr>
                <w:rFonts w:ascii="Arial" w:hAnsi="Arial" w:cs="Arial"/>
                <w:sz w:val="20"/>
                <w:szCs w:val="20"/>
                <w:lang w:val="es-ES"/>
              </w:rPr>
              <w:t>“24 (…)</w:t>
            </w:r>
          </w:p>
          <w:p w14:paraId="507D3BA9" w14:textId="4EE2A837" w:rsidR="00FA0FCC" w:rsidRPr="00FA0FCC" w:rsidRDefault="00FA0FCC" w:rsidP="00FA0FCC">
            <w:pPr>
              <w:spacing w:before="240" w:line="240" w:lineRule="auto"/>
              <w:jc w:val="both"/>
              <w:rPr>
                <w:rFonts w:ascii="Arial" w:hAnsi="Arial" w:cs="Arial"/>
                <w:sz w:val="20"/>
                <w:szCs w:val="20"/>
                <w:lang w:val="es-ES"/>
              </w:rPr>
            </w:pPr>
            <w:r w:rsidRPr="00FA0FCC">
              <w:rPr>
                <w:rFonts w:ascii="Arial" w:hAnsi="Arial" w:cs="Arial"/>
                <w:sz w:val="20"/>
                <w:szCs w:val="20"/>
                <w:lang w:val="es-ES"/>
              </w:rPr>
              <w:t>c) Vele por que se tipifique como delito el feminicidio en todos los códigos penales estatales de conformidad con la Ley General de Acceso de las Mujeres a una Vida Libre de Violencia, normalice los protocolos de investigación policial del feminicidio en todo el Estado parte y garantice la aplicación efectiva de las disposiciones de derecho penal sobre feminicidio;”</w:t>
            </w:r>
          </w:p>
        </w:tc>
      </w:tr>
    </w:tbl>
    <w:p w14:paraId="0DFEE51F" w14:textId="12FA3D8B" w:rsidR="004C40BD" w:rsidRDefault="00FA0FCC" w:rsidP="002A7B2D">
      <w:pPr>
        <w:spacing w:before="240" w:line="360" w:lineRule="auto"/>
        <w:ind w:firstLine="708"/>
        <w:jc w:val="both"/>
        <w:rPr>
          <w:rFonts w:ascii="Arial" w:hAnsi="Arial" w:cs="Arial"/>
          <w:sz w:val="24"/>
          <w:szCs w:val="24"/>
          <w:lang w:val="es-ES"/>
        </w:rPr>
      </w:pPr>
      <w:r>
        <w:rPr>
          <w:rFonts w:ascii="Arial" w:hAnsi="Arial" w:cs="Arial"/>
          <w:sz w:val="24"/>
          <w:szCs w:val="24"/>
          <w:lang w:val="es-ES"/>
        </w:rPr>
        <w:t xml:space="preserve">Para atender estas recomendaciones, el 16 de noviembre de 2018, se instaló la </w:t>
      </w:r>
      <w:r w:rsidRPr="00AB74F1">
        <w:rPr>
          <w:rFonts w:ascii="Arial" w:hAnsi="Arial" w:cs="Arial"/>
          <w:b/>
          <w:sz w:val="24"/>
          <w:szCs w:val="24"/>
          <w:lang w:val="es-ES"/>
        </w:rPr>
        <w:t>Comisión para el Seguimiento de las Observaciones del Comité para la Eliminación de la Discriminación contra la Mujer</w:t>
      </w:r>
      <w:r>
        <w:rPr>
          <w:rFonts w:ascii="Arial" w:hAnsi="Arial" w:cs="Arial"/>
          <w:sz w:val="24"/>
          <w:szCs w:val="24"/>
          <w:lang w:val="es-ES"/>
        </w:rPr>
        <w:t xml:space="preserve"> (Comité CEDAW), coordinada por el Instituto Nacional de las Mujeres (</w:t>
      </w:r>
      <w:proofErr w:type="spellStart"/>
      <w:r>
        <w:rPr>
          <w:rFonts w:ascii="Arial" w:hAnsi="Arial" w:cs="Arial"/>
          <w:sz w:val="24"/>
          <w:szCs w:val="24"/>
          <w:lang w:val="es-ES"/>
        </w:rPr>
        <w:t>Inmujeres</w:t>
      </w:r>
      <w:proofErr w:type="spellEnd"/>
      <w:r>
        <w:rPr>
          <w:rFonts w:ascii="Arial" w:hAnsi="Arial" w:cs="Arial"/>
          <w:sz w:val="24"/>
          <w:szCs w:val="24"/>
          <w:lang w:val="es-ES"/>
        </w:rPr>
        <w:t xml:space="preserve">) y la </w:t>
      </w:r>
      <w:r w:rsidR="004C40BD" w:rsidRPr="004C40BD">
        <w:rPr>
          <w:rFonts w:ascii="Arial" w:hAnsi="Arial" w:cs="Arial"/>
          <w:sz w:val="24"/>
          <w:szCs w:val="24"/>
          <w:lang w:val="es-ES"/>
        </w:rPr>
        <w:t>Secretaría de Relaciones Exteriores</w:t>
      </w:r>
      <w:r>
        <w:rPr>
          <w:rFonts w:ascii="Arial" w:hAnsi="Arial" w:cs="Arial"/>
          <w:sz w:val="24"/>
          <w:szCs w:val="24"/>
          <w:lang w:val="es-ES"/>
        </w:rPr>
        <w:t xml:space="preserve">, a fin de ordenar su cumplimiento. </w:t>
      </w:r>
      <w:r w:rsidR="004C40BD">
        <w:rPr>
          <w:rFonts w:ascii="Arial" w:hAnsi="Arial" w:cs="Arial"/>
          <w:sz w:val="24"/>
          <w:szCs w:val="24"/>
          <w:lang w:val="es-ES"/>
        </w:rPr>
        <w:t xml:space="preserve">Esta Comisión a su vez, instaló un </w:t>
      </w:r>
      <w:r w:rsidR="004C40BD" w:rsidRPr="00AB74F1">
        <w:rPr>
          <w:rFonts w:ascii="Arial" w:hAnsi="Arial" w:cs="Arial"/>
          <w:b/>
          <w:sz w:val="24"/>
          <w:szCs w:val="24"/>
          <w:lang w:val="es-ES"/>
        </w:rPr>
        <w:t>Grupo Técnico de Armonización Legislativa</w:t>
      </w:r>
      <w:r w:rsidR="004C40BD">
        <w:rPr>
          <w:rFonts w:ascii="Arial" w:hAnsi="Arial" w:cs="Arial"/>
          <w:sz w:val="24"/>
          <w:szCs w:val="24"/>
          <w:lang w:val="es-ES"/>
        </w:rPr>
        <w:t xml:space="preserve"> para </w:t>
      </w:r>
      <w:r w:rsidR="00C96EB0">
        <w:rPr>
          <w:rFonts w:ascii="Arial" w:hAnsi="Arial" w:cs="Arial"/>
          <w:sz w:val="24"/>
          <w:szCs w:val="24"/>
          <w:lang w:val="es-ES"/>
        </w:rPr>
        <w:t xml:space="preserve">elaborar y </w:t>
      </w:r>
      <w:r w:rsidR="004C40BD">
        <w:rPr>
          <w:rFonts w:ascii="Arial" w:hAnsi="Arial" w:cs="Arial"/>
          <w:sz w:val="24"/>
          <w:szCs w:val="24"/>
          <w:lang w:val="es-ES"/>
        </w:rPr>
        <w:t xml:space="preserve">proponer un </w:t>
      </w:r>
      <w:r w:rsidR="004C40BD" w:rsidRPr="00AB74F1">
        <w:rPr>
          <w:rFonts w:ascii="Arial" w:hAnsi="Arial" w:cs="Arial"/>
          <w:b/>
          <w:sz w:val="24"/>
          <w:szCs w:val="24"/>
          <w:lang w:val="es-ES"/>
        </w:rPr>
        <w:t>“Modelo de tipo penal de feminicidio”</w:t>
      </w:r>
      <w:r w:rsidR="004C40BD">
        <w:rPr>
          <w:rFonts w:ascii="Arial" w:hAnsi="Arial" w:cs="Arial"/>
          <w:sz w:val="24"/>
          <w:szCs w:val="24"/>
          <w:lang w:val="es-ES"/>
        </w:rPr>
        <w:t xml:space="preserve"> que además de recoger el contexto social de la violencia extrema que sufren las mujeres, adolescentes y niñas, atendiera los puntos siguientes:</w:t>
      </w:r>
    </w:p>
    <w:p w14:paraId="6F17C64E" w14:textId="77777777" w:rsidR="004C40BD" w:rsidRDefault="004C40BD" w:rsidP="003C6464">
      <w:pPr>
        <w:spacing w:before="240" w:line="360" w:lineRule="auto"/>
        <w:jc w:val="both"/>
        <w:rPr>
          <w:rFonts w:ascii="Arial" w:hAnsi="Arial" w:cs="Arial"/>
          <w:sz w:val="24"/>
          <w:szCs w:val="24"/>
          <w:lang w:val="es-ES"/>
        </w:rPr>
      </w:pPr>
    </w:p>
    <w:tbl>
      <w:tblPr>
        <w:tblStyle w:val="Tablaconcuadrcula"/>
        <w:tblW w:w="0" w:type="auto"/>
        <w:tblInd w:w="675" w:type="dxa"/>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7371"/>
      </w:tblGrid>
      <w:tr w:rsidR="004C40BD" w:rsidRPr="00FA0FCC" w14:paraId="5B8C01A7" w14:textId="77777777" w:rsidTr="007675B6">
        <w:tc>
          <w:tcPr>
            <w:tcW w:w="7371" w:type="dxa"/>
          </w:tcPr>
          <w:p w14:paraId="77BFE580" w14:textId="4A68D5DF" w:rsidR="004C40BD" w:rsidRDefault="004C40BD" w:rsidP="002A7B2D">
            <w:pPr>
              <w:spacing w:before="240" w:after="0" w:line="240" w:lineRule="auto"/>
              <w:jc w:val="both"/>
              <w:rPr>
                <w:rFonts w:ascii="Arial" w:hAnsi="Arial" w:cs="Arial"/>
                <w:sz w:val="20"/>
                <w:szCs w:val="20"/>
              </w:rPr>
            </w:pPr>
            <w:r>
              <w:rPr>
                <w:rFonts w:ascii="Arial" w:hAnsi="Arial" w:cs="Arial"/>
                <w:sz w:val="20"/>
                <w:szCs w:val="20"/>
              </w:rPr>
              <w:t>a).- Las recomendaciones nacionales e internacionales emitidas en la materia;</w:t>
            </w:r>
          </w:p>
          <w:p w14:paraId="495FAE73" w14:textId="77777777" w:rsidR="004C40BD" w:rsidRDefault="004C40BD" w:rsidP="002A7B2D">
            <w:pPr>
              <w:spacing w:before="240" w:after="0" w:line="240" w:lineRule="auto"/>
              <w:jc w:val="both"/>
              <w:rPr>
                <w:rFonts w:ascii="Arial" w:hAnsi="Arial" w:cs="Arial"/>
                <w:sz w:val="20"/>
                <w:szCs w:val="20"/>
              </w:rPr>
            </w:pPr>
            <w:r>
              <w:rPr>
                <w:rFonts w:ascii="Arial" w:hAnsi="Arial" w:cs="Arial"/>
                <w:sz w:val="20"/>
                <w:szCs w:val="20"/>
              </w:rPr>
              <w:t>b).- Los aciertos de las legislaciones locales;</w:t>
            </w:r>
          </w:p>
          <w:p w14:paraId="23D5569F" w14:textId="77777777" w:rsidR="004C40BD" w:rsidRDefault="004C40BD" w:rsidP="002A7B2D">
            <w:pPr>
              <w:spacing w:before="240" w:after="0" w:line="240" w:lineRule="auto"/>
              <w:jc w:val="both"/>
              <w:rPr>
                <w:rFonts w:ascii="Arial" w:hAnsi="Arial" w:cs="Arial"/>
                <w:sz w:val="20"/>
                <w:szCs w:val="20"/>
              </w:rPr>
            </w:pPr>
            <w:r>
              <w:rPr>
                <w:rFonts w:ascii="Arial" w:hAnsi="Arial" w:cs="Arial"/>
                <w:sz w:val="20"/>
                <w:szCs w:val="20"/>
              </w:rPr>
              <w:t>c).- Las características comunes identificadas en las conductas feminicidas, y</w:t>
            </w:r>
          </w:p>
          <w:p w14:paraId="4DAF5CE8" w14:textId="1B7C74A5" w:rsidR="004C40BD" w:rsidRPr="004C40BD" w:rsidRDefault="004C40BD" w:rsidP="002A068B">
            <w:pPr>
              <w:spacing w:before="240" w:after="0" w:line="240" w:lineRule="auto"/>
              <w:jc w:val="both"/>
              <w:rPr>
                <w:rFonts w:ascii="Arial" w:hAnsi="Arial" w:cs="Arial"/>
                <w:sz w:val="20"/>
                <w:szCs w:val="20"/>
              </w:rPr>
            </w:pPr>
            <w:r>
              <w:rPr>
                <w:rFonts w:ascii="Arial" w:hAnsi="Arial" w:cs="Arial"/>
                <w:sz w:val="20"/>
                <w:szCs w:val="20"/>
              </w:rPr>
              <w:t xml:space="preserve">d).- Los reclamos de la sociedad civil. </w:t>
            </w:r>
          </w:p>
        </w:tc>
      </w:tr>
    </w:tbl>
    <w:p w14:paraId="1EC41DDD" w14:textId="77777777" w:rsidR="004C40BD" w:rsidRDefault="004C40BD" w:rsidP="003C6464">
      <w:pPr>
        <w:spacing w:before="240" w:line="360" w:lineRule="auto"/>
        <w:jc w:val="both"/>
        <w:rPr>
          <w:rFonts w:ascii="Arial" w:hAnsi="Arial" w:cs="Arial"/>
          <w:sz w:val="24"/>
          <w:szCs w:val="24"/>
          <w:lang w:val="es-ES"/>
        </w:rPr>
      </w:pPr>
    </w:p>
    <w:p w14:paraId="16484680" w14:textId="2517C20F" w:rsidR="004C40BD" w:rsidRDefault="004C40BD" w:rsidP="00ED6E21">
      <w:pPr>
        <w:spacing w:before="240" w:line="360" w:lineRule="auto"/>
        <w:ind w:firstLine="708"/>
        <w:jc w:val="both"/>
        <w:rPr>
          <w:rFonts w:ascii="Arial" w:hAnsi="Arial" w:cs="Arial"/>
          <w:sz w:val="24"/>
          <w:szCs w:val="24"/>
          <w:lang w:val="es-ES"/>
        </w:rPr>
      </w:pPr>
      <w:r>
        <w:rPr>
          <w:rFonts w:ascii="Arial" w:hAnsi="Arial" w:cs="Arial"/>
          <w:sz w:val="24"/>
          <w:szCs w:val="24"/>
          <w:lang w:val="es-ES"/>
        </w:rPr>
        <w:t xml:space="preserve">Lo anterior, “para eliminar las barreras normativas </w:t>
      </w:r>
      <w:r w:rsidR="0024545B">
        <w:rPr>
          <w:rFonts w:ascii="Arial" w:hAnsi="Arial" w:cs="Arial"/>
          <w:sz w:val="24"/>
          <w:szCs w:val="24"/>
          <w:lang w:val="es-ES"/>
        </w:rPr>
        <w:t>enfrentadas por las sobrevivientes, las víctimas y sus familiares en la búsqueda de justicia, verdad y reparación integral, y así propiciar la investigación con perspectiva de género de las muertes violentas de mujeres… a partir de elementos comunes, con el objetivo de dar certeza jurídica a las víctimas y sus familiares y posibilitar la identificación de similitudes respecto de la incidencia de esta conducta delictiva”.</w:t>
      </w:r>
    </w:p>
    <w:p w14:paraId="3426A90F" w14:textId="77777777" w:rsidR="00292DF1" w:rsidRDefault="00C96EB0" w:rsidP="00AB74F1">
      <w:pPr>
        <w:spacing w:before="240" w:line="360" w:lineRule="auto"/>
        <w:ind w:firstLine="708"/>
        <w:jc w:val="both"/>
        <w:rPr>
          <w:rFonts w:ascii="Arial" w:hAnsi="Arial" w:cs="Arial"/>
          <w:sz w:val="24"/>
          <w:szCs w:val="24"/>
          <w:lang w:val="es-ES"/>
        </w:rPr>
      </w:pPr>
      <w:r>
        <w:rPr>
          <w:rFonts w:ascii="Arial" w:hAnsi="Arial" w:cs="Arial"/>
          <w:sz w:val="24"/>
          <w:szCs w:val="24"/>
          <w:lang w:val="es-ES"/>
        </w:rPr>
        <w:t>Producto del trabajo coordinado entre el Instituto Nacional de las Mujeres (</w:t>
      </w:r>
      <w:proofErr w:type="spellStart"/>
      <w:r>
        <w:rPr>
          <w:rFonts w:ascii="Arial" w:hAnsi="Arial" w:cs="Arial"/>
          <w:sz w:val="24"/>
          <w:szCs w:val="24"/>
          <w:lang w:val="es-ES"/>
        </w:rPr>
        <w:t>Inmujeres</w:t>
      </w:r>
      <w:proofErr w:type="spellEnd"/>
      <w:r>
        <w:rPr>
          <w:rFonts w:ascii="Arial" w:hAnsi="Arial" w:cs="Arial"/>
          <w:sz w:val="24"/>
          <w:szCs w:val="24"/>
          <w:lang w:val="es-ES"/>
        </w:rPr>
        <w:t xml:space="preserve">) y la Comisión Nacional Para Prevenir y Erradicar la Violencia contra las Mujeres (CONAVIM); así como de las propuestas recibidas por ONU Mujeres, UNICEF y el Sistema Nacional de Protección Integral de las Niñas, Niños y Adolescentes (SIPINNA), en el marco del cumplimiento a las Observaciones Finales del </w:t>
      </w:r>
      <w:r w:rsidRPr="00C96EB0">
        <w:rPr>
          <w:rFonts w:ascii="Arial" w:hAnsi="Arial" w:cs="Arial"/>
          <w:sz w:val="24"/>
          <w:szCs w:val="24"/>
          <w:lang w:val="es-ES"/>
        </w:rPr>
        <w:t>Comité para la Eliminación de la Discriminación contra la Mujer (Comité CEDAW)</w:t>
      </w:r>
      <w:r>
        <w:rPr>
          <w:rFonts w:ascii="Arial" w:hAnsi="Arial" w:cs="Arial"/>
          <w:sz w:val="24"/>
          <w:szCs w:val="24"/>
          <w:lang w:val="es-ES"/>
        </w:rPr>
        <w:t xml:space="preserve"> al Estado mexicano</w:t>
      </w:r>
      <w:r w:rsidR="00292DF1">
        <w:rPr>
          <w:rFonts w:ascii="Arial" w:hAnsi="Arial" w:cs="Arial"/>
          <w:sz w:val="24"/>
          <w:szCs w:val="24"/>
          <w:lang w:val="es-ES"/>
        </w:rPr>
        <w:t>, derivadas del Noveno Informe Periódico en México, así como de las acciones puntuales 4.1.6. del Programa Nacional para la Igualdad entre Mujeres y Hombres 2020-2024 (</w:t>
      </w:r>
      <w:proofErr w:type="spellStart"/>
      <w:r w:rsidR="00292DF1">
        <w:rPr>
          <w:rFonts w:ascii="Arial" w:hAnsi="Arial" w:cs="Arial"/>
          <w:sz w:val="24"/>
          <w:szCs w:val="24"/>
          <w:lang w:val="es-ES"/>
        </w:rPr>
        <w:t>Proigualdad</w:t>
      </w:r>
      <w:proofErr w:type="spellEnd"/>
      <w:r w:rsidR="00292DF1">
        <w:rPr>
          <w:rFonts w:ascii="Arial" w:hAnsi="Arial" w:cs="Arial"/>
          <w:sz w:val="24"/>
          <w:szCs w:val="24"/>
          <w:lang w:val="es-ES"/>
        </w:rPr>
        <w:t xml:space="preserve">) y 4.1.4. del Programa Integral para Prevenir, Atender, Sancionar y Erradicar la Violencia contra las Mujeres 2021-2024 (PIPASEVEM), fue diseñado y aprobado un “Modelo de tipo penal de feminicidio” para propiciar la protección y garantía de los derechos humanos de las </w:t>
      </w:r>
      <w:r w:rsidR="00292DF1">
        <w:rPr>
          <w:rFonts w:ascii="Arial" w:hAnsi="Arial" w:cs="Arial"/>
          <w:sz w:val="24"/>
          <w:szCs w:val="24"/>
          <w:lang w:val="es-ES"/>
        </w:rPr>
        <w:lastRenderedPageBreak/>
        <w:t>mujeres, adolescentes y niñas en el país. Con estos objetivos y con la finalidad de abonar al análisis y debate legislativo, con fecha 27 de julio del año en curso, fue compartido por la Oficina de la Presidencia del Instituto Nacional de las Mujeres a esta Legislatura el Modelo citado para su atención.</w:t>
      </w:r>
    </w:p>
    <w:p w14:paraId="26710960" w14:textId="5B750DE8" w:rsidR="00292DF1" w:rsidRDefault="00292DF1" w:rsidP="00ED6E21">
      <w:pPr>
        <w:spacing w:before="240" w:line="360" w:lineRule="auto"/>
        <w:ind w:firstLine="708"/>
        <w:jc w:val="both"/>
        <w:rPr>
          <w:rFonts w:ascii="Arial" w:hAnsi="Arial" w:cs="Arial"/>
          <w:sz w:val="24"/>
          <w:szCs w:val="24"/>
          <w:lang w:val="es-ES"/>
        </w:rPr>
      </w:pPr>
      <w:r>
        <w:rPr>
          <w:rFonts w:ascii="Arial" w:hAnsi="Arial" w:cs="Arial"/>
          <w:sz w:val="24"/>
          <w:szCs w:val="24"/>
          <w:lang w:val="es-ES"/>
        </w:rPr>
        <w:t xml:space="preserve">En ese sentido, se formula la presente iniciativa para modificar el tipo penal de feminicidio, contemplado en el artículo </w:t>
      </w:r>
      <w:r w:rsidR="000B0FB7" w:rsidRPr="000B0FB7">
        <w:rPr>
          <w:rFonts w:ascii="Arial" w:hAnsi="Arial" w:cs="Arial"/>
          <w:sz w:val="24"/>
          <w:szCs w:val="24"/>
          <w:lang w:val="es-ES"/>
        </w:rPr>
        <w:t>281 del Código Penal para el Estado de México</w:t>
      </w:r>
      <w:r w:rsidR="00F67B52">
        <w:rPr>
          <w:rFonts w:ascii="Arial" w:hAnsi="Arial" w:cs="Arial"/>
          <w:sz w:val="24"/>
          <w:szCs w:val="24"/>
          <w:lang w:val="es-ES"/>
        </w:rPr>
        <w:t>,</w:t>
      </w:r>
      <w:r w:rsidR="000B0FB7">
        <w:rPr>
          <w:rFonts w:ascii="Arial" w:hAnsi="Arial" w:cs="Arial"/>
          <w:sz w:val="24"/>
          <w:szCs w:val="24"/>
          <w:lang w:val="es-ES"/>
        </w:rPr>
        <w:t xml:space="preserve"> </w:t>
      </w:r>
      <w:r w:rsidR="00ED6E21">
        <w:rPr>
          <w:rFonts w:ascii="Arial" w:hAnsi="Arial" w:cs="Arial"/>
          <w:sz w:val="24"/>
          <w:szCs w:val="24"/>
          <w:lang w:val="es-ES"/>
        </w:rPr>
        <w:t>con la finalidad de</w:t>
      </w:r>
      <w:r w:rsidR="000B0FB7">
        <w:rPr>
          <w:rFonts w:ascii="Arial" w:hAnsi="Arial" w:cs="Arial"/>
          <w:sz w:val="24"/>
          <w:szCs w:val="24"/>
          <w:lang w:val="es-ES"/>
        </w:rPr>
        <w:t xml:space="preserve"> ajustar su </w:t>
      </w:r>
      <w:r w:rsidR="00F67B52">
        <w:rPr>
          <w:rFonts w:ascii="Arial" w:hAnsi="Arial" w:cs="Arial"/>
          <w:sz w:val="24"/>
          <w:szCs w:val="24"/>
          <w:lang w:val="es-ES"/>
        </w:rPr>
        <w:t xml:space="preserve">texto </w:t>
      </w:r>
      <w:r w:rsidR="000B0FB7">
        <w:rPr>
          <w:rFonts w:ascii="Arial" w:hAnsi="Arial" w:cs="Arial"/>
          <w:sz w:val="24"/>
          <w:szCs w:val="24"/>
          <w:lang w:val="es-ES"/>
        </w:rPr>
        <w:t xml:space="preserve">al </w:t>
      </w:r>
      <w:r w:rsidR="003573E6" w:rsidRPr="003573E6">
        <w:rPr>
          <w:rFonts w:ascii="Arial" w:hAnsi="Arial" w:cs="Arial"/>
          <w:sz w:val="24"/>
          <w:szCs w:val="24"/>
          <w:lang w:val="es-ES"/>
        </w:rPr>
        <w:t>“Modelo de tipo penal de feminicidio”</w:t>
      </w:r>
      <w:r w:rsidR="000B0FB7">
        <w:rPr>
          <w:rFonts w:ascii="Arial" w:hAnsi="Arial" w:cs="Arial"/>
          <w:sz w:val="24"/>
          <w:szCs w:val="24"/>
          <w:lang w:val="es-ES"/>
        </w:rPr>
        <w:t>.</w:t>
      </w:r>
      <w:r w:rsidR="003573E6">
        <w:rPr>
          <w:rFonts w:ascii="Arial" w:hAnsi="Arial" w:cs="Arial"/>
          <w:sz w:val="24"/>
          <w:szCs w:val="24"/>
          <w:lang w:val="es-ES"/>
        </w:rPr>
        <w:t xml:space="preserve"> Retomando</w:t>
      </w:r>
      <w:r w:rsidR="000B0FB7">
        <w:rPr>
          <w:rFonts w:ascii="Arial" w:hAnsi="Arial" w:cs="Arial"/>
          <w:sz w:val="24"/>
          <w:szCs w:val="24"/>
          <w:lang w:val="es-ES"/>
        </w:rPr>
        <w:t xml:space="preserve">, el contenido de éste, </w:t>
      </w:r>
      <w:r w:rsidR="00ED6E21">
        <w:rPr>
          <w:rFonts w:ascii="Arial" w:hAnsi="Arial" w:cs="Arial"/>
          <w:sz w:val="24"/>
          <w:szCs w:val="24"/>
          <w:lang w:val="es-ES"/>
        </w:rPr>
        <w:t xml:space="preserve">a continuación </w:t>
      </w:r>
      <w:r w:rsidR="000B0FB7">
        <w:rPr>
          <w:rFonts w:ascii="Arial" w:hAnsi="Arial" w:cs="Arial"/>
          <w:sz w:val="24"/>
          <w:szCs w:val="24"/>
          <w:lang w:val="es-ES"/>
        </w:rPr>
        <w:t xml:space="preserve">se </w:t>
      </w:r>
      <w:r w:rsidR="007B6E10">
        <w:rPr>
          <w:rFonts w:ascii="Arial" w:hAnsi="Arial" w:cs="Arial"/>
          <w:sz w:val="24"/>
          <w:szCs w:val="24"/>
          <w:lang w:val="es-ES"/>
        </w:rPr>
        <w:t>expone</w:t>
      </w:r>
      <w:r w:rsidR="000B0FB7">
        <w:rPr>
          <w:rFonts w:ascii="Arial" w:hAnsi="Arial" w:cs="Arial"/>
          <w:sz w:val="24"/>
          <w:szCs w:val="24"/>
          <w:lang w:val="es-ES"/>
        </w:rPr>
        <w:t xml:space="preserve"> </w:t>
      </w:r>
      <w:r w:rsidR="003573E6">
        <w:rPr>
          <w:rFonts w:ascii="Arial" w:hAnsi="Arial" w:cs="Arial"/>
          <w:sz w:val="24"/>
          <w:szCs w:val="24"/>
          <w:lang w:val="es-ES"/>
        </w:rPr>
        <w:t>las propuestas de adici</w:t>
      </w:r>
      <w:r w:rsidR="00ED6E21">
        <w:rPr>
          <w:rFonts w:ascii="Arial" w:hAnsi="Arial" w:cs="Arial"/>
          <w:sz w:val="24"/>
          <w:szCs w:val="24"/>
          <w:lang w:val="es-ES"/>
        </w:rPr>
        <w:t>ón</w:t>
      </w:r>
      <w:r w:rsidR="003573E6">
        <w:rPr>
          <w:rFonts w:ascii="Arial" w:hAnsi="Arial" w:cs="Arial"/>
          <w:sz w:val="24"/>
          <w:szCs w:val="24"/>
          <w:lang w:val="es-ES"/>
        </w:rPr>
        <w:t xml:space="preserve"> y </w:t>
      </w:r>
      <w:r w:rsidR="00F67B52">
        <w:rPr>
          <w:rFonts w:ascii="Arial" w:hAnsi="Arial" w:cs="Arial"/>
          <w:sz w:val="24"/>
          <w:szCs w:val="24"/>
          <w:lang w:val="es-ES"/>
        </w:rPr>
        <w:t>modificaci</w:t>
      </w:r>
      <w:r w:rsidR="00ED6E21">
        <w:rPr>
          <w:rFonts w:ascii="Arial" w:hAnsi="Arial" w:cs="Arial"/>
          <w:sz w:val="24"/>
          <w:szCs w:val="24"/>
          <w:lang w:val="es-ES"/>
        </w:rPr>
        <w:t>ón</w:t>
      </w:r>
      <w:r w:rsidR="00F67B52">
        <w:rPr>
          <w:rFonts w:ascii="Arial" w:hAnsi="Arial" w:cs="Arial"/>
          <w:sz w:val="24"/>
          <w:szCs w:val="24"/>
          <w:lang w:val="es-ES"/>
        </w:rPr>
        <w:t xml:space="preserve">, así como </w:t>
      </w:r>
      <w:r w:rsidR="00680454">
        <w:rPr>
          <w:rFonts w:ascii="Arial" w:hAnsi="Arial" w:cs="Arial"/>
          <w:sz w:val="24"/>
          <w:szCs w:val="24"/>
          <w:lang w:val="es-ES"/>
        </w:rPr>
        <w:t>el proyecto de decreto</w:t>
      </w:r>
      <w:r w:rsidR="00ED6E21">
        <w:rPr>
          <w:rFonts w:ascii="Arial" w:hAnsi="Arial" w:cs="Arial"/>
          <w:sz w:val="24"/>
          <w:szCs w:val="24"/>
          <w:lang w:val="es-ES"/>
        </w:rPr>
        <w:t xml:space="preserve"> que se formula:</w:t>
      </w:r>
      <w:r w:rsidR="003573E6">
        <w:rPr>
          <w:rFonts w:ascii="Arial" w:hAnsi="Arial" w:cs="Arial"/>
          <w:sz w:val="24"/>
          <w:szCs w:val="24"/>
          <w:lang w:val="es-ES"/>
        </w:rPr>
        <w:t xml:space="preserve"> </w:t>
      </w:r>
    </w:p>
    <w:p w14:paraId="0194D4C5" w14:textId="77777777" w:rsidR="00C96EB0" w:rsidRDefault="00C96EB0" w:rsidP="003C6464">
      <w:pPr>
        <w:spacing w:before="240" w:line="360" w:lineRule="auto"/>
        <w:jc w:val="both"/>
        <w:rPr>
          <w:rFonts w:ascii="Arial" w:hAnsi="Arial" w:cs="Arial"/>
          <w:sz w:val="24"/>
          <w:szCs w:val="24"/>
          <w:lang w:val="es-ES"/>
        </w:rPr>
      </w:pPr>
    </w:p>
    <w:tbl>
      <w:tblPr>
        <w:tblStyle w:val="Tablaconcuadrcula"/>
        <w:tblW w:w="0" w:type="auto"/>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ook w:val="04A0" w:firstRow="1" w:lastRow="0" w:firstColumn="1" w:lastColumn="0" w:noHBand="0" w:noVBand="1"/>
      </w:tblPr>
      <w:tblGrid>
        <w:gridCol w:w="2989"/>
        <w:gridCol w:w="3164"/>
        <w:gridCol w:w="2655"/>
      </w:tblGrid>
      <w:tr w:rsidR="003573E6" w:rsidRPr="00680454" w14:paraId="261A21E5" w14:textId="77777777" w:rsidTr="003573E6">
        <w:tc>
          <w:tcPr>
            <w:tcW w:w="9054" w:type="dxa"/>
            <w:gridSpan w:val="3"/>
            <w:tcBorders>
              <w:bottom w:val="double" w:sz="4" w:space="0" w:color="990033"/>
            </w:tcBorders>
            <w:shd w:val="clear" w:color="auto" w:fill="990033"/>
          </w:tcPr>
          <w:p w14:paraId="1DCDB810" w14:textId="77777777" w:rsidR="003573E6" w:rsidRPr="00680454" w:rsidRDefault="003573E6" w:rsidP="00680454">
            <w:pPr>
              <w:spacing w:after="0" w:line="240" w:lineRule="auto"/>
              <w:rPr>
                <w:rFonts w:ascii="Arial" w:hAnsi="Arial" w:cs="Arial"/>
                <w:b/>
                <w:sz w:val="20"/>
                <w:szCs w:val="20"/>
              </w:rPr>
            </w:pPr>
          </w:p>
          <w:p w14:paraId="781B0A03" w14:textId="77777777" w:rsidR="003573E6" w:rsidRPr="00680454" w:rsidRDefault="003573E6" w:rsidP="00680454">
            <w:pPr>
              <w:spacing w:after="0" w:line="240" w:lineRule="auto"/>
              <w:jc w:val="center"/>
              <w:rPr>
                <w:rFonts w:ascii="Arial" w:hAnsi="Arial" w:cs="Arial"/>
                <w:b/>
                <w:sz w:val="20"/>
                <w:szCs w:val="20"/>
              </w:rPr>
            </w:pPr>
            <w:r w:rsidRPr="00680454">
              <w:rPr>
                <w:rFonts w:ascii="Arial" w:hAnsi="Arial" w:cs="Arial"/>
                <w:b/>
                <w:sz w:val="20"/>
                <w:szCs w:val="20"/>
              </w:rPr>
              <w:t>CÓDIGO PENAL PARA EL ESTADO DE MÉXICO</w:t>
            </w:r>
          </w:p>
          <w:p w14:paraId="405C0AE1" w14:textId="77777777" w:rsidR="003573E6" w:rsidRPr="00680454" w:rsidRDefault="003573E6" w:rsidP="00680454">
            <w:pPr>
              <w:spacing w:after="0" w:line="240" w:lineRule="auto"/>
              <w:jc w:val="center"/>
              <w:rPr>
                <w:rFonts w:ascii="Arial" w:hAnsi="Arial" w:cs="Arial"/>
                <w:b/>
                <w:sz w:val="20"/>
                <w:szCs w:val="20"/>
              </w:rPr>
            </w:pPr>
          </w:p>
        </w:tc>
      </w:tr>
      <w:tr w:rsidR="003573E6" w:rsidRPr="00680454" w14:paraId="45D0B72D" w14:textId="77777777" w:rsidTr="003573E6">
        <w:tc>
          <w:tcPr>
            <w:tcW w:w="3085" w:type="dxa"/>
            <w:shd w:val="clear" w:color="auto" w:fill="BFBFBF" w:themeFill="background1" w:themeFillShade="BF"/>
          </w:tcPr>
          <w:p w14:paraId="16FA6365" w14:textId="77777777" w:rsidR="00680454" w:rsidRPr="00680454" w:rsidRDefault="00680454" w:rsidP="00680454">
            <w:pPr>
              <w:spacing w:after="0" w:line="240" w:lineRule="auto"/>
              <w:jc w:val="center"/>
              <w:rPr>
                <w:rFonts w:ascii="Arial" w:hAnsi="Arial" w:cs="Arial"/>
                <w:b/>
                <w:sz w:val="20"/>
                <w:szCs w:val="20"/>
              </w:rPr>
            </w:pPr>
          </w:p>
          <w:p w14:paraId="539324F5" w14:textId="77777777" w:rsidR="003573E6" w:rsidRPr="00680454" w:rsidRDefault="003573E6" w:rsidP="00680454">
            <w:pPr>
              <w:spacing w:after="0" w:line="240" w:lineRule="auto"/>
              <w:jc w:val="center"/>
              <w:rPr>
                <w:rFonts w:ascii="Arial" w:hAnsi="Arial" w:cs="Arial"/>
                <w:b/>
                <w:sz w:val="20"/>
                <w:szCs w:val="20"/>
              </w:rPr>
            </w:pPr>
            <w:r w:rsidRPr="00680454">
              <w:rPr>
                <w:rFonts w:ascii="Arial" w:hAnsi="Arial" w:cs="Arial"/>
                <w:b/>
                <w:sz w:val="20"/>
                <w:szCs w:val="20"/>
              </w:rPr>
              <w:t>TEXTO VIGENTE</w:t>
            </w:r>
          </w:p>
        </w:tc>
        <w:tc>
          <w:tcPr>
            <w:tcW w:w="3260" w:type="dxa"/>
            <w:shd w:val="clear" w:color="auto" w:fill="BFBFBF" w:themeFill="background1" w:themeFillShade="BF"/>
          </w:tcPr>
          <w:p w14:paraId="4EFDB1E1" w14:textId="4E686BBF" w:rsidR="003573E6" w:rsidRPr="00680454" w:rsidRDefault="00680454" w:rsidP="00680454">
            <w:pPr>
              <w:spacing w:after="0" w:line="240" w:lineRule="auto"/>
              <w:jc w:val="center"/>
              <w:rPr>
                <w:rFonts w:ascii="Arial" w:hAnsi="Arial" w:cs="Arial"/>
                <w:b/>
                <w:sz w:val="20"/>
                <w:szCs w:val="20"/>
              </w:rPr>
            </w:pPr>
            <w:r w:rsidRPr="00680454">
              <w:rPr>
                <w:rFonts w:ascii="Arial" w:hAnsi="Arial" w:cs="Arial"/>
                <w:b/>
                <w:sz w:val="20"/>
                <w:szCs w:val="20"/>
              </w:rPr>
              <w:t>“</w:t>
            </w:r>
            <w:r w:rsidR="003573E6" w:rsidRPr="00680454">
              <w:rPr>
                <w:rFonts w:ascii="Arial" w:hAnsi="Arial" w:cs="Arial"/>
                <w:b/>
                <w:sz w:val="20"/>
                <w:szCs w:val="20"/>
              </w:rPr>
              <w:t>MODELO DEL TIPO PENAL DE FEMINICIDIO</w:t>
            </w:r>
            <w:r w:rsidRPr="00680454">
              <w:rPr>
                <w:rFonts w:ascii="Arial" w:hAnsi="Arial" w:cs="Arial"/>
                <w:b/>
                <w:sz w:val="20"/>
                <w:szCs w:val="20"/>
              </w:rPr>
              <w:t>”</w:t>
            </w:r>
            <w:r w:rsidR="003573E6" w:rsidRPr="00680454">
              <w:rPr>
                <w:rFonts w:ascii="Arial" w:hAnsi="Arial" w:cs="Arial"/>
                <w:b/>
                <w:sz w:val="20"/>
                <w:szCs w:val="20"/>
              </w:rPr>
              <w:t xml:space="preserve"> Y PROPUESTAS DE ADICIÓN Y MODIFICACIÓN AL ARTÍCULO 281</w:t>
            </w:r>
          </w:p>
        </w:tc>
        <w:tc>
          <w:tcPr>
            <w:tcW w:w="2709" w:type="dxa"/>
            <w:shd w:val="clear" w:color="auto" w:fill="BFBFBF" w:themeFill="background1" w:themeFillShade="BF"/>
          </w:tcPr>
          <w:p w14:paraId="1EC3C77A" w14:textId="77777777" w:rsidR="00680454" w:rsidRPr="00680454" w:rsidRDefault="00680454" w:rsidP="00680454">
            <w:pPr>
              <w:spacing w:after="0" w:line="240" w:lineRule="auto"/>
              <w:jc w:val="center"/>
              <w:rPr>
                <w:rFonts w:ascii="Arial" w:hAnsi="Arial" w:cs="Arial"/>
                <w:b/>
                <w:sz w:val="20"/>
                <w:szCs w:val="20"/>
              </w:rPr>
            </w:pPr>
          </w:p>
          <w:p w14:paraId="56397BDA" w14:textId="77777777" w:rsidR="003573E6" w:rsidRPr="00680454" w:rsidRDefault="003573E6" w:rsidP="00680454">
            <w:pPr>
              <w:spacing w:after="0" w:line="240" w:lineRule="auto"/>
              <w:jc w:val="center"/>
              <w:rPr>
                <w:rFonts w:ascii="Arial" w:hAnsi="Arial" w:cs="Arial"/>
                <w:b/>
                <w:sz w:val="20"/>
                <w:szCs w:val="20"/>
              </w:rPr>
            </w:pPr>
            <w:r w:rsidRPr="00680454">
              <w:rPr>
                <w:rFonts w:ascii="Arial" w:hAnsi="Arial" w:cs="Arial"/>
                <w:b/>
                <w:sz w:val="20"/>
                <w:szCs w:val="20"/>
              </w:rPr>
              <w:t>PROYECTO DE DECRETO</w:t>
            </w:r>
          </w:p>
          <w:p w14:paraId="46B26B71" w14:textId="69ED8889" w:rsidR="003573E6" w:rsidRPr="00680454" w:rsidRDefault="003573E6" w:rsidP="00680454">
            <w:pPr>
              <w:spacing w:after="0" w:line="240" w:lineRule="auto"/>
              <w:jc w:val="center"/>
              <w:rPr>
                <w:rFonts w:ascii="Arial" w:hAnsi="Arial" w:cs="Arial"/>
                <w:b/>
                <w:sz w:val="20"/>
                <w:szCs w:val="20"/>
              </w:rPr>
            </w:pPr>
          </w:p>
        </w:tc>
      </w:tr>
      <w:tr w:rsidR="003573E6" w:rsidRPr="00680454" w14:paraId="360F75D3" w14:textId="77777777" w:rsidTr="003573E6">
        <w:tc>
          <w:tcPr>
            <w:tcW w:w="3085" w:type="dxa"/>
          </w:tcPr>
          <w:p w14:paraId="73100D1D"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 xml:space="preserve">Artículo 281. </w:t>
            </w:r>
            <w:r w:rsidRPr="00680454">
              <w:rPr>
                <w:rFonts w:ascii="Arial" w:hAnsi="Arial" w:cs="Arial"/>
                <w:sz w:val="20"/>
                <w:szCs w:val="20"/>
              </w:rPr>
              <w:t>Comete el delito de feminicidio quien prive de la vida a una mujer por razones de género. Se considera que existen razones de género cuando concurra alguna de las siguientes circunstancias:</w:t>
            </w:r>
          </w:p>
        </w:tc>
        <w:tc>
          <w:tcPr>
            <w:tcW w:w="3260" w:type="dxa"/>
          </w:tcPr>
          <w:p w14:paraId="49D41496" w14:textId="77777777" w:rsidR="003573E6" w:rsidRPr="00680454" w:rsidRDefault="003573E6" w:rsidP="00680454">
            <w:pPr>
              <w:spacing w:after="0" w:line="240" w:lineRule="auto"/>
              <w:jc w:val="both"/>
              <w:rPr>
                <w:rFonts w:ascii="Arial" w:hAnsi="Arial" w:cs="Arial"/>
                <w:b/>
                <w:color w:val="FF0000"/>
                <w:sz w:val="20"/>
                <w:szCs w:val="20"/>
              </w:rPr>
            </w:pPr>
            <w:r w:rsidRPr="00680454">
              <w:rPr>
                <w:rFonts w:ascii="Arial" w:hAnsi="Arial" w:cs="Arial"/>
                <w:b/>
                <w:sz w:val="20"/>
                <w:szCs w:val="20"/>
              </w:rPr>
              <w:t xml:space="preserve">Artículo 281. </w:t>
            </w:r>
            <w:r w:rsidRPr="00680454">
              <w:rPr>
                <w:rFonts w:ascii="Arial" w:hAnsi="Arial" w:cs="Arial"/>
                <w:sz w:val="20"/>
                <w:szCs w:val="20"/>
              </w:rPr>
              <w:t xml:space="preserve">Comete el delito de feminicidio quien prive de la vida a una mujer por </w:t>
            </w:r>
            <w:r w:rsidRPr="00680454">
              <w:rPr>
                <w:rFonts w:ascii="Arial" w:hAnsi="Arial" w:cs="Arial"/>
                <w:b/>
                <w:color w:val="FF0000"/>
                <w:sz w:val="20"/>
                <w:szCs w:val="20"/>
              </w:rPr>
              <w:t>una razón de género.</w:t>
            </w:r>
          </w:p>
          <w:p w14:paraId="68268C7E" w14:textId="77777777" w:rsidR="003573E6" w:rsidRPr="00680454" w:rsidRDefault="003573E6" w:rsidP="00680454">
            <w:pPr>
              <w:spacing w:after="0" w:line="240" w:lineRule="auto"/>
              <w:jc w:val="both"/>
              <w:rPr>
                <w:rFonts w:ascii="Arial" w:hAnsi="Arial" w:cs="Arial"/>
                <w:color w:val="FF0000"/>
                <w:sz w:val="20"/>
                <w:szCs w:val="20"/>
              </w:rPr>
            </w:pPr>
          </w:p>
          <w:p w14:paraId="29E89AFC" w14:textId="77777777" w:rsidR="003573E6" w:rsidRPr="00680454" w:rsidRDefault="003573E6" w:rsidP="00680454">
            <w:pPr>
              <w:spacing w:after="0" w:line="240" w:lineRule="auto"/>
              <w:jc w:val="both"/>
              <w:rPr>
                <w:rFonts w:ascii="Arial" w:hAnsi="Arial" w:cs="Arial"/>
                <w:b/>
                <w:color w:val="FF0000"/>
                <w:sz w:val="20"/>
                <w:szCs w:val="20"/>
              </w:rPr>
            </w:pPr>
            <w:r w:rsidRPr="00680454">
              <w:rPr>
                <w:rFonts w:ascii="Arial" w:hAnsi="Arial" w:cs="Arial"/>
                <w:b/>
                <w:color w:val="FF0000"/>
                <w:sz w:val="20"/>
                <w:szCs w:val="20"/>
              </w:rPr>
              <w:t xml:space="preserve">Para efectos de este artículo, el término mujer incluye a todas las mujeres en su diversidad y etapas de vida. </w:t>
            </w:r>
          </w:p>
          <w:p w14:paraId="5B8E8DE3" w14:textId="77777777" w:rsidR="003573E6" w:rsidRPr="00680454" w:rsidRDefault="003573E6" w:rsidP="00680454">
            <w:pPr>
              <w:spacing w:after="0" w:line="240" w:lineRule="auto"/>
              <w:jc w:val="both"/>
              <w:rPr>
                <w:rFonts w:ascii="Arial" w:hAnsi="Arial" w:cs="Arial"/>
                <w:color w:val="FF0000"/>
                <w:sz w:val="20"/>
                <w:szCs w:val="20"/>
              </w:rPr>
            </w:pPr>
          </w:p>
          <w:p w14:paraId="06E61D3A"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sz w:val="20"/>
                <w:szCs w:val="20"/>
              </w:rPr>
              <w:t xml:space="preserve">Se considera que existe </w:t>
            </w:r>
            <w:r w:rsidRPr="00680454">
              <w:rPr>
                <w:rFonts w:ascii="Arial" w:hAnsi="Arial" w:cs="Arial"/>
                <w:b/>
                <w:color w:val="FF0000"/>
                <w:sz w:val="20"/>
                <w:szCs w:val="20"/>
              </w:rPr>
              <w:t>una razón de género</w:t>
            </w:r>
            <w:r w:rsidRPr="00680454">
              <w:rPr>
                <w:rFonts w:ascii="Arial" w:hAnsi="Arial" w:cs="Arial"/>
                <w:color w:val="FF0000"/>
                <w:sz w:val="20"/>
                <w:szCs w:val="20"/>
              </w:rPr>
              <w:t xml:space="preserve"> </w:t>
            </w:r>
            <w:r w:rsidRPr="00680454">
              <w:rPr>
                <w:rFonts w:ascii="Arial" w:hAnsi="Arial" w:cs="Arial"/>
                <w:sz w:val="20"/>
                <w:szCs w:val="20"/>
              </w:rPr>
              <w:t xml:space="preserve">cuando </w:t>
            </w:r>
            <w:r w:rsidRPr="00680454">
              <w:rPr>
                <w:rFonts w:ascii="Arial" w:hAnsi="Arial" w:cs="Arial"/>
                <w:b/>
                <w:color w:val="FF0000"/>
                <w:sz w:val="20"/>
                <w:szCs w:val="20"/>
              </w:rPr>
              <w:t xml:space="preserve">ocurra cualquiera </w:t>
            </w:r>
            <w:r w:rsidRPr="00680454">
              <w:rPr>
                <w:rFonts w:ascii="Arial" w:hAnsi="Arial" w:cs="Arial"/>
                <w:sz w:val="20"/>
                <w:szCs w:val="20"/>
              </w:rPr>
              <w:t>de las siguientes circunstancias:</w:t>
            </w:r>
          </w:p>
        </w:tc>
        <w:tc>
          <w:tcPr>
            <w:tcW w:w="2709" w:type="dxa"/>
          </w:tcPr>
          <w:p w14:paraId="0B94741C" w14:textId="77777777" w:rsidR="003573E6" w:rsidRPr="00680454" w:rsidRDefault="003573E6" w:rsidP="00680454">
            <w:pPr>
              <w:spacing w:after="0" w:line="240" w:lineRule="auto"/>
              <w:jc w:val="both"/>
              <w:rPr>
                <w:rFonts w:ascii="Arial" w:hAnsi="Arial" w:cs="Arial"/>
                <w:b/>
                <w:sz w:val="20"/>
                <w:szCs w:val="20"/>
              </w:rPr>
            </w:pPr>
            <w:r w:rsidRPr="00680454">
              <w:rPr>
                <w:rFonts w:ascii="Arial" w:hAnsi="Arial" w:cs="Arial"/>
                <w:b/>
                <w:sz w:val="20"/>
                <w:szCs w:val="20"/>
              </w:rPr>
              <w:t xml:space="preserve">Artículo 281. </w:t>
            </w:r>
            <w:r w:rsidRPr="00680454">
              <w:rPr>
                <w:rFonts w:ascii="Arial" w:hAnsi="Arial" w:cs="Arial"/>
                <w:sz w:val="20"/>
                <w:szCs w:val="20"/>
              </w:rPr>
              <w:t xml:space="preserve">Comete el delito de feminicidio quien prive de la vida a una mujer por </w:t>
            </w:r>
            <w:r w:rsidRPr="00680454">
              <w:rPr>
                <w:rFonts w:ascii="Arial" w:hAnsi="Arial" w:cs="Arial"/>
                <w:b/>
                <w:sz w:val="20"/>
                <w:szCs w:val="20"/>
              </w:rPr>
              <w:t>una razón de género.</w:t>
            </w:r>
          </w:p>
          <w:p w14:paraId="59370FCA" w14:textId="77777777" w:rsidR="003573E6" w:rsidRPr="00680454" w:rsidRDefault="003573E6" w:rsidP="00680454">
            <w:pPr>
              <w:spacing w:after="0" w:line="240" w:lineRule="auto"/>
              <w:jc w:val="both"/>
              <w:rPr>
                <w:rFonts w:ascii="Arial" w:hAnsi="Arial" w:cs="Arial"/>
                <w:b/>
                <w:sz w:val="20"/>
                <w:szCs w:val="20"/>
              </w:rPr>
            </w:pPr>
          </w:p>
          <w:p w14:paraId="41F02D87" w14:textId="77777777" w:rsidR="003573E6" w:rsidRPr="00680454" w:rsidRDefault="003573E6" w:rsidP="00680454">
            <w:pPr>
              <w:spacing w:after="0" w:line="240" w:lineRule="auto"/>
              <w:jc w:val="both"/>
              <w:rPr>
                <w:rFonts w:ascii="Arial" w:hAnsi="Arial" w:cs="Arial"/>
                <w:sz w:val="20"/>
                <w:szCs w:val="20"/>
              </w:rPr>
            </w:pPr>
          </w:p>
        </w:tc>
      </w:tr>
      <w:tr w:rsidR="003573E6" w:rsidRPr="00680454" w14:paraId="4A4A5B63" w14:textId="77777777" w:rsidTr="003573E6">
        <w:tc>
          <w:tcPr>
            <w:tcW w:w="3085" w:type="dxa"/>
          </w:tcPr>
          <w:p w14:paraId="0A27FB12" w14:textId="77777777" w:rsidR="003573E6" w:rsidRPr="00680454" w:rsidRDefault="003573E6" w:rsidP="00680454">
            <w:pPr>
              <w:spacing w:after="0" w:line="240" w:lineRule="auto"/>
              <w:jc w:val="both"/>
              <w:rPr>
                <w:rFonts w:ascii="Arial" w:hAnsi="Arial" w:cs="Arial"/>
                <w:b/>
                <w:sz w:val="20"/>
                <w:szCs w:val="20"/>
              </w:rPr>
            </w:pPr>
          </w:p>
        </w:tc>
        <w:tc>
          <w:tcPr>
            <w:tcW w:w="3260" w:type="dxa"/>
          </w:tcPr>
          <w:p w14:paraId="3AD785BB" w14:textId="77777777" w:rsidR="003573E6" w:rsidRPr="00680454" w:rsidRDefault="003573E6" w:rsidP="00680454">
            <w:pPr>
              <w:spacing w:after="0" w:line="240" w:lineRule="auto"/>
              <w:jc w:val="both"/>
              <w:rPr>
                <w:rFonts w:ascii="Arial" w:hAnsi="Arial" w:cs="Arial"/>
                <w:b/>
                <w:sz w:val="20"/>
                <w:szCs w:val="20"/>
              </w:rPr>
            </w:pPr>
          </w:p>
        </w:tc>
        <w:tc>
          <w:tcPr>
            <w:tcW w:w="2709" w:type="dxa"/>
          </w:tcPr>
          <w:p w14:paraId="13FC1F52" w14:textId="51ED661F" w:rsidR="003573E6" w:rsidRPr="00F67B52" w:rsidRDefault="003573E6" w:rsidP="00680454">
            <w:pPr>
              <w:spacing w:after="0" w:line="240" w:lineRule="auto"/>
              <w:jc w:val="both"/>
              <w:rPr>
                <w:rFonts w:ascii="Arial" w:hAnsi="Arial" w:cs="Arial"/>
                <w:sz w:val="20"/>
                <w:szCs w:val="20"/>
              </w:rPr>
            </w:pPr>
            <w:r w:rsidRPr="00F67B52">
              <w:rPr>
                <w:rFonts w:ascii="Arial" w:hAnsi="Arial" w:cs="Arial"/>
                <w:b/>
                <w:sz w:val="20"/>
                <w:szCs w:val="20"/>
              </w:rPr>
              <w:t xml:space="preserve">Para efectos de este artículo, el término mujer incluye a todas las </w:t>
            </w:r>
            <w:r w:rsidRPr="00F67B52">
              <w:rPr>
                <w:rFonts w:ascii="Arial" w:hAnsi="Arial" w:cs="Arial"/>
                <w:b/>
                <w:sz w:val="20"/>
                <w:szCs w:val="20"/>
              </w:rPr>
              <w:lastRenderedPageBreak/>
              <w:t xml:space="preserve">mujeres en su diversidad y etapas de vida. </w:t>
            </w:r>
          </w:p>
        </w:tc>
      </w:tr>
      <w:tr w:rsidR="003573E6" w:rsidRPr="00680454" w14:paraId="7E1E0016" w14:textId="77777777" w:rsidTr="003573E6">
        <w:tc>
          <w:tcPr>
            <w:tcW w:w="3085" w:type="dxa"/>
          </w:tcPr>
          <w:p w14:paraId="21A0D390" w14:textId="77777777" w:rsidR="003573E6" w:rsidRPr="00680454" w:rsidRDefault="003573E6" w:rsidP="00680454">
            <w:pPr>
              <w:spacing w:after="0" w:line="240" w:lineRule="auto"/>
              <w:jc w:val="both"/>
              <w:rPr>
                <w:rFonts w:ascii="Arial" w:hAnsi="Arial" w:cs="Arial"/>
                <w:b/>
                <w:sz w:val="20"/>
                <w:szCs w:val="20"/>
              </w:rPr>
            </w:pPr>
          </w:p>
        </w:tc>
        <w:tc>
          <w:tcPr>
            <w:tcW w:w="3260" w:type="dxa"/>
          </w:tcPr>
          <w:p w14:paraId="31E0F2B0" w14:textId="77777777" w:rsidR="003573E6" w:rsidRPr="00680454" w:rsidRDefault="003573E6" w:rsidP="00680454">
            <w:pPr>
              <w:spacing w:after="0" w:line="240" w:lineRule="auto"/>
              <w:jc w:val="both"/>
              <w:rPr>
                <w:rFonts w:ascii="Arial" w:hAnsi="Arial" w:cs="Arial"/>
                <w:b/>
                <w:sz w:val="20"/>
                <w:szCs w:val="20"/>
              </w:rPr>
            </w:pPr>
          </w:p>
        </w:tc>
        <w:tc>
          <w:tcPr>
            <w:tcW w:w="2709" w:type="dxa"/>
          </w:tcPr>
          <w:p w14:paraId="10BEADCB" w14:textId="21F0B65C" w:rsidR="003573E6" w:rsidRPr="00F67B52" w:rsidRDefault="003573E6" w:rsidP="00680454">
            <w:pPr>
              <w:spacing w:after="0" w:line="240" w:lineRule="auto"/>
              <w:jc w:val="both"/>
              <w:rPr>
                <w:rFonts w:ascii="Arial" w:hAnsi="Arial" w:cs="Arial"/>
                <w:sz w:val="20"/>
                <w:szCs w:val="20"/>
              </w:rPr>
            </w:pPr>
            <w:r w:rsidRPr="00F67B52">
              <w:rPr>
                <w:rFonts w:ascii="Arial" w:hAnsi="Arial" w:cs="Arial"/>
                <w:sz w:val="20"/>
                <w:szCs w:val="20"/>
              </w:rPr>
              <w:t xml:space="preserve">Se considera que existe </w:t>
            </w:r>
            <w:r w:rsidRPr="00F67B52">
              <w:rPr>
                <w:rFonts w:ascii="Arial" w:hAnsi="Arial" w:cs="Arial"/>
                <w:b/>
                <w:sz w:val="20"/>
                <w:szCs w:val="20"/>
              </w:rPr>
              <w:t>una razón de género</w:t>
            </w:r>
            <w:r w:rsidRPr="00F67B52">
              <w:rPr>
                <w:rFonts w:ascii="Arial" w:hAnsi="Arial" w:cs="Arial"/>
                <w:sz w:val="20"/>
                <w:szCs w:val="20"/>
              </w:rPr>
              <w:t xml:space="preserve"> cuando </w:t>
            </w:r>
            <w:r w:rsidRPr="00F67B52">
              <w:rPr>
                <w:rFonts w:ascii="Arial" w:hAnsi="Arial" w:cs="Arial"/>
                <w:b/>
                <w:sz w:val="20"/>
                <w:szCs w:val="20"/>
              </w:rPr>
              <w:t>ocurra cualquiera</w:t>
            </w:r>
            <w:r w:rsidRPr="00F67B52">
              <w:rPr>
                <w:rFonts w:ascii="Arial" w:hAnsi="Arial" w:cs="Arial"/>
                <w:sz w:val="20"/>
                <w:szCs w:val="20"/>
              </w:rPr>
              <w:t xml:space="preserve"> de las siguientes circunstancias:</w:t>
            </w:r>
          </w:p>
        </w:tc>
      </w:tr>
      <w:tr w:rsidR="003573E6" w:rsidRPr="00680454" w14:paraId="06605F28" w14:textId="77777777" w:rsidTr="003573E6">
        <w:tc>
          <w:tcPr>
            <w:tcW w:w="3085" w:type="dxa"/>
          </w:tcPr>
          <w:p w14:paraId="5FF646CC"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I.</w:t>
            </w:r>
            <w:r w:rsidRPr="00680454">
              <w:rPr>
                <w:rFonts w:ascii="Arial" w:hAnsi="Arial" w:cs="Arial"/>
                <w:sz w:val="20"/>
                <w:szCs w:val="20"/>
              </w:rPr>
              <w:t xml:space="preserve"> La víctima presente signos de violencia sexual de cualquier tipo.</w:t>
            </w:r>
          </w:p>
        </w:tc>
        <w:tc>
          <w:tcPr>
            <w:tcW w:w="3260" w:type="dxa"/>
          </w:tcPr>
          <w:p w14:paraId="0606F53A"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 xml:space="preserve">I. </w:t>
            </w:r>
            <w:r w:rsidRPr="00680454">
              <w:rPr>
                <w:rFonts w:ascii="Arial" w:hAnsi="Arial" w:cs="Arial"/>
                <w:sz w:val="20"/>
                <w:szCs w:val="20"/>
              </w:rPr>
              <w:t>…</w:t>
            </w:r>
          </w:p>
        </w:tc>
        <w:tc>
          <w:tcPr>
            <w:tcW w:w="2709" w:type="dxa"/>
          </w:tcPr>
          <w:p w14:paraId="4789A3DE" w14:textId="7AAC850A" w:rsidR="003573E6" w:rsidRPr="00F67B52" w:rsidRDefault="003573E6" w:rsidP="00680454">
            <w:pPr>
              <w:spacing w:after="0" w:line="240" w:lineRule="auto"/>
              <w:jc w:val="both"/>
              <w:rPr>
                <w:rFonts w:ascii="Arial" w:hAnsi="Arial" w:cs="Arial"/>
                <w:sz w:val="20"/>
                <w:szCs w:val="20"/>
              </w:rPr>
            </w:pPr>
            <w:r w:rsidRPr="00F67B52">
              <w:rPr>
                <w:rFonts w:ascii="Arial" w:hAnsi="Arial" w:cs="Arial"/>
                <w:b/>
                <w:sz w:val="20"/>
                <w:szCs w:val="20"/>
              </w:rPr>
              <w:t xml:space="preserve">I. </w:t>
            </w:r>
            <w:r w:rsidRPr="00F67B52">
              <w:rPr>
                <w:rFonts w:ascii="Arial" w:hAnsi="Arial" w:cs="Arial"/>
                <w:sz w:val="20"/>
                <w:szCs w:val="20"/>
              </w:rPr>
              <w:t>…</w:t>
            </w:r>
          </w:p>
        </w:tc>
      </w:tr>
      <w:tr w:rsidR="003573E6" w:rsidRPr="00680454" w14:paraId="309EE6BE" w14:textId="77777777" w:rsidTr="003573E6">
        <w:tc>
          <w:tcPr>
            <w:tcW w:w="3085" w:type="dxa"/>
          </w:tcPr>
          <w:p w14:paraId="3A2F3D66"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 xml:space="preserve">II. </w:t>
            </w:r>
            <w:r w:rsidRPr="00680454">
              <w:rPr>
                <w:rFonts w:ascii="Arial" w:hAnsi="Arial" w:cs="Arial"/>
                <w:sz w:val="20"/>
                <w:szCs w:val="20"/>
              </w:rPr>
              <w:t>A la víctima se le hayan infligido lesiones o mutilaciones infamantes o degradantes, previas o posteriores a la privación de la vida o actos de necrofilia.</w:t>
            </w:r>
          </w:p>
        </w:tc>
        <w:tc>
          <w:tcPr>
            <w:tcW w:w="3260" w:type="dxa"/>
          </w:tcPr>
          <w:p w14:paraId="415350EA"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II.</w:t>
            </w:r>
            <w:r w:rsidRPr="00680454">
              <w:rPr>
                <w:rFonts w:ascii="Arial" w:hAnsi="Arial" w:cs="Arial"/>
                <w:sz w:val="20"/>
                <w:szCs w:val="20"/>
              </w:rPr>
              <w:t xml:space="preserve"> </w:t>
            </w:r>
            <w:r w:rsidRPr="00680454">
              <w:rPr>
                <w:rFonts w:ascii="Arial" w:hAnsi="Arial" w:cs="Arial"/>
                <w:b/>
                <w:color w:val="FF0000"/>
                <w:sz w:val="20"/>
                <w:szCs w:val="20"/>
              </w:rPr>
              <w:t>El cuerpo o los restos de la víctima hayan sido calcinados, presenten heridas, traumatismos, escoriaciones, contusiones, decapitación, desollamiento, fracturas, dislocaciones, cortes, quemaduras, signos de asfixia, estrangulamiento, ahorcamiento, tortura, desmembramiento de partes del cuerpo o cualquier tipo de</w:t>
            </w:r>
            <w:r w:rsidRPr="00680454">
              <w:rPr>
                <w:rFonts w:ascii="Arial" w:hAnsi="Arial" w:cs="Arial"/>
                <w:color w:val="FF0000"/>
                <w:sz w:val="20"/>
                <w:szCs w:val="20"/>
              </w:rPr>
              <w:t xml:space="preserve"> </w:t>
            </w:r>
            <w:r w:rsidRPr="00680454">
              <w:rPr>
                <w:rFonts w:ascii="Arial" w:hAnsi="Arial" w:cs="Arial"/>
                <w:sz w:val="20"/>
                <w:szCs w:val="20"/>
              </w:rPr>
              <w:t xml:space="preserve">lesiones o mutilaciones, </w:t>
            </w:r>
            <w:r w:rsidRPr="00F67B52">
              <w:rPr>
                <w:rFonts w:ascii="Arial" w:hAnsi="Arial" w:cs="Arial"/>
                <w:b/>
                <w:color w:val="FF0000"/>
                <w:sz w:val="20"/>
                <w:szCs w:val="20"/>
              </w:rPr>
              <w:t>internas o externas</w:t>
            </w:r>
            <w:r w:rsidRPr="00680454">
              <w:rPr>
                <w:rFonts w:ascii="Arial" w:hAnsi="Arial" w:cs="Arial"/>
                <w:sz w:val="20"/>
                <w:szCs w:val="20"/>
              </w:rPr>
              <w:t>, infamantes o degradantes, previas o posteriores a la privación de la vida o actos de necrofilia;</w:t>
            </w:r>
          </w:p>
          <w:p w14:paraId="3453F933" w14:textId="77777777" w:rsidR="003573E6" w:rsidRPr="00680454" w:rsidRDefault="003573E6" w:rsidP="00680454">
            <w:pPr>
              <w:spacing w:after="0" w:line="240" w:lineRule="auto"/>
              <w:jc w:val="both"/>
              <w:rPr>
                <w:rFonts w:ascii="Arial" w:hAnsi="Arial" w:cs="Arial"/>
                <w:sz w:val="20"/>
                <w:szCs w:val="20"/>
              </w:rPr>
            </w:pPr>
          </w:p>
        </w:tc>
        <w:tc>
          <w:tcPr>
            <w:tcW w:w="2709" w:type="dxa"/>
          </w:tcPr>
          <w:p w14:paraId="5602CE84" w14:textId="77777777" w:rsidR="003573E6" w:rsidRPr="00F67B52" w:rsidRDefault="003573E6" w:rsidP="00680454">
            <w:pPr>
              <w:spacing w:after="0" w:line="240" w:lineRule="auto"/>
              <w:jc w:val="both"/>
              <w:rPr>
                <w:rFonts w:ascii="Arial" w:hAnsi="Arial" w:cs="Arial"/>
                <w:sz w:val="20"/>
                <w:szCs w:val="20"/>
              </w:rPr>
            </w:pPr>
            <w:r w:rsidRPr="00F67B52">
              <w:rPr>
                <w:rFonts w:ascii="Arial" w:hAnsi="Arial" w:cs="Arial"/>
                <w:b/>
                <w:sz w:val="20"/>
                <w:szCs w:val="20"/>
              </w:rPr>
              <w:t>II. El cuerpo o los restos de la víctima hayan sido calcinados, presenten heridas, traumatismos, escoriaciones, contusiones, decapitación, desollamiento, fracturas, dislocaciones, cortes, quemaduras, signos de asfixia, estrangulamiento, ahorcamiento, tortura, desmembramiento de partes del cuerpo o cualquier tipo de</w:t>
            </w:r>
            <w:r w:rsidRPr="00F67B52">
              <w:rPr>
                <w:rFonts w:ascii="Arial" w:hAnsi="Arial" w:cs="Arial"/>
                <w:sz w:val="20"/>
                <w:szCs w:val="20"/>
              </w:rPr>
              <w:t xml:space="preserve"> lesiones o mutilaciones, </w:t>
            </w:r>
            <w:r w:rsidRPr="00F67B52">
              <w:rPr>
                <w:rFonts w:ascii="Arial" w:hAnsi="Arial" w:cs="Arial"/>
                <w:b/>
                <w:sz w:val="20"/>
                <w:szCs w:val="20"/>
              </w:rPr>
              <w:t>internas o externas,</w:t>
            </w:r>
            <w:r w:rsidRPr="00F67B52">
              <w:rPr>
                <w:rFonts w:ascii="Arial" w:hAnsi="Arial" w:cs="Arial"/>
                <w:sz w:val="20"/>
                <w:szCs w:val="20"/>
              </w:rPr>
              <w:t xml:space="preserve"> infamantes o degradantes, previas o posteriores a la privación de la vida o actos de necrofilia;</w:t>
            </w:r>
          </w:p>
          <w:p w14:paraId="1C16C561" w14:textId="77777777" w:rsidR="003573E6" w:rsidRPr="00F67B52" w:rsidRDefault="003573E6" w:rsidP="00680454">
            <w:pPr>
              <w:spacing w:after="0" w:line="240" w:lineRule="auto"/>
              <w:jc w:val="both"/>
              <w:rPr>
                <w:rFonts w:ascii="Arial" w:hAnsi="Arial" w:cs="Arial"/>
                <w:sz w:val="20"/>
                <w:szCs w:val="20"/>
              </w:rPr>
            </w:pPr>
          </w:p>
        </w:tc>
      </w:tr>
      <w:tr w:rsidR="003573E6" w:rsidRPr="00680454" w14:paraId="3E40162D" w14:textId="77777777" w:rsidTr="003573E6">
        <w:tc>
          <w:tcPr>
            <w:tcW w:w="3085" w:type="dxa"/>
          </w:tcPr>
          <w:p w14:paraId="5B06CBF5"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 xml:space="preserve">III. </w:t>
            </w:r>
            <w:r w:rsidRPr="00680454">
              <w:rPr>
                <w:rFonts w:ascii="Arial" w:hAnsi="Arial" w:cs="Arial"/>
                <w:sz w:val="20"/>
                <w:szCs w:val="20"/>
              </w:rPr>
              <w:t>Existan antecedentes, datos o medios de prueba de cualquier tipo de violencia en el ámbito familiar, laboral o escolar, del sujeto activo en contra de la víctima.</w:t>
            </w:r>
          </w:p>
        </w:tc>
        <w:tc>
          <w:tcPr>
            <w:tcW w:w="3260" w:type="dxa"/>
          </w:tcPr>
          <w:p w14:paraId="2ECB540A" w14:textId="77777777" w:rsidR="003573E6" w:rsidRPr="00680454" w:rsidRDefault="003573E6" w:rsidP="00680454">
            <w:pPr>
              <w:spacing w:after="0" w:line="240" w:lineRule="auto"/>
              <w:jc w:val="both"/>
              <w:rPr>
                <w:rFonts w:ascii="Arial" w:hAnsi="Arial" w:cs="Arial"/>
                <w:color w:val="FF0000"/>
                <w:sz w:val="20"/>
                <w:szCs w:val="20"/>
              </w:rPr>
            </w:pPr>
            <w:r w:rsidRPr="00680454">
              <w:rPr>
                <w:rFonts w:ascii="Arial" w:hAnsi="Arial" w:cs="Arial"/>
                <w:b/>
                <w:sz w:val="20"/>
                <w:szCs w:val="20"/>
              </w:rPr>
              <w:t>III.</w:t>
            </w:r>
            <w:r w:rsidRPr="00680454">
              <w:rPr>
                <w:rFonts w:ascii="Arial" w:hAnsi="Arial" w:cs="Arial"/>
                <w:sz w:val="20"/>
                <w:szCs w:val="20"/>
              </w:rPr>
              <w:t xml:space="preserve"> Existan antecedentes, </w:t>
            </w:r>
            <w:r w:rsidRPr="00F67B52">
              <w:rPr>
                <w:rFonts w:ascii="Arial" w:hAnsi="Arial" w:cs="Arial"/>
                <w:b/>
                <w:color w:val="FF0000"/>
                <w:sz w:val="20"/>
                <w:szCs w:val="20"/>
              </w:rPr>
              <w:t>indicios</w:t>
            </w:r>
            <w:r w:rsidRPr="00680454">
              <w:rPr>
                <w:rFonts w:ascii="Arial" w:hAnsi="Arial" w:cs="Arial"/>
                <w:sz w:val="20"/>
                <w:szCs w:val="20"/>
              </w:rPr>
              <w:t xml:space="preserve"> o datos, </w:t>
            </w:r>
            <w:r w:rsidRPr="00F67B52">
              <w:rPr>
                <w:rFonts w:ascii="Arial" w:hAnsi="Arial" w:cs="Arial"/>
                <w:b/>
                <w:color w:val="FF0000"/>
                <w:sz w:val="20"/>
                <w:szCs w:val="20"/>
              </w:rPr>
              <w:t>denunciados o no</w:t>
            </w:r>
            <w:r w:rsidRPr="00680454">
              <w:rPr>
                <w:rFonts w:ascii="Arial" w:hAnsi="Arial" w:cs="Arial"/>
                <w:sz w:val="20"/>
                <w:szCs w:val="20"/>
              </w:rPr>
              <w:t xml:space="preserve">, de violencia </w:t>
            </w:r>
            <w:r w:rsidRPr="00F67B52">
              <w:rPr>
                <w:rFonts w:ascii="Arial" w:hAnsi="Arial" w:cs="Arial"/>
                <w:b/>
                <w:color w:val="FF0000"/>
                <w:sz w:val="20"/>
                <w:szCs w:val="20"/>
              </w:rPr>
              <w:t>de género</w:t>
            </w:r>
            <w:r w:rsidRPr="00680454">
              <w:rPr>
                <w:rFonts w:ascii="Arial" w:hAnsi="Arial" w:cs="Arial"/>
                <w:color w:val="FF0000"/>
                <w:sz w:val="20"/>
                <w:szCs w:val="20"/>
              </w:rPr>
              <w:t xml:space="preserve"> </w:t>
            </w:r>
            <w:r w:rsidRPr="00680454">
              <w:rPr>
                <w:rFonts w:ascii="Arial" w:hAnsi="Arial" w:cs="Arial"/>
                <w:sz w:val="20"/>
                <w:szCs w:val="20"/>
              </w:rPr>
              <w:t xml:space="preserve">del sujeto activo en contra de la víctima en el ámbito familiar, laboral, </w:t>
            </w:r>
            <w:r w:rsidRPr="00F67B52">
              <w:rPr>
                <w:rFonts w:ascii="Arial" w:hAnsi="Arial" w:cs="Arial"/>
                <w:b/>
                <w:color w:val="FF0000"/>
                <w:sz w:val="20"/>
                <w:szCs w:val="20"/>
              </w:rPr>
              <w:t>docente, comunitario, institucional, político, digital, mediático o cualquier otro;</w:t>
            </w:r>
          </w:p>
        </w:tc>
        <w:tc>
          <w:tcPr>
            <w:tcW w:w="2709" w:type="dxa"/>
          </w:tcPr>
          <w:p w14:paraId="16F7DF59" w14:textId="4A11D862" w:rsidR="003573E6" w:rsidRPr="00F67B52" w:rsidRDefault="003573E6" w:rsidP="00680454">
            <w:pPr>
              <w:spacing w:after="0" w:line="240" w:lineRule="auto"/>
              <w:jc w:val="both"/>
              <w:rPr>
                <w:rFonts w:ascii="Arial" w:hAnsi="Arial" w:cs="Arial"/>
                <w:sz w:val="20"/>
                <w:szCs w:val="20"/>
              </w:rPr>
            </w:pPr>
            <w:r w:rsidRPr="00F67B52">
              <w:rPr>
                <w:rFonts w:ascii="Arial" w:hAnsi="Arial" w:cs="Arial"/>
                <w:b/>
                <w:sz w:val="20"/>
                <w:szCs w:val="20"/>
              </w:rPr>
              <w:t>III.</w:t>
            </w:r>
            <w:r w:rsidRPr="00F67B52">
              <w:rPr>
                <w:rFonts w:ascii="Arial" w:hAnsi="Arial" w:cs="Arial"/>
                <w:sz w:val="20"/>
                <w:szCs w:val="20"/>
              </w:rPr>
              <w:t xml:space="preserve"> Existan antecedentes</w:t>
            </w:r>
            <w:r w:rsidRPr="00F67B52">
              <w:rPr>
                <w:rFonts w:ascii="Arial" w:hAnsi="Arial" w:cs="Arial"/>
                <w:b/>
                <w:sz w:val="20"/>
                <w:szCs w:val="20"/>
              </w:rPr>
              <w:t>, indicios</w:t>
            </w:r>
            <w:r w:rsidRPr="00F67B52">
              <w:rPr>
                <w:rFonts w:ascii="Arial" w:hAnsi="Arial" w:cs="Arial"/>
                <w:sz w:val="20"/>
                <w:szCs w:val="20"/>
              </w:rPr>
              <w:t xml:space="preserve"> o datos, </w:t>
            </w:r>
            <w:r w:rsidRPr="00F67B52">
              <w:rPr>
                <w:rFonts w:ascii="Arial" w:hAnsi="Arial" w:cs="Arial"/>
                <w:b/>
                <w:sz w:val="20"/>
                <w:szCs w:val="20"/>
              </w:rPr>
              <w:t>denunciados o no,</w:t>
            </w:r>
            <w:r w:rsidRPr="00F67B52">
              <w:rPr>
                <w:rFonts w:ascii="Arial" w:hAnsi="Arial" w:cs="Arial"/>
                <w:sz w:val="20"/>
                <w:szCs w:val="20"/>
              </w:rPr>
              <w:t xml:space="preserve"> de violencia </w:t>
            </w:r>
            <w:r w:rsidRPr="00F67B52">
              <w:rPr>
                <w:rFonts w:ascii="Arial" w:hAnsi="Arial" w:cs="Arial"/>
                <w:b/>
                <w:sz w:val="20"/>
                <w:szCs w:val="20"/>
              </w:rPr>
              <w:t>de género</w:t>
            </w:r>
            <w:r w:rsidRPr="00F67B52">
              <w:rPr>
                <w:rFonts w:ascii="Arial" w:hAnsi="Arial" w:cs="Arial"/>
                <w:sz w:val="20"/>
                <w:szCs w:val="20"/>
              </w:rPr>
              <w:t xml:space="preserve"> del sujeto activo en contra de la víctima en el ámbito familiar, laboral, </w:t>
            </w:r>
            <w:r w:rsidRPr="00F67B52">
              <w:rPr>
                <w:rFonts w:ascii="Arial" w:hAnsi="Arial" w:cs="Arial"/>
                <w:b/>
                <w:sz w:val="20"/>
                <w:szCs w:val="20"/>
              </w:rPr>
              <w:t>docente, comunitario, institucional, político, digital, mediático o cualquier otro;</w:t>
            </w:r>
          </w:p>
        </w:tc>
      </w:tr>
      <w:tr w:rsidR="003573E6" w:rsidRPr="00680454" w14:paraId="25B35FE5" w14:textId="77777777" w:rsidTr="003573E6">
        <w:tc>
          <w:tcPr>
            <w:tcW w:w="3085" w:type="dxa"/>
          </w:tcPr>
          <w:p w14:paraId="3B9F82B5"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 xml:space="preserve">IV. </w:t>
            </w:r>
            <w:r w:rsidRPr="00680454">
              <w:rPr>
                <w:rFonts w:ascii="Arial" w:hAnsi="Arial" w:cs="Arial"/>
                <w:sz w:val="20"/>
                <w:szCs w:val="20"/>
              </w:rPr>
              <w:t xml:space="preserve">Haya existido entre el activo y la víctima una relación </w:t>
            </w:r>
            <w:r w:rsidRPr="00680454">
              <w:rPr>
                <w:rFonts w:ascii="Arial" w:hAnsi="Arial" w:cs="Arial"/>
                <w:sz w:val="20"/>
                <w:szCs w:val="20"/>
              </w:rPr>
              <w:lastRenderedPageBreak/>
              <w:t>sentimental, afectiva o de confianza.</w:t>
            </w:r>
          </w:p>
        </w:tc>
        <w:tc>
          <w:tcPr>
            <w:tcW w:w="3260" w:type="dxa"/>
          </w:tcPr>
          <w:p w14:paraId="716622BB" w14:textId="77777777" w:rsidR="003573E6" w:rsidRPr="00680454" w:rsidRDefault="003573E6" w:rsidP="00680454">
            <w:pPr>
              <w:spacing w:after="0" w:line="240" w:lineRule="auto"/>
              <w:jc w:val="both"/>
              <w:rPr>
                <w:rFonts w:ascii="Arial" w:hAnsi="Arial" w:cs="Arial"/>
                <w:color w:val="FF0000"/>
                <w:sz w:val="20"/>
                <w:szCs w:val="20"/>
              </w:rPr>
            </w:pPr>
            <w:r w:rsidRPr="00680454">
              <w:rPr>
                <w:rFonts w:ascii="Arial" w:hAnsi="Arial" w:cs="Arial"/>
                <w:b/>
                <w:sz w:val="20"/>
                <w:szCs w:val="20"/>
              </w:rPr>
              <w:lastRenderedPageBreak/>
              <w:t>IV.</w:t>
            </w:r>
            <w:r w:rsidRPr="00680454">
              <w:rPr>
                <w:rFonts w:ascii="Arial" w:hAnsi="Arial" w:cs="Arial"/>
                <w:sz w:val="20"/>
                <w:szCs w:val="20"/>
              </w:rPr>
              <w:t xml:space="preserve"> </w:t>
            </w:r>
            <w:r w:rsidRPr="00F67B52">
              <w:rPr>
                <w:rFonts w:ascii="Arial" w:hAnsi="Arial" w:cs="Arial"/>
                <w:b/>
                <w:color w:val="FF0000"/>
                <w:sz w:val="20"/>
                <w:szCs w:val="20"/>
              </w:rPr>
              <w:t>Exista o</w:t>
            </w:r>
            <w:r w:rsidRPr="00680454">
              <w:rPr>
                <w:rFonts w:ascii="Arial" w:hAnsi="Arial" w:cs="Arial"/>
                <w:sz w:val="20"/>
                <w:szCs w:val="20"/>
              </w:rPr>
              <w:t xml:space="preserve"> haya existido, entre el activo y la víctima, una relación sentimental, afectiva o de </w:t>
            </w:r>
            <w:r w:rsidRPr="00680454">
              <w:rPr>
                <w:rFonts w:ascii="Arial" w:hAnsi="Arial" w:cs="Arial"/>
                <w:sz w:val="20"/>
                <w:szCs w:val="20"/>
              </w:rPr>
              <w:lastRenderedPageBreak/>
              <w:t xml:space="preserve">confianza, </w:t>
            </w:r>
            <w:r w:rsidRPr="00F67B52">
              <w:rPr>
                <w:rFonts w:ascii="Arial" w:hAnsi="Arial" w:cs="Arial"/>
                <w:b/>
                <w:color w:val="FF0000"/>
                <w:sz w:val="20"/>
                <w:szCs w:val="20"/>
              </w:rPr>
              <w:t>por razón de parentesco por consanguinidad, afinidad, matrimonio, concubinato, cuidados, sociedad de convivencia, cohabitación, noviazgo, amistad o cualquier relación de hecho;</w:t>
            </w:r>
          </w:p>
        </w:tc>
        <w:tc>
          <w:tcPr>
            <w:tcW w:w="2709" w:type="dxa"/>
          </w:tcPr>
          <w:p w14:paraId="5DAF35E4" w14:textId="6786A6AA" w:rsidR="003573E6" w:rsidRPr="00F67B52" w:rsidRDefault="003573E6" w:rsidP="00680454">
            <w:pPr>
              <w:spacing w:after="0" w:line="240" w:lineRule="auto"/>
              <w:jc w:val="both"/>
              <w:rPr>
                <w:rFonts w:ascii="Arial" w:hAnsi="Arial" w:cs="Arial"/>
                <w:sz w:val="20"/>
                <w:szCs w:val="20"/>
              </w:rPr>
            </w:pPr>
            <w:r w:rsidRPr="00F67B52">
              <w:rPr>
                <w:rFonts w:ascii="Arial" w:hAnsi="Arial" w:cs="Arial"/>
                <w:b/>
                <w:sz w:val="20"/>
                <w:szCs w:val="20"/>
              </w:rPr>
              <w:lastRenderedPageBreak/>
              <w:t>IV.</w:t>
            </w:r>
            <w:r w:rsidRPr="00F67B52">
              <w:rPr>
                <w:rFonts w:ascii="Arial" w:hAnsi="Arial" w:cs="Arial"/>
                <w:sz w:val="20"/>
                <w:szCs w:val="20"/>
              </w:rPr>
              <w:t xml:space="preserve"> </w:t>
            </w:r>
            <w:r w:rsidRPr="00F67B52">
              <w:rPr>
                <w:rFonts w:ascii="Arial" w:hAnsi="Arial" w:cs="Arial"/>
                <w:b/>
                <w:sz w:val="20"/>
                <w:szCs w:val="20"/>
              </w:rPr>
              <w:t>Exista o</w:t>
            </w:r>
            <w:r w:rsidRPr="00F67B52">
              <w:rPr>
                <w:rFonts w:ascii="Arial" w:hAnsi="Arial" w:cs="Arial"/>
                <w:sz w:val="20"/>
                <w:szCs w:val="20"/>
              </w:rPr>
              <w:t xml:space="preserve"> haya existido, entre el activo y la víctima, una relación sentimental, </w:t>
            </w:r>
            <w:r w:rsidRPr="00F67B52">
              <w:rPr>
                <w:rFonts w:ascii="Arial" w:hAnsi="Arial" w:cs="Arial"/>
                <w:sz w:val="20"/>
                <w:szCs w:val="20"/>
              </w:rPr>
              <w:lastRenderedPageBreak/>
              <w:t xml:space="preserve">afectiva o de confianza, </w:t>
            </w:r>
            <w:r w:rsidRPr="00F67B52">
              <w:rPr>
                <w:rFonts w:ascii="Arial" w:hAnsi="Arial" w:cs="Arial"/>
                <w:b/>
                <w:sz w:val="20"/>
                <w:szCs w:val="20"/>
              </w:rPr>
              <w:t>por razón de parentesco por consanguinidad, afinidad, matrimonio, concubinato, cuidados, sociedad de convivencia, cohabitación, noviazgo, amistad o cualquier relación de hecho;</w:t>
            </w:r>
          </w:p>
        </w:tc>
      </w:tr>
      <w:tr w:rsidR="003573E6" w:rsidRPr="00680454" w14:paraId="1ACCEB76" w14:textId="77777777" w:rsidTr="003573E6">
        <w:tc>
          <w:tcPr>
            <w:tcW w:w="3085" w:type="dxa"/>
          </w:tcPr>
          <w:p w14:paraId="6D729587" w14:textId="77777777" w:rsidR="003573E6" w:rsidRPr="00680454" w:rsidRDefault="003573E6" w:rsidP="00680454">
            <w:pPr>
              <w:spacing w:after="0" w:line="240" w:lineRule="auto"/>
              <w:jc w:val="both"/>
              <w:rPr>
                <w:rFonts w:ascii="Arial" w:hAnsi="Arial" w:cs="Arial"/>
                <w:b/>
                <w:sz w:val="20"/>
                <w:szCs w:val="20"/>
              </w:rPr>
            </w:pPr>
            <w:r w:rsidRPr="00680454">
              <w:rPr>
                <w:rFonts w:ascii="Arial" w:hAnsi="Arial" w:cs="Arial"/>
                <w:b/>
                <w:sz w:val="20"/>
                <w:szCs w:val="20"/>
              </w:rPr>
              <w:lastRenderedPageBreak/>
              <w:t xml:space="preserve">V. </w:t>
            </w:r>
            <w:r w:rsidRPr="00680454">
              <w:rPr>
                <w:rFonts w:ascii="Arial" w:hAnsi="Arial" w:cs="Arial"/>
                <w:sz w:val="20"/>
                <w:szCs w:val="20"/>
              </w:rPr>
              <w:t>Existan datos o medios de prueba que establezcan que hubo amenazas relacionadas con el hecho delictuoso, acoso o lesiones del sujeto activo en contra de la víctima.</w:t>
            </w:r>
          </w:p>
        </w:tc>
        <w:tc>
          <w:tcPr>
            <w:tcW w:w="3260" w:type="dxa"/>
          </w:tcPr>
          <w:p w14:paraId="5FDF44DE" w14:textId="77777777" w:rsidR="003573E6" w:rsidRPr="00680454" w:rsidRDefault="003573E6" w:rsidP="00680454">
            <w:pPr>
              <w:spacing w:after="0" w:line="240" w:lineRule="auto"/>
              <w:jc w:val="both"/>
              <w:rPr>
                <w:rFonts w:ascii="Arial" w:eastAsia="Calibri" w:hAnsi="Arial" w:cs="Arial"/>
                <w:color w:val="FF0000"/>
                <w:sz w:val="20"/>
                <w:szCs w:val="20"/>
              </w:rPr>
            </w:pPr>
            <w:r w:rsidRPr="00680454">
              <w:rPr>
                <w:rFonts w:ascii="Arial" w:eastAsia="Calibri" w:hAnsi="Arial" w:cs="Arial"/>
                <w:b/>
                <w:sz w:val="20"/>
                <w:szCs w:val="20"/>
              </w:rPr>
              <w:t>V.</w:t>
            </w:r>
            <w:r w:rsidRPr="00680454">
              <w:rPr>
                <w:rFonts w:ascii="Arial" w:eastAsia="Calibri" w:hAnsi="Arial" w:cs="Arial"/>
                <w:color w:val="FF0000"/>
                <w:sz w:val="20"/>
                <w:szCs w:val="20"/>
              </w:rPr>
              <w:t xml:space="preserve"> </w:t>
            </w:r>
            <w:r w:rsidRPr="00F67B52">
              <w:rPr>
                <w:rFonts w:ascii="Arial" w:eastAsia="Calibri" w:hAnsi="Arial" w:cs="Arial"/>
                <w:b/>
                <w:color w:val="FF0000"/>
                <w:sz w:val="20"/>
                <w:szCs w:val="20"/>
              </w:rPr>
              <w:t>Exista o haya existido, entre el sujeto activo y la víctima, una relación laboral, docente, religiosa, institucional, o cualquier otra que implique, de manera formal o de hecho, una relación de subordinación o superioridad;</w:t>
            </w:r>
          </w:p>
        </w:tc>
        <w:tc>
          <w:tcPr>
            <w:tcW w:w="2709" w:type="dxa"/>
          </w:tcPr>
          <w:p w14:paraId="2B814F53" w14:textId="65E4D492" w:rsidR="003573E6" w:rsidRPr="00F67B52" w:rsidRDefault="003573E6" w:rsidP="00680454">
            <w:pPr>
              <w:spacing w:after="0" w:line="240" w:lineRule="auto"/>
              <w:jc w:val="both"/>
              <w:rPr>
                <w:rFonts w:ascii="Arial" w:hAnsi="Arial" w:cs="Arial"/>
                <w:sz w:val="20"/>
                <w:szCs w:val="20"/>
              </w:rPr>
            </w:pPr>
            <w:r w:rsidRPr="00F67B52">
              <w:rPr>
                <w:rFonts w:ascii="Arial" w:eastAsia="Calibri" w:hAnsi="Arial" w:cs="Arial"/>
                <w:b/>
                <w:sz w:val="20"/>
                <w:szCs w:val="20"/>
              </w:rPr>
              <w:t>V.</w:t>
            </w:r>
            <w:r w:rsidRPr="00F67B52">
              <w:rPr>
                <w:rFonts w:ascii="Arial" w:eastAsia="Calibri" w:hAnsi="Arial" w:cs="Arial"/>
                <w:sz w:val="20"/>
                <w:szCs w:val="20"/>
              </w:rPr>
              <w:t xml:space="preserve"> </w:t>
            </w:r>
            <w:r w:rsidRPr="00F67B52">
              <w:rPr>
                <w:rFonts w:ascii="Arial" w:eastAsia="Calibri" w:hAnsi="Arial" w:cs="Arial"/>
                <w:b/>
                <w:sz w:val="20"/>
                <w:szCs w:val="20"/>
              </w:rPr>
              <w:t>Exista o haya existido, entre el sujeto activo y la víctima, una relación laboral, docente, religiosa, institucional, o cualquier otra que implique, de manera formal o de hecho, una relación de subordinación o superioridad</w:t>
            </w:r>
            <w:r w:rsidRPr="00F67B52">
              <w:rPr>
                <w:rFonts w:ascii="Arial" w:eastAsia="Calibri" w:hAnsi="Arial" w:cs="Arial"/>
                <w:sz w:val="20"/>
                <w:szCs w:val="20"/>
              </w:rPr>
              <w:t>;</w:t>
            </w:r>
          </w:p>
        </w:tc>
      </w:tr>
      <w:tr w:rsidR="003573E6" w:rsidRPr="00680454" w14:paraId="4DC5AA20" w14:textId="77777777" w:rsidTr="003573E6">
        <w:tc>
          <w:tcPr>
            <w:tcW w:w="3085" w:type="dxa"/>
          </w:tcPr>
          <w:p w14:paraId="4271CC35"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 xml:space="preserve">VI. </w:t>
            </w:r>
            <w:r w:rsidRPr="00680454">
              <w:rPr>
                <w:rFonts w:ascii="Arial" w:hAnsi="Arial" w:cs="Arial"/>
                <w:sz w:val="20"/>
                <w:szCs w:val="20"/>
              </w:rPr>
              <w:t>La víctima haya sido incomunicada, cualquiera que sea el tiempo previo a la privación de la vida.</w:t>
            </w:r>
          </w:p>
        </w:tc>
        <w:tc>
          <w:tcPr>
            <w:tcW w:w="3260" w:type="dxa"/>
          </w:tcPr>
          <w:p w14:paraId="22B3EBE4" w14:textId="77777777" w:rsidR="003573E6" w:rsidRPr="00F67B52" w:rsidRDefault="003573E6" w:rsidP="00680454">
            <w:pPr>
              <w:spacing w:after="0" w:line="240" w:lineRule="auto"/>
              <w:jc w:val="both"/>
              <w:rPr>
                <w:rFonts w:ascii="Arial" w:hAnsi="Arial" w:cs="Arial"/>
                <w:b/>
                <w:color w:val="FF0000"/>
                <w:sz w:val="20"/>
                <w:szCs w:val="20"/>
              </w:rPr>
            </w:pPr>
            <w:r w:rsidRPr="00680454">
              <w:rPr>
                <w:rFonts w:ascii="Arial" w:hAnsi="Arial" w:cs="Arial"/>
                <w:b/>
                <w:sz w:val="20"/>
                <w:szCs w:val="20"/>
              </w:rPr>
              <w:t>VI.</w:t>
            </w:r>
            <w:r w:rsidRPr="00680454">
              <w:rPr>
                <w:rFonts w:ascii="Arial" w:hAnsi="Arial" w:cs="Arial"/>
                <w:sz w:val="20"/>
                <w:szCs w:val="20"/>
              </w:rPr>
              <w:t xml:space="preserve"> Existan datos, </w:t>
            </w:r>
            <w:r w:rsidRPr="00F67B52">
              <w:rPr>
                <w:rFonts w:ascii="Arial" w:hAnsi="Arial" w:cs="Arial"/>
                <w:b/>
                <w:color w:val="FF0000"/>
                <w:sz w:val="20"/>
                <w:szCs w:val="20"/>
              </w:rPr>
              <w:t>antecedentes o indicios, denunciados o no,</w:t>
            </w:r>
            <w:r w:rsidRPr="00680454">
              <w:rPr>
                <w:rFonts w:ascii="Arial" w:hAnsi="Arial" w:cs="Arial"/>
                <w:color w:val="FF0000"/>
                <w:sz w:val="20"/>
                <w:szCs w:val="20"/>
              </w:rPr>
              <w:t xml:space="preserve"> </w:t>
            </w:r>
            <w:r w:rsidRPr="00680454">
              <w:rPr>
                <w:rFonts w:ascii="Arial" w:hAnsi="Arial" w:cs="Arial"/>
                <w:sz w:val="20"/>
                <w:szCs w:val="20"/>
              </w:rPr>
              <w:t xml:space="preserve">que establezcan que hubo amenazas, </w:t>
            </w:r>
            <w:r w:rsidRPr="00F67B52">
              <w:rPr>
                <w:rFonts w:ascii="Arial" w:hAnsi="Arial" w:cs="Arial"/>
                <w:b/>
                <w:color w:val="FF0000"/>
                <w:sz w:val="20"/>
                <w:szCs w:val="20"/>
              </w:rPr>
              <w:t>agresiones de cualquier tipo, intimidación, hostigamiento,</w:t>
            </w:r>
            <w:r w:rsidRPr="00680454">
              <w:rPr>
                <w:rFonts w:ascii="Arial" w:hAnsi="Arial" w:cs="Arial"/>
                <w:color w:val="FF0000"/>
                <w:sz w:val="20"/>
                <w:szCs w:val="20"/>
              </w:rPr>
              <w:t xml:space="preserve"> </w:t>
            </w:r>
            <w:r w:rsidRPr="00680454">
              <w:rPr>
                <w:rFonts w:ascii="Arial" w:hAnsi="Arial" w:cs="Arial"/>
                <w:sz w:val="20"/>
                <w:szCs w:val="20"/>
              </w:rPr>
              <w:t>acoso o lesiones del sujeto activo en contra de la víctima</w:t>
            </w:r>
            <w:r w:rsidRPr="00680454">
              <w:rPr>
                <w:rFonts w:ascii="Arial" w:hAnsi="Arial" w:cs="Arial"/>
                <w:color w:val="FF0000"/>
                <w:sz w:val="20"/>
                <w:szCs w:val="20"/>
              </w:rPr>
              <w:t xml:space="preserve">, </w:t>
            </w:r>
            <w:r w:rsidRPr="00F67B52">
              <w:rPr>
                <w:rFonts w:ascii="Arial" w:hAnsi="Arial" w:cs="Arial"/>
                <w:b/>
                <w:color w:val="FF0000"/>
                <w:sz w:val="20"/>
                <w:szCs w:val="20"/>
              </w:rPr>
              <w:t>incluidas aquellas encaminadas a limitar, anular o menoscabar el ejercicio de los derechos políticos y electorales de la víctima o su acceso a un cargo político, público, de poder o de decisión;</w:t>
            </w:r>
          </w:p>
          <w:p w14:paraId="6B6D4D1D" w14:textId="77777777" w:rsidR="003573E6" w:rsidRPr="00680454" w:rsidRDefault="003573E6" w:rsidP="00680454">
            <w:pPr>
              <w:spacing w:after="0" w:line="240" w:lineRule="auto"/>
              <w:jc w:val="both"/>
              <w:rPr>
                <w:rFonts w:ascii="Arial" w:hAnsi="Arial" w:cs="Arial"/>
                <w:sz w:val="20"/>
                <w:szCs w:val="20"/>
              </w:rPr>
            </w:pPr>
          </w:p>
        </w:tc>
        <w:tc>
          <w:tcPr>
            <w:tcW w:w="2709" w:type="dxa"/>
          </w:tcPr>
          <w:p w14:paraId="5C54021F" w14:textId="77777777"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sz w:val="20"/>
                <w:szCs w:val="20"/>
              </w:rPr>
              <w:t>VI.</w:t>
            </w:r>
            <w:r w:rsidRPr="00F67B52">
              <w:rPr>
                <w:rFonts w:ascii="Arial" w:hAnsi="Arial" w:cs="Arial"/>
                <w:sz w:val="20"/>
                <w:szCs w:val="20"/>
              </w:rPr>
              <w:t xml:space="preserve"> Existan datos, </w:t>
            </w:r>
            <w:r w:rsidRPr="00F67B52">
              <w:rPr>
                <w:rFonts w:ascii="Arial" w:hAnsi="Arial" w:cs="Arial"/>
                <w:b/>
                <w:sz w:val="20"/>
                <w:szCs w:val="20"/>
              </w:rPr>
              <w:t>antecedentes o indicios, denunciados o no,</w:t>
            </w:r>
            <w:r w:rsidRPr="00F67B52">
              <w:rPr>
                <w:rFonts w:ascii="Arial" w:hAnsi="Arial" w:cs="Arial"/>
                <w:sz w:val="20"/>
                <w:szCs w:val="20"/>
              </w:rPr>
              <w:t xml:space="preserve"> que establezcan que hubo amenazas, </w:t>
            </w:r>
            <w:r w:rsidRPr="00F67B52">
              <w:rPr>
                <w:rFonts w:ascii="Arial" w:hAnsi="Arial" w:cs="Arial"/>
                <w:b/>
                <w:sz w:val="20"/>
                <w:szCs w:val="20"/>
              </w:rPr>
              <w:t>agresiones de cualquier tipo, intimidación, hostigamiento,</w:t>
            </w:r>
            <w:r w:rsidRPr="00F67B52">
              <w:rPr>
                <w:rFonts w:ascii="Arial" w:hAnsi="Arial" w:cs="Arial"/>
                <w:sz w:val="20"/>
                <w:szCs w:val="20"/>
              </w:rPr>
              <w:t xml:space="preserve"> acoso o lesiones del sujeto activo en contra de la víctima, </w:t>
            </w:r>
            <w:r w:rsidRPr="00F67B52">
              <w:rPr>
                <w:rFonts w:ascii="Arial" w:hAnsi="Arial" w:cs="Arial"/>
                <w:b/>
                <w:sz w:val="20"/>
                <w:szCs w:val="20"/>
              </w:rPr>
              <w:t>incluidas aquellas encaminadas a limitar, anular o menoscabar el ejercicio de los derechos políticos y electorales de la víctima o su acceso a un cargo político, público, de poder o de decisión;</w:t>
            </w:r>
          </w:p>
          <w:p w14:paraId="2E6758C8" w14:textId="77777777" w:rsidR="003573E6" w:rsidRPr="00F67B52" w:rsidRDefault="003573E6" w:rsidP="00680454">
            <w:pPr>
              <w:spacing w:after="0" w:line="240" w:lineRule="auto"/>
              <w:jc w:val="both"/>
              <w:rPr>
                <w:rFonts w:ascii="Arial" w:hAnsi="Arial" w:cs="Arial"/>
                <w:sz w:val="20"/>
                <w:szCs w:val="20"/>
              </w:rPr>
            </w:pPr>
          </w:p>
        </w:tc>
      </w:tr>
      <w:tr w:rsidR="003573E6" w:rsidRPr="00680454" w14:paraId="52EEC8FF" w14:textId="77777777" w:rsidTr="003573E6">
        <w:tc>
          <w:tcPr>
            <w:tcW w:w="3085" w:type="dxa"/>
          </w:tcPr>
          <w:p w14:paraId="331C73AE"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 xml:space="preserve">VII. </w:t>
            </w:r>
            <w:r w:rsidRPr="00680454">
              <w:rPr>
                <w:rFonts w:ascii="Arial" w:hAnsi="Arial" w:cs="Arial"/>
                <w:sz w:val="20"/>
                <w:szCs w:val="20"/>
              </w:rPr>
              <w:t>El cuerpo de la víctima sea expuesto o exhibido en un lugar público.</w:t>
            </w:r>
          </w:p>
        </w:tc>
        <w:tc>
          <w:tcPr>
            <w:tcW w:w="3260" w:type="dxa"/>
          </w:tcPr>
          <w:p w14:paraId="658E9CD2"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VII.</w:t>
            </w:r>
            <w:r w:rsidRPr="00680454">
              <w:rPr>
                <w:rFonts w:ascii="Arial" w:hAnsi="Arial" w:cs="Arial"/>
                <w:sz w:val="20"/>
                <w:szCs w:val="20"/>
              </w:rPr>
              <w:t xml:space="preserve"> La víctima haya sido incomunicada </w:t>
            </w:r>
            <w:r w:rsidRPr="00F67B52">
              <w:rPr>
                <w:rFonts w:ascii="Arial" w:hAnsi="Arial" w:cs="Arial"/>
                <w:b/>
                <w:color w:val="FF0000"/>
                <w:sz w:val="20"/>
                <w:szCs w:val="20"/>
              </w:rPr>
              <w:t>o privada de la libertad</w:t>
            </w:r>
            <w:r w:rsidRPr="00680454">
              <w:rPr>
                <w:rFonts w:ascii="Arial" w:hAnsi="Arial" w:cs="Arial"/>
                <w:sz w:val="20"/>
                <w:szCs w:val="20"/>
              </w:rPr>
              <w:t>, cualquiera que sea el tiempo previo a la privación de la vida;</w:t>
            </w:r>
          </w:p>
        </w:tc>
        <w:tc>
          <w:tcPr>
            <w:tcW w:w="2709" w:type="dxa"/>
          </w:tcPr>
          <w:p w14:paraId="7B3C49F9" w14:textId="380F4643" w:rsidR="003573E6" w:rsidRPr="00F67B52" w:rsidRDefault="003573E6" w:rsidP="00680454">
            <w:pPr>
              <w:spacing w:after="0" w:line="240" w:lineRule="auto"/>
              <w:jc w:val="both"/>
              <w:rPr>
                <w:rFonts w:ascii="Arial" w:hAnsi="Arial" w:cs="Arial"/>
                <w:sz w:val="20"/>
                <w:szCs w:val="20"/>
              </w:rPr>
            </w:pPr>
            <w:r w:rsidRPr="00F67B52">
              <w:rPr>
                <w:rFonts w:ascii="Arial" w:hAnsi="Arial" w:cs="Arial"/>
                <w:b/>
                <w:sz w:val="20"/>
                <w:szCs w:val="20"/>
              </w:rPr>
              <w:t>VII.</w:t>
            </w:r>
            <w:r w:rsidRPr="00F67B52">
              <w:rPr>
                <w:rFonts w:ascii="Arial" w:hAnsi="Arial" w:cs="Arial"/>
                <w:sz w:val="20"/>
                <w:szCs w:val="20"/>
              </w:rPr>
              <w:t xml:space="preserve"> La víctima haya sido incomunicada </w:t>
            </w:r>
            <w:r w:rsidRPr="00F67B52">
              <w:rPr>
                <w:rFonts w:ascii="Arial" w:hAnsi="Arial" w:cs="Arial"/>
                <w:b/>
                <w:sz w:val="20"/>
                <w:szCs w:val="20"/>
              </w:rPr>
              <w:t xml:space="preserve">o privada de la libertad, </w:t>
            </w:r>
            <w:r w:rsidRPr="00F67B52">
              <w:rPr>
                <w:rFonts w:ascii="Arial" w:hAnsi="Arial" w:cs="Arial"/>
                <w:sz w:val="20"/>
                <w:szCs w:val="20"/>
              </w:rPr>
              <w:t>cualquiera que sea el tiempo previo a la privación de la vida;</w:t>
            </w:r>
          </w:p>
        </w:tc>
      </w:tr>
      <w:tr w:rsidR="003573E6" w:rsidRPr="00680454" w14:paraId="33A09323" w14:textId="77777777" w:rsidTr="003573E6">
        <w:tc>
          <w:tcPr>
            <w:tcW w:w="3085" w:type="dxa"/>
          </w:tcPr>
          <w:p w14:paraId="2DA1BBED"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 xml:space="preserve">VIII. </w:t>
            </w:r>
            <w:r w:rsidRPr="00680454">
              <w:rPr>
                <w:rFonts w:ascii="Arial" w:hAnsi="Arial" w:cs="Arial"/>
                <w:sz w:val="20"/>
                <w:szCs w:val="20"/>
              </w:rPr>
              <w:t xml:space="preserve">Como resultado de violencia de género, pudiendo </w:t>
            </w:r>
            <w:r w:rsidRPr="00680454">
              <w:rPr>
                <w:rFonts w:ascii="Arial" w:hAnsi="Arial" w:cs="Arial"/>
                <w:sz w:val="20"/>
                <w:szCs w:val="20"/>
              </w:rPr>
              <w:lastRenderedPageBreak/>
              <w:t>ser el sujeto activo persona conocida o desconocida y sin ningún tipo de relación.</w:t>
            </w:r>
          </w:p>
        </w:tc>
        <w:tc>
          <w:tcPr>
            <w:tcW w:w="3260" w:type="dxa"/>
          </w:tcPr>
          <w:p w14:paraId="30B32C0B" w14:textId="77777777" w:rsidR="003573E6" w:rsidRPr="00680454" w:rsidRDefault="003573E6" w:rsidP="00680454">
            <w:pPr>
              <w:spacing w:after="0" w:line="240" w:lineRule="auto"/>
              <w:jc w:val="both"/>
              <w:rPr>
                <w:rFonts w:ascii="Arial" w:hAnsi="Arial" w:cs="Arial"/>
                <w:color w:val="FF0000"/>
                <w:sz w:val="20"/>
                <w:szCs w:val="20"/>
              </w:rPr>
            </w:pPr>
            <w:r w:rsidRPr="00680454">
              <w:rPr>
                <w:rFonts w:ascii="Arial" w:hAnsi="Arial" w:cs="Arial"/>
                <w:b/>
                <w:sz w:val="20"/>
                <w:szCs w:val="20"/>
              </w:rPr>
              <w:lastRenderedPageBreak/>
              <w:t>VIII.</w:t>
            </w:r>
            <w:r w:rsidRPr="00680454">
              <w:rPr>
                <w:rFonts w:ascii="Arial" w:hAnsi="Arial" w:cs="Arial"/>
                <w:sz w:val="20"/>
                <w:szCs w:val="20"/>
              </w:rPr>
              <w:t xml:space="preserve"> </w:t>
            </w:r>
            <w:r w:rsidRPr="00F67B52">
              <w:rPr>
                <w:rFonts w:ascii="Arial" w:hAnsi="Arial" w:cs="Arial"/>
                <w:b/>
                <w:color w:val="FF0000"/>
                <w:sz w:val="20"/>
                <w:szCs w:val="20"/>
              </w:rPr>
              <w:t xml:space="preserve">La víctima se haya encontrado en un estado de </w:t>
            </w:r>
            <w:r w:rsidRPr="00F67B52">
              <w:rPr>
                <w:rFonts w:ascii="Arial" w:hAnsi="Arial" w:cs="Arial"/>
                <w:b/>
                <w:color w:val="FF0000"/>
                <w:sz w:val="20"/>
                <w:szCs w:val="20"/>
              </w:rPr>
              <w:lastRenderedPageBreak/>
              <w:t>indefensión o desprotección real frente al sujeto activo, causado por factores físicos, psicológicos o materiales que imposibiliten o inhiban su defensa, como la edad; la discapacidad; el nivel de desarrollo cognitivo; la situación de embarazo; la dependencia por cuidados, formal o de hecho; las amenazas; la indefensión aprendida; la somnolencia o la alteración del estado de conciencia, voluntaria o involuntaria, causada por el consumo de alcohol, fármacos o drogas, o</w:t>
            </w:r>
          </w:p>
          <w:p w14:paraId="64AD7DA2" w14:textId="77777777" w:rsidR="003573E6" w:rsidRPr="00680454" w:rsidRDefault="003573E6" w:rsidP="00680454">
            <w:pPr>
              <w:spacing w:after="0" w:line="240" w:lineRule="auto"/>
              <w:jc w:val="both"/>
              <w:rPr>
                <w:rFonts w:ascii="Arial" w:hAnsi="Arial" w:cs="Arial"/>
                <w:sz w:val="20"/>
                <w:szCs w:val="20"/>
              </w:rPr>
            </w:pPr>
          </w:p>
        </w:tc>
        <w:tc>
          <w:tcPr>
            <w:tcW w:w="2709" w:type="dxa"/>
          </w:tcPr>
          <w:p w14:paraId="5104EBBF" w14:textId="77777777"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sz w:val="20"/>
                <w:szCs w:val="20"/>
              </w:rPr>
              <w:lastRenderedPageBreak/>
              <w:t xml:space="preserve">VIII. La víctima se haya encontrado en un estado </w:t>
            </w:r>
            <w:r w:rsidRPr="00F67B52">
              <w:rPr>
                <w:rFonts w:ascii="Arial" w:hAnsi="Arial" w:cs="Arial"/>
                <w:b/>
                <w:sz w:val="20"/>
                <w:szCs w:val="20"/>
              </w:rPr>
              <w:lastRenderedPageBreak/>
              <w:t>de indefensión o desprotección real frente al sujeto activo, causado por factores físicos, psicológicos o materiales que imposibiliten o inhiban su defensa, como la edad; la discapacidad; el nivel de desarrollo cognitivo; la situación de embarazo; la dependencia por cuidados, formal o de hecho; las amenazas; la indefensión aprendida; la somnolencia o la alteración del estado de conciencia, voluntaria o involuntaria, causada por el consumo de alcohol, fármacos o drogas, o</w:t>
            </w:r>
          </w:p>
          <w:p w14:paraId="3ED95BB9" w14:textId="77777777" w:rsidR="003573E6" w:rsidRPr="00F67B52" w:rsidRDefault="003573E6" w:rsidP="00680454">
            <w:pPr>
              <w:spacing w:after="0" w:line="240" w:lineRule="auto"/>
              <w:jc w:val="both"/>
              <w:rPr>
                <w:rFonts w:ascii="Arial" w:hAnsi="Arial" w:cs="Arial"/>
                <w:sz w:val="20"/>
                <w:szCs w:val="20"/>
              </w:rPr>
            </w:pPr>
          </w:p>
        </w:tc>
      </w:tr>
      <w:tr w:rsidR="003573E6" w:rsidRPr="00680454" w14:paraId="40EFC0B1" w14:textId="77777777" w:rsidTr="003573E6">
        <w:tc>
          <w:tcPr>
            <w:tcW w:w="3085" w:type="dxa"/>
          </w:tcPr>
          <w:p w14:paraId="323971C5" w14:textId="77777777" w:rsidR="003573E6" w:rsidRPr="00680454" w:rsidRDefault="003573E6" w:rsidP="00680454">
            <w:pPr>
              <w:spacing w:after="0" w:line="240" w:lineRule="auto"/>
              <w:jc w:val="both"/>
              <w:rPr>
                <w:rFonts w:ascii="Arial" w:hAnsi="Arial" w:cs="Arial"/>
                <w:sz w:val="20"/>
                <w:szCs w:val="20"/>
              </w:rPr>
            </w:pPr>
          </w:p>
        </w:tc>
        <w:tc>
          <w:tcPr>
            <w:tcW w:w="3260" w:type="dxa"/>
          </w:tcPr>
          <w:p w14:paraId="60CE540D" w14:textId="77777777" w:rsidR="003573E6" w:rsidRPr="00F67B52" w:rsidRDefault="003573E6" w:rsidP="00680454">
            <w:pPr>
              <w:spacing w:after="0" w:line="240" w:lineRule="auto"/>
              <w:jc w:val="both"/>
              <w:rPr>
                <w:rFonts w:ascii="Arial" w:hAnsi="Arial" w:cs="Arial"/>
                <w:b/>
                <w:sz w:val="20"/>
                <w:szCs w:val="20"/>
              </w:rPr>
            </w:pPr>
            <w:r w:rsidRPr="00680454">
              <w:rPr>
                <w:rFonts w:ascii="Arial" w:hAnsi="Arial" w:cs="Arial"/>
                <w:b/>
                <w:sz w:val="20"/>
                <w:szCs w:val="20"/>
              </w:rPr>
              <w:t>IX.</w:t>
            </w:r>
            <w:r w:rsidRPr="00680454">
              <w:rPr>
                <w:rFonts w:ascii="Arial" w:hAnsi="Arial" w:cs="Arial"/>
                <w:sz w:val="20"/>
                <w:szCs w:val="20"/>
              </w:rPr>
              <w:t xml:space="preserve"> El cuerpo </w:t>
            </w:r>
            <w:r w:rsidRPr="00F67B52">
              <w:rPr>
                <w:rFonts w:ascii="Arial" w:hAnsi="Arial" w:cs="Arial"/>
                <w:b/>
                <w:color w:val="FF0000"/>
                <w:sz w:val="20"/>
                <w:szCs w:val="20"/>
              </w:rPr>
              <w:t xml:space="preserve">o restos de la víctima </w:t>
            </w:r>
            <w:r w:rsidRPr="00680454">
              <w:rPr>
                <w:rFonts w:ascii="Arial" w:hAnsi="Arial" w:cs="Arial"/>
                <w:sz w:val="20"/>
                <w:szCs w:val="20"/>
              </w:rPr>
              <w:t>sean expuesto</w:t>
            </w:r>
            <w:r w:rsidRPr="00680454">
              <w:rPr>
                <w:rFonts w:ascii="Arial" w:hAnsi="Arial" w:cs="Arial"/>
                <w:color w:val="FF0000"/>
                <w:sz w:val="20"/>
                <w:szCs w:val="20"/>
              </w:rPr>
              <w:t>s</w:t>
            </w:r>
            <w:r w:rsidRPr="00680454">
              <w:rPr>
                <w:rFonts w:ascii="Arial" w:hAnsi="Arial" w:cs="Arial"/>
                <w:sz w:val="20"/>
                <w:szCs w:val="20"/>
              </w:rPr>
              <w:t xml:space="preserve">, </w:t>
            </w:r>
            <w:r w:rsidRPr="00F67B52">
              <w:rPr>
                <w:rFonts w:ascii="Arial" w:hAnsi="Arial" w:cs="Arial"/>
                <w:b/>
                <w:color w:val="FF0000"/>
                <w:sz w:val="20"/>
                <w:szCs w:val="20"/>
              </w:rPr>
              <w:t>exhibidos, depositados, arrojados, enterrados u ocultados</w:t>
            </w:r>
            <w:r w:rsidRPr="00680454">
              <w:rPr>
                <w:rFonts w:ascii="Arial" w:hAnsi="Arial" w:cs="Arial"/>
                <w:sz w:val="20"/>
                <w:szCs w:val="20"/>
              </w:rPr>
              <w:t xml:space="preserve"> en un lugar público </w:t>
            </w:r>
            <w:r w:rsidRPr="00F67B52">
              <w:rPr>
                <w:rFonts w:ascii="Arial" w:hAnsi="Arial" w:cs="Arial"/>
                <w:b/>
                <w:color w:val="FF0000"/>
                <w:sz w:val="20"/>
                <w:szCs w:val="20"/>
              </w:rPr>
              <w:t>o de libre concurrencia.</w:t>
            </w:r>
          </w:p>
          <w:p w14:paraId="667B6D7B" w14:textId="77777777" w:rsidR="003573E6" w:rsidRPr="00680454" w:rsidRDefault="003573E6" w:rsidP="00680454">
            <w:pPr>
              <w:spacing w:after="0" w:line="240" w:lineRule="auto"/>
              <w:jc w:val="both"/>
              <w:rPr>
                <w:rFonts w:ascii="Arial" w:hAnsi="Arial" w:cs="Arial"/>
                <w:sz w:val="20"/>
                <w:szCs w:val="20"/>
              </w:rPr>
            </w:pPr>
          </w:p>
        </w:tc>
        <w:tc>
          <w:tcPr>
            <w:tcW w:w="2709" w:type="dxa"/>
          </w:tcPr>
          <w:p w14:paraId="6C77F433" w14:textId="77777777"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sz w:val="20"/>
                <w:szCs w:val="20"/>
              </w:rPr>
              <w:t>IX.</w:t>
            </w:r>
            <w:r w:rsidRPr="00F67B52">
              <w:rPr>
                <w:rFonts w:ascii="Arial" w:hAnsi="Arial" w:cs="Arial"/>
                <w:sz w:val="20"/>
                <w:szCs w:val="20"/>
              </w:rPr>
              <w:t xml:space="preserve"> El cuerpo </w:t>
            </w:r>
            <w:r w:rsidRPr="00F67B52">
              <w:rPr>
                <w:rFonts w:ascii="Arial" w:hAnsi="Arial" w:cs="Arial"/>
                <w:b/>
                <w:sz w:val="20"/>
                <w:szCs w:val="20"/>
              </w:rPr>
              <w:t>o restos de la víctima</w:t>
            </w:r>
            <w:r w:rsidRPr="00F67B52">
              <w:rPr>
                <w:rFonts w:ascii="Arial" w:hAnsi="Arial" w:cs="Arial"/>
                <w:sz w:val="20"/>
                <w:szCs w:val="20"/>
              </w:rPr>
              <w:t xml:space="preserve"> sean expuesto</w:t>
            </w:r>
            <w:r w:rsidRPr="00F67B52">
              <w:rPr>
                <w:rFonts w:ascii="Arial" w:hAnsi="Arial" w:cs="Arial"/>
                <w:b/>
                <w:sz w:val="20"/>
                <w:szCs w:val="20"/>
              </w:rPr>
              <w:t>s</w:t>
            </w:r>
            <w:r w:rsidRPr="00F67B52">
              <w:rPr>
                <w:rFonts w:ascii="Arial" w:hAnsi="Arial" w:cs="Arial"/>
                <w:sz w:val="20"/>
                <w:szCs w:val="20"/>
              </w:rPr>
              <w:t xml:space="preserve">, </w:t>
            </w:r>
            <w:r w:rsidRPr="00F67B52">
              <w:rPr>
                <w:rFonts w:ascii="Arial" w:hAnsi="Arial" w:cs="Arial"/>
                <w:b/>
                <w:sz w:val="20"/>
                <w:szCs w:val="20"/>
              </w:rPr>
              <w:t>exhibidos, depositados, arrojados, enterrados u ocultados</w:t>
            </w:r>
            <w:r w:rsidRPr="00F67B52">
              <w:rPr>
                <w:rFonts w:ascii="Arial" w:hAnsi="Arial" w:cs="Arial"/>
                <w:sz w:val="20"/>
                <w:szCs w:val="20"/>
              </w:rPr>
              <w:t xml:space="preserve"> en un lugar público </w:t>
            </w:r>
            <w:r w:rsidRPr="00F67B52">
              <w:rPr>
                <w:rFonts w:ascii="Arial" w:hAnsi="Arial" w:cs="Arial"/>
                <w:b/>
                <w:sz w:val="20"/>
                <w:szCs w:val="20"/>
              </w:rPr>
              <w:t>o de libre concurrencia.</w:t>
            </w:r>
          </w:p>
          <w:p w14:paraId="4D473CAE" w14:textId="77777777" w:rsidR="003573E6" w:rsidRPr="00F67B52" w:rsidRDefault="003573E6" w:rsidP="00680454">
            <w:pPr>
              <w:spacing w:after="0" w:line="240" w:lineRule="auto"/>
              <w:jc w:val="both"/>
              <w:rPr>
                <w:rFonts w:ascii="Arial" w:hAnsi="Arial" w:cs="Arial"/>
                <w:sz w:val="20"/>
                <w:szCs w:val="20"/>
              </w:rPr>
            </w:pPr>
          </w:p>
        </w:tc>
      </w:tr>
      <w:tr w:rsidR="003573E6" w:rsidRPr="00680454" w14:paraId="73C47A7E" w14:textId="77777777" w:rsidTr="003573E6">
        <w:tc>
          <w:tcPr>
            <w:tcW w:w="3085" w:type="dxa"/>
          </w:tcPr>
          <w:p w14:paraId="48C02C34"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sz w:val="20"/>
                <w:szCs w:val="20"/>
              </w:rPr>
              <w:t>En los casos a que se refiere este artículo, la penalidad será de cuarenta a setenta años de prisión o prisión vitalicia y de setecientos a cinco mil días multa.</w:t>
            </w:r>
          </w:p>
        </w:tc>
        <w:tc>
          <w:tcPr>
            <w:tcW w:w="3260" w:type="dxa"/>
          </w:tcPr>
          <w:p w14:paraId="0F6CA1EF"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sz w:val="20"/>
                <w:szCs w:val="20"/>
              </w:rPr>
              <w:t>...</w:t>
            </w:r>
          </w:p>
        </w:tc>
        <w:tc>
          <w:tcPr>
            <w:tcW w:w="2709" w:type="dxa"/>
          </w:tcPr>
          <w:p w14:paraId="1BB46CF4" w14:textId="4CCECF74" w:rsidR="003573E6" w:rsidRPr="00F67B52" w:rsidRDefault="003573E6" w:rsidP="00680454">
            <w:pPr>
              <w:spacing w:after="0" w:line="240" w:lineRule="auto"/>
              <w:jc w:val="both"/>
              <w:rPr>
                <w:rFonts w:ascii="Arial" w:hAnsi="Arial" w:cs="Arial"/>
                <w:sz w:val="20"/>
                <w:szCs w:val="20"/>
              </w:rPr>
            </w:pPr>
            <w:r w:rsidRPr="00F67B52">
              <w:rPr>
                <w:rFonts w:ascii="Arial" w:hAnsi="Arial" w:cs="Arial"/>
                <w:sz w:val="20"/>
                <w:szCs w:val="20"/>
              </w:rPr>
              <w:t>…</w:t>
            </w:r>
          </w:p>
        </w:tc>
      </w:tr>
      <w:tr w:rsidR="003573E6" w:rsidRPr="00680454" w14:paraId="58174EFF" w14:textId="77777777" w:rsidTr="003573E6">
        <w:tc>
          <w:tcPr>
            <w:tcW w:w="3085" w:type="dxa"/>
          </w:tcPr>
          <w:p w14:paraId="539C3A45"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sz w:val="20"/>
                <w:szCs w:val="20"/>
              </w:rPr>
              <w:t>Además de las sanciones descritas en el presente artículo, el sujeto activo perderá todos los derechos con relación a la víctima, incluidos los de carácter sucesorio.</w:t>
            </w:r>
          </w:p>
        </w:tc>
        <w:tc>
          <w:tcPr>
            <w:tcW w:w="3260" w:type="dxa"/>
          </w:tcPr>
          <w:p w14:paraId="2B7444B5" w14:textId="77777777" w:rsidR="003573E6" w:rsidRPr="00680454" w:rsidRDefault="003573E6" w:rsidP="00680454">
            <w:pPr>
              <w:spacing w:after="0" w:line="240" w:lineRule="auto"/>
              <w:jc w:val="both"/>
              <w:rPr>
                <w:rFonts w:ascii="Arial" w:hAnsi="Arial" w:cs="Arial"/>
                <w:sz w:val="20"/>
                <w:szCs w:val="20"/>
              </w:rPr>
            </w:pPr>
          </w:p>
        </w:tc>
        <w:tc>
          <w:tcPr>
            <w:tcW w:w="2709" w:type="dxa"/>
          </w:tcPr>
          <w:p w14:paraId="13344A69" w14:textId="7AEDD368" w:rsidR="003573E6" w:rsidRPr="00F67B52" w:rsidRDefault="003573E6" w:rsidP="00680454">
            <w:pPr>
              <w:spacing w:after="0" w:line="240" w:lineRule="auto"/>
              <w:jc w:val="both"/>
              <w:rPr>
                <w:rFonts w:ascii="Arial" w:hAnsi="Arial" w:cs="Arial"/>
                <w:sz w:val="20"/>
                <w:szCs w:val="20"/>
              </w:rPr>
            </w:pPr>
            <w:r w:rsidRPr="00F67B52">
              <w:rPr>
                <w:rFonts w:ascii="Arial" w:hAnsi="Arial" w:cs="Arial"/>
                <w:sz w:val="20"/>
                <w:szCs w:val="20"/>
              </w:rPr>
              <w:t>…</w:t>
            </w:r>
          </w:p>
        </w:tc>
      </w:tr>
      <w:tr w:rsidR="003573E6" w:rsidRPr="00680454" w14:paraId="7DFA237A" w14:textId="77777777" w:rsidTr="003573E6">
        <w:tc>
          <w:tcPr>
            <w:tcW w:w="3085" w:type="dxa"/>
          </w:tcPr>
          <w:p w14:paraId="113E76F7"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sz w:val="20"/>
                <w:szCs w:val="20"/>
              </w:rPr>
              <w:t xml:space="preserve">La pena se agravará hasta en un tercio cuando la víctima sea mujer menor de edad, embarazada o discapacitada, así como cuando el sujeto </w:t>
            </w:r>
            <w:r w:rsidRPr="00680454">
              <w:rPr>
                <w:rFonts w:ascii="Arial" w:hAnsi="Arial" w:cs="Arial"/>
                <w:sz w:val="20"/>
                <w:szCs w:val="20"/>
              </w:rPr>
              <w:lastRenderedPageBreak/>
              <w:t>activo sea servidor público y haya cometido la conducta valiéndose de esta condición.</w:t>
            </w:r>
          </w:p>
        </w:tc>
        <w:tc>
          <w:tcPr>
            <w:tcW w:w="3260" w:type="dxa"/>
          </w:tcPr>
          <w:p w14:paraId="24668B8B" w14:textId="77777777"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color w:val="FF0000"/>
                <w:sz w:val="20"/>
                <w:szCs w:val="20"/>
              </w:rPr>
              <w:lastRenderedPageBreak/>
              <w:t>La pena se agravará hasta en una tercera parte de su mínimo y máximo, cuando concurra cualquiera de las siguientes circunstancias:</w:t>
            </w:r>
          </w:p>
        </w:tc>
        <w:tc>
          <w:tcPr>
            <w:tcW w:w="2709" w:type="dxa"/>
          </w:tcPr>
          <w:p w14:paraId="70977897" w14:textId="51AE6440" w:rsidR="003573E6" w:rsidRPr="00F67B52" w:rsidRDefault="003573E6" w:rsidP="00680454">
            <w:pPr>
              <w:spacing w:after="0" w:line="240" w:lineRule="auto"/>
              <w:jc w:val="both"/>
              <w:rPr>
                <w:rFonts w:ascii="Arial" w:hAnsi="Arial" w:cs="Arial"/>
                <w:sz w:val="20"/>
                <w:szCs w:val="20"/>
              </w:rPr>
            </w:pPr>
            <w:r w:rsidRPr="00F67B52">
              <w:rPr>
                <w:rFonts w:ascii="Arial" w:hAnsi="Arial" w:cs="Arial"/>
                <w:sz w:val="20"/>
                <w:szCs w:val="20"/>
              </w:rPr>
              <w:t>La pena se agravará hasta en una tercera parte de su mínimo y máximo, cuando concurra cualquiera de las siguientes circunstancias:</w:t>
            </w:r>
          </w:p>
        </w:tc>
      </w:tr>
      <w:tr w:rsidR="003573E6" w:rsidRPr="00680454" w14:paraId="20A71CDA" w14:textId="77777777" w:rsidTr="003573E6">
        <w:trPr>
          <w:trHeight w:val="70"/>
        </w:trPr>
        <w:tc>
          <w:tcPr>
            <w:tcW w:w="3085" w:type="dxa"/>
          </w:tcPr>
          <w:p w14:paraId="002FEB72" w14:textId="77777777" w:rsidR="003573E6" w:rsidRPr="00680454" w:rsidRDefault="003573E6" w:rsidP="00680454">
            <w:pPr>
              <w:spacing w:after="0" w:line="240" w:lineRule="auto"/>
              <w:jc w:val="both"/>
              <w:rPr>
                <w:rFonts w:ascii="Arial" w:hAnsi="Arial" w:cs="Arial"/>
                <w:sz w:val="20"/>
                <w:szCs w:val="20"/>
              </w:rPr>
            </w:pPr>
          </w:p>
        </w:tc>
        <w:tc>
          <w:tcPr>
            <w:tcW w:w="3260" w:type="dxa"/>
          </w:tcPr>
          <w:p w14:paraId="49682C16" w14:textId="77777777" w:rsidR="003573E6" w:rsidRPr="00F67B52" w:rsidRDefault="003573E6" w:rsidP="00680454">
            <w:pPr>
              <w:spacing w:after="0" w:line="240" w:lineRule="auto"/>
              <w:jc w:val="both"/>
              <w:rPr>
                <w:rFonts w:ascii="Arial" w:hAnsi="Arial" w:cs="Arial"/>
                <w:b/>
                <w:color w:val="FF0000"/>
                <w:sz w:val="20"/>
                <w:szCs w:val="20"/>
              </w:rPr>
            </w:pPr>
            <w:r w:rsidRPr="00F67B52">
              <w:rPr>
                <w:rFonts w:ascii="Arial" w:hAnsi="Arial" w:cs="Arial"/>
                <w:b/>
                <w:color w:val="FF0000"/>
                <w:sz w:val="20"/>
                <w:szCs w:val="20"/>
              </w:rPr>
              <w:t>I.- Cuando el sujeto activo haya obligado a la víctima a ejercer la prostitución o haya ejercidos actos de explotación o trata de personas en agravio de la víctima;</w:t>
            </w:r>
          </w:p>
          <w:p w14:paraId="3C702042" w14:textId="77777777" w:rsidR="003573E6" w:rsidRPr="00680454" w:rsidRDefault="003573E6" w:rsidP="00680454">
            <w:pPr>
              <w:spacing w:after="0" w:line="240" w:lineRule="auto"/>
              <w:jc w:val="both"/>
              <w:rPr>
                <w:rFonts w:ascii="Arial" w:hAnsi="Arial" w:cs="Arial"/>
                <w:sz w:val="20"/>
                <w:szCs w:val="20"/>
              </w:rPr>
            </w:pPr>
          </w:p>
        </w:tc>
        <w:tc>
          <w:tcPr>
            <w:tcW w:w="2709" w:type="dxa"/>
          </w:tcPr>
          <w:p w14:paraId="069377F9" w14:textId="77777777"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sz w:val="20"/>
                <w:szCs w:val="20"/>
              </w:rPr>
              <w:t>I.- Cuando el sujeto activo haya obligado a la víctima a ejercer la prostitución o haya ejercidos actos de explotación o trata de personas en agravio de la víctima;</w:t>
            </w:r>
          </w:p>
          <w:p w14:paraId="6CE82382" w14:textId="77777777" w:rsidR="003573E6" w:rsidRPr="00F67B52" w:rsidRDefault="003573E6" w:rsidP="00680454">
            <w:pPr>
              <w:spacing w:after="0" w:line="240" w:lineRule="auto"/>
              <w:jc w:val="both"/>
              <w:rPr>
                <w:rFonts w:ascii="Arial" w:hAnsi="Arial" w:cs="Arial"/>
                <w:sz w:val="20"/>
                <w:szCs w:val="20"/>
              </w:rPr>
            </w:pPr>
          </w:p>
        </w:tc>
      </w:tr>
      <w:tr w:rsidR="003573E6" w:rsidRPr="00680454" w14:paraId="7EAC5899" w14:textId="77777777" w:rsidTr="003573E6">
        <w:trPr>
          <w:trHeight w:val="70"/>
        </w:trPr>
        <w:tc>
          <w:tcPr>
            <w:tcW w:w="3085" w:type="dxa"/>
          </w:tcPr>
          <w:p w14:paraId="460A9CF4" w14:textId="77777777" w:rsidR="003573E6" w:rsidRPr="00680454" w:rsidRDefault="003573E6" w:rsidP="00680454">
            <w:pPr>
              <w:spacing w:after="0" w:line="240" w:lineRule="auto"/>
              <w:jc w:val="both"/>
              <w:rPr>
                <w:rFonts w:ascii="Arial" w:hAnsi="Arial" w:cs="Arial"/>
                <w:sz w:val="20"/>
                <w:szCs w:val="20"/>
              </w:rPr>
            </w:pPr>
          </w:p>
        </w:tc>
        <w:tc>
          <w:tcPr>
            <w:tcW w:w="3260" w:type="dxa"/>
          </w:tcPr>
          <w:p w14:paraId="20341A9A" w14:textId="77777777" w:rsidR="003573E6" w:rsidRPr="00F67B52" w:rsidRDefault="003573E6" w:rsidP="00680454">
            <w:pPr>
              <w:spacing w:after="0" w:line="240" w:lineRule="auto"/>
              <w:jc w:val="both"/>
              <w:rPr>
                <w:rFonts w:ascii="Arial" w:hAnsi="Arial" w:cs="Arial"/>
                <w:b/>
                <w:color w:val="FF0000"/>
                <w:sz w:val="20"/>
                <w:szCs w:val="20"/>
              </w:rPr>
            </w:pPr>
            <w:r w:rsidRPr="00F67B52">
              <w:rPr>
                <w:rFonts w:ascii="Arial" w:hAnsi="Arial" w:cs="Arial"/>
                <w:b/>
                <w:color w:val="FF0000"/>
                <w:sz w:val="20"/>
                <w:szCs w:val="20"/>
              </w:rPr>
              <w:t xml:space="preserve">II.- Cuando el sujeto activo sea o haya sido servidor público y cometa el delito en ejercicio de sus funciones o valiéndose de esta calidad. Tratándose de personal de instituciones de seguridad pública, del ejército, de las fuerzas armadas, de la Guardia Nacional o relacionadas con funciones de procuración o impartición de justicia, deberá considerarse como una conducta altamente gravosa por su lesividad social; </w:t>
            </w:r>
          </w:p>
          <w:p w14:paraId="09ED573F" w14:textId="77777777" w:rsidR="003573E6" w:rsidRPr="00680454" w:rsidRDefault="003573E6" w:rsidP="00680454">
            <w:pPr>
              <w:spacing w:after="0" w:line="240" w:lineRule="auto"/>
              <w:jc w:val="both"/>
              <w:rPr>
                <w:rFonts w:ascii="Arial" w:hAnsi="Arial" w:cs="Arial"/>
                <w:sz w:val="20"/>
                <w:szCs w:val="20"/>
              </w:rPr>
            </w:pPr>
          </w:p>
        </w:tc>
        <w:tc>
          <w:tcPr>
            <w:tcW w:w="2709" w:type="dxa"/>
          </w:tcPr>
          <w:p w14:paraId="1717DCE3" w14:textId="77777777"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sz w:val="20"/>
                <w:szCs w:val="20"/>
              </w:rPr>
              <w:t xml:space="preserve">II.- Cuando el sujeto activo sea o haya sido servidor público y cometa el delito en ejercicio de sus funciones o valiéndose de esta calidad. Tratándose de personal de instituciones de seguridad pública, del ejército, de las fuerzas armadas, de la Guardia Nacional o relacionadas con funciones de procuración o impartición de justicia, deberá considerarse como una conducta altamente gravosa por su lesividad social; </w:t>
            </w:r>
          </w:p>
          <w:p w14:paraId="61546B7C" w14:textId="77777777" w:rsidR="003573E6" w:rsidRPr="00F67B52" w:rsidRDefault="003573E6" w:rsidP="00680454">
            <w:pPr>
              <w:spacing w:after="0" w:line="240" w:lineRule="auto"/>
              <w:jc w:val="both"/>
              <w:rPr>
                <w:rFonts w:ascii="Arial" w:hAnsi="Arial" w:cs="Arial"/>
                <w:sz w:val="20"/>
                <w:szCs w:val="20"/>
              </w:rPr>
            </w:pPr>
          </w:p>
        </w:tc>
      </w:tr>
      <w:tr w:rsidR="003573E6" w:rsidRPr="00680454" w14:paraId="6CC378EF" w14:textId="77777777" w:rsidTr="003573E6">
        <w:trPr>
          <w:trHeight w:val="70"/>
        </w:trPr>
        <w:tc>
          <w:tcPr>
            <w:tcW w:w="3085" w:type="dxa"/>
          </w:tcPr>
          <w:p w14:paraId="34CFDCA5" w14:textId="77777777" w:rsidR="003573E6" w:rsidRPr="00680454" w:rsidRDefault="003573E6" w:rsidP="00680454">
            <w:pPr>
              <w:spacing w:after="0" w:line="240" w:lineRule="auto"/>
              <w:jc w:val="both"/>
              <w:rPr>
                <w:rFonts w:ascii="Arial" w:hAnsi="Arial" w:cs="Arial"/>
                <w:sz w:val="20"/>
                <w:szCs w:val="20"/>
              </w:rPr>
            </w:pPr>
          </w:p>
        </w:tc>
        <w:tc>
          <w:tcPr>
            <w:tcW w:w="3260" w:type="dxa"/>
          </w:tcPr>
          <w:p w14:paraId="2550718C" w14:textId="77777777" w:rsidR="003573E6" w:rsidRPr="00F67B52" w:rsidRDefault="003573E6" w:rsidP="00680454">
            <w:pPr>
              <w:spacing w:after="0" w:line="240" w:lineRule="auto"/>
              <w:jc w:val="both"/>
              <w:rPr>
                <w:rFonts w:ascii="Arial" w:hAnsi="Arial" w:cs="Arial"/>
                <w:b/>
                <w:color w:val="FF0000"/>
                <w:sz w:val="20"/>
                <w:szCs w:val="20"/>
              </w:rPr>
            </w:pPr>
            <w:r w:rsidRPr="00F67B52">
              <w:rPr>
                <w:rFonts w:ascii="Arial" w:hAnsi="Arial" w:cs="Arial"/>
                <w:b/>
                <w:color w:val="FF0000"/>
                <w:sz w:val="20"/>
                <w:szCs w:val="20"/>
              </w:rPr>
              <w:t>III.- Cuando el delito sea cometido por dos o más personas;</w:t>
            </w:r>
          </w:p>
          <w:p w14:paraId="1A20C5E7" w14:textId="77777777" w:rsidR="003573E6" w:rsidRPr="00F67B52" w:rsidRDefault="003573E6" w:rsidP="00680454">
            <w:pPr>
              <w:spacing w:after="0" w:line="240" w:lineRule="auto"/>
              <w:jc w:val="both"/>
              <w:rPr>
                <w:rFonts w:ascii="Arial" w:hAnsi="Arial" w:cs="Arial"/>
                <w:b/>
                <w:sz w:val="20"/>
                <w:szCs w:val="20"/>
              </w:rPr>
            </w:pPr>
          </w:p>
        </w:tc>
        <w:tc>
          <w:tcPr>
            <w:tcW w:w="2709" w:type="dxa"/>
          </w:tcPr>
          <w:p w14:paraId="70EC0D3F" w14:textId="77777777"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sz w:val="20"/>
                <w:szCs w:val="20"/>
              </w:rPr>
              <w:t>III.- Cuando el delito sea cometido por dos o más personas;</w:t>
            </w:r>
          </w:p>
          <w:p w14:paraId="2C1640DF" w14:textId="77777777" w:rsidR="003573E6" w:rsidRPr="00F67B52" w:rsidRDefault="003573E6" w:rsidP="00680454">
            <w:pPr>
              <w:spacing w:after="0" w:line="240" w:lineRule="auto"/>
              <w:jc w:val="both"/>
              <w:rPr>
                <w:rFonts w:ascii="Arial" w:hAnsi="Arial" w:cs="Arial"/>
                <w:sz w:val="20"/>
                <w:szCs w:val="20"/>
              </w:rPr>
            </w:pPr>
          </w:p>
        </w:tc>
      </w:tr>
      <w:tr w:rsidR="003573E6" w:rsidRPr="00680454" w14:paraId="1CA3356D" w14:textId="77777777" w:rsidTr="003573E6">
        <w:trPr>
          <w:trHeight w:val="70"/>
        </w:trPr>
        <w:tc>
          <w:tcPr>
            <w:tcW w:w="3085" w:type="dxa"/>
          </w:tcPr>
          <w:p w14:paraId="2203656F" w14:textId="77777777" w:rsidR="003573E6" w:rsidRPr="00680454" w:rsidRDefault="003573E6" w:rsidP="00680454">
            <w:pPr>
              <w:spacing w:after="0" w:line="240" w:lineRule="auto"/>
              <w:jc w:val="both"/>
              <w:rPr>
                <w:rFonts w:ascii="Arial" w:hAnsi="Arial" w:cs="Arial"/>
                <w:sz w:val="20"/>
                <w:szCs w:val="20"/>
              </w:rPr>
            </w:pPr>
          </w:p>
        </w:tc>
        <w:tc>
          <w:tcPr>
            <w:tcW w:w="3260" w:type="dxa"/>
          </w:tcPr>
          <w:p w14:paraId="7757097F" w14:textId="77777777" w:rsidR="003573E6" w:rsidRPr="00F67B52" w:rsidRDefault="003573E6" w:rsidP="00680454">
            <w:pPr>
              <w:spacing w:after="0" w:line="240" w:lineRule="auto"/>
              <w:jc w:val="both"/>
              <w:rPr>
                <w:rFonts w:ascii="Arial" w:hAnsi="Arial" w:cs="Arial"/>
                <w:b/>
                <w:color w:val="FF0000"/>
                <w:sz w:val="20"/>
                <w:szCs w:val="20"/>
              </w:rPr>
            </w:pPr>
            <w:r w:rsidRPr="00F67B52">
              <w:rPr>
                <w:rFonts w:ascii="Arial" w:hAnsi="Arial" w:cs="Arial"/>
                <w:b/>
                <w:color w:val="FF0000"/>
                <w:sz w:val="20"/>
                <w:szCs w:val="20"/>
              </w:rPr>
              <w:t>IV.- Cuando el delito sea cometido en presencia de una o más personas con quienes la víctima tuviere un vínculo de parentesco por consanguinidad, afinidad o civil; matrimonio; concubinato; sociedad de convivencia; cohabitación; de cuidado; noviazgo, o cualquier otra relación afectiva, sentimental o de hecho;</w:t>
            </w:r>
          </w:p>
          <w:p w14:paraId="6114337D" w14:textId="77777777" w:rsidR="003573E6" w:rsidRPr="00F67B52" w:rsidRDefault="003573E6" w:rsidP="00680454">
            <w:pPr>
              <w:spacing w:after="0" w:line="240" w:lineRule="auto"/>
              <w:jc w:val="both"/>
              <w:rPr>
                <w:rFonts w:ascii="Arial" w:hAnsi="Arial" w:cs="Arial"/>
                <w:b/>
                <w:sz w:val="20"/>
                <w:szCs w:val="20"/>
              </w:rPr>
            </w:pPr>
          </w:p>
        </w:tc>
        <w:tc>
          <w:tcPr>
            <w:tcW w:w="2709" w:type="dxa"/>
          </w:tcPr>
          <w:p w14:paraId="4A532BBC" w14:textId="77777777"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sz w:val="20"/>
                <w:szCs w:val="20"/>
              </w:rPr>
              <w:lastRenderedPageBreak/>
              <w:t xml:space="preserve">IV.- Cuando el delito sea cometido en presencia de una o más personas con quienes la víctima tuviere un vínculo de parentesco por consanguinidad, afinidad o civil; matrimonio; concubinato; sociedad de convivencia; cohabitación; de cuidado; noviazgo, o </w:t>
            </w:r>
            <w:r w:rsidRPr="00F67B52">
              <w:rPr>
                <w:rFonts w:ascii="Arial" w:hAnsi="Arial" w:cs="Arial"/>
                <w:b/>
                <w:sz w:val="20"/>
                <w:szCs w:val="20"/>
              </w:rPr>
              <w:lastRenderedPageBreak/>
              <w:t>cualquier otra relación afectiva, sentimental o de hecho;</w:t>
            </w:r>
          </w:p>
          <w:p w14:paraId="78DBA058" w14:textId="77777777" w:rsidR="003573E6" w:rsidRPr="00F67B52" w:rsidRDefault="003573E6" w:rsidP="00680454">
            <w:pPr>
              <w:spacing w:after="0" w:line="240" w:lineRule="auto"/>
              <w:jc w:val="both"/>
              <w:rPr>
                <w:rFonts w:ascii="Arial" w:hAnsi="Arial" w:cs="Arial"/>
                <w:sz w:val="20"/>
                <w:szCs w:val="20"/>
              </w:rPr>
            </w:pPr>
          </w:p>
        </w:tc>
      </w:tr>
      <w:tr w:rsidR="003573E6" w:rsidRPr="00680454" w14:paraId="0E372F79" w14:textId="77777777" w:rsidTr="003573E6">
        <w:trPr>
          <w:trHeight w:val="70"/>
        </w:trPr>
        <w:tc>
          <w:tcPr>
            <w:tcW w:w="3085" w:type="dxa"/>
          </w:tcPr>
          <w:p w14:paraId="3C4547D3" w14:textId="77777777" w:rsidR="003573E6" w:rsidRPr="00680454" w:rsidRDefault="003573E6" w:rsidP="00680454">
            <w:pPr>
              <w:spacing w:after="0" w:line="240" w:lineRule="auto"/>
              <w:jc w:val="both"/>
              <w:rPr>
                <w:rFonts w:ascii="Arial" w:hAnsi="Arial" w:cs="Arial"/>
                <w:sz w:val="20"/>
                <w:szCs w:val="20"/>
              </w:rPr>
            </w:pPr>
          </w:p>
        </w:tc>
        <w:tc>
          <w:tcPr>
            <w:tcW w:w="3260" w:type="dxa"/>
          </w:tcPr>
          <w:p w14:paraId="48E15074" w14:textId="77777777" w:rsidR="003573E6" w:rsidRPr="00F67B52" w:rsidRDefault="003573E6" w:rsidP="00680454">
            <w:pPr>
              <w:spacing w:after="0" w:line="240" w:lineRule="auto"/>
              <w:jc w:val="both"/>
              <w:rPr>
                <w:rFonts w:ascii="Arial" w:hAnsi="Arial" w:cs="Arial"/>
                <w:b/>
                <w:color w:val="FF0000"/>
                <w:sz w:val="20"/>
                <w:szCs w:val="20"/>
              </w:rPr>
            </w:pPr>
            <w:r w:rsidRPr="00F67B52">
              <w:rPr>
                <w:rFonts w:ascii="Arial" w:hAnsi="Arial" w:cs="Arial"/>
                <w:b/>
                <w:color w:val="FF0000"/>
                <w:sz w:val="20"/>
                <w:szCs w:val="20"/>
              </w:rPr>
              <w:t xml:space="preserve">V.- Cuando el sujeto activo, con motivo de su cargo, encargo o situación personal, tenga la obligación o el deber de cuidado sobre la víctima; </w:t>
            </w:r>
          </w:p>
          <w:p w14:paraId="06D85413" w14:textId="77777777" w:rsidR="003573E6" w:rsidRPr="00F67B52" w:rsidRDefault="003573E6" w:rsidP="00680454">
            <w:pPr>
              <w:spacing w:after="0" w:line="240" w:lineRule="auto"/>
              <w:jc w:val="both"/>
              <w:rPr>
                <w:rFonts w:ascii="Arial" w:hAnsi="Arial" w:cs="Arial"/>
                <w:b/>
                <w:sz w:val="20"/>
                <w:szCs w:val="20"/>
              </w:rPr>
            </w:pPr>
          </w:p>
        </w:tc>
        <w:tc>
          <w:tcPr>
            <w:tcW w:w="2709" w:type="dxa"/>
          </w:tcPr>
          <w:p w14:paraId="11DEDC09" w14:textId="77777777"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sz w:val="20"/>
                <w:szCs w:val="20"/>
              </w:rPr>
              <w:t xml:space="preserve">V.- Cuando el sujeto activo, con motivo de su cargo, encargo o situación personal, tenga la obligación o el deber de cuidado sobre la víctima; </w:t>
            </w:r>
          </w:p>
          <w:p w14:paraId="3BD5A567" w14:textId="77777777" w:rsidR="003573E6" w:rsidRPr="00F67B52" w:rsidRDefault="003573E6" w:rsidP="00680454">
            <w:pPr>
              <w:spacing w:after="0" w:line="240" w:lineRule="auto"/>
              <w:jc w:val="both"/>
              <w:rPr>
                <w:rFonts w:ascii="Arial" w:hAnsi="Arial" w:cs="Arial"/>
                <w:sz w:val="20"/>
                <w:szCs w:val="20"/>
              </w:rPr>
            </w:pPr>
          </w:p>
        </w:tc>
      </w:tr>
      <w:tr w:rsidR="003573E6" w:rsidRPr="00680454" w14:paraId="61F479BE" w14:textId="77777777" w:rsidTr="003573E6">
        <w:trPr>
          <w:trHeight w:val="70"/>
        </w:trPr>
        <w:tc>
          <w:tcPr>
            <w:tcW w:w="3085" w:type="dxa"/>
          </w:tcPr>
          <w:p w14:paraId="7624F145" w14:textId="77777777" w:rsidR="003573E6" w:rsidRPr="00680454" w:rsidRDefault="003573E6" w:rsidP="00680454">
            <w:pPr>
              <w:spacing w:after="0" w:line="240" w:lineRule="auto"/>
              <w:jc w:val="both"/>
              <w:rPr>
                <w:rFonts w:ascii="Arial" w:hAnsi="Arial" w:cs="Arial"/>
                <w:b/>
                <w:sz w:val="20"/>
                <w:szCs w:val="20"/>
              </w:rPr>
            </w:pPr>
          </w:p>
        </w:tc>
        <w:tc>
          <w:tcPr>
            <w:tcW w:w="3260" w:type="dxa"/>
          </w:tcPr>
          <w:p w14:paraId="0248ECBD" w14:textId="77777777" w:rsidR="003573E6" w:rsidRPr="00F67B52" w:rsidRDefault="003573E6" w:rsidP="00680454">
            <w:pPr>
              <w:spacing w:after="0" w:line="240" w:lineRule="auto"/>
              <w:jc w:val="both"/>
              <w:rPr>
                <w:rFonts w:ascii="Arial" w:hAnsi="Arial" w:cs="Arial"/>
                <w:b/>
                <w:color w:val="FF0000"/>
                <w:sz w:val="20"/>
                <w:szCs w:val="20"/>
              </w:rPr>
            </w:pPr>
            <w:r w:rsidRPr="00F67B52">
              <w:rPr>
                <w:rFonts w:ascii="Arial" w:hAnsi="Arial" w:cs="Arial"/>
                <w:b/>
                <w:color w:val="FF0000"/>
                <w:sz w:val="20"/>
                <w:szCs w:val="20"/>
              </w:rPr>
              <w:t xml:space="preserve">VI. El sujeto activo se haya valido de su oficio como conductor de un vehículo de </w:t>
            </w:r>
          </w:p>
          <w:p w14:paraId="42AECE20" w14:textId="77777777" w:rsidR="003573E6" w:rsidRPr="00F67B52" w:rsidRDefault="003573E6" w:rsidP="00680454">
            <w:pPr>
              <w:spacing w:after="0" w:line="240" w:lineRule="auto"/>
              <w:jc w:val="both"/>
              <w:rPr>
                <w:rFonts w:ascii="Arial" w:hAnsi="Arial" w:cs="Arial"/>
                <w:b/>
                <w:color w:val="FF0000"/>
                <w:sz w:val="20"/>
                <w:szCs w:val="20"/>
              </w:rPr>
            </w:pPr>
            <w:r w:rsidRPr="00F67B52">
              <w:rPr>
                <w:rFonts w:ascii="Arial" w:hAnsi="Arial" w:cs="Arial"/>
                <w:b/>
                <w:color w:val="FF0000"/>
                <w:sz w:val="20"/>
                <w:szCs w:val="20"/>
              </w:rPr>
              <w:t xml:space="preserve">transporte de pasajeros o de turismo, público o privado, para la comisión del delito; o </w:t>
            </w:r>
          </w:p>
        </w:tc>
        <w:tc>
          <w:tcPr>
            <w:tcW w:w="2709" w:type="dxa"/>
          </w:tcPr>
          <w:p w14:paraId="05D1B1CA" w14:textId="77777777"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sz w:val="20"/>
                <w:szCs w:val="20"/>
              </w:rPr>
              <w:t xml:space="preserve">VI. El sujeto activo se haya valido de su oficio como conductor de un vehículo de </w:t>
            </w:r>
          </w:p>
          <w:p w14:paraId="653FF705" w14:textId="589E3E71" w:rsidR="003573E6" w:rsidRPr="00F67B52" w:rsidRDefault="003573E6" w:rsidP="00680454">
            <w:pPr>
              <w:spacing w:after="0" w:line="240" w:lineRule="auto"/>
              <w:jc w:val="both"/>
              <w:rPr>
                <w:rFonts w:ascii="Arial" w:hAnsi="Arial" w:cs="Arial"/>
                <w:sz w:val="20"/>
                <w:szCs w:val="20"/>
              </w:rPr>
            </w:pPr>
            <w:r w:rsidRPr="00F67B52">
              <w:rPr>
                <w:rFonts w:ascii="Arial" w:hAnsi="Arial" w:cs="Arial"/>
                <w:b/>
                <w:sz w:val="20"/>
                <w:szCs w:val="20"/>
              </w:rPr>
              <w:t xml:space="preserve">transporte de pasajeros o de turismo, público o privado, para la comisión del delito; o </w:t>
            </w:r>
          </w:p>
        </w:tc>
      </w:tr>
      <w:tr w:rsidR="003573E6" w:rsidRPr="00680454" w14:paraId="2AA5133A" w14:textId="77777777" w:rsidTr="003573E6">
        <w:trPr>
          <w:trHeight w:val="70"/>
        </w:trPr>
        <w:tc>
          <w:tcPr>
            <w:tcW w:w="3085" w:type="dxa"/>
          </w:tcPr>
          <w:p w14:paraId="7AEF62AF" w14:textId="77777777" w:rsidR="003573E6" w:rsidRPr="00680454" w:rsidRDefault="003573E6" w:rsidP="00680454">
            <w:pPr>
              <w:spacing w:after="0" w:line="240" w:lineRule="auto"/>
              <w:jc w:val="both"/>
              <w:rPr>
                <w:rFonts w:ascii="Arial" w:hAnsi="Arial" w:cs="Arial"/>
                <w:b/>
                <w:sz w:val="20"/>
                <w:szCs w:val="20"/>
              </w:rPr>
            </w:pPr>
          </w:p>
        </w:tc>
        <w:tc>
          <w:tcPr>
            <w:tcW w:w="3260" w:type="dxa"/>
          </w:tcPr>
          <w:p w14:paraId="4CA9CCA8" w14:textId="77777777" w:rsidR="003573E6" w:rsidRPr="00F67B52" w:rsidRDefault="003573E6" w:rsidP="00680454">
            <w:pPr>
              <w:spacing w:after="0" w:line="240" w:lineRule="auto"/>
              <w:jc w:val="both"/>
              <w:rPr>
                <w:rFonts w:ascii="Arial" w:hAnsi="Arial" w:cs="Arial"/>
                <w:b/>
                <w:color w:val="FF0000"/>
                <w:sz w:val="20"/>
                <w:szCs w:val="20"/>
              </w:rPr>
            </w:pPr>
            <w:r w:rsidRPr="00F67B52">
              <w:rPr>
                <w:rFonts w:ascii="Arial" w:hAnsi="Arial" w:cs="Arial"/>
                <w:b/>
                <w:color w:val="FF0000"/>
                <w:sz w:val="20"/>
                <w:szCs w:val="20"/>
              </w:rPr>
              <w:t>VII. Cuando la víctima sea una niña o adolescente.</w:t>
            </w:r>
          </w:p>
        </w:tc>
        <w:tc>
          <w:tcPr>
            <w:tcW w:w="2709" w:type="dxa"/>
          </w:tcPr>
          <w:p w14:paraId="60DD7381" w14:textId="7B2C51F0" w:rsidR="003573E6" w:rsidRPr="00F67B52" w:rsidRDefault="003573E6" w:rsidP="00680454">
            <w:pPr>
              <w:spacing w:after="0" w:line="240" w:lineRule="auto"/>
              <w:jc w:val="both"/>
              <w:rPr>
                <w:rFonts w:ascii="Arial" w:hAnsi="Arial" w:cs="Arial"/>
                <w:sz w:val="20"/>
                <w:szCs w:val="20"/>
              </w:rPr>
            </w:pPr>
            <w:r w:rsidRPr="00F67B52">
              <w:rPr>
                <w:rFonts w:ascii="Arial" w:hAnsi="Arial" w:cs="Arial"/>
                <w:b/>
                <w:sz w:val="20"/>
                <w:szCs w:val="20"/>
              </w:rPr>
              <w:t>VII. Cuando la víctima sea una niña o adolescente.</w:t>
            </w:r>
          </w:p>
        </w:tc>
      </w:tr>
      <w:tr w:rsidR="003573E6" w:rsidRPr="00680454" w14:paraId="1E3E95C9" w14:textId="77777777" w:rsidTr="003573E6">
        <w:trPr>
          <w:trHeight w:val="70"/>
        </w:trPr>
        <w:tc>
          <w:tcPr>
            <w:tcW w:w="3085" w:type="dxa"/>
          </w:tcPr>
          <w:p w14:paraId="19DF591C" w14:textId="77777777" w:rsidR="003573E6" w:rsidRPr="00680454" w:rsidRDefault="003573E6" w:rsidP="00680454">
            <w:pPr>
              <w:spacing w:after="0" w:line="240" w:lineRule="auto"/>
              <w:jc w:val="both"/>
              <w:rPr>
                <w:rFonts w:ascii="Arial" w:hAnsi="Arial" w:cs="Arial"/>
                <w:b/>
                <w:sz w:val="20"/>
                <w:szCs w:val="20"/>
              </w:rPr>
            </w:pPr>
          </w:p>
        </w:tc>
        <w:tc>
          <w:tcPr>
            <w:tcW w:w="3260" w:type="dxa"/>
          </w:tcPr>
          <w:p w14:paraId="286A5420" w14:textId="77777777" w:rsidR="003573E6" w:rsidRPr="00F67B52" w:rsidRDefault="003573E6" w:rsidP="00680454">
            <w:pPr>
              <w:spacing w:after="0" w:line="240" w:lineRule="auto"/>
              <w:jc w:val="both"/>
              <w:rPr>
                <w:rFonts w:ascii="Arial" w:hAnsi="Arial" w:cs="Arial"/>
                <w:b/>
                <w:color w:val="FF0000"/>
                <w:sz w:val="20"/>
                <w:szCs w:val="20"/>
              </w:rPr>
            </w:pPr>
            <w:r w:rsidRPr="00F67B52">
              <w:rPr>
                <w:rFonts w:ascii="Arial" w:hAnsi="Arial" w:cs="Arial"/>
                <w:b/>
                <w:color w:val="FF0000"/>
                <w:sz w:val="20"/>
                <w:szCs w:val="20"/>
              </w:rPr>
              <w:t>Adicionalmente, el sujeto activo será condenado a la pérdida de la patria potestad, en el caso de que tenga hijas o hijos con la víctima y se ordenará a las autoridades competentes la protección, prestación de servicios de ayuda inmediata, asistencia, atención y reparación integral del daño de las niñas, niños y adolescentes que hubiesen quedado en situación de orfandad por feminicidio o que hubieren presenciado este delito.</w:t>
            </w:r>
          </w:p>
        </w:tc>
        <w:tc>
          <w:tcPr>
            <w:tcW w:w="2709" w:type="dxa"/>
          </w:tcPr>
          <w:p w14:paraId="73E7CA08" w14:textId="75E8C45A"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sz w:val="20"/>
                <w:szCs w:val="20"/>
              </w:rPr>
              <w:t>Adicionalmente, el sujeto activo será condenado a la pérdida de la patria potestad, en el caso de que tenga hijas o hijos con la víctima y se ordenará a las autoridades competentes la protección, prestación de servicios de ayuda inmediata, asistencia, atención y reparación integral del daño de las niñas, niños y adolescentes que hubiesen quedado en situación de orfandad por feminicidio o que hubieren presenciado este delito.</w:t>
            </w:r>
          </w:p>
        </w:tc>
      </w:tr>
      <w:tr w:rsidR="003573E6" w:rsidRPr="00680454" w14:paraId="536FC9F4" w14:textId="77777777" w:rsidTr="003573E6">
        <w:trPr>
          <w:trHeight w:val="70"/>
        </w:trPr>
        <w:tc>
          <w:tcPr>
            <w:tcW w:w="3085" w:type="dxa"/>
          </w:tcPr>
          <w:p w14:paraId="620503AE" w14:textId="77777777" w:rsidR="003573E6" w:rsidRPr="00680454" w:rsidRDefault="003573E6" w:rsidP="00680454">
            <w:pPr>
              <w:spacing w:after="0" w:line="240" w:lineRule="auto"/>
              <w:jc w:val="both"/>
              <w:rPr>
                <w:rFonts w:ascii="Arial" w:hAnsi="Arial" w:cs="Arial"/>
                <w:b/>
                <w:sz w:val="20"/>
                <w:szCs w:val="20"/>
              </w:rPr>
            </w:pPr>
          </w:p>
        </w:tc>
        <w:tc>
          <w:tcPr>
            <w:tcW w:w="3260" w:type="dxa"/>
          </w:tcPr>
          <w:p w14:paraId="756B04DF" w14:textId="77777777"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color w:val="FF0000"/>
                <w:sz w:val="20"/>
                <w:szCs w:val="20"/>
              </w:rPr>
              <w:t xml:space="preserve">Todas las muertes violentas de una mujer, incluidas aquellas que en principio parecieran haber sido causadas por motivos criminales, suicidio o </w:t>
            </w:r>
            <w:r w:rsidRPr="00F67B52">
              <w:rPr>
                <w:rFonts w:ascii="Arial" w:hAnsi="Arial" w:cs="Arial"/>
                <w:b/>
                <w:color w:val="FF0000"/>
                <w:sz w:val="20"/>
                <w:szCs w:val="20"/>
              </w:rPr>
              <w:lastRenderedPageBreak/>
              <w:t>accidente, deben de investigarse como probable feminicidio y con perspectiva de género, de conformidad con el protocolo especializado aplicable. Tratándose de niñas o adolescentes, deberá considerarse, además, la perspectiva de niñez.</w:t>
            </w:r>
          </w:p>
        </w:tc>
        <w:tc>
          <w:tcPr>
            <w:tcW w:w="2709" w:type="dxa"/>
          </w:tcPr>
          <w:p w14:paraId="0C91E0F5" w14:textId="6F2CED15" w:rsidR="003573E6" w:rsidRPr="00F67B52" w:rsidRDefault="003573E6" w:rsidP="00680454">
            <w:pPr>
              <w:spacing w:after="0" w:line="240" w:lineRule="auto"/>
              <w:jc w:val="both"/>
              <w:rPr>
                <w:rFonts w:ascii="Arial" w:hAnsi="Arial" w:cs="Arial"/>
                <w:b/>
                <w:sz w:val="20"/>
                <w:szCs w:val="20"/>
              </w:rPr>
            </w:pPr>
            <w:r w:rsidRPr="00F67B52">
              <w:rPr>
                <w:rFonts w:ascii="Arial" w:hAnsi="Arial" w:cs="Arial"/>
                <w:b/>
                <w:sz w:val="20"/>
                <w:szCs w:val="20"/>
              </w:rPr>
              <w:lastRenderedPageBreak/>
              <w:t xml:space="preserve">Todas las muertes violentas de una mujer, incluidas aquellas que en principio parecieran haber sido causadas por </w:t>
            </w:r>
            <w:r w:rsidRPr="00F67B52">
              <w:rPr>
                <w:rFonts w:ascii="Arial" w:hAnsi="Arial" w:cs="Arial"/>
                <w:b/>
                <w:sz w:val="20"/>
                <w:szCs w:val="20"/>
              </w:rPr>
              <w:lastRenderedPageBreak/>
              <w:t>motivos criminales, suicidio o accidente, deben de investigarse como probable feminicidio y con perspectiva de género, de conformidad con el protocolo especializado aplicable. Tratándose de niñas o adolescentes, deberá considerarse, además, la perspectiva de niñez.</w:t>
            </w:r>
          </w:p>
        </w:tc>
      </w:tr>
      <w:tr w:rsidR="003573E6" w:rsidRPr="00680454" w14:paraId="17CD60D5" w14:textId="77777777" w:rsidTr="003573E6">
        <w:trPr>
          <w:trHeight w:val="70"/>
        </w:trPr>
        <w:tc>
          <w:tcPr>
            <w:tcW w:w="3085" w:type="dxa"/>
          </w:tcPr>
          <w:p w14:paraId="02A38344" w14:textId="77777777" w:rsidR="003573E6" w:rsidRPr="00680454" w:rsidRDefault="003573E6" w:rsidP="00680454">
            <w:pPr>
              <w:spacing w:after="0" w:line="240" w:lineRule="auto"/>
              <w:jc w:val="both"/>
              <w:rPr>
                <w:rFonts w:ascii="Arial" w:hAnsi="Arial" w:cs="Arial"/>
                <w:b/>
                <w:sz w:val="20"/>
                <w:szCs w:val="20"/>
              </w:rPr>
            </w:pPr>
            <w:r w:rsidRPr="00680454">
              <w:rPr>
                <w:rFonts w:ascii="Arial" w:hAnsi="Arial" w:cs="Arial"/>
                <w:sz w:val="20"/>
                <w:szCs w:val="20"/>
              </w:rPr>
              <w:lastRenderedPageBreak/>
              <w:t>En caso que no se acredite que existieron razones de género al privar de la vida a una mujer, al momento de resolver, para la imposición de las sanciones penales correspondientes, el juez aplicará las disposiciones señaladas en los artículos 242, fracción II y 245 fracción V, inciso d) de este ordenamiento.</w:t>
            </w:r>
          </w:p>
        </w:tc>
        <w:tc>
          <w:tcPr>
            <w:tcW w:w="3260" w:type="dxa"/>
          </w:tcPr>
          <w:p w14:paraId="55EF7136" w14:textId="77777777" w:rsidR="003573E6" w:rsidRPr="00680454" w:rsidRDefault="003573E6" w:rsidP="00680454">
            <w:pPr>
              <w:spacing w:after="0" w:line="240" w:lineRule="auto"/>
              <w:jc w:val="both"/>
              <w:rPr>
                <w:rFonts w:ascii="Arial" w:hAnsi="Arial" w:cs="Arial"/>
                <w:sz w:val="20"/>
                <w:szCs w:val="20"/>
              </w:rPr>
            </w:pPr>
            <w:r w:rsidRPr="00F67B52">
              <w:rPr>
                <w:rFonts w:ascii="Arial" w:hAnsi="Arial" w:cs="Arial"/>
                <w:b/>
                <w:color w:val="FF0000"/>
                <w:sz w:val="20"/>
                <w:szCs w:val="20"/>
              </w:rPr>
              <w:t xml:space="preserve">Cuando </w:t>
            </w:r>
            <w:r w:rsidRPr="00680454">
              <w:rPr>
                <w:rFonts w:ascii="Arial" w:hAnsi="Arial" w:cs="Arial"/>
                <w:sz w:val="20"/>
                <w:szCs w:val="20"/>
              </w:rPr>
              <w:t>no se acredite el feminicidio, se aplicarán las reglas del homicidio.</w:t>
            </w:r>
          </w:p>
        </w:tc>
        <w:tc>
          <w:tcPr>
            <w:tcW w:w="2709" w:type="dxa"/>
          </w:tcPr>
          <w:p w14:paraId="1F8A4D8A" w14:textId="67889019" w:rsidR="003573E6" w:rsidRPr="00F67B52" w:rsidRDefault="003573E6" w:rsidP="00680454">
            <w:pPr>
              <w:spacing w:after="0" w:line="240" w:lineRule="auto"/>
              <w:jc w:val="both"/>
              <w:rPr>
                <w:rFonts w:ascii="Arial" w:hAnsi="Arial" w:cs="Arial"/>
                <w:sz w:val="20"/>
                <w:szCs w:val="20"/>
              </w:rPr>
            </w:pPr>
            <w:r w:rsidRPr="00F67B52">
              <w:rPr>
                <w:rFonts w:ascii="Arial" w:hAnsi="Arial" w:cs="Arial"/>
                <w:sz w:val="20"/>
                <w:szCs w:val="20"/>
              </w:rPr>
              <w:t>En caso que no se acredite que existieron razones de género al privar de la vida a una mujer, al momento de resolver, para la imposición de las sanciones penales correspondientes, el juez aplicará las disposiciones señaladas en los artículos 242, fracción II y 245 fracción V, inciso d) de este ordenamiento.</w:t>
            </w:r>
          </w:p>
        </w:tc>
      </w:tr>
      <w:tr w:rsidR="003573E6" w:rsidRPr="00680454" w14:paraId="603318A9" w14:textId="77777777" w:rsidTr="003573E6">
        <w:trPr>
          <w:trHeight w:val="70"/>
        </w:trPr>
        <w:tc>
          <w:tcPr>
            <w:tcW w:w="3085" w:type="dxa"/>
          </w:tcPr>
          <w:p w14:paraId="3D08799C" w14:textId="77777777" w:rsidR="003573E6" w:rsidRPr="00680454" w:rsidRDefault="003573E6" w:rsidP="00680454">
            <w:pPr>
              <w:spacing w:after="0" w:line="240" w:lineRule="auto"/>
              <w:jc w:val="both"/>
              <w:rPr>
                <w:rFonts w:ascii="Arial" w:hAnsi="Arial" w:cs="Arial"/>
                <w:b/>
                <w:sz w:val="20"/>
                <w:szCs w:val="20"/>
              </w:rPr>
            </w:pPr>
            <w:r w:rsidRPr="00680454">
              <w:rPr>
                <w:rFonts w:ascii="Arial" w:hAnsi="Arial" w:cs="Arial"/>
                <w:sz w:val="20"/>
                <w:szCs w:val="20"/>
              </w:rPr>
              <w:t>Se entenderá como homicidio doloso, la privación de la vida de una mujer por razones de género, para los efectos de:</w:t>
            </w:r>
          </w:p>
        </w:tc>
        <w:tc>
          <w:tcPr>
            <w:tcW w:w="3260" w:type="dxa"/>
          </w:tcPr>
          <w:p w14:paraId="092E3249" w14:textId="77777777" w:rsidR="003573E6" w:rsidRPr="00680454" w:rsidRDefault="003573E6" w:rsidP="00680454">
            <w:pPr>
              <w:spacing w:after="0" w:line="240" w:lineRule="auto"/>
              <w:jc w:val="both"/>
              <w:rPr>
                <w:rFonts w:ascii="Arial" w:hAnsi="Arial" w:cs="Arial"/>
                <w:sz w:val="20"/>
                <w:szCs w:val="20"/>
              </w:rPr>
            </w:pPr>
          </w:p>
        </w:tc>
        <w:tc>
          <w:tcPr>
            <w:tcW w:w="2709" w:type="dxa"/>
          </w:tcPr>
          <w:p w14:paraId="1615DFB0" w14:textId="2D6F89CB" w:rsidR="003573E6" w:rsidRPr="00F67B52" w:rsidRDefault="003573E6" w:rsidP="00680454">
            <w:pPr>
              <w:spacing w:after="0" w:line="240" w:lineRule="auto"/>
              <w:jc w:val="both"/>
              <w:rPr>
                <w:rFonts w:ascii="Arial" w:hAnsi="Arial" w:cs="Arial"/>
                <w:sz w:val="20"/>
                <w:szCs w:val="20"/>
              </w:rPr>
            </w:pPr>
            <w:r w:rsidRPr="00F67B52">
              <w:rPr>
                <w:rFonts w:ascii="Arial" w:hAnsi="Arial" w:cs="Arial"/>
                <w:sz w:val="20"/>
                <w:szCs w:val="20"/>
              </w:rPr>
              <w:t xml:space="preserve">Se entenderá como homicidio doloso, la privación de la vida de una mujer </w:t>
            </w:r>
            <w:r w:rsidRPr="00F67B52">
              <w:rPr>
                <w:rFonts w:ascii="Arial" w:hAnsi="Arial" w:cs="Arial"/>
                <w:b/>
                <w:sz w:val="20"/>
                <w:szCs w:val="20"/>
              </w:rPr>
              <w:t>por una razón</w:t>
            </w:r>
            <w:r w:rsidRPr="00F67B52">
              <w:rPr>
                <w:rFonts w:ascii="Arial" w:hAnsi="Arial" w:cs="Arial"/>
                <w:sz w:val="20"/>
                <w:szCs w:val="20"/>
              </w:rPr>
              <w:t xml:space="preserve"> de género, para los efectos de:</w:t>
            </w:r>
          </w:p>
        </w:tc>
      </w:tr>
      <w:tr w:rsidR="003573E6" w:rsidRPr="00680454" w14:paraId="2AF2078F" w14:textId="77777777" w:rsidTr="003573E6">
        <w:trPr>
          <w:trHeight w:val="70"/>
        </w:trPr>
        <w:tc>
          <w:tcPr>
            <w:tcW w:w="3085" w:type="dxa"/>
          </w:tcPr>
          <w:p w14:paraId="2345EE4D"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 xml:space="preserve">1) </w:t>
            </w:r>
            <w:r w:rsidRPr="00680454">
              <w:rPr>
                <w:rFonts w:ascii="Arial" w:hAnsi="Arial" w:cs="Arial"/>
                <w:sz w:val="20"/>
                <w:szCs w:val="20"/>
              </w:rPr>
              <w:t>La imposición de la prisión preventiva oficiosa.</w:t>
            </w:r>
            <w:r w:rsidRPr="00680454">
              <w:rPr>
                <w:rFonts w:ascii="Arial" w:hAnsi="Arial" w:cs="Arial"/>
                <w:sz w:val="20"/>
                <w:szCs w:val="20"/>
              </w:rPr>
              <w:tab/>
            </w:r>
          </w:p>
        </w:tc>
        <w:tc>
          <w:tcPr>
            <w:tcW w:w="3260" w:type="dxa"/>
          </w:tcPr>
          <w:p w14:paraId="4CD3D0D2" w14:textId="77777777" w:rsidR="003573E6" w:rsidRPr="00680454" w:rsidRDefault="003573E6" w:rsidP="00680454">
            <w:pPr>
              <w:spacing w:after="0" w:line="240" w:lineRule="auto"/>
              <w:jc w:val="both"/>
              <w:rPr>
                <w:rFonts w:ascii="Arial" w:hAnsi="Arial" w:cs="Arial"/>
                <w:color w:val="FF0000"/>
                <w:sz w:val="20"/>
                <w:szCs w:val="20"/>
              </w:rPr>
            </w:pPr>
          </w:p>
        </w:tc>
        <w:tc>
          <w:tcPr>
            <w:tcW w:w="2709" w:type="dxa"/>
          </w:tcPr>
          <w:p w14:paraId="4852C8E6" w14:textId="483ED208" w:rsidR="003573E6" w:rsidRPr="00F67B52" w:rsidRDefault="003573E6" w:rsidP="00680454">
            <w:pPr>
              <w:spacing w:after="0" w:line="240" w:lineRule="auto"/>
              <w:jc w:val="both"/>
              <w:rPr>
                <w:rFonts w:ascii="Arial" w:hAnsi="Arial" w:cs="Arial"/>
                <w:sz w:val="20"/>
                <w:szCs w:val="20"/>
              </w:rPr>
            </w:pPr>
            <w:r w:rsidRPr="00F67B52">
              <w:rPr>
                <w:rFonts w:ascii="Arial" w:hAnsi="Arial" w:cs="Arial"/>
                <w:b/>
                <w:sz w:val="20"/>
                <w:szCs w:val="20"/>
              </w:rPr>
              <w:t xml:space="preserve">1) </w:t>
            </w:r>
            <w:r w:rsidRPr="00F67B52">
              <w:rPr>
                <w:rFonts w:ascii="Arial" w:hAnsi="Arial" w:cs="Arial"/>
                <w:sz w:val="20"/>
                <w:szCs w:val="20"/>
              </w:rPr>
              <w:t>La imposición de la prisión preventiva oficiosa.</w:t>
            </w:r>
          </w:p>
        </w:tc>
      </w:tr>
      <w:tr w:rsidR="003573E6" w:rsidRPr="00680454" w14:paraId="6DAB68D3" w14:textId="77777777" w:rsidTr="003573E6">
        <w:trPr>
          <w:trHeight w:val="70"/>
        </w:trPr>
        <w:tc>
          <w:tcPr>
            <w:tcW w:w="3085" w:type="dxa"/>
          </w:tcPr>
          <w:p w14:paraId="2218B0EC" w14:textId="77777777" w:rsidR="003573E6" w:rsidRPr="00680454" w:rsidRDefault="003573E6" w:rsidP="00680454">
            <w:pPr>
              <w:spacing w:after="0" w:line="240" w:lineRule="auto"/>
              <w:jc w:val="both"/>
              <w:rPr>
                <w:rFonts w:ascii="Arial" w:hAnsi="Arial" w:cs="Arial"/>
                <w:sz w:val="20"/>
                <w:szCs w:val="20"/>
              </w:rPr>
            </w:pPr>
            <w:r w:rsidRPr="00680454">
              <w:rPr>
                <w:rFonts w:ascii="Arial" w:hAnsi="Arial" w:cs="Arial"/>
                <w:b/>
                <w:sz w:val="20"/>
                <w:szCs w:val="20"/>
              </w:rPr>
              <w:t xml:space="preserve">2) </w:t>
            </w:r>
            <w:r w:rsidRPr="00680454">
              <w:rPr>
                <w:rFonts w:ascii="Arial" w:hAnsi="Arial" w:cs="Arial"/>
                <w:sz w:val="20"/>
                <w:szCs w:val="20"/>
              </w:rPr>
              <w:t xml:space="preserve">La remisión parcial de la pena, tratamiento </w:t>
            </w:r>
            <w:proofErr w:type="spellStart"/>
            <w:r w:rsidRPr="00680454">
              <w:rPr>
                <w:rFonts w:ascii="Arial" w:hAnsi="Arial" w:cs="Arial"/>
                <w:sz w:val="20"/>
                <w:szCs w:val="20"/>
              </w:rPr>
              <w:t>preliberacional</w:t>
            </w:r>
            <w:proofErr w:type="spellEnd"/>
            <w:r w:rsidRPr="00680454">
              <w:rPr>
                <w:rFonts w:ascii="Arial" w:hAnsi="Arial" w:cs="Arial"/>
                <w:sz w:val="20"/>
                <w:szCs w:val="20"/>
              </w:rPr>
              <w:t>, libertad condicionada al sistema de localización y rastreo y libertad condicional.</w:t>
            </w:r>
          </w:p>
        </w:tc>
        <w:tc>
          <w:tcPr>
            <w:tcW w:w="3260" w:type="dxa"/>
          </w:tcPr>
          <w:p w14:paraId="28481B83" w14:textId="77777777" w:rsidR="003573E6" w:rsidRPr="00680454" w:rsidRDefault="003573E6" w:rsidP="00680454">
            <w:pPr>
              <w:spacing w:after="0" w:line="240" w:lineRule="auto"/>
              <w:jc w:val="both"/>
              <w:rPr>
                <w:rFonts w:ascii="Arial" w:hAnsi="Arial" w:cs="Arial"/>
                <w:color w:val="FF0000"/>
                <w:sz w:val="20"/>
                <w:szCs w:val="20"/>
              </w:rPr>
            </w:pPr>
          </w:p>
        </w:tc>
        <w:tc>
          <w:tcPr>
            <w:tcW w:w="2709" w:type="dxa"/>
          </w:tcPr>
          <w:p w14:paraId="47178DE5" w14:textId="1882A6D6" w:rsidR="003573E6" w:rsidRPr="00F67B52" w:rsidRDefault="003573E6" w:rsidP="00680454">
            <w:pPr>
              <w:spacing w:after="0" w:line="240" w:lineRule="auto"/>
              <w:jc w:val="both"/>
              <w:rPr>
                <w:rFonts w:ascii="Arial" w:hAnsi="Arial" w:cs="Arial"/>
                <w:sz w:val="20"/>
                <w:szCs w:val="20"/>
              </w:rPr>
            </w:pPr>
            <w:r w:rsidRPr="00F67B52">
              <w:rPr>
                <w:rFonts w:ascii="Arial" w:hAnsi="Arial" w:cs="Arial"/>
                <w:b/>
                <w:sz w:val="20"/>
                <w:szCs w:val="20"/>
              </w:rPr>
              <w:t xml:space="preserve">2) </w:t>
            </w:r>
            <w:r w:rsidRPr="00F67B52">
              <w:rPr>
                <w:rFonts w:ascii="Arial" w:hAnsi="Arial" w:cs="Arial"/>
                <w:sz w:val="20"/>
                <w:szCs w:val="20"/>
              </w:rPr>
              <w:t xml:space="preserve">La remisión parcial de la pena, tratamiento </w:t>
            </w:r>
            <w:proofErr w:type="spellStart"/>
            <w:r w:rsidRPr="00F67B52">
              <w:rPr>
                <w:rFonts w:ascii="Arial" w:hAnsi="Arial" w:cs="Arial"/>
                <w:sz w:val="20"/>
                <w:szCs w:val="20"/>
              </w:rPr>
              <w:t>preliberacional</w:t>
            </w:r>
            <w:proofErr w:type="spellEnd"/>
            <w:r w:rsidRPr="00F67B52">
              <w:rPr>
                <w:rFonts w:ascii="Arial" w:hAnsi="Arial" w:cs="Arial"/>
                <w:sz w:val="20"/>
                <w:szCs w:val="20"/>
              </w:rPr>
              <w:t>, libertad condicionada al sistema de localización y rastreo y libertad condicional.</w:t>
            </w:r>
          </w:p>
        </w:tc>
      </w:tr>
      <w:tr w:rsidR="003573E6" w:rsidRPr="00680454" w14:paraId="617E2A6C" w14:textId="77777777" w:rsidTr="003573E6">
        <w:trPr>
          <w:trHeight w:val="70"/>
        </w:trPr>
        <w:tc>
          <w:tcPr>
            <w:tcW w:w="3085" w:type="dxa"/>
          </w:tcPr>
          <w:p w14:paraId="63E1504D" w14:textId="77777777" w:rsidR="003573E6" w:rsidRPr="00680454" w:rsidRDefault="003573E6" w:rsidP="00680454">
            <w:pPr>
              <w:spacing w:after="0" w:line="240" w:lineRule="auto"/>
              <w:jc w:val="both"/>
              <w:rPr>
                <w:rFonts w:ascii="Arial" w:hAnsi="Arial" w:cs="Arial"/>
                <w:sz w:val="20"/>
                <w:szCs w:val="20"/>
              </w:rPr>
            </w:pPr>
          </w:p>
        </w:tc>
        <w:tc>
          <w:tcPr>
            <w:tcW w:w="3260" w:type="dxa"/>
          </w:tcPr>
          <w:p w14:paraId="55D27828" w14:textId="77777777" w:rsidR="003573E6" w:rsidRPr="00680454" w:rsidRDefault="003573E6" w:rsidP="00680454">
            <w:pPr>
              <w:spacing w:after="0" w:line="240" w:lineRule="auto"/>
              <w:jc w:val="both"/>
              <w:rPr>
                <w:rFonts w:ascii="Arial" w:hAnsi="Arial" w:cs="Arial"/>
                <w:color w:val="FF0000"/>
                <w:sz w:val="20"/>
                <w:szCs w:val="20"/>
              </w:rPr>
            </w:pPr>
            <w:r w:rsidRPr="00F67B52">
              <w:rPr>
                <w:rFonts w:ascii="Arial" w:hAnsi="Arial" w:cs="Arial"/>
                <w:b/>
                <w:color w:val="FF0000"/>
                <w:sz w:val="20"/>
                <w:szCs w:val="20"/>
              </w:rPr>
              <w:t>A la persona servidora pública</w:t>
            </w:r>
            <w:r w:rsidRPr="00680454">
              <w:rPr>
                <w:rFonts w:ascii="Arial" w:hAnsi="Arial" w:cs="Arial"/>
                <w:color w:val="FF0000"/>
                <w:sz w:val="20"/>
                <w:szCs w:val="20"/>
              </w:rPr>
              <w:t xml:space="preserve"> </w:t>
            </w:r>
            <w:r w:rsidRPr="00680454">
              <w:rPr>
                <w:rFonts w:ascii="Arial" w:hAnsi="Arial" w:cs="Arial"/>
                <w:sz w:val="20"/>
                <w:szCs w:val="20"/>
              </w:rPr>
              <w:t>que</w:t>
            </w:r>
            <w:r w:rsidRPr="00680454">
              <w:rPr>
                <w:rFonts w:ascii="Arial" w:hAnsi="Arial" w:cs="Arial"/>
                <w:color w:val="FF0000"/>
                <w:sz w:val="20"/>
                <w:szCs w:val="20"/>
              </w:rPr>
              <w:t xml:space="preserve">, </w:t>
            </w:r>
            <w:r w:rsidRPr="00F67B52">
              <w:rPr>
                <w:rFonts w:ascii="Arial" w:hAnsi="Arial" w:cs="Arial"/>
                <w:b/>
                <w:color w:val="FF0000"/>
                <w:sz w:val="20"/>
                <w:szCs w:val="20"/>
              </w:rPr>
              <w:t>tratándose de la muerte violenta de una mujer, omita iniciar la investigación como probable feminicidio, filtre información, fotos, videos o evidencias de la investigación</w:t>
            </w:r>
            <w:r w:rsidRPr="00680454">
              <w:rPr>
                <w:rFonts w:ascii="Arial" w:hAnsi="Arial" w:cs="Arial"/>
                <w:sz w:val="20"/>
                <w:szCs w:val="20"/>
              </w:rPr>
              <w:t xml:space="preserve">, retarde, </w:t>
            </w:r>
            <w:r w:rsidRPr="00F67B52">
              <w:rPr>
                <w:rFonts w:ascii="Arial" w:hAnsi="Arial" w:cs="Arial"/>
                <w:b/>
                <w:color w:val="FF0000"/>
                <w:sz w:val="20"/>
                <w:szCs w:val="20"/>
              </w:rPr>
              <w:t>obstaculice</w:t>
            </w:r>
            <w:r w:rsidRPr="00680454">
              <w:rPr>
                <w:rFonts w:ascii="Arial" w:hAnsi="Arial" w:cs="Arial"/>
                <w:sz w:val="20"/>
                <w:szCs w:val="20"/>
              </w:rPr>
              <w:t xml:space="preserve"> o entorpezca maliciosamente o por </w:t>
            </w:r>
            <w:r w:rsidRPr="00680454">
              <w:rPr>
                <w:rFonts w:ascii="Arial" w:hAnsi="Arial" w:cs="Arial"/>
                <w:sz w:val="20"/>
                <w:szCs w:val="20"/>
              </w:rPr>
              <w:lastRenderedPageBreak/>
              <w:t xml:space="preserve">negligencia la procuración o administración de justicia, se le impondrá una pena de </w:t>
            </w:r>
            <w:r w:rsidRPr="00F67B52">
              <w:rPr>
                <w:rFonts w:ascii="Arial" w:hAnsi="Arial" w:cs="Arial"/>
                <w:b/>
                <w:color w:val="FF0000"/>
                <w:sz w:val="20"/>
                <w:szCs w:val="20"/>
              </w:rPr>
              <w:t>cinco</w:t>
            </w:r>
            <w:r w:rsidRPr="00F67B52">
              <w:rPr>
                <w:rFonts w:ascii="Arial" w:hAnsi="Arial" w:cs="Arial"/>
                <w:b/>
                <w:sz w:val="20"/>
                <w:szCs w:val="20"/>
              </w:rPr>
              <w:t xml:space="preserve"> </w:t>
            </w:r>
            <w:r w:rsidRPr="00680454">
              <w:rPr>
                <w:rFonts w:ascii="Arial" w:hAnsi="Arial" w:cs="Arial"/>
                <w:sz w:val="20"/>
                <w:szCs w:val="20"/>
              </w:rPr>
              <w:t>a ocho años de prisión y de quinientos a mil quinientos días multa. Además, será destituid</w:t>
            </w:r>
            <w:r w:rsidRPr="00F67B52">
              <w:rPr>
                <w:rFonts w:ascii="Arial" w:hAnsi="Arial" w:cs="Arial"/>
                <w:b/>
                <w:color w:val="FF0000"/>
                <w:sz w:val="20"/>
                <w:szCs w:val="20"/>
              </w:rPr>
              <w:t>a</w:t>
            </w:r>
            <w:r w:rsidRPr="00680454">
              <w:rPr>
                <w:rFonts w:ascii="Arial" w:hAnsi="Arial" w:cs="Arial"/>
                <w:sz w:val="20"/>
                <w:szCs w:val="20"/>
              </w:rPr>
              <w:t xml:space="preserve"> e inhabilitad</w:t>
            </w:r>
            <w:r w:rsidRPr="00F67B52">
              <w:rPr>
                <w:rFonts w:ascii="Arial" w:hAnsi="Arial" w:cs="Arial"/>
                <w:b/>
                <w:color w:val="FF0000"/>
                <w:sz w:val="20"/>
                <w:szCs w:val="20"/>
              </w:rPr>
              <w:t>a</w:t>
            </w:r>
            <w:r w:rsidRPr="00680454">
              <w:rPr>
                <w:rFonts w:ascii="Arial" w:hAnsi="Arial" w:cs="Arial"/>
                <w:sz w:val="20"/>
                <w:szCs w:val="20"/>
              </w:rPr>
              <w:t xml:space="preserve"> de </w:t>
            </w:r>
            <w:r w:rsidRPr="00F67B52">
              <w:rPr>
                <w:rFonts w:ascii="Arial" w:hAnsi="Arial" w:cs="Arial"/>
                <w:b/>
                <w:color w:val="FF0000"/>
                <w:sz w:val="20"/>
                <w:szCs w:val="20"/>
              </w:rPr>
              <w:t>cinco</w:t>
            </w:r>
            <w:r w:rsidRPr="00680454">
              <w:rPr>
                <w:rFonts w:ascii="Arial" w:hAnsi="Arial" w:cs="Arial"/>
                <w:sz w:val="20"/>
                <w:szCs w:val="20"/>
              </w:rPr>
              <w:t xml:space="preserve"> a diez años para desempeñar otro empleo, cargo o comisión públicos.</w:t>
            </w:r>
          </w:p>
        </w:tc>
        <w:tc>
          <w:tcPr>
            <w:tcW w:w="2709" w:type="dxa"/>
          </w:tcPr>
          <w:p w14:paraId="0BB608D9" w14:textId="29E24E96" w:rsidR="003573E6" w:rsidRPr="00F67B52" w:rsidRDefault="003573E6" w:rsidP="00680454">
            <w:pPr>
              <w:spacing w:after="0" w:line="240" w:lineRule="auto"/>
              <w:jc w:val="both"/>
              <w:rPr>
                <w:rFonts w:ascii="Arial" w:hAnsi="Arial" w:cs="Arial"/>
                <w:sz w:val="20"/>
                <w:szCs w:val="20"/>
              </w:rPr>
            </w:pPr>
            <w:r w:rsidRPr="00F67B52">
              <w:rPr>
                <w:rFonts w:ascii="Arial" w:hAnsi="Arial" w:cs="Arial"/>
                <w:b/>
                <w:sz w:val="20"/>
                <w:szCs w:val="20"/>
              </w:rPr>
              <w:lastRenderedPageBreak/>
              <w:t>A la persona servidora pública</w:t>
            </w:r>
            <w:r w:rsidRPr="00F67B52">
              <w:rPr>
                <w:rFonts w:ascii="Arial" w:hAnsi="Arial" w:cs="Arial"/>
                <w:sz w:val="20"/>
                <w:szCs w:val="20"/>
              </w:rPr>
              <w:t xml:space="preserve"> que</w:t>
            </w:r>
            <w:r w:rsidRPr="00F67B52">
              <w:rPr>
                <w:rFonts w:ascii="Arial" w:hAnsi="Arial" w:cs="Arial"/>
                <w:b/>
                <w:sz w:val="20"/>
                <w:szCs w:val="20"/>
              </w:rPr>
              <w:t>, tratándose de la muerte violenta de una mujer, omita iniciar la investigación como probable feminicidio, filtre información, fotos, videos o evidencias de la investigación,</w:t>
            </w:r>
            <w:r w:rsidRPr="00F67B52">
              <w:rPr>
                <w:rFonts w:ascii="Arial" w:hAnsi="Arial" w:cs="Arial"/>
                <w:sz w:val="20"/>
                <w:szCs w:val="20"/>
              </w:rPr>
              <w:t xml:space="preserve"> retarde, </w:t>
            </w:r>
            <w:r w:rsidRPr="00F67B52">
              <w:rPr>
                <w:rFonts w:ascii="Arial" w:hAnsi="Arial" w:cs="Arial"/>
                <w:b/>
                <w:sz w:val="20"/>
                <w:szCs w:val="20"/>
              </w:rPr>
              <w:lastRenderedPageBreak/>
              <w:t>obstaculice</w:t>
            </w:r>
            <w:r w:rsidRPr="00F67B52">
              <w:rPr>
                <w:rFonts w:ascii="Arial" w:hAnsi="Arial" w:cs="Arial"/>
                <w:sz w:val="20"/>
                <w:szCs w:val="20"/>
              </w:rPr>
              <w:t xml:space="preserve"> o entorpezca maliciosamente o por negligencia la procuración o administración de justicia, se le impondrá una pena de</w:t>
            </w:r>
            <w:r w:rsidRPr="00F67B52">
              <w:rPr>
                <w:rFonts w:ascii="Arial" w:hAnsi="Arial" w:cs="Arial"/>
                <w:b/>
                <w:sz w:val="20"/>
                <w:szCs w:val="20"/>
              </w:rPr>
              <w:t xml:space="preserve"> cinco</w:t>
            </w:r>
            <w:r w:rsidRPr="00F67B52">
              <w:rPr>
                <w:rFonts w:ascii="Arial" w:hAnsi="Arial" w:cs="Arial"/>
                <w:sz w:val="20"/>
                <w:szCs w:val="20"/>
              </w:rPr>
              <w:t xml:space="preserve"> a ocho años de prisión y de quinientos a mil quinientos días multa. Además, será destituid</w:t>
            </w:r>
            <w:r w:rsidRPr="00F67B52">
              <w:rPr>
                <w:rFonts w:ascii="Arial" w:hAnsi="Arial" w:cs="Arial"/>
                <w:b/>
                <w:sz w:val="20"/>
                <w:szCs w:val="20"/>
              </w:rPr>
              <w:t>a</w:t>
            </w:r>
            <w:r w:rsidRPr="00F67B52">
              <w:rPr>
                <w:rFonts w:ascii="Arial" w:hAnsi="Arial" w:cs="Arial"/>
                <w:sz w:val="20"/>
                <w:szCs w:val="20"/>
              </w:rPr>
              <w:t xml:space="preserve"> e inhabilitad</w:t>
            </w:r>
            <w:r w:rsidRPr="00F67B52">
              <w:rPr>
                <w:rFonts w:ascii="Arial" w:hAnsi="Arial" w:cs="Arial"/>
                <w:b/>
                <w:sz w:val="20"/>
                <w:szCs w:val="20"/>
              </w:rPr>
              <w:t>a</w:t>
            </w:r>
            <w:r w:rsidRPr="00F67B52">
              <w:rPr>
                <w:rFonts w:ascii="Arial" w:hAnsi="Arial" w:cs="Arial"/>
                <w:sz w:val="20"/>
                <w:szCs w:val="20"/>
              </w:rPr>
              <w:t xml:space="preserve"> de </w:t>
            </w:r>
            <w:r w:rsidRPr="00F67B52">
              <w:rPr>
                <w:rFonts w:ascii="Arial" w:hAnsi="Arial" w:cs="Arial"/>
                <w:b/>
                <w:sz w:val="20"/>
                <w:szCs w:val="20"/>
              </w:rPr>
              <w:t>cinco</w:t>
            </w:r>
            <w:r w:rsidRPr="00F67B52">
              <w:rPr>
                <w:rFonts w:ascii="Arial" w:hAnsi="Arial" w:cs="Arial"/>
                <w:sz w:val="20"/>
                <w:szCs w:val="20"/>
              </w:rPr>
              <w:t xml:space="preserve"> a diez años para desempeñar otro empleo, cargo o comisión públicos</w:t>
            </w:r>
          </w:p>
        </w:tc>
      </w:tr>
    </w:tbl>
    <w:p w14:paraId="45B33C25" w14:textId="77777777" w:rsidR="00C96EB0" w:rsidRDefault="00C96EB0" w:rsidP="003C6464">
      <w:pPr>
        <w:spacing w:before="240" w:line="360" w:lineRule="auto"/>
        <w:jc w:val="both"/>
        <w:rPr>
          <w:rFonts w:ascii="Arial" w:hAnsi="Arial" w:cs="Arial"/>
          <w:sz w:val="24"/>
          <w:szCs w:val="24"/>
        </w:rPr>
      </w:pPr>
    </w:p>
    <w:p w14:paraId="0C5DC1CA" w14:textId="5F5F7DCA" w:rsidR="00ED6E21" w:rsidRDefault="00ED6E21" w:rsidP="00FB0DC6">
      <w:pPr>
        <w:spacing w:before="240" w:line="360" w:lineRule="auto"/>
        <w:ind w:firstLine="708"/>
        <w:jc w:val="both"/>
        <w:rPr>
          <w:rFonts w:ascii="Arial" w:hAnsi="Arial" w:cs="Arial"/>
          <w:sz w:val="24"/>
          <w:szCs w:val="24"/>
          <w:lang w:val="es-ES"/>
        </w:rPr>
      </w:pPr>
      <w:r>
        <w:rPr>
          <w:rFonts w:ascii="Arial" w:hAnsi="Arial" w:cs="Arial"/>
          <w:sz w:val="24"/>
          <w:szCs w:val="24"/>
          <w:lang w:val="es-ES"/>
        </w:rPr>
        <w:t xml:space="preserve">Enseguida, </w:t>
      </w:r>
      <w:r w:rsidR="007B6E10">
        <w:rPr>
          <w:rFonts w:ascii="Arial" w:hAnsi="Arial" w:cs="Arial"/>
          <w:sz w:val="24"/>
          <w:szCs w:val="24"/>
          <w:lang w:val="es-ES"/>
        </w:rPr>
        <w:t xml:space="preserve">atendiendo al contenido del documento citado, </w:t>
      </w:r>
      <w:r>
        <w:rPr>
          <w:rFonts w:ascii="Arial" w:hAnsi="Arial" w:cs="Arial"/>
          <w:sz w:val="24"/>
          <w:szCs w:val="24"/>
          <w:lang w:val="es-ES"/>
        </w:rPr>
        <w:t xml:space="preserve">se expone una síntesis de la </w:t>
      </w:r>
      <w:r w:rsidRPr="00FB0DC6">
        <w:rPr>
          <w:rFonts w:ascii="Arial" w:hAnsi="Arial" w:cs="Arial"/>
          <w:b/>
          <w:sz w:val="24"/>
          <w:szCs w:val="24"/>
          <w:lang w:val="es-ES"/>
        </w:rPr>
        <w:t xml:space="preserve">“Motivación de cada uno de los elementos del modelo” </w:t>
      </w:r>
      <w:r>
        <w:rPr>
          <w:rFonts w:ascii="Arial" w:hAnsi="Arial" w:cs="Arial"/>
          <w:sz w:val="24"/>
          <w:szCs w:val="24"/>
          <w:lang w:val="es-ES"/>
        </w:rPr>
        <w:t xml:space="preserve">que se proponer incorporar: </w:t>
      </w:r>
    </w:p>
    <w:p w14:paraId="28FED3C8" w14:textId="55D22EB3" w:rsidR="00A82E91" w:rsidRDefault="00A82E91" w:rsidP="00FB0DC6">
      <w:pPr>
        <w:spacing w:before="240" w:line="360" w:lineRule="auto"/>
        <w:ind w:firstLine="708"/>
        <w:jc w:val="both"/>
        <w:rPr>
          <w:rFonts w:ascii="Arial" w:hAnsi="Arial" w:cs="Arial"/>
          <w:sz w:val="24"/>
          <w:szCs w:val="24"/>
        </w:rPr>
      </w:pPr>
      <w:r w:rsidRPr="00A82E91">
        <w:rPr>
          <w:rFonts w:ascii="Arial" w:hAnsi="Arial" w:cs="Arial"/>
          <w:b/>
          <w:sz w:val="24"/>
          <w:szCs w:val="24"/>
        </w:rPr>
        <w:t>A. Mujeres en su diversidad y etapas de vida.</w:t>
      </w:r>
      <w:r>
        <w:rPr>
          <w:rFonts w:ascii="Arial" w:hAnsi="Arial" w:cs="Arial"/>
          <w:b/>
          <w:sz w:val="24"/>
          <w:szCs w:val="24"/>
        </w:rPr>
        <w:t xml:space="preserve"> </w:t>
      </w:r>
      <w:r>
        <w:rPr>
          <w:rFonts w:ascii="Arial" w:hAnsi="Arial" w:cs="Arial"/>
          <w:sz w:val="24"/>
          <w:szCs w:val="24"/>
        </w:rPr>
        <w:t xml:space="preserve">Incluir a las mujeres en su diversidad y etapas de vida, permitirá atender los compromisos internacionales en materia de derechos humanos de las mujeres, desde una visión interseccional y de género. </w:t>
      </w:r>
    </w:p>
    <w:p w14:paraId="5B7A120B" w14:textId="08D1B3E3" w:rsidR="00A82E91" w:rsidRDefault="00A82E91" w:rsidP="00A82E91">
      <w:pPr>
        <w:spacing w:before="240" w:line="360" w:lineRule="auto"/>
        <w:ind w:firstLine="708"/>
        <w:jc w:val="both"/>
        <w:rPr>
          <w:rFonts w:ascii="Arial" w:hAnsi="Arial" w:cs="Arial"/>
          <w:sz w:val="24"/>
          <w:szCs w:val="24"/>
        </w:rPr>
      </w:pPr>
      <w:r>
        <w:rPr>
          <w:rFonts w:ascii="Arial" w:hAnsi="Arial" w:cs="Arial"/>
          <w:sz w:val="24"/>
          <w:szCs w:val="24"/>
        </w:rPr>
        <w:t>Las adiciones propuestas tienen como propósito reconocer a las mujeres en su diversidad y la necesidad de otorgarles</w:t>
      </w:r>
      <w:r w:rsidR="007B6E10">
        <w:rPr>
          <w:rFonts w:ascii="Arial" w:hAnsi="Arial" w:cs="Arial"/>
          <w:sz w:val="24"/>
          <w:szCs w:val="24"/>
        </w:rPr>
        <w:t xml:space="preserve"> protección</w:t>
      </w:r>
      <w:r>
        <w:rPr>
          <w:rFonts w:ascii="Arial" w:hAnsi="Arial" w:cs="Arial"/>
          <w:sz w:val="24"/>
          <w:szCs w:val="24"/>
        </w:rPr>
        <w:t xml:space="preserve"> ante la comisión del delito de feminicidio en su contra. El término “mujer” debe entenderse en sentido amplio e incluir sus diferentes etapas y diversidades: primera infancia, niñez, adolescencia, juventud, edad adulta y vejez; origen étnico o nacional, orientación sexual, identidad de género, expresión de género, discapacidad o cualquier otra condición. </w:t>
      </w:r>
    </w:p>
    <w:p w14:paraId="6FEEB3B3" w14:textId="0893D1A2" w:rsidR="007B6E10" w:rsidRDefault="007B6E10" w:rsidP="00A82E91">
      <w:pPr>
        <w:spacing w:before="240" w:line="360" w:lineRule="auto"/>
        <w:ind w:firstLine="708"/>
        <w:jc w:val="both"/>
        <w:rPr>
          <w:rFonts w:ascii="Arial" w:hAnsi="Arial" w:cs="Arial"/>
          <w:sz w:val="24"/>
          <w:szCs w:val="24"/>
        </w:rPr>
      </w:pPr>
      <w:r>
        <w:rPr>
          <w:rFonts w:ascii="Arial" w:hAnsi="Arial" w:cs="Arial"/>
          <w:sz w:val="24"/>
          <w:szCs w:val="24"/>
        </w:rPr>
        <w:t xml:space="preserve">Este aspecto, constituye un elemento normativo indispensable para garantizar que la investigación en casos de muertes violentas de mujeres, se </w:t>
      </w:r>
      <w:r>
        <w:rPr>
          <w:rFonts w:ascii="Arial" w:hAnsi="Arial" w:cs="Arial"/>
          <w:sz w:val="24"/>
          <w:szCs w:val="24"/>
        </w:rPr>
        <w:lastRenderedPageBreak/>
        <w:t>entienda también, en casos de niñas, adolescentes y mujeres trans, entre otras, que ésta se realice con perspectiva de género, enfoque diferencia</w:t>
      </w:r>
      <w:r w:rsidR="005C1DF7">
        <w:rPr>
          <w:rFonts w:ascii="Arial" w:hAnsi="Arial" w:cs="Arial"/>
          <w:sz w:val="24"/>
          <w:szCs w:val="24"/>
        </w:rPr>
        <w:t xml:space="preserve"> </w:t>
      </w:r>
      <w:r>
        <w:rPr>
          <w:rFonts w:ascii="Arial" w:hAnsi="Arial" w:cs="Arial"/>
          <w:sz w:val="24"/>
          <w:szCs w:val="24"/>
        </w:rPr>
        <w:t>l y diferenciado.</w:t>
      </w:r>
    </w:p>
    <w:p w14:paraId="345358A0" w14:textId="4AE0730B" w:rsidR="00A82E91" w:rsidRDefault="00A82E91" w:rsidP="00FB0DC6">
      <w:pPr>
        <w:spacing w:before="240" w:line="360" w:lineRule="auto"/>
        <w:ind w:firstLine="708"/>
        <w:jc w:val="both"/>
        <w:rPr>
          <w:rFonts w:ascii="Arial" w:hAnsi="Arial" w:cs="Arial"/>
          <w:sz w:val="24"/>
          <w:szCs w:val="24"/>
        </w:rPr>
      </w:pPr>
      <w:r w:rsidRPr="00A82E91">
        <w:rPr>
          <w:rFonts w:ascii="Arial" w:hAnsi="Arial" w:cs="Arial"/>
          <w:b/>
          <w:sz w:val="24"/>
          <w:szCs w:val="24"/>
        </w:rPr>
        <w:t xml:space="preserve">B. Lesiones. </w:t>
      </w:r>
      <w:r>
        <w:rPr>
          <w:rFonts w:ascii="Arial" w:hAnsi="Arial" w:cs="Arial"/>
          <w:sz w:val="24"/>
          <w:szCs w:val="24"/>
        </w:rPr>
        <w:t xml:space="preserve">Tiene como propósito visibilizar cómo están siendo asesinadas las mujeres a manos de feminicidas, y con ello, contar con elementos adicionales en esta razón de género para su acreditación. </w:t>
      </w:r>
    </w:p>
    <w:p w14:paraId="519AAB6D" w14:textId="5AA17476" w:rsidR="00A82E77" w:rsidRDefault="00A82E77" w:rsidP="00FB0DC6">
      <w:pPr>
        <w:spacing w:before="240" w:line="360" w:lineRule="auto"/>
        <w:ind w:firstLine="708"/>
        <w:jc w:val="both"/>
        <w:rPr>
          <w:rFonts w:ascii="Arial" w:hAnsi="Arial" w:cs="Arial"/>
          <w:sz w:val="24"/>
          <w:szCs w:val="24"/>
        </w:rPr>
      </w:pPr>
      <w:r>
        <w:rPr>
          <w:rFonts w:ascii="Arial" w:hAnsi="Arial" w:cs="Arial"/>
          <w:sz w:val="24"/>
          <w:szCs w:val="24"/>
        </w:rPr>
        <w:t>En contextos de violencia generalizada, las expresiones de violencia contra las mujeres y los feminicidios se presentan de forma exponencial</w:t>
      </w:r>
      <w:r w:rsidR="005C1DF7">
        <w:rPr>
          <w:rFonts w:ascii="Arial" w:hAnsi="Arial" w:cs="Arial"/>
          <w:sz w:val="24"/>
          <w:szCs w:val="24"/>
        </w:rPr>
        <w:t xml:space="preserve"> a partir de la desigualdad que viven, la recompensa que pueden significar y su utilización como objetos de </w:t>
      </w:r>
      <w:proofErr w:type="gramStart"/>
      <w:r w:rsidR="005C1DF7">
        <w:rPr>
          <w:rFonts w:ascii="Arial" w:hAnsi="Arial" w:cs="Arial"/>
          <w:sz w:val="24"/>
          <w:szCs w:val="24"/>
        </w:rPr>
        <w:t xml:space="preserve">venganza </w:t>
      </w:r>
      <w:r>
        <w:rPr>
          <w:rFonts w:ascii="Arial" w:hAnsi="Arial" w:cs="Arial"/>
          <w:sz w:val="24"/>
          <w:szCs w:val="24"/>
        </w:rPr>
        <w:t>.</w:t>
      </w:r>
      <w:proofErr w:type="gramEnd"/>
      <w:r>
        <w:rPr>
          <w:rFonts w:ascii="Arial" w:hAnsi="Arial" w:cs="Arial"/>
          <w:sz w:val="24"/>
          <w:szCs w:val="24"/>
        </w:rPr>
        <w:t xml:space="preserve"> En estos ambientes, existe una motivación feminicida al considerar a las mujeres, adolescentes y niñas como objetos, con fines sexuales, de cambio o explotación, así como para buscar venganza y debilitar al enemigo. Este último tipo de violencia, se caracteriza muchas veces por el empleo de violencia excesiva para causar la muerte (tortura), la existencia de violencia sexual y manipulaciones degradantes y humillantes para las mujeres y la comunidad, como mutilaciones, desollamiento y decapitación, entre otros. </w:t>
      </w:r>
    </w:p>
    <w:p w14:paraId="27063606" w14:textId="660AFF96" w:rsidR="00A82E91" w:rsidRDefault="00A82E77" w:rsidP="00A82E91">
      <w:pPr>
        <w:spacing w:before="240" w:line="360" w:lineRule="auto"/>
        <w:jc w:val="both"/>
        <w:rPr>
          <w:rFonts w:ascii="Arial" w:hAnsi="Arial" w:cs="Arial"/>
          <w:sz w:val="24"/>
          <w:szCs w:val="24"/>
        </w:rPr>
      </w:pPr>
      <w:r>
        <w:rPr>
          <w:rFonts w:ascii="Arial" w:hAnsi="Arial" w:cs="Arial"/>
          <w:sz w:val="24"/>
          <w:szCs w:val="24"/>
        </w:rPr>
        <w:tab/>
        <w:t xml:space="preserve">La adición se justifica por la frecuente manipulación que realiza el agresor del </w:t>
      </w:r>
      <w:r w:rsidR="005C1DF7">
        <w:rPr>
          <w:rFonts w:ascii="Arial" w:hAnsi="Arial" w:cs="Arial"/>
          <w:sz w:val="24"/>
          <w:szCs w:val="24"/>
        </w:rPr>
        <w:t>cadáver</w:t>
      </w:r>
      <w:r>
        <w:rPr>
          <w:rFonts w:ascii="Arial" w:hAnsi="Arial" w:cs="Arial"/>
          <w:sz w:val="24"/>
          <w:szCs w:val="24"/>
        </w:rPr>
        <w:t xml:space="preserve">, con la finalidad de destruirlo y dificultar su identificación. </w:t>
      </w:r>
    </w:p>
    <w:p w14:paraId="791B4A67" w14:textId="23B7DF84" w:rsidR="00A82E77" w:rsidRDefault="00A82E77" w:rsidP="005C1DF7">
      <w:pPr>
        <w:spacing w:before="240" w:line="360" w:lineRule="auto"/>
        <w:ind w:firstLine="708"/>
        <w:jc w:val="both"/>
        <w:rPr>
          <w:rFonts w:ascii="Arial" w:hAnsi="Arial" w:cs="Arial"/>
          <w:sz w:val="24"/>
          <w:szCs w:val="24"/>
        </w:rPr>
      </w:pPr>
      <w:r w:rsidRPr="00A82E77">
        <w:rPr>
          <w:rFonts w:ascii="Arial" w:hAnsi="Arial" w:cs="Arial"/>
          <w:b/>
          <w:sz w:val="24"/>
          <w:szCs w:val="24"/>
        </w:rPr>
        <w:t xml:space="preserve">C. </w:t>
      </w:r>
      <w:r>
        <w:rPr>
          <w:rFonts w:ascii="Arial" w:hAnsi="Arial" w:cs="Arial"/>
          <w:b/>
          <w:sz w:val="24"/>
          <w:szCs w:val="24"/>
        </w:rPr>
        <w:t xml:space="preserve">Violencia en diversos ámbitos. </w:t>
      </w:r>
      <w:r>
        <w:rPr>
          <w:rFonts w:ascii="Arial" w:hAnsi="Arial" w:cs="Arial"/>
          <w:sz w:val="24"/>
          <w:szCs w:val="24"/>
        </w:rPr>
        <w:t xml:space="preserve">Se incorporan las modalidades de violencia contra mujeres, adolescentes y niñas en los ámbitos </w:t>
      </w:r>
      <w:r w:rsidRPr="00A82E77">
        <w:rPr>
          <w:rFonts w:ascii="Arial" w:hAnsi="Arial" w:cs="Arial"/>
          <w:b/>
          <w:sz w:val="24"/>
          <w:szCs w:val="24"/>
        </w:rPr>
        <w:t>docente, comunitario, institucional, político, digital</w:t>
      </w:r>
      <w:r>
        <w:rPr>
          <w:rFonts w:ascii="Arial" w:hAnsi="Arial" w:cs="Arial"/>
          <w:b/>
          <w:sz w:val="24"/>
          <w:szCs w:val="24"/>
        </w:rPr>
        <w:t>, mediático o cualquier otro</w:t>
      </w:r>
      <w:r w:rsidR="002D4BD0">
        <w:rPr>
          <w:rFonts w:ascii="Arial" w:hAnsi="Arial" w:cs="Arial"/>
          <w:b/>
          <w:sz w:val="24"/>
          <w:szCs w:val="24"/>
        </w:rPr>
        <w:t>.</w:t>
      </w:r>
      <w:r>
        <w:rPr>
          <w:rFonts w:ascii="Arial" w:hAnsi="Arial" w:cs="Arial"/>
          <w:b/>
          <w:sz w:val="24"/>
          <w:szCs w:val="24"/>
        </w:rPr>
        <w:t xml:space="preserve"> </w:t>
      </w:r>
      <w:r w:rsidR="002D4BD0" w:rsidRPr="002D4BD0">
        <w:rPr>
          <w:rFonts w:ascii="Arial" w:hAnsi="Arial" w:cs="Arial"/>
          <w:sz w:val="24"/>
          <w:szCs w:val="24"/>
        </w:rPr>
        <w:t>En</w:t>
      </w:r>
      <w:r>
        <w:rPr>
          <w:rFonts w:ascii="Arial" w:hAnsi="Arial" w:cs="Arial"/>
          <w:sz w:val="24"/>
          <w:szCs w:val="24"/>
        </w:rPr>
        <w:t xml:space="preserve">cuentra su justificación en las recomendaciones del Comité CEDAW, </w:t>
      </w:r>
      <w:r w:rsidR="002D4BD0">
        <w:rPr>
          <w:rFonts w:ascii="Arial" w:hAnsi="Arial" w:cs="Arial"/>
          <w:sz w:val="24"/>
          <w:szCs w:val="24"/>
        </w:rPr>
        <w:t>el cual ha afirmado que se debe “velar porque todas las formas de violencia de razón de género contra la mujeres en todas las esferas que constituy</w:t>
      </w:r>
      <w:r w:rsidR="002D4BD0" w:rsidRPr="002D4BD0">
        <w:rPr>
          <w:rFonts w:ascii="Arial" w:hAnsi="Arial" w:cs="Arial"/>
          <w:sz w:val="24"/>
          <w:szCs w:val="24"/>
        </w:rPr>
        <w:t xml:space="preserve">an una violación a su integridad física, sexual o psicológica se tipifiquen como delito”, así como para </w:t>
      </w:r>
      <w:r w:rsidR="002D4BD0" w:rsidRPr="002D4BD0">
        <w:rPr>
          <w:rFonts w:ascii="Arial" w:hAnsi="Arial" w:cs="Arial"/>
          <w:sz w:val="24"/>
          <w:szCs w:val="24"/>
        </w:rPr>
        <w:lastRenderedPageBreak/>
        <w:t>armonizar los avances normativos en relación con el derecho de las mujeres a una vida libre de violencia y la normatividad local.</w:t>
      </w:r>
    </w:p>
    <w:p w14:paraId="7AA020E0" w14:textId="2A2CD1EA" w:rsidR="002D4BD0" w:rsidRPr="00A82E77" w:rsidRDefault="002D4BD0" w:rsidP="00A82E91">
      <w:pPr>
        <w:spacing w:before="240" w:line="360" w:lineRule="auto"/>
        <w:jc w:val="both"/>
        <w:rPr>
          <w:rFonts w:ascii="Arial" w:hAnsi="Arial" w:cs="Arial"/>
          <w:sz w:val="24"/>
          <w:szCs w:val="24"/>
        </w:rPr>
      </w:pPr>
      <w:r>
        <w:rPr>
          <w:rFonts w:ascii="Arial" w:hAnsi="Arial" w:cs="Arial"/>
          <w:sz w:val="24"/>
          <w:szCs w:val="24"/>
        </w:rPr>
        <w:tab/>
        <w:t xml:space="preserve">Se plantea que debe acreditarse esta circunstancia, independientemente de que exista denuncia formal ante la autoridad correspondiente o no, dado que las mujeres víctimas de violencia de género, sin importar el tipo y el ámbito de ésta, no siempre deciden denunciarla a las autoridades. </w:t>
      </w:r>
    </w:p>
    <w:p w14:paraId="0FBB3C98" w14:textId="25CCFC9F" w:rsidR="00A82E91" w:rsidRDefault="002D4BD0" w:rsidP="005C1DF7">
      <w:pPr>
        <w:spacing w:before="240" w:line="360" w:lineRule="auto"/>
        <w:ind w:firstLine="708"/>
        <w:jc w:val="both"/>
        <w:rPr>
          <w:rFonts w:ascii="Arial" w:hAnsi="Arial" w:cs="Arial"/>
          <w:sz w:val="24"/>
          <w:szCs w:val="24"/>
        </w:rPr>
      </w:pPr>
      <w:r>
        <w:rPr>
          <w:rFonts w:ascii="Arial" w:hAnsi="Arial" w:cs="Arial"/>
          <w:b/>
          <w:sz w:val="24"/>
          <w:szCs w:val="24"/>
        </w:rPr>
        <w:t xml:space="preserve">D. Relaciones por consanguinidad o de confianza. </w:t>
      </w:r>
      <w:r>
        <w:rPr>
          <w:rFonts w:ascii="Arial" w:hAnsi="Arial" w:cs="Arial"/>
          <w:sz w:val="24"/>
          <w:szCs w:val="24"/>
        </w:rPr>
        <w:t>En las familias y en los entornos inmediatos de interacción</w:t>
      </w:r>
      <w:r w:rsidR="00B74E2A">
        <w:rPr>
          <w:rFonts w:ascii="Arial" w:hAnsi="Arial" w:cs="Arial"/>
          <w:sz w:val="24"/>
          <w:szCs w:val="24"/>
        </w:rPr>
        <w:t>, a través del noviazgo, matrimonio, sociedad de convivencia, cohabitación, concubinato, relación de cuidad, amistad, entre otros,</w:t>
      </w:r>
      <w:r>
        <w:rPr>
          <w:rFonts w:ascii="Arial" w:hAnsi="Arial" w:cs="Arial"/>
          <w:sz w:val="24"/>
          <w:szCs w:val="24"/>
        </w:rPr>
        <w:t xml:space="preserve"> existen relaciones de poder basadas en una cultura patriarcal sostenida a partir de ideas preconcebidas sobre el comportamiento “adecuado” de mujeres y hombres, perpetuando roles de género y reproduciendo conductas de discriminación y violencia contra las mujeres, adolescentes y niñas. Dichas relaciones, se pueden identificar en la organización jerárquica de muchas familias, en las que las y los integrantes supeditan el actuar a las decisiones del varón jefe de familias, produciendo en muchas ocasiones, relaciones desiguales y abusivas, donde las mujeres son sometidas y donde la forma más extrema de dominación da como resultado la privación de su vida. </w:t>
      </w:r>
    </w:p>
    <w:p w14:paraId="44043914" w14:textId="0402DA34" w:rsidR="00B74E2A" w:rsidRDefault="00B74E2A" w:rsidP="003C6464">
      <w:pPr>
        <w:spacing w:before="240" w:line="360" w:lineRule="auto"/>
        <w:jc w:val="both"/>
        <w:rPr>
          <w:rFonts w:ascii="Arial" w:hAnsi="Arial" w:cs="Arial"/>
          <w:sz w:val="24"/>
          <w:szCs w:val="24"/>
        </w:rPr>
      </w:pPr>
      <w:r>
        <w:rPr>
          <w:rFonts w:ascii="Arial" w:hAnsi="Arial" w:cs="Arial"/>
          <w:sz w:val="24"/>
          <w:szCs w:val="24"/>
        </w:rPr>
        <w:tab/>
        <w:t xml:space="preserve">Se considera indispensable ampliar los tipos de relación previstos, afín de tomar en cuenta los núcleos más íntimos de interacción entre mujeres y hombres, cuya carga patriarcal puede recrudecer las relaciones abusivas, desiguales y violentas en contra de las mujeres, adolescentes y niñas. </w:t>
      </w:r>
    </w:p>
    <w:p w14:paraId="5B28F97C" w14:textId="4EFC0A5D" w:rsidR="00A82E91" w:rsidRDefault="00255905" w:rsidP="005C1DF7">
      <w:pPr>
        <w:spacing w:before="240" w:line="360" w:lineRule="auto"/>
        <w:ind w:firstLine="708"/>
        <w:jc w:val="both"/>
        <w:rPr>
          <w:rFonts w:ascii="Arial" w:hAnsi="Arial" w:cs="Arial"/>
          <w:sz w:val="24"/>
          <w:szCs w:val="24"/>
        </w:rPr>
      </w:pPr>
      <w:r w:rsidRPr="00255905">
        <w:rPr>
          <w:rFonts w:ascii="Arial" w:hAnsi="Arial" w:cs="Arial"/>
          <w:b/>
          <w:sz w:val="24"/>
          <w:szCs w:val="24"/>
        </w:rPr>
        <w:t xml:space="preserve">E. Relaciones jerárquicas, de poder o subordinación. </w:t>
      </w:r>
      <w:r w:rsidR="00834B41">
        <w:rPr>
          <w:rFonts w:ascii="Arial" w:hAnsi="Arial" w:cs="Arial"/>
          <w:sz w:val="24"/>
          <w:szCs w:val="24"/>
        </w:rPr>
        <w:t xml:space="preserve">En los ámbitos laboral, docente, religioso e incluso, institucional, es recurrente que se manifiesten </w:t>
      </w:r>
      <w:r w:rsidR="00834B41">
        <w:rPr>
          <w:rFonts w:ascii="Arial" w:hAnsi="Arial" w:cs="Arial"/>
          <w:sz w:val="24"/>
          <w:szCs w:val="24"/>
        </w:rPr>
        <w:lastRenderedPageBreak/>
        <w:t>diversos tipo de violencia contra las mujeres, adolescentes y niñas, basados en las relaciones de poder que son características de estos espacios generalmente cimentados en una cultura patriarcal, en los que persisten ideas estereotipadas relacionadas con la feminización de las labores y la “falta de capacidad” o valía de las mujeres y niñas, la cosificación de sus cuerpos y la idea persistente de subordinación de estas frente a los hombres: patrones y compañeros con mujeres trabajadoras, profesores y alumnas, los ministros de cultos religiosos y sus feligreses o seguidores e incluso agentes de Estado con la ciudadanía. Tales conductas de menosprecio pueden conducir a prácticas abusivas o manifestaciones de violencia, como el hostigamiento y el acoso sexuales y en los casos más extremos la muerte violenta de mujeres, adolescentes y niñas (feminicidios).</w:t>
      </w:r>
    </w:p>
    <w:p w14:paraId="54B39911" w14:textId="6D4659D2" w:rsidR="00834B41" w:rsidRDefault="00834B41" w:rsidP="005C1DF7">
      <w:pPr>
        <w:spacing w:before="240" w:line="360" w:lineRule="auto"/>
        <w:ind w:firstLine="708"/>
        <w:jc w:val="both"/>
        <w:rPr>
          <w:rFonts w:ascii="Arial" w:hAnsi="Arial" w:cs="Arial"/>
          <w:sz w:val="24"/>
          <w:szCs w:val="24"/>
        </w:rPr>
      </w:pPr>
      <w:r>
        <w:rPr>
          <w:rFonts w:ascii="Arial" w:hAnsi="Arial" w:cs="Arial"/>
          <w:sz w:val="24"/>
          <w:szCs w:val="24"/>
        </w:rPr>
        <w:t xml:space="preserve">Este supuesto normativo, busca visibilizar la relación entre el feminicidio y aquellas formas de relación basadas en jerarquías y estereotipos de género. </w:t>
      </w:r>
    </w:p>
    <w:p w14:paraId="33FD2F7E" w14:textId="16C61AA0" w:rsidR="00834B41" w:rsidRPr="00A03235" w:rsidRDefault="00834B41" w:rsidP="005C1DF7">
      <w:pPr>
        <w:spacing w:before="240" w:line="360" w:lineRule="auto"/>
        <w:ind w:firstLine="708"/>
        <w:jc w:val="both"/>
        <w:rPr>
          <w:rFonts w:ascii="Arial" w:hAnsi="Arial" w:cs="Arial"/>
          <w:sz w:val="24"/>
          <w:szCs w:val="24"/>
        </w:rPr>
      </w:pPr>
      <w:r w:rsidRPr="00834B41">
        <w:rPr>
          <w:rFonts w:ascii="Arial" w:hAnsi="Arial" w:cs="Arial"/>
          <w:b/>
          <w:sz w:val="24"/>
          <w:szCs w:val="24"/>
        </w:rPr>
        <w:t>F</w:t>
      </w:r>
      <w:r>
        <w:rPr>
          <w:rFonts w:ascii="Arial" w:hAnsi="Arial" w:cs="Arial"/>
          <w:b/>
          <w:sz w:val="24"/>
          <w:szCs w:val="24"/>
        </w:rPr>
        <w:t>.</w:t>
      </w:r>
      <w:r w:rsidRPr="00834B41">
        <w:rPr>
          <w:rFonts w:ascii="Arial" w:hAnsi="Arial" w:cs="Arial"/>
          <w:b/>
          <w:sz w:val="24"/>
          <w:szCs w:val="24"/>
        </w:rPr>
        <w:t xml:space="preserve"> Violencia Política.</w:t>
      </w:r>
      <w:r w:rsidR="00A03235">
        <w:rPr>
          <w:rFonts w:ascii="Arial" w:hAnsi="Arial" w:cs="Arial"/>
          <w:b/>
          <w:sz w:val="24"/>
          <w:szCs w:val="24"/>
        </w:rPr>
        <w:t xml:space="preserve"> </w:t>
      </w:r>
      <w:r w:rsidR="00A03235" w:rsidRPr="00A03235">
        <w:rPr>
          <w:rFonts w:ascii="Arial" w:hAnsi="Arial" w:cs="Arial"/>
          <w:sz w:val="24"/>
          <w:szCs w:val="24"/>
        </w:rPr>
        <w:t xml:space="preserve">El Tribunal Electoral del Poder Judicial de la Federación (TEPJF) definió la violencia política de género, como: “todas aquellas acciones u omisiones de personas, servidoras o servidores públicos que se dirigen a una mujer por ser mujer (en razón de género) tienen un impacto diferenciado en ellas o les afectan desproporcionadamente, con el objeto o resultado de menoscabar o anular sus derechos político-electorales, incluyendo el ejercicio del cargo </w:t>
      </w:r>
      <w:r w:rsidR="00A03235">
        <w:rPr>
          <w:rFonts w:ascii="Arial" w:hAnsi="Arial" w:cs="Arial"/>
          <w:sz w:val="24"/>
          <w:szCs w:val="24"/>
        </w:rPr>
        <w:t>[…] puede incluir, entre otras,</w:t>
      </w:r>
      <w:r w:rsidR="00A03235" w:rsidRPr="00A03235">
        <w:rPr>
          <w:rFonts w:ascii="Arial" w:hAnsi="Arial" w:cs="Arial"/>
          <w:sz w:val="24"/>
          <w:szCs w:val="24"/>
        </w:rPr>
        <w:t xml:space="preserve"> violencia feminicida.”</w:t>
      </w:r>
    </w:p>
    <w:p w14:paraId="41271DF9" w14:textId="272FBB37" w:rsidR="00A03235" w:rsidRPr="00A03235" w:rsidRDefault="00A03235" w:rsidP="005C1DF7">
      <w:pPr>
        <w:spacing w:before="240" w:line="360" w:lineRule="auto"/>
        <w:ind w:firstLine="708"/>
        <w:jc w:val="both"/>
        <w:rPr>
          <w:rFonts w:ascii="Arial" w:hAnsi="Arial" w:cs="Arial"/>
          <w:sz w:val="24"/>
          <w:szCs w:val="24"/>
          <w:lang w:val="es-ES"/>
        </w:rPr>
      </w:pPr>
      <w:r>
        <w:rPr>
          <w:rFonts w:ascii="Arial" w:hAnsi="Arial" w:cs="Arial"/>
          <w:sz w:val="24"/>
          <w:szCs w:val="24"/>
          <w:lang w:val="es-ES"/>
        </w:rPr>
        <w:t>S</w:t>
      </w:r>
      <w:r w:rsidRPr="00A03235">
        <w:rPr>
          <w:rFonts w:ascii="Arial" w:hAnsi="Arial" w:cs="Arial"/>
          <w:sz w:val="24"/>
          <w:szCs w:val="24"/>
          <w:lang w:val="es-ES"/>
        </w:rPr>
        <w:t>i bien en México existe un gran avance en materia de paridad, esto no se ha concretado en una democracia efectiva. Lo anterior, en virtud de que, durante las últimas campañas y procesos electivos, se han presentado altos índices de violencia, intimidación y control sobre las mujeres que participan como candidatas para diversos cargos públicos.</w:t>
      </w:r>
    </w:p>
    <w:p w14:paraId="4756263E" w14:textId="14B5A9EF" w:rsidR="00A03235" w:rsidRDefault="00A03235" w:rsidP="005C1DF7">
      <w:pPr>
        <w:spacing w:before="240" w:line="360" w:lineRule="auto"/>
        <w:ind w:firstLine="708"/>
        <w:jc w:val="both"/>
        <w:rPr>
          <w:rFonts w:ascii="Arial" w:hAnsi="Arial" w:cs="Arial"/>
          <w:sz w:val="24"/>
          <w:szCs w:val="24"/>
          <w:lang w:val="es-ES"/>
        </w:rPr>
      </w:pPr>
      <w:r w:rsidRPr="00A03235">
        <w:rPr>
          <w:rFonts w:ascii="Arial" w:hAnsi="Arial" w:cs="Arial"/>
          <w:sz w:val="24"/>
          <w:szCs w:val="24"/>
          <w:lang w:val="es-ES"/>
        </w:rPr>
        <w:lastRenderedPageBreak/>
        <w:t>Durante el proceso electoral mexicano de 2018 fueron asesinadas 19 mujeres que pretendían o esperaban competir por algún cargo electoral.</w:t>
      </w:r>
    </w:p>
    <w:p w14:paraId="2711BB09" w14:textId="384C7198" w:rsidR="00A03235" w:rsidRDefault="00A03235" w:rsidP="005C1DF7">
      <w:pPr>
        <w:spacing w:before="240" w:line="360" w:lineRule="auto"/>
        <w:ind w:firstLine="708"/>
        <w:jc w:val="both"/>
        <w:rPr>
          <w:rFonts w:ascii="Arial" w:hAnsi="Arial" w:cs="Arial"/>
          <w:sz w:val="24"/>
          <w:szCs w:val="24"/>
          <w:lang w:val="es-ES"/>
        </w:rPr>
      </w:pPr>
      <w:proofErr w:type="spellStart"/>
      <w:r>
        <w:rPr>
          <w:rFonts w:ascii="Arial" w:hAnsi="Arial" w:cs="Arial"/>
          <w:sz w:val="24"/>
          <w:szCs w:val="24"/>
          <w:lang w:val="es-ES"/>
        </w:rPr>
        <w:t>Observatoria</w:t>
      </w:r>
      <w:proofErr w:type="spellEnd"/>
      <w:r>
        <w:rPr>
          <w:rFonts w:ascii="Arial" w:hAnsi="Arial" w:cs="Arial"/>
          <w:sz w:val="24"/>
          <w:szCs w:val="24"/>
          <w:lang w:val="es-ES"/>
        </w:rPr>
        <w:t xml:space="preserve"> Todas </w:t>
      </w:r>
      <w:proofErr w:type="spellStart"/>
      <w:r>
        <w:rPr>
          <w:rFonts w:ascii="Arial" w:hAnsi="Arial" w:cs="Arial"/>
          <w:sz w:val="24"/>
          <w:szCs w:val="24"/>
          <w:lang w:val="es-ES"/>
        </w:rPr>
        <w:t>mx</w:t>
      </w:r>
      <w:proofErr w:type="spellEnd"/>
      <w:r w:rsidRPr="00A03235">
        <w:rPr>
          <w:rFonts w:ascii="Arial" w:hAnsi="Arial" w:cs="Arial"/>
          <w:sz w:val="24"/>
          <w:szCs w:val="24"/>
          <w:lang w:val="es-ES"/>
        </w:rPr>
        <w:t xml:space="preserve"> denunció que el proceso electoral que culminó en 2021 fue el más violento en contra de las mujeres, sumando al menos 21 políticas asesinadas durante el mismo</w:t>
      </w:r>
    </w:p>
    <w:p w14:paraId="31A89189" w14:textId="0C7EBCEF" w:rsidR="00A03235" w:rsidRDefault="005C1DF7" w:rsidP="003C6464">
      <w:pPr>
        <w:spacing w:before="240" w:line="360" w:lineRule="auto"/>
        <w:jc w:val="both"/>
        <w:rPr>
          <w:rFonts w:ascii="Arial" w:hAnsi="Arial" w:cs="Arial"/>
          <w:sz w:val="24"/>
          <w:szCs w:val="24"/>
          <w:lang w:val="es-ES"/>
        </w:rPr>
      </w:pPr>
      <w:r>
        <w:rPr>
          <w:rFonts w:ascii="Arial" w:hAnsi="Arial" w:cs="Arial"/>
          <w:sz w:val="24"/>
          <w:szCs w:val="24"/>
          <w:lang w:val="es-ES"/>
        </w:rPr>
        <w:tab/>
        <w:t>Se considera indispensable garantizar los derechos humanos de las mujeres, incluyendo el derecho a ejercer cargos públicos y de elección popular y el derecho a una vida libre de violencia.</w:t>
      </w:r>
    </w:p>
    <w:p w14:paraId="2646F743" w14:textId="702BBB42" w:rsidR="00625915" w:rsidRPr="00A9772F" w:rsidRDefault="00625915" w:rsidP="005C1DF7">
      <w:pPr>
        <w:spacing w:line="360" w:lineRule="auto"/>
        <w:ind w:firstLine="708"/>
        <w:jc w:val="both"/>
        <w:rPr>
          <w:rFonts w:ascii="Arial" w:hAnsi="Arial" w:cs="Arial"/>
          <w:sz w:val="24"/>
          <w:szCs w:val="24"/>
        </w:rPr>
      </w:pPr>
      <w:r w:rsidRPr="00A9772F">
        <w:rPr>
          <w:rFonts w:ascii="Arial" w:hAnsi="Arial" w:cs="Arial"/>
          <w:b/>
          <w:bCs/>
          <w:sz w:val="24"/>
          <w:szCs w:val="24"/>
        </w:rPr>
        <w:t>G. Privación de la libertad</w:t>
      </w:r>
      <w:r w:rsidR="005C1DF7">
        <w:rPr>
          <w:rFonts w:ascii="Arial" w:hAnsi="Arial" w:cs="Arial"/>
          <w:b/>
          <w:bCs/>
          <w:sz w:val="24"/>
          <w:szCs w:val="24"/>
        </w:rPr>
        <w:t xml:space="preserve">. </w:t>
      </w:r>
      <w:r w:rsidR="005C1DF7" w:rsidRPr="005C1DF7">
        <w:rPr>
          <w:rFonts w:ascii="Arial" w:hAnsi="Arial" w:cs="Arial"/>
          <w:bCs/>
          <w:sz w:val="24"/>
          <w:szCs w:val="24"/>
        </w:rPr>
        <w:t>L</w:t>
      </w:r>
      <w:r w:rsidRPr="00A9772F">
        <w:rPr>
          <w:rFonts w:ascii="Arial" w:hAnsi="Arial" w:cs="Arial"/>
          <w:sz w:val="24"/>
          <w:szCs w:val="24"/>
        </w:rPr>
        <w:t xml:space="preserve">a desaparición de mujeres es el preámbulo de una de las manifestaciones más extremas de violencia contra las mujeres, adolescentes y niñas, el feminicidio. </w:t>
      </w:r>
    </w:p>
    <w:p w14:paraId="6B8F3989" w14:textId="77777777" w:rsidR="005C1DF7" w:rsidRDefault="00625915" w:rsidP="005C1DF7">
      <w:pPr>
        <w:spacing w:line="360" w:lineRule="auto"/>
        <w:ind w:firstLine="708"/>
        <w:jc w:val="both"/>
        <w:rPr>
          <w:rFonts w:ascii="Arial" w:hAnsi="Arial" w:cs="Arial"/>
          <w:sz w:val="24"/>
          <w:szCs w:val="24"/>
        </w:rPr>
      </w:pPr>
      <w:r w:rsidRPr="00A9772F">
        <w:rPr>
          <w:rFonts w:ascii="Arial" w:hAnsi="Arial" w:cs="Arial"/>
          <w:sz w:val="24"/>
          <w:szCs w:val="24"/>
        </w:rPr>
        <w:t>La desaparición de mujeres es cometida en contextos de encubrimiento de otro</w:t>
      </w:r>
      <w:r w:rsidR="005C1DF7">
        <w:rPr>
          <w:rFonts w:ascii="Arial" w:hAnsi="Arial" w:cs="Arial"/>
          <w:sz w:val="24"/>
          <w:szCs w:val="24"/>
        </w:rPr>
        <w:t>s delitos, como el feminicidio.</w:t>
      </w:r>
    </w:p>
    <w:p w14:paraId="0B8886FB" w14:textId="57505C22" w:rsidR="00625915" w:rsidRDefault="005C1DF7" w:rsidP="005C1DF7">
      <w:pPr>
        <w:spacing w:line="360" w:lineRule="auto"/>
        <w:ind w:firstLine="708"/>
        <w:jc w:val="both"/>
        <w:rPr>
          <w:rFonts w:ascii="Arial" w:hAnsi="Arial" w:cs="Arial"/>
          <w:sz w:val="24"/>
          <w:szCs w:val="24"/>
        </w:rPr>
      </w:pPr>
      <w:r>
        <w:rPr>
          <w:rFonts w:ascii="Arial" w:hAnsi="Arial" w:cs="Arial"/>
          <w:sz w:val="24"/>
          <w:szCs w:val="24"/>
        </w:rPr>
        <w:t>De acuerdo con la Comisión Nacional de Búsqueda, aproximadamente una cuarta parte de las personas desaparecidas y no localizadas en México.</w:t>
      </w:r>
      <w:r w:rsidR="00625915">
        <w:rPr>
          <w:rFonts w:ascii="Arial" w:hAnsi="Arial" w:cs="Arial"/>
          <w:sz w:val="24"/>
          <w:szCs w:val="24"/>
        </w:rPr>
        <w:t xml:space="preserve"> </w:t>
      </w:r>
      <w:r>
        <w:rPr>
          <w:rFonts w:ascii="Arial" w:hAnsi="Arial" w:cs="Arial"/>
          <w:sz w:val="24"/>
          <w:szCs w:val="24"/>
        </w:rPr>
        <w:t>P</w:t>
      </w:r>
      <w:r w:rsidR="00625915">
        <w:rPr>
          <w:rFonts w:ascii="Arial" w:hAnsi="Arial" w:cs="Arial"/>
          <w:sz w:val="24"/>
          <w:szCs w:val="24"/>
        </w:rPr>
        <w:t xml:space="preserve">or ello es indispensable incorporar este elemento normativo en la configuración del tipo penal. </w:t>
      </w:r>
    </w:p>
    <w:p w14:paraId="7DD51600" w14:textId="35CCFE0C" w:rsidR="00625915" w:rsidRPr="00A9772F" w:rsidRDefault="00625915" w:rsidP="005C1DF7">
      <w:pPr>
        <w:spacing w:line="360" w:lineRule="auto"/>
        <w:ind w:firstLine="708"/>
        <w:jc w:val="both"/>
        <w:rPr>
          <w:rFonts w:ascii="Arial" w:hAnsi="Arial" w:cs="Arial"/>
        </w:rPr>
      </w:pPr>
      <w:r w:rsidRPr="00A9772F">
        <w:rPr>
          <w:rFonts w:ascii="Arial" w:hAnsi="Arial" w:cs="Arial"/>
          <w:b/>
          <w:bCs/>
          <w:sz w:val="24"/>
          <w:szCs w:val="24"/>
        </w:rPr>
        <w:t>H. Estado de indefensión</w:t>
      </w:r>
      <w:r w:rsidR="005C1DF7">
        <w:rPr>
          <w:rFonts w:ascii="Arial" w:hAnsi="Arial" w:cs="Arial"/>
          <w:b/>
          <w:bCs/>
          <w:sz w:val="24"/>
          <w:szCs w:val="24"/>
        </w:rPr>
        <w:t>.</w:t>
      </w:r>
      <w:r w:rsidRPr="00A9772F">
        <w:rPr>
          <w:rFonts w:ascii="Arial" w:hAnsi="Arial" w:cs="Arial"/>
          <w:b/>
          <w:bCs/>
          <w:sz w:val="24"/>
          <w:szCs w:val="24"/>
        </w:rPr>
        <w:t xml:space="preserve"> </w:t>
      </w:r>
      <w:r w:rsidRPr="00A9772F">
        <w:rPr>
          <w:rFonts w:ascii="Arial" w:hAnsi="Arial" w:cs="Arial"/>
        </w:rPr>
        <w:t xml:space="preserve">En relación con este punto, existe una expectativa social sobre cómo deben responder las personas para repeler una agresión, evitarla o defenderse, por lo que deben señalarse factores distintos a la incomunicación, como estado de indefensión. </w:t>
      </w:r>
    </w:p>
    <w:p w14:paraId="65FAAFCF" w14:textId="77777777" w:rsidR="00625915" w:rsidRPr="00A9772F" w:rsidRDefault="00625915" w:rsidP="005C1DF7">
      <w:pPr>
        <w:spacing w:line="360" w:lineRule="auto"/>
        <w:ind w:firstLine="708"/>
        <w:jc w:val="both"/>
        <w:rPr>
          <w:rFonts w:ascii="Arial" w:hAnsi="Arial" w:cs="Arial"/>
          <w:sz w:val="24"/>
          <w:szCs w:val="24"/>
        </w:rPr>
      </w:pPr>
      <w:r w:rsidRPr="00A9772F">
        <w:rPr>
          <w:rFonts w:ascii="Arial" w:hAnsi="Arial" w:cs="Arial"/>
          <w:sz w:val="24"/>
          <w:szCs w:val="24"/>
        </w:rPr>
        <w:t xml:space="preserve">Lo anterior, ya que como lo ha sugerido Marcela Lagarde, existen casos en los que las mujeres y niñas víctimas de feminicidio no repelen las agresiones por encontrarse desarmadas en sentido estricto o por haber sido enseñadas a no utilizar </w:t>
      </w:r>
      <w:r w:rsidRPr="00A9772F">
        <w:rPr>
          <w:rFonts w:ascii="Arial" w:hAnsi="Arial" w:cs="Arial"/>
          <w:sz w:val="24"/>
          <w:szCs w:val="24"/>
        </w:rPr>
        <w:lastRenderedPageBreak/>
        <w:t>la fuerza.</w:t>
      </w:r>
      <w:r>
        <w:rPr>
          <w:rFonts w:ascii="Arial" w:hAnsi="Arial" w:cs="Arial"/>
          <w:sz w:val="24"/>
          <w:szCs w:val="24"/>
        </w:rPr>
        <w:t xml:space="preserve"> </w:t>
      </w:r>
      <w:r w:rsidRPr="00A9772F">
        <w:rPr>
          <w:rFonts w:ascii="Arial" w:hAnsi="Arial" w:cs="Arial"/>
          <w:sz w:val="24"/>
          <w:szCs w:val="24"/>
        </w:rPr>
        <w:t>Así, la respuesta de las víctimas de violencia puede variar dependiendo de su etapa de desarrollo, salud física, emocional o psicológica y su contexto de vida, por lo que habrá quienes se defiendan efectivamente, quienes se congelen, quienes resistan de forma pasiva, se desmayen o se disocien como reacción natural del cerebro a un ataque o terror.</w:t>
      </w:r>
    </w:p>
    <w:p w14:paraId="5D3781EC" w14:textId="77777777" w:rsidR="00625915" w:rsidRPr="00A9772F" w:rsidRDefault="00625915" w:rsidP="005C1DF7">
      <w:pPr>
        <w:spacing w:line="360" w:lineRule="auto"/>
        <w:ind w:firstLine="708"/>
        <w:jc w:val="both"/>
        <w:rPr>
          <w:rFonts w:ascii="Arial" w:hAnsi="Arial" w:cs="Arial"/>
          <w:sz w:val="24"/>
          <w:szCs w:val="24"/>
        </w:rPr>
      </w:pPr>
      <w:r w:rsidRPr="00A9772F">
        <w:rPr>
          <w:rFonts w:ascii="Arial" w:hAnsi="Arial" w:cs="Arial"/>
          <w:sz w:val="24"/>
          <w:szCs w:val="24"/>
        </w:rPr>
        <w:t>Es importante reconocer los efectos psicológicos que la violencia de género produce en muchas mujeres, adolescentes y niñas, al deteriorarles o ahondarles una baja autoestima, con una evidente falta de autonomía, y de provocarles sentimientos de impotencia e inhibición en su capacidad de tomar decisiones respecto a la situación que viven. A esta incapacidad que desarrollan las mujeres, adolescentes y niñas víctimas de violencia de género se le ha denominado como “indefensión aprendida”, la cual se refiere a actitudes de aceptación, culpa o pasividad, que suelen ser interpretadas, erróneamente, como falta de voluntad para enfrentar la violencia.</w:t>
      </w:r>
    </w:p>
    <w:p w14:paraId="35801FE3" w14:textId="77777777" w:rsidR="00625915" w:rsidRPr="00A9772F" w:rsidRDefault="00625915" w:rsidP="005C1DF7">
      <w:pPr>
        <w:spacing w:line="360" w:lineRule="auto"/>
        <w:ind w:firstLine="708"/>
        <w:jc w:val="both"/>
        <w:rPr>
          <w:rFonts w:ascii="Arial" w:hAnsi="Arial" w:cs="Arial"/>
          <w:sz w:val="24"/>
          <w:szCs w:val="24"/>
        </w:rPr>
      </w:pPr>
      <w:r w:rsidRPr="00A9772F">
        <w:rPr>
          <w:rFonts w:ascii="Arial" w:hAnsi="Arial" w:cs="Arial"/>
          <w:sz w:val="24"/>
          <w:szCs w:val="24"/>
        </w:rPr>
        <w:t>Existen factores relacionados con la discapacidad, la relación de cuidados, la etapa de desarrollo cognitivo, especialmente tratándose de niñas y adolescentes, el embarazo, el estado de somnolencia, la alcoholemia y consumo de fármacos o drogas, voluntario o involuntario, que pueden inhibir las acciones de defensa y que deben ser consideradas en el tipo penal.</w:t>
      </w:r>
    </w:p>
    <w:p w14:paraId="2ACAB0C9" w14:textId="0C2F7BD5" w:rsidR="00625915" w:rsidRPr="005C1DF7" w:rsidRDefault="00625915" w:rsidP="005C1DF7">
      <w:pPr>
        <w:spacing w:line="360" w:lineRule="auto"/>
        <w:ind w:firstLine="708"/>
        <w:jc w:val="both"/>
        <w:rPr>
          <w:rFonts w:ascii="Arial" w:hAnsi="Arial" w:cs="Arial"/>
          <w:sz w:val="24"/>
          <w:szCs w:val="24"/>
        </w:rPr>
      </w:pPr>
      <w:r w:rsidRPr="005C1DF7">
        <w:rPr>
          <w:rFonts w:ascii="Arial" w:hAnsi="Arial" w:cs="Arial"/>
          <w:b/>
          <w:bCs/>
          <w:sz w:val="24"/>
          <w:szCs w:val="24"/>
        </w:rPr>
        <w:t>I. Sobre el hallazgo del cuerpo o restos de la víctima</w:t>
      </w:r>
      <w:r w:rsidR="005C1DF7" w:rsidRPr="005C1DF7">
        <w:rPr>
          <w:rFonts w:ascii="Arial" w:hAnsi="Arial" w:cs="Arial"/>
          <w:b/>
          <w:bCs/>
          <w:sz w:val="24"/>
          <w:szCs w:val="24"/>
        </w:rPr>
        <w:t xml:space="preserve">. </w:t>
      </w:r>
      <w:r w:rsidRPr="005C1DF7">
        <w:rPr>
          <w:rFonts w:ascii="Arial" w:hAnsi="Arial" w:cs="Arial"/>
          <w:sz w:val="24"/>
          <w:szCs w:val="24"/>
        </w:rPr>
        <w:t>La proporción de mujeres víctimas de desaparición pasó de uno de cada cinco casos en 2010, a dos de cada tres en 2017. En los mismos periodos, los cuerpos femeninos exhumados en fosas clandestinas pasaron, de entre 11 y 16, a entre 37 y 54, respectivamente. Estos datos revelan que puede considerarse que la desaparición de mujeres en México llega a ser el preámbulo para un feminicidio.</w:t>
      </w:r>
    </w:p>
    <w:p w14:paraId="62EB486D" w14:textId="7DC4DA73" w:rsidR="00625915" w:rsidRPr="00A9772F" w:rsidRDefault="00625915" w:rsidP="005C1DF7">
      <w:pPr>
        <w:spacing w:line="360" w:lineRule="auto"/>
        <w:ind w:firstLine="708"/>
        <w:jc w:val="both"/>
        <w:rPr>
          <w:rFonts w:ascii="Arial" w:hAnsi="Arial" w:cs="Arial"/>
          <w:sz w:val="24"/>
          <w:szCs w:val="24"/>
        </w:rPr>
      </w:pPr>
      <w:r w:rsidRPr="00A9772F">
        <w:rPr>
          <w:rFonts w:ascii="Arial" w:hAnsi="Arial" w:cs="Arial"/>
          <w:sz w:val="24"/>
          <w:szCs w:val="24"/>
        </w:rPr>
        <w:lastRenderedPageBreak/>
        <w:t>Al respecto, se considera que la estructura del tipo penal de feminicidio en relación con este punto, limita su alcance, pues únicamente considera que el cuerpo de la víctima sea expuesto o exhibido en un lugar público, lo que impide que los delitos relacionados con cuerpos de mujeres hallados en las fosas clandestinas sean investigados y juzgados como feminicidios. Consecuentemente, los verbos “depositado, arrojado y enterrado” se consideran indispensables para asegurar la efectividad del tipo penal a los contextos actuales de violencia.</w:t>
      </w:r>
    </w:p>
    <w:p w14:paraId="77466BF7" w14:textId="77777777" w:rsidR="00625915" w:rsidRPr="00A9772F" w:rsidRDefault="00625915" w:rsidP="005C1DF7">
      <w:pPr>
        <w:pStyle w:val="Default"/>
        <w:spacing w:line="360" w:lineRule="auto"/>
        <w:ind w:firstLine="708"/>
        <w:jc w:val="both"/>
        <w:rPr>
          <w:rFonts w:ascii="Arial" w:hAnsi="Arial" w:cs="Arial"/>
        </w:rPr>
      </w:pPr>
      <w:r w:rsidRPr="00A9772F">
        <w:rPr>
          <w:rFonts w:ascii="Arial" w:hAnsi="Arial" w:cs="Arial"/>
        </w:rPr>
        <w:t xml:space="preserve">Se debe tomar en cuenta que, en los casos en los que los cuerpos de las mujeres son enterrados, el agresor busca, en la mayoría de los casos, dificultar la identificación o ubicación de los cuerpos de las mujeres víctimas del feminicidio para invisibilizar este fenómeno. Lo anterior, genera grandes repercusiones en la investigación, pues, cuando el cadáver de la mujer es descubierto, tiempo después de haberse cometido la agresión letal, se presentan dificultades para la identificación de los elementos del tipo penal en el cuerpo de la víctima, derivado de la descomposición o las modificaciones ambientales que lo afectan. </w:t>
      </w:r>
    </w:p>
    <w:p w14:paraId="5E8A39DA" w14:textId="77777777" w:rsidR="00625915" w:rsidRPr="00A9772F" w:rsidRDefault="00625915" w:rsidP="00F13183">
      <w:pPr>
        <w:spacing w:line="360" w:lineRule="auto"/>
        <w:ind w:firstLine="708"/>
        <w:jc w:val="both"/>
        <w:rPr>
          <w:rFonts w:ascii="Arial" w:hAnsi="Arial" w:cs="Arial"/>
          <w:sz w:val="24"/>
          <w:szCs w:val="24"/>
        </w:rPr>
      </w:pPr>
      <w:r w:rsidRPr="00A9772F">
        <w:rPr>
          <w:rFonts w:ascii="Arial" w:hAnsi="Arial" w:cs="Arial"/>
          <w:sz w:val="24"/>
          <w:szCs w:val="24"/>
        </w:rPr>
        <w:t>Por ello, ocultar el cuerpo de la víctima para impedir su identificación, debe ser tomado en cuenta como un elemento asociado a los feminicidios</w:t>
      </w:r>
      <w:r>
        <w:rPr>
          <w:rFonts w:ascii="Arial" w:hAnsi="Arial" w:cs="Arial"/>
          <w:sz w:val="24"/>
          <w:szCs w:val="24"/>
        </w:rPr>
        <w:t xml:space="preserve"> </w:t>
      </w:r>
      <w:r w:rsidRPr="00A9772F">
        <w:rPr>
          <w:rFonts w:ascii="Arial" w:hAnsi="Arial" w:cs="Arial"/>
          <w:sz w:val="24"/>
          <w:szCs w:val="24"/>
        </w:rPr>
        <w:t xml:space="preserve">y garantizar que estas mujeres y sus familiares, puedan acceder a la justicia de manera efectiva, especialmente en contextos de violencia en los que la </w:t>
      </w:r>
      <w:proofErr w:type="spellStart"/>
      <w:r w:rsidRPr="00A9772F">
        <w:rPr>
          <w:rFonts w:ascii="Arial" w:hAnsi="Arial" w:cs="Arial"/>
          <w:sz w:val="24"/>
          <w:szCs w:val="24"/>
        </w:rPr>
        <w:t>CoIDH</w:t>
      </w:r>
      <w:proofErr w:type="spellEnd"/>
      <w:r w:rsidRPr="00A9772F">
        <w:rPr>
          <w:rFonts w:ascii="Arial" w:hAnsi="Arial" w:cs="Arial"/>
          <w:sz w:val="24"/>
          <w:szCs w:val="24"/>
        </w:rPr>
        <w:t xml:space="preserve"> ha subrayado que debe existir una debida diligencia reforzada por parte del Estado mexicano y en cuyos delitos existe un alto índice de impunidad.</w:t>
      </w:r>
    </w:p>
    <w:p w14:paraId="77DA4858" w14:textId="1B2A0B87" w:rsidR="00625915" w:rsidRPr="00F13183" w:rsidRDefault="00F13183" w:rsidP="00F13183">
      <w:pPr>
        <w:spacing w:line="360" w:lineRule="auto"/>
        <w:ind w:firstLine="708"/>
        <w:jc w:val="both"/>
        <w:rPr>
          <w:rFonts w:ascii="Arial" w:hAnsi="Arial" w:cs="Arial"/>
          <w:bCs/>
          <w:sz w:val="24"/>
          <w:szCs w:val="24"/>
        </w:rPr>
      </w:pPr>
      <w:r w:rsidRPr="00F13183">
        <w:rPr>
          <w:rFonts w:ascii="Arial" w:hAnsi="Arial" w:cs="Arial"/>
          <w:bCs/>
          <w:sz w:val="24"/>
          <w:szCs w:val="24"/>
        </w:rPr>
        <w:t>En cuanto a las</w:t>
      </w:r>
      <w:r w:rsidRPr="00F13183">
        <w:rPr>
          <w:rFonts w:ascii="Arial" w:hAnsi="Arial" w:cs="Arial"/>
          <w:b/>
          <w:bCs/>
          <w:i/>
          <w:sz w:val="24"/>
          <w:szCs w:val="24"/>
        </w:rPr>
        <w:t xml:space="preserve"> a</w:t>
      </w:r>
      <w:r w:rsidR="00625915" w:rsidRPr="00F13183">
        <w:rPr>
          <w:rFonts w:ascii="Arial" w:hAnsi="Arial" w:cs="Arial"/>
          <w:b/>
          <w:bCs/>
          <w:i/>
          <w:sz w:val="24"/>
          <w:szCs w:val="24"/>
        </w:rPr>
        <w:t>gravantes</w:t>
      </w:r>
      <w:r w:rsidRPr="00F13183">
        <w:rPr>
          <w:rFonts w:ascii="Arial" w:hAnsi="Arial" w:cs="Arial"/>
          <w:bCs/>
          <w:sz w:val="24"/>
          <w:szCs w:val="24"/>
        </w:rPr>
        <w:t xml:space="preserve"> que se proponen:</w:t>
      </w:r>
    </w:p>
    <w:p w14:paraId="4D44C422" w14:textId="51B59C8A" w:rsidR="00625915" w:rsidRPr="00A9772F" w:rsidRDefault="00625915" w:rsidP="00B277B0">
      <w:pPr>
        <w:spacing w:line="360" w:lineRule="auto"/>
        <w:ind w:firstLine="708"/>
        <w:jc w:val="both"/>
        <w:rPr>
          <w:rFonts w:ascii="Arial" w:hAnsi="Arial" w:cs="Arial"/>
          <w:sz w:val="24"/>
          <w:szCs w:val="24"/>
        </w:rPr>
      </w:pPr>
      <w:r w:rsidRPr="00A9772F">
        <w:rPr>
          <w:rFonts w:ascii="Arial" w:hAnsi="Arial" w:cs="Arial"/>
          <w:b/>
          <w:bCs/>
          <w:sz w:val="24"/>
          <w:szCs w:val="24"/>
        </w:rPr>
        <w:t>J. Prostitución forzada y trata</w:t>
      </w:r>
      <w:r w:rsidR="00F13183">
        <w:rPr>
          <w:rFonts w:ascii="Arial" w:hAnsi="Arial" w:cs="Arial"/>
          <w:b/>
          <w:bCs/>
          <w:sz w:val="24"/>
          <w:szCs w:val="24"/>
        </w:rPr>
        <w:t xml:space="preserve">. </w:t>
      </w:r>
      <w:r w:rsidRPr="00A9772F">
        <w:rPr>
          <w:rFonts w:ascii="Arial" w:hAnsi="Arial" w:cs="Arial"/>
          <w:sz w:val="24"/>
          <w:szCs w:val="24"/>
        </w:rPr>
        <w:t xml:space="preserve">El artículo 6 de la Convención sobre la Eliminación de todas las formas de Discriminación contra la Mujer, determina la obligación de los Estados Parte a tomar todas las medidas apropiadas, incluso de </w:t>
      </w:r>
      <w:r w:rsidRPr="00A9772F">
        <w:rPr>
          <w:rFonts w:ascii="Arial" w:hAnsi="Arial" w:cs="Arial"/>
          <w:sz w:val="24"/>
          <w:szCs w:val="24"/>
        </w:rPr>
        <w:lastRenderedPageBreak/>
        <w:t>carácter legislativo, para suprimir todas las formas de trata de mujeres y explotación de la mujer.</w:t>
      </w:r>
    </w:p>
    <w:p w14:paraId="62251C60" w14:textId="77777777" w:rsidR="00625915" w:rsidRPr="00A9772F" w:rsidRDefault="00625915" w:rsidP="00F13183">
      <w:pPr>
        <w:spacing w:line="360" w:lineRule="auto"/>
        <w:ind w:firstLine="708"/>
        <w:jc w:val="both"/>
        <w:rPr>
          <w:rFonts w:ascii="Arial" w:hAnsi="Arial" w:cs="Arial"/>
          <w:sz w:val="24"/>
          <w:szCs w:val="24"/>
        </w:rPr>
      </w:pPr>
      <w:r w:rsidRPr="00A9772F">
        <w:rPr>
          <w:rFonts w:ascii="Arial" w:hAnsi="Arial" w:cs="Arial"/>
          <w:sz w:val="24"/>
          <w:szCs w:val="24"/>
        </w:rPr>
        <w:t>Ante las conductas delictivas como el feminicidio y la trata de personas, las cuales laceran profundamente el tejido de la sociedad mexicana, se considera relevante tomar acciones para visibilizar su intersección a través de una adecuada tipificación. Los delitos de trata y feminicidio, a pesar de contar con las penas más altas, no han logrado una disminución real en su incidencia y, por el contrario, se observa una tendencia al alta en su ejecución y en los índices de impunidad en su investigación.</w:t>
      </w:r>
    </w:p>
    <w:p w14:paraId="44BE686A" w14:textId="51C7612F" w:rsidR="00625915" w:rsidRPr="00A9772F" w:rsidRDefault="00625915" w:rsidP="00625915">
      <w:pPr>
        <w:autoSpaceDE w:val="0"/>
        <w:autoSpaceDN w:val="0"/>
        <w:adjustRightInd w:val="0"/>
        <w:spacing w:after="0" w:line="360" w:lineRule="auto"/>
        <w:jc w:val="both"/>
        <w:rPr>
          <w:rFonts w:ascii="Arial" w:hAnsi="Arial" w:cs="Arial"/>
          <w:color w:val="000000"/>
          <w:sz w:val="24"/>
          <w:szCs w:val="24"/>
        </w:rPr>
      </w:pPr>
    </w:p>
    <w:tbl>
      <w:tblPr>
        <w:tblW w:w="0" w:type="auto"/>
        <w:jc w:val="center"/>
        <w:tblBorders>
          <w:top w:val="double" w:sz="4" w:space="0" w:color="990033"/>
          <w:left w:val="double" w:sz="4" w:space="0" w:color="990033"/>
          <w:bottom w:val="double" w:sz="4" w:space="0" w:color="990033"/>
          <w:right w:val="double" w:sz="4" w:space="0" w:color="990033"/>
          <w:insideH w:val="double" w:sz="4" w:space="0" w:color="990033"/>
          <w:insideV w:val="double" w:sz="4" w:space="0" w:color="990033"/>
        </w:tblBorders>
        <w:tblLayout w:type="fixed"/>
        <w:tblLook w:val="0000" w:firstRow="0" w:lastRow="0" w:firstColumn="0" w:lastColumn="0" w:noHBand="0" w:noVBand="0"/>
      </w:tblPr>
      <w:tblGrid>
        <w:gridCol w:w="1629"/>
        <w:gridCol w:w="1629"/>
        <w:gridCol w:w="1629"/>
        <w:gridCol w:w="1629"/>
        <w:gridCol w:w="1629"/>
      </w:tblGrid>
      <w:tr w:rsidR="00F13183" w:rsidRPr="00F13183" w14:paraId="5DEC9C93" w14:textId="77777777" w:rsidTr="00F13183">
        <w:trPr>
          <w:trHeight w:val="488"/>
          <w:jc w:val="center"/>
        </w:trPr>
        <w:tc>
          <w:tcPr>
            <w:tcW w:w="8145" w:type="dxa"/>
            <w:gridSpan w:val="5"/>
          </w:tcPr>
          <w:p w14:paraId="15223F8C" w14:textId="355C464F" w:rsidR="00F13183" w:rsidRPr="00F13183" w:rsidRDefault="00F13183" w:rsidP="00F13183">
            <w:pPr>
              <w:autoSpaceDE w:val="0"/>
              <w:autoSpaceDN w:val="0"/>
              <w:adjustRightInd w:val="0"/>
              <w:spacing w:after="0" w:line="240" w:lineRule="auto"/>
              <w:jc w:val="center"/>
              <w:rPr>
                <w:rFonts w:ascii="Arial" w:hAnsi="Arial" w:cs="Arial"/>
                <w:color w:val="000000"/>
                <w:sz w:val="20"/>
                <w:szCs w:val="20"/>
              </w:rPr>
            </w:pPr>
            <w:r w:rsidRPr="00F13183">
              <w:rPr>
                <w:rFonts w:ascii="Arial" w:hAnsi="Arial" w:cs="Arial"/>
                <w:color w:val="000000"/>
                <w:sz w:val="20"/>
                <w:szCs w:val="20"/>
              </w:rPr>
              <w:t>Datos de incidencia delictiva en materia de trata de personas y feminicidio</w:t>
            </w:r>
            <w:r>
              <w:rPr>
                <w:rStyle w:val="Refdenotaalpie"/>
                <w:rFonts w:ascii="Arial" w:hAnsi="Arial" w:cs="Arial"/>
                <w:color w:val="000000"/>
                <w:sz w:val="20"/>
                <w:szCs w:val="20"/>
              </w:rPr>
              <w:footnoteReference w:id="4"/>
            </w:r>
          </w:p>
        </w:tc>
      </w:tr>
      <w:tr w:rsidR="00625915" w:rsidRPr="00F13183" w14:paraId="663FF17F" w14:textId="77777777" w:rsidTr="00F13183">
        <w:trPr>
          <w:trHeight w:val="488"/>
          <w:jc w:val="center"/>
        </w:trPr>
        <w:tc>
          <w:tcPr>
            <w:tcW w:w="1629" w:type="dxa"/>
          </w:tcPr>
          <w:p w14:paraId="57B886AB" w14:textId="29744EE7" w:rsidR="00625915" w:rsidRPr="00F13183" w:rsidRDefault="00625915" w:rsidP="00F13183">
            <w:pPr>
              <w:autoSpaceDE w:val="0"/>
              <w:autoSpaceDN w:val="0"/>
              <w:adjustRightInd w:val="0"/>
              <w:spacing w:after="0" w:line="240" w:lineRule="auto"/>
              <w:jc w:val="center"/>
              <w:rPr>
                <w:rFonts w:ascii="Arial" w:hAnsi="Arial" w:cs="Arial"/>
                <w:color w:val="000000"/>
                <w:sz w:val="20"/>
                <w:szCs w:val="20"/>
              </w:rPr>
            </w:pPr>
            <w:r w:rsidRPr="00F13183">
              <w:rPr>
                <w:rFonts w:ascii="Arial" w:hAnsi="Arial" w:cs="Arial"/>
                <w:color w:val="000000"/>
                <w:sz w:val="20"/>
                <w:szCs w:val="20"/>
              </w:rPr>
              <w:t>Anualidad</w:t>
            </w:r>
          </w:p>
        </w:tc>
        <w:tc>
          <w:tcPr>
            <w:tcW w:w="1629" w:type="dxa"/>
          </w:tcPr>
          <w:p w14:paraId="5D1337FE" w14:textId="5FAEE807" w:rsidR="00625915" w:rsidRPr="00F13183" w:rsidRDefault="00625915" w:rsidP="00F13183">
            <w:pPr>
              <w:autoSpaceDE w:val="0"/>
              <w:autoSpaceDN w:val="0"/>
              <w:adjustRightInd w:val="0"/>
              <w:spacing w:after="0" w:line="240" w:lineRule="auto"/>
              <w:jc w:val="center"/>
              <w:rPr>
                <w:rFonts w:ascii="Arial" w:hAnsi="Arial" w:cs="Arial"/>
                <w:color w:val="000000"/>
                <w:sz w:val="20"/>
                <w:szCs w:val="20"/>
              </w:rPr>
            </w:pPr>
            <w:r w:rsidRPr="00F13183">
              <w:rPr>
                <w:rFonts w:ascii="Arial" w:hAnsi="Arial" w:cs="Arial"/>
                <w:color w:val="000000"/>
                <w:sz w:val="20"/>
                <w:szCs w:val="20"/>
              </w:rPr>
              <w:t>Trata de personas</w:t>
            </w:r>
          </w:p>
        </w:tc>
        <w:tc>
          <w:tcPr>
            <w:tcW w:w="1629" w:type="dxa"/>
          </w:tcPr>
          <w:p w14:paraId="4557FE5D" w14:textId="6E03B747" w:rsidR="00625915" w:rsidRPr="00F13183" w:rsidRDefault="00625915" w:rsidP="00F13183">
            <w:pPr>
              <w:autoSpaceDE w:val="0"/>
              <w:autoSpaceDN w:val="0"/>
              <w:adjustRightInd w:val="0"/>
              <w:spacing w:after="0" w:line="240" w:lineRule="auto"/>
              <w:jc w:val="center"/>
              <w:rPr>
                <w:rFonts w:ascii="Arial" w:hAnsi="Arial" w:cs="Arial"/>
                <w:color w:val="000000"/>
                <w:sz w:val="20"/>
                <w:szCs w:val="20"/>
              </w:rPr>
            </w:pPr>
            <w:r w:rsidRPr="00F13183">
              <w:rPr>
                <w:rFonts w:ascii="Arial" w:hAnsi="Arial" w:cs="Arial"/>
                <w:color w:val="000000"/>
                <w:sz w:val="20"/>
                <w:szCs w:val="20"/>
              </w:rPr>
              <w:t>No. de niñas y adolescentes atendidas en refugios especializados</w:t>
            </w:r>
          </w:p>
        </w:tc>
        <w:tc>
          <w:tcPr>
            <w:tcW w:w="1629" w:type="dxa"/>
          </w:tcPr>
          <w:p w14:paraId="5BC60F9F" w14:textId="1F9B03F3" w:rsidR="00625915" w:rsidRPr="00F13183" w:rsidRDefault="00625915" w:rsidP="00F13183">
            <w:pPr>
              <w:autoSpaceDE w:val="0"/>
              <w:autoSpaceDN w:val="0"/>
              <w:adjustRightInd w:val="0"/>
              <w:spacing w:after="0" w:line="240" w:lineRule="auto"/>
              <w:jc w:val="center"/>
              <w:rPr>
                <w:rFonts w:ascii="Arial" w:hAnsi="Arial" w:cs="Arial"/>
                <w:color w:val="000000"/>
                <w:sz w:val="20"/>
                <w:szCs w:val="20"/>
              </w:rPr>
            </w:pPr>
            <w:r w:rsidRPr="00F13183">
              <w:rPr>
                <w:rFonts w:ascii="Arial" w:hAnsi="Arial" w:cs="Arial"/>
                <w:color w:val="000000"/>
                <w:sz w:val="20"/>
                <w:szCs w:val="20"/>
              </w:rPr>
              <w:t>Feminicidio</w:t>
            </w:r>
          </w:p>
        </w:tc>
        <w:tc>
          <w:tcPr>
            <w:tcW w:w="1629" w:type="dxa"/>
          </w:tcPr>
          <w:p w14:paraId="58523ECC" w14:textId="18F33CFF" w:rsidR="00625915" w:rsidRPr="00F13183" w:rsidRDefault="00625915" w:rsidP="00F13183">
            <w:pPr>
              <w:autoSpaceDE w:val="0"/>
              <w:autoSpaceDN w:val="0"/>
              <w:adjustRightInd w:val="0"/>
              <w:spacing w:after="0" w:line="240" w:lineRule="auto"/>
              <w:jc w:val="center"/>
              <w:rPr>
                <w:rFonts w:ascii="Arial" w:hAnsi="Arial" w:cs="Arial"/>
                <w:color w:val="000000"/>
                <w:sz w:val="20"/>
                <w:szCs w:val="20"/>
              </w:rPr>
            </w:pPr>
            <w:r w:rsidRPr="00F13183">
              <w:rPr>
                <w:rFonts w:ascii="Arial" w:hAnsi="Arial" w:cs="Arial"/>
                <w:color w:val="000000"/>
                <w:sz w:val="20"/>
                <w:szCs w:val="20"/>
              </w:rPr>
              <w:t>Feminicidio en niñas y adolescentes</w:t>
            </w:r>
          </w:p>
        </w:tc>
      </w:tr>
      <w:tr w:rsidR="00625915" w:rsidRPr="00F13183" w14:paraId="1322D433" w14:textId="77777777" w:rsidTr="00F13183">
        <w:trPr>
          <w:trHeight w:val="98"/>
          <w:jc w:val="center"/>
        </w:trPr>
        <w:tc>
          <w:tcPr>
            <w:tcW w:w="1629" w:type="dxa"/>
          </w:tcPr>
          <w:p w14:paraId="3E2089BA"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2015 </w:t>
            </w:r>
          </w:p>
        </w:tc>
        <w:tc>
          <w:tcPr>
            <w:tcW w:w="1629" w:type="dxa"/>
          </w:tcPr>
          <w:p w14:paraId="01507054"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415 </w:t>
            </w:r>
          </w:p>
        </w:tc>
        <w:tc>
          <w:tcPr>
            <w:tcW w:w="1629" w:type="dxa"/>
          </w:tcPr>
          <w:p w14:paraId="05F1EC22"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42 </w:t>
            </w:r>
          </w:p>
        </w:tc>
        <w:tc>
          <w:tcPr>
            <w:tcW w:w="1629" w:type="dxa"/>
          </w:tcPr>
          <w:p w14:paraId="2CFC8EE0"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411 </w:t>
            </w:r>
          </w:p>
        </w:tc>
        <w:tc>
          <w:tcPr>
            <w:tcW w:w="1629" w:type="dxa"/>
          </w:tcPr>
          <w:p w14:paraId="7001E108"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50 </w:t>
            </w:r>
          </w:p>
        </w:tc>
      </w:tr>
      <w:tr w:rsidR="00625915" w:rsidRPr="00F13183" w14:paraId="3FFA7FFE" w14:textId="77777777" w:rsidTr="00F13183">
        <w:trPr>
          <w:trHeight w:val="98"/>
          <w:jc w:val="center"/>
        </w:trPr>
        <w:tc>
          <w:tcPr>
            <w:tcW w:w="1629" w:type="dxa"/>
          </w:tcPr>
          <w:p w14:paraId="3A3373FB"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2016 </w:t>
            </w:r>
          </w:p>
        </w:tc>
        <w:tc>
          <w:tcPr>
            <w:tcW w:w="1629" w:type="dxa"/>
          </w:tcPr>
          <w:p w14:paraId="62F53AA6"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344 </w:t>
            </w:r>
          </w:p>
        </w:tc>
        <w:tc>
          <w:tcPr>
            <w:tcW w:w="1629" w:type="dxa"/>
          </w:tcPr>
          <w:p w14:paraId="74D7E3AB"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16 </w:t>
            </w:r>
          </w:p>
        </w:tc>
        <w:tc>
          <w:tcPr>
            <w:tcW w:w="1629" w:type="dxa"/>
          </w:tcPr>
          <w:p w14:paraId="19461082"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604 </w:t>
            </w:r>
          </w:p>
        </w:tc>
        <w:tc>
          <w:tcPr>
            <w:tcW w:w="1629" w:type="dxa"/>
          </w:tcPr>
          <w:p w14:paraId="2FF40898"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55 </w:t>
            </w:r>
          </w:p>
        </w:tc>
      </w:tr>
      <w:tr w:rsidR="00625915" w:rsidRPr="00F13183" w14:paraId="64EC11C8" w14:textId="77777777" w:rsidTr="00F13183">
        <w:trPr>
          <w:trHeight w:val="98"/>
          <w:jc w:val="center"/>
        </w:trPr>
        <w:tc>
          <w:tcPr>
            <w:tcW w:w="1629" w:type="dxa"/>
          </w:tcPr>
          <w:p w14:paraId="080D05C6"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2017 </w:t>
            </w:r>
          </w:p>
        </w:tc>
        <w:tc>
          <w:tcPr>
            <w:tcW w:w="1629" w:type="dxa"/>
          </w:tcPr>
          <w:p w14:paraId="76A32FE1"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304 </w:t>
            </w:r>
          </w:p>
        </w:tc>
        <w:tc>
          <w:tcPr>
            <w:tcW w:w="1629" w:type="dxa"/>
          </w:tcPr>
          <w:p w14:paraId="6D70B85B"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19 </w:t>
            </w:r>
          </w:p>
        </w:tc>
        <w:tc>
          <w:tcPr>
            <w:tcW w:w="1629" w:type="dxa"/>
          </w:tcPr>
          <w:p w14:paraId="185D7160"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741 </w:t>
            </w:r>
          </w:p>
        </w:tc>
        <w:tc>
          <w:tcPr>
            <w:tcW w:w="1629" w:type="dxa"/>
          </w:tcPr>
          <w:p w14:paraId="53D31C28"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66 </w:t>
            </w:r>
          </w:p>
        </w:tc>
      </w:tr>
      <w:tr w:rsidR="00625915" w:rsidRPr="00F13183" w14:paraId="534A012B" w14:textId="77777777" w:rsidTr="00F13183">
        <w:trPr>
          <w:trHeight w:val="98"/>
          <w:jc w:val="center"/>
        </w:trPr>
        <w:tc>
          <w:tcPr>
            <w:tcW w:w="1629" w:type="dxa"/>
          </w:tcPr>
          <w:p w14:paraId="4F730B09"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2018 </w:t>
            </w:r>
          </w:p>
        </w:tc>
        <w:tc>
          <w:tcPr>
            <w:tcW w:w="1629" w:type="dxa"/>
          </w:tcPr>
          <w:p w14:paraId="0B7B28E5"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387 </w:t>
            </w:r>
          </w:p>
        </w:tc>
        <w:tc>
          <w:tcPr>
            <w:tcW w:w="1629" w:type="dxa"/>
          </w:tcPr>
          <w:p w14:paraId="0EDC9DC1"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14 </w:t>
            </w:r>
          </w:p>
        </w:tc>
        <w:tc>
          <w:tcPr>
            <w:tcW w:w="1629" w:type="dxa"/>
          </w:tcPr>
          <w:p w14:paraId="409CB04F"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891 </w:t>
            </w:r>
          </w:p>
        </w:tc>
        <w:tc>
          <w:tcPr>
            <w:tcW w:w="1629" w:type="dxa"/>
          </w:tcPr>
          <w:p w14:paraId="56248D35"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83 </w:t>
            </w:r>
          </w:p>
        </w:tc>
      </w:tr>
      <w:tr w:rsidR="00625915" w:rsidRPr="00F13183" w14:paraId="71AFA890" w14:textId="77777777" w:rsidTr="00F13183">
        <w:trPr>
          <w:trHeight w:val="98"/>
          <w:jc w:val="center"/>
        </w:trPr>
        <w:tc>
          <w:tcPr>
            <w:tcW w:w="1629" w:type="dxa"/>
          </w:tcPr>
          <w:p w14:paraId="591BC36F"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2019 </w:t>
            </w:r>
          </w:p>
        </w:tc>
        <w:tc>
          <w:tcPr>
            <w:tcW w:w="1629" w:type="dxa"/>
          </w:tcPr>
          <w:p w14:paraId="192559FC"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538 </w:t>
            </w:r>
          </w:p>
        </w:tc>
        <w:tc>
          <w:tcPr>
            <w:tcW w:w="1629" w:type="dxa"/>
          </w:tcPr>
          <w:p w14:paraId="48F9D829"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16 </w:t>
            </w:r>
          </w:p>
        </w:tc>
        <w:tc>
          <w:tcPr>
            <w:tcW w:w="1629" w:type="dxa"/>
          </w:tcPr>
          <w:p w14:paraId="33E67EE7"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983 </w:t>
            </w:r>
          </w:p>
        </w:tc>
        <w:tc>
          <w:tcPr>
            <w:tcW w:w="1629" w:type="dxa"/>
          </w:tcPr>
          <w:p w14:paraId="2C9F2DE0"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95 </w:t>
            </w:r>
          </w:p>
        </w:tc>
      </w:tr>
      <w:tr w:rsidR="00625915" w:rsidRPr="00F13183" w14:paraId="7B011031" w14:textId="77777777" w:rsidTr="00F13183">
        <w:trPr>
          <w:trHeight w:val="98"/>
          <w:jc w:val="center"/>
        </w:trPr>
        <w:tc>
          <w:tcPr>
            <w:tcW w:w="1629" w:type="dxa"/>
          </w:tcPr>
          <w:p w14:paraId="7AE2935F"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2020 </w:t>
            </w:r>
          </w:p>
        </w:tc>
        <w:tc>
          <w:tcPr>
            <w:tcW w:w="1629" w:type="dxa"/>
          </w:tcPr>
          <w:p w14:paraId="613C957A"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122 </w:t>
            </w:r>
          </w:p>
        </w:tc>
        <w:tc>
          <w:tcPr>
            <w:tcW w:w="1629" w:type="dxa"/>
          </w:tcPr>
          <w:p w14:paraId="6C3F4DCC"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7 </w:t>
            </w:r>
          </w:p>
        </w:tc>
        <w:tc>
          <w:tcPr>
            <w:tcW w:w="1629" w:type="dxa"/>
          </w:tcPr>
          <w:p w14:paraId="53987B34"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240 </w:t>
            </w:r>
          </w:p>
        </w:tc>
        <w:tc>
          <w:tcPr>
            <w:tcW w:w="1629" w:type="dxa"/>
          </w:tcPr>
          <w:p w14:paraId="1BBB498B"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115 </w:t>
            </w:r>
          </w:p>
        </w:tc>
      </w:tr>
      <w:tr w:rsidR="00625915" w:rsidRPr="00F13183" w14:paraId="693E0AD9" w14:textId="77777777" w:rsidTr="00F13183">
        <w:trPr>
          <w:trHeight w:val="98"/>
          <w:jc w:val="center"/>
        </w:trPr>
        <w:tc>
          <w:tcPr>
            <w:tcW w:w="1629" w:type="dxa"/>
          </w:tcPr>
          <w:p w14:paraId="72D71891"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Total </w:t>
            </w:r>
          </w:p>
        </w:tc>
        <w:tc>
          <w:tcPr>
            <w:tcW w:w="1629" w:type="dxa"/>
          </w:tcPr>
          <w:p w14:paraId="40D65AC0"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2120 </w:t>
            </w:r>
          </w:p>
        </w:tc>
        <w:tc>
          <w:tcPr>
            <w:tcW w:w="1629" w:type="dxa"/>
          </w:tcPr>
          <w:p w14:paraId="7A645D20"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110 </w:t>
            </w:r>
          </w:p>
        </w:tc>
        <w:tc>
          <w:tcPr>
            <w:tcW w:w="1629" w:type="dxa"/>
          </w:tcPr>
          <w:p w14:paraId="77558B9C"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3870 </w:t>
            </w:r>
          </w:p>
        </w:tc>
        <w:tc>
          <w:tcPr>
            <w:tcW w:w="1629" w:type="dxa"/>
          </w:tcPr>
          <w:p w14:paraId="27D9CA99" w14:textId="77777777" w:rsidR="00625915" w:rsidRPr="00F13183" w:rsidRDefault="00625915" w:rsidP="00F13183">
            <w:pPr>
              <w:autoSpaceDE w:val="0"/>
              <w:autoSpaceDN w:val="0"/>
              <w:adjustRightInd w:val="0"/>
              <w:spacing w:after="0" w:line="240" w:lineRule="auto"/>
              <w:jc w:val="both"/>
              <w:rPr>
                <w:rFonts w:ascii="Arial" w:hAnsi="Arial" w:cs="Arial"/>
                <w:color w:val="000000"/>
                <w:sz w:val="20"/>
                <w:szCs w:val="20"/>
              </w:rPr>
            </w:pPr>
            <w:r w:rsidRPr="00F13183">
              <w:rPr>
                <w:rFonts w:ascii="Arial" w:hAnsi="Arial" w:cs="Arial"/>
                <w:color w:val="000000"/>
                <w:sz w:val="20"/>
                <w:szCs w:val="20"/>
              </w:rPr>
              <w:t xml:space="preserve">464 </w:t>
            </w:r>
          </w:p>
        </w:tc>
      </w:tr>
    </w:tbl>
    <w:p w14:paraId="0C331AAD" w14:textId="77777777" w:rsidR="00625915" w:rsidRPr="00A9772F" w:rsidRDefault="00625915" w:rsidP="00625915">
      <w:pPr>
        <w:spacing w:line="360" w:lineRule="auto"/>
        <w:jc w:val="both"/>
        <w:rPr>
          <w:rFonts w:ascii="Arial" w:hAnsi="Arial" w:cs="Arial"/>
          <w:sz w:val="24"/>
          <w:szCs w:val="24"/>
        </w:rPr>
      </w:pPr>
    </w:p>
    <w:p w14:paraId="1F930B48" w14:textId="77777777" w:rsidR="00625915" w:rsidRDefault="00625915" w:rsidP="00625915">
      <w:pPr>
        <w:spacing w:line="360" w:lineRule="auto"/>
        <w:jc w:val="both"/>
        <w:rPr>
          <w:rFonts w:ascii="Arial" w:hAnsi="Arial" w:cs="Arial"/>
          <w:sz w:val="24"/>
          <w:szCs w:val="24"/>
        </w:rPr>
      </w:pPr>
      <w:r w:rsidRPr="00A9772F">
        <w:rPr>
          <w:rFonts w:ascii="Arial" w:hAnsi="Arial" w:cs="Arial"/>
          <w:sz w:val="24"/>
          <w:szCs w:val="24"/>
        </w:rPr>
        <w:t xml:space="preserve">De la revisión estadística se advierte que el último lustro ha presentado una tendencia al alza en la incidencia de estos delitos, lo cual obliga a la adopción de medidas para identificar sus causas, incidencia y castigar, de forma ejemplar estas </w:t>
      </w:r>
      <w:r w:rsidRPr="00A9772F">
        <w:rPr>
          <w:rFonts w:ascii="Arial" w:hAnsi="Arial" w:cs="Arial"/>
          <w:sz w:val="24"/>
          <w:szCs w:val="24"/>
        </w:rPr>
        <w:lastRenderedPageBreak/>
        <w:t>conductas. La función simbólica del tipo penal de feminicidio constituye un mecanismo de visibilidad de la violencia contra la mujer, instrumento de política criminal de reivindicación de los derechos de las mujeres víctimas de estos delitos y herramienta de obtención de información para el trazado de estrategias para el combate de este fenómeno delictivo</w:t>
      </w:r>
      <w:r>
        <w:rPr>
          <w:rFonts w:ascii="Arial" w:hAnsi="Arial" w:cs="Arial"/>
          <w:sz w:val="24"/>
          <w:szCs w:val="24"/>
        </w:rPr>
        <w:t xml:space="preserve">. </w:t>
      </w:r>
    </w:p>
    <w:p w14:paraId="01E75553" w14:textId="77777777" w:rsidR="00625915" w:rsidRDefault="00625915" w:rsidP="00F13183">
      <w:pPr>
        <w:spacing w:line="360" w:lineRule="auto"/>
        <w:ind w:firstLine="708"/>
        <w:jc w:val="both"/>
        <w:rPr>
          <w:rFonts w:ascii="Arial" w:hAnsi="Arial" w:cs="Arial"/>
          <w:sz w:val="24"/>
          <w:szCs w:val="24"/>
        </w:rPr>
      </w:pPr>
      <w:r>
        <w:rPr>
          <w:rFonts w:ascii="Arial" w:hAnsi="Arial" w:cs="Arial"/>
          <w:sz w:val="24"/>
          <w:szCs w:val="24"/>
        </w:rPr>
        <w:t xml:space="preserve">Visibilizar la intersección de estos dos tipos de violencia contra las mujeres, adolescentes y niñas es indispensable para identificar sus causas y erradicar, a través de una política pública efectiva, las condiciones que posibilitan su perpetuación. </w:t>
      </w:r>
    </w:p>
    <w:p w14:paraId="0BD665A5" w14:textId="2FC8F597" w:rsidR="00625915" w:rsidRPr="00A9772F" w:rsidRDefault="00625915" w:rsidP="00B277B0">
      <w:pPr>
        <w:spacing w:line="360" w:lineRule="auto"/>
        <w:ind w:firstLine="708"/>
        <w:jc w:val="both"/>
        <w:rPr>
          <w:rFonts w:ascii="Arial" w:hAnsi="Arial" w:cs="Arial"/>
          <w:sz w:val="24"/>
          <w:szCs w:val="24"/>
        </w:rPr>
      </w:pPr>
      <w:r w:rsidRPr="00A9772F">
        <w:rPr>
          <w:rFonts w:ascii="Arial" w:hAnsi="Arial" w:cs="Arial"/>
          <w:b/>
          <w:bCs/>
          <w:sz w:val="24"/>
          <w:szCs w:val="24"/>
        </w:rPr>
        <w:t>K. Calidad de servidor público del sujeto activo</w:t>
      </w:r>
      <w:r w:rsidR="00F13183">
        <w:rPr>
          <w:rFonts w:ascii="Arial" w:hAnsi="Arial" w:cs="Arial"/>
          <w:b/>
          <w:bCs/>
          <w:sz w:val="24"/>
          <w:szCs w:val="24"/>
        </w:rPr>
        <w:t xml:space="preserve">. </w:t>
      </w:r>
      <w:r w:rsidRPr="00A9772F">
        <w:rPr>
          <w:rFonts w:ascii="Arial" w:hAnsi="Arial" w:cs="Arial"/>
          <w:sz w:val="24"/>
          <w:szCs w:val="24"/>
        </w:rPr>
        <w:t>De acuerdo con datos de la CEDAW, en nuestro país los delitos a través de los cuales se perpetúa la discriminación contra la mujer, a menudo, son cometidos por agentes estatales, pues estos, más allá de fenómenos interpersonales, se realizan de manera estructural y permean en la sociedad y en las propias instituciones. La misoginia, omisión y colusión con los agresores, resultan en la negación al acceso a la justicia de las víctimas de feminicidio y, por ende, en la violencia institucional que se traduce en impunidad en los delitos en los que las víctimas son mujeres, adolescentes y niñas.</w:t>
      </w:r>
    </w:p>
    <w:p w14:paraId="3B062C21" w14:textId="77777777" w:rsidR="00625915" w:rsidRPr="00A9772F" w:rsidRDefault="00625915" w:rsidP="00F13183">
      <w:pPr>
        <w:pStyle w:val="Default"/>
        <w:spacing w:line="360" w:lineRule="auto"/>
        <w:ind w:firstLine="708"/>
        <w:jc w:val="both"/>
        <w:rPr>
          <w:rFonts w:ascii="Arial" w:hAnsi="Arial" w:cs="Arial"/>
        </w:rPr>
      </w:pPr>
      <w:r w:rsidRPr="00A9772F">
        <w:rPr>
          <w:rFonts w:ascii="Arial" w:hAnsi="Arial" w:cs="Arial"/>
        </w:rPr>
        <w:t>Esta impunidad sistemática, fue evidenciada por la Primera Sala de la Suprema Corte de Justicia de la Nación (SCJN), al resolver el amparo en revisión 554/2013, en la cual se ordenó de manera inmediata la realización de todas las diligencias necesarias para investigar con perspectiva de género la muerte violenta de Mariana Lima, cumpliendo con el marco constitucional y legal, y los lineamientos dispuestos en dicho fallo. Lo anterior, derivado de las múltiples irregularidades, omisiones e, incluso, obstrucciones de justicia identificadas en la investigación,</w:t>
      </w:r>
      <w:r>
        <w:rPr>
          <w:rFonts w:ascii="Arial" w:hAnsi="Arial" w:cs="Arial"/>
        </w:rPr>
        <w:t xml:space="preserve"> </w:t>
      </w:r>
      <w:r w:rsidRPr="00A9772F">
        <w:rPr>
          <w:rFonts w:ascii="Arial" w:hAnsi="Arial" w:cs="Arial"/>
        </w:rPr>
        <w:t xml:space="preserve">en </w:t>
      </w:r>
      <w:r w:rsidRPr="00A9772F">
        <w:rPr>
          <w:rFonts w:ascii="Arial" w:hAnsi="Arial" w:cs="Arial"/>
        </w:rPr>
        <w:lastRenderedPageBreak/>
        <w:t xml:space="preserve">la que se observa una participación del esposo, un policía ministerial de Chimalhuacán, Estado de México. </w:t>
      </w:r>
    </w:p>
    <w:p w14:paraId="76D7C8E0" w14:textId="77777777" w:rsidR="00625915" w:rsidRPr="00A9772F" w:rsidRDefault="00625915" w:rsidP="00F13183">
      <w:pPr>
        <w:spacing w:line="360" w:lineRule="auto"/>
        <w:ind w:firstLine="708"/>
        <w:jc w:val="both"/>
        <w:rPr>
          <w:rFonts w:ascii="Arial" w:hAnsi="Arial" w:cs="Arial"/>
          <w:sz w:val="24"/>
          <w:szCs w:val="24"/>
        </w:rPr>
      </w:pPr>
      <w:r w:rsidRPr="00A9772F">
        <w:rPr>
          <w:rFonts w:ascii="Arial" w:hAnsi="Arial" w:cs="Arial"/>
          <w:sz w:val="24"/>
          <w:szCs w:val="24"/>
        </w:rPr>
        <w:t>Finalmente, derivado del cumplimiento de la sentencia de la Primera Sala, se inició un nuevo proceso en donde se hicieron evidentes las negligencias, omisión y obstrucción de justicia por parte de servidores públicos y se estableció la presunta responsabilidad del esposo. Este importante precedente puso en evidencia la colusión y complicidad entre servidores públicos del sistema de justicia, así como la impunidad y obstrucción de justicia actual ante casos de violencia contra las mujeres.</w:t>
      </w:r>
    </w:p>
    <w:p w14:paraId="4F421FE0" w14:textId="77777777" w:rsidR="00625915" w:rsidRPr="00A9772F" w:rsidRDefault="00625915" w:rsidP="00F13183">
      <w:pPr>
        <w:spacing w:line="360" w:lineRule="auto"/>
        <w:ind w:firstLine="708"/>
        <w:jc w:val="both"/>
        <w:rPr>
          <w:rFonts w:ascii="Arial" w:hAnsi="Arial" w:cs="Arial"/>
          <w:sz w:val="24"/>
          <w:szCs w:val="24"/>
        </w:rPr>
      </w:pPr>
      <w:r w:rsidRPr="00A9772F">
        <w:rPr>
          <w:rFonts w:ascii="Arial" w:hAnsi="Arial" w:cs="Arial"/>
          <w:sz w:val="24"/>
          <w:szCs w:val="24"/>
        </w:rPr>
        <w:t>Dicho esto, ante la gravedad de esta circunstancia y sus efectos nocivos y estructurales en la perpetuación de la violencia institucional, se considera indispensable prever una agravante en este supuesto, especialmente tratándose de agentes estatales que cuentan con acceso a armas, entrenamiento y conocimientos privilegiados sobre procesos de investigación y procuración de justicia.</w:t>
      </w:r>
    </w:p>
    <w:p w14:paraId="0E6A2595" w14:textId="64F5FE89" w:rsidR="00625915" w:rsidRPr="00F13183" w:rsidRDefault="00F13183" w:rsidP="00B277B0">
      <w:pPr>
        <w:spacing w:line="360" w:lineRule="auto"/>
        <w:ind w:firstLine="708"/>
        <w:jc w:val="both"/>
        <w:rPr>
          <w:rFonts w:ascii="Arial" w:hAnsi="Arial" w:cs="Arial"/>
          <w:sz w:val="24"/>
          <w:szCs w:val="24"/>
        </w:rPr>
      </w:pPr>
      <w:r w:rsidRPr="00F13183">
        <w:rPr>
          <w:rFonts w:ascii="Arial" w:hAnsi="Arial" w:cs="Arial"/>
          <w:b/>
          <w:bCs/>
          <w:sz w:val="24"/>
          <w:szCs w:val="24"/>
        </w:rPr>
        <w:t>L</w:t>
      </w:r>
      <w:r w:rsidR="00625915" w:rsidRPr="00F13183">
        <w:rPr>
          <w:rFonts w:ascii="Arial" w:hAnsi="Arial" w:cs="Arial"/>
          <w:b/>
          <w:bCs/>
          <w:sz w:val="24"/>
          <w:szCs w:val="24"/>
        </w:rPr>
        <w:t>. Coautoría</w:t>
      </w:r>
      <w:r w:rsidRPr="00F13183">
        <w:rPr>
          <w:rFonts w:ascii="Arial" w:hAnsi="Arial" w:cs="Arial"/>
          <w:b/>
          <w:bCs/>
          <w:sz w:val="24"/>
          <w:szCs w:val="24"/>
        </w:rPr>
        <w:t xml:space="preserve">. </w:t>
      </w:r>
      <w:r w:rsidR="00625915" w:rsidRPr="00F13183">
        <w:rPr>
          <w:rFonts w:ascii="Arial" w:hAnsi="Arial" w:cs="Arial"/>
          <w:sz w:val="24"/>
          <w:szCs w:val="24"/>
        </w:rPr>
        <w:t>La coautoría se actualiza cuando varias personas, en consenso y con dominio conjunto del hecho, dividiéndose las acciones delictivas y mediante un plan común acordado antes o durante la perpetración del suceso, concurren a la ejecución del hecho punible y, por tanto, son responsables en igualdad de condiciones.</w:t>
      </w:r>
    </w:p>
    <w:p w14:paraId="193085F2" w14:textId="77777777" w:rsidR="00625915" w:rsidRPr="00F13183" w:rsidRDefault="00625915" w:rsidP="00F13183">
      <w:pPr>
        <w:spacing w:line="360" w:lineRule="auto"/>
        <w:ind w:firstLine="708"/>
        <w:jc w:val="both"/>
        <w:rPr>
          <w:rFonts w:ascii="Arial" w:hAnsi="Arial" w:cs="Arial"/>
          <w:sz w:val="24"/>
          <w:szCs w:val="24"/>
        </w:rPr>
      </w:pPr>
      <w:r w:rsidRPr="00F13183">
        <w:rPr>
          <w:rFonts w:ascii="Arial" w:hAnsi="Arial" w:cs="Arial"/>
          <w:sz w:val="24"/>
          <w:szCs w:val="24"/>
        </w:rPr>
        <w:t xml:space="preserve">Este tipo de violencia es identificado comúnmente como parte de la afirmación de la identidad de ciertos grupos, especialmente aquellos donde el ejercicio de la violencia contra las mujeres concurre con el contexto de violencia organizada, como la producida por las pandillas, los grupos armados ilegales e incluso la injerencia permanente de las fuerzas estatales. De esta forma, la violencia sexual, la tortura y la retención ilegal de mujeres tienen alta probabilidad de culminar </w:t>
      </w:r>
      <w:r w:rsidRPr="00F13183">
        <w:rPr>
          <w:rFonts w:ascii="Arial" w:hAnsi="Arial" w:cs="Arial"/>
          <w:sz w:val="24"/>
          <w:szCs w:val="24"/>
        </w:rPr>
        <w:lastRenderedPageBreak/>
        <w:t xml:space="preserve">en feminicidio y se constituyen como conductas violentas utilizadas para afirmar o reafirmar la pertenencia a un grupo o buscar aceptación de los pares varones en un contexto determinado, en tanto, en algunas ocasiones, </w:t>
      </w:r>
      <w:r w:rsidRPr="00F13183">
        <w:rPr>
          <w:rFonts w:ascii="Arial" w:hAnsi="Arial" w:cs="Arial"/>
          <w:i/>
          <w:iCs/>
          <w:sz w:val="24"/>
          <w:szCs w:val="24"/>
        </w:rPr>
        <w:t>la violencia sexual es utilizada para mantener un control social en las zonas geográficas de su influencia</w:t>
      </w:r>
      <w:r w:rsidRPr="00F13183">
        <w:rPr>
          <w:rFonts w:ascii="Arial" w:hAnsi="Arial" w:cs="Arial"/>
          <w:sz w:val="24"/>
          <w:szCs w:val="24"/>
        </w:rPr>
        <w:t>.</w:t>
      </w:r>
    </w:p>
    <w:p w14:paraId="758F4CF5" w14:textId="77777777" w:rsidR="00625915" w:rsidRPr="00F13183" w:rsidRDefault="00625915" w:rsidP="00F13183">
      <w:pPr>
        <w:spacing w:line="360" w:lineRule="auto"/>
        <w:ind w:firstLine="708"/>
        <w:jc w:val="both"/>
        <w:rPr>
          <w:rFonts w:ascii="Arial" w:hAnsi="Arial" w:cs="Arial"/>
          <w:sz w:val="24"/>
          <w:szCs w:val="24"/>
        </w:rPr>
      </w:pPr>
      <w:r w:rsidRPr="00F13183">
        <w:rPr>
          <w:rFonts w:ascii="Arial" w:hAnsi="Arial" w:cs="Arial"/>
          <w:sz w:val="24"/>
          <w:szCs w:val="24"/>
        </w:rPr>
        <w:t>Derivado de los elementos constitutivos de la figura de la coautoría relacionados con la planificación, la participación y la ejecución de la conducta punible (feminicidio) por parte de diversos sujetos activos y, en algunos casos, las características observadas respecto a la brutalidad y sadismo utilizado para violentar a las mujeres, adolescentes y niñas víctimas de feminicidio, se considera indispensable incorporar una agravante cuando se observe la participación de dos o más personas.</w:t>
      </w:r>
    </w:p>
    <w:p w14:paraId="292972CC" w14:textId="4C32B5EB" w:rsidR="00625915" w:rsidRPr="00F13183" w:rsidRDefault="00625915" w:rsidP="00F13183">
      <w:pPr>
        <w:spacing w:line="360" w:lineRule="auto"/>
        <w:ind w:firstLine="708"/>
        <w:jc w:val="both"/>
        <w:rPr>
          <w:rFonts w:ascii="Arial" w:hAnsi="Arial" w:cs="Arial"/>
          <w:sz w:val="24"/>
          <w:szCs w:val="24"/>
        </w:rPr>
      </w:pPr>
      <w:r w:rsidRPr="00F13183">
        <w:rPr>
          <w:rFonts w:ascii="Arial" w:hAnsi="Arial" w:cs="Arial"/>
          <w:b/>
          <w:bCs/>
          <w:sz w:val="24"/>
          <w:szCs w:val="24"/>
        </w:rPr>
        <w:t>M</w:t>
      </w:r>
      <w:r w:rsidR="00F13183" w:rsidRPr="00F13183">
        <w:rPr>
          <w:rFonts w:ascii="Arial" w:hAnsi="Arial" w:cs="Arial"/>
          <w:b/>
          <w:bCs/>
          <w:sz w:val="24"/>
          <w:szCs w:val="24"/>
        </w:rPr>
        <w:t>.</w:t>
      </w:r>
      <w:r w:rsidRPr="00F13183">
        <w:rPr>
          <w:rFonts w:ascii="Arial" w:hAnsi="Arial" w:cs="Arial"/>
          <w:b/>
          <w:bCs/>
          <w:sz w:val="24"/>
          <w:szCs w:val="24"/>
        </w:rPr>
        <w:t xml:space="preserve"> En presencia de personas vinculadas a la víctima</w:t>
      </w:r>
      <w:r w:rsidR="00F13183" w:rsidRPr="00F13183">
        <w:rPr>
          <w:rFonts w:ascii="Arial" w:hAnsi="Arial" w:cs="Arial"/>
          <w:b/>
          <w:bCs/>
          <w:sz w:val="24"/>
          <w:szCs w:val="24"/>
        </w:rPr>
        <w:t>.</w:t>
      </w:r>
      <w:r w:rsidRPr="00F13183">
        <w:rPr>
          <w:rFonts w:ascii="Arial" w:hAnsi="Arial" w:cs="Arial"/>
          <w:b/>
          <w:bCs/>
          <w:sz w:val="24"/>
          <w:szCs w:val="24"/>
        </w:rPr>
        <w:t xml:space="preserve"> </w:t>
      </w:r>
      <w:r w:rsidRPr="00F13183">
        <w:rPr>
          <w:rFonts w:ascii="Arial" w:hAnsi="Arial" w:cs="Arial"/>
          <w:sz w:val="24"/>
          <w:szCs w:val="24"/>
        </w:rPr>
        <w:t xml:space="preserve">En 2018, la Organización de las Naciones Unidas, a través de su estudio Global sobre Homicidios de Mujeres por razones de Género, evidenció que, nada más en 2017, 87 mil mujeres habían sido asesinadas intencionalmente; de las cuales, más de 50 mil habían sido asesinadas por sus parejas o exparejas o algún miembro de su familia, lo que supone que diariamente 137 mujeres murieron en el mundo por parte de alguien de su entorno más íntimo. </w:t>
      </w:r>
    </w:p>
    <w:p w14:paraId="61885FBC" w14:textId="77777777" w:rsidR="00625915" w:rsidRPr="00F13183" w:rsidRDefault="00625915" w:rsidP="00F13183">
      <w:pPr>
        <w:spacing w:line="360" w:lineRule="auto"/>
        <w:ind w:firstLine="708"/>
        <w:jc w:val="both"/>
        <w:rPr>
          <w:rFonts w:ascii="Arial" w:hAnsi="Arial" w:cs="Arial"/>
          <w:sz w:val="24"/>
          <w:szCs w:val="24"/>
        </w:rPr>
      </w:pPr>
      <w:r w:rsidRPr="00F13183">
        <w:rPr>
          <w:rFonts w:ascii="Arial" w:hAnsi="Arial" w:cs="Arial"/>
          <w:sz w:val="24"/>
          <w:szCs w:val="24"/>
        </w:rPr>
        <w:t>En los últimos años se ha tomado conciencia sobre la importancia de atender la violencia que se genera al interior de los hogares y familias; aquello que se consideraba “privado”, como la violencia familiar, ha dejado de serlo, y, con ello, aunque México ha logrado un avance normativo importante, resulta insuficiente, pues las mujeres continúan siendo asesinadas en un gran porcentaje por sus parejas, exparejas y familiares cercanos.</w:t>
      </w:r>
    </w:p>
    <w:p w14:paraId="47CDAB14" w14:textId="39639CA0" w:rsidR="00625915" w:rsidRPr="00F13183" w:rsidRDefault="00625915" w:rsidP="00F13183">
      <w:pPr>
        <w:spacing w:line="360" w:lineRule="auto"/>
        <w:ind w:firstLine="708"/>
        <w:jc w:val="both"/>
        <w:rPr>
          <w:rFonts w:ascii="Arial" w:hAnsi="Arial" w:cs="Arial"/>
          <w:sz w:val="24"/>
          <w:szCs w:val="24"/>
        </w:rPr>
      </w:pPr>
      <w:r w:rsidRPr="00F13183">
        <w:rPr>
          <w:rFonts w:ascii="Arial" w:hAnsi="Arial" w:cs="Arial"/>
          <w:sz w:val="24"/>
          <w:szCs w:val="24"/>
        </w:rPr>
        <w:lastRenderedPageBreak/>
        <w:t>En el caso de las mujeres víctimas de muertes violentas, la pareja aparece como presunta responsable en el 48.95% de los registros. Las diferencias se acentúan un poco, sobre todo, una vez que se desagregan los datos por edad. Por ejemplo, en el caso de mujeres adolescentes e, incluso, de mujeres entre 20 y 35 años, las exparejas figuran más como presuntas responsables. Estas particularidades hacen recurrente que el delito sea cometido en presencia de su círculo más íntimo y de afectos</w:t>
      </w:r>
      <w:r w:rsidR="00EE1C27">
        <w:rPr>
          <w:rFonts w:ascii="Arial" w:hAnsi="Arial" w:cs="Arial"/>
          <w:sz w:val="24"/>
          <w:szCs w:val="24"/>
        </w:rPr>
        <w:t>.</w:t>
      </w:r>
    </w:p>
    <w:p w14:paraId="3828FACE" w14:textId="77777777" w:rsidR="00625915" w:rsidRPr="00A9772F" w:rsidRDefault="00625915" w:rsidP="00F13183">
      <w:pPr>
        <w:spacing w:line="360" w:lineRule="auto"/>
        <w:ind w:firstLine="708"/>
        <w:jc w:val="both"/>
        <w:rPr>
          <w:rFonts w:ascii="Arial" w:hAnsi="Arial" w:cs="Arial"/>
          <w:sz w:val="24"/>
          <w:szCs w:val="24"/>
        </w:rPr>
      </w:pPr>
      <w:r w:rsidRPr="00A9772F">
        <w:rPr>
          <w:rFonts w:ascii="Arial" w:hAnsi="Arial" w:cs="Arial"/>
          <w:sz w:val="24"/>
          <w:szCs w:val="24"/>
        </w:rPr>
        <w:t>Como consecuencia de lo antes mencionado, las personas que presencian estos crímenes, es muy probable que sufran secuelas profundas, por lo que el apoyo y atención integral es una de las grandes deudas con las y los huérfanos, y sus cuidadoras o cuidadores, ya que no cuentan con la posibilidad de cerrar círculos, vivir duelos y superar el trauma, aunado al temor cotidiano a que el agresor regrese. No actuar a tiempo en favor de la niñez, tiene graves consecuencias en su proyecto de vida, como el riesgo de tener problemas con la ley, abandono o depresión.</w:t>
      </w:r>
    </w:p>
    <w:p w14:paraId="172A70D4" w14:textId="77777777" w:rsidR="00625915" w:rsidRPr="00A9772F" w:rsidRDefault="00625915" w:rsidP="00F13183">
      <w:pPr>
        <w:spacing w:line="360" w:lineRule="auto"/>
        <w:ind w:firstLine="708"/>
        <w:jc w:val="both"/>
        <w:rPr>
          <w:rFonts w:ascii="Arial" w:hAnsi="Arial" w:cs="Arial"/>
          <w:sz w:val="24"/>
          <w:szCs w:val="24"/>
        </w:rPr>
      </w:pPr>
      <w:r w:rsidRPr="00A9772F">
        <w:rPr>
          <w:rFonts w:ascii="Arial" w:hAnsi="Arial" w:cs="Arial"/>
          <w:sz w:val="24"/>
          <w:szCs w:val="24"/>
        </w:rPr>
        <w:t>En virtud de que la población de niños, niñas y adolescentes cuenta con derechos especiales a los que corresponden a deberes específicos por parte del Estado, la prevalencia del interés superior de la niñez debe ser entendida como la necesidad de satisfacción de todos los derechos de la infancia y la adolescencia, que obliga al Estado a prestar especial atención a las necesidades y los derechos de las presuntas víctimas, en consideración a su pertenencia a un grupo en una situación de vulnerabilidad. De ahí que el tipo penal modelo considere la comisión de la privación de la vida de la mujer, ya sea madre o cuidadora, en presencia de personas con quienes la víctima tuviere un vínculo de parentesco y otras naturalezas.</w:t>
      </w:r>
    </w:p>
    <w:p w14:paraId="52372D23" w14:textId="3F26F9E5" w:rsidR="00EE1C27" w:rsidRPr="00A9772F" w:rsidRDefault="00625915" w:rsidP="00EE1C27">
      <w:pPr>
        <w:pStyle w:val="Default"/>
        <w:spacing w:line="360" w:lineRule="auto"/>
        <w:ind w:firstLine="708"/>
        <w:jc w:val="both"/>
        <w:rPr>
          <w:rFonts w:ascii="Arial" w:hAnsi="Arial" w:cs="Arial"/>
        </w:rPr>
      </w:pPr>
      <w:r w:rsidRPr="00A9772F">
        <w:rPr>
          <w:rFonts w:ascii="Arial" w:hAnsi="Arial" w:cs="Arial"/>
        </w:rPr>
        <w:lastRenderedPageBreak/>
        <w:t>Adicional a ello, en los últimos años se ha hablado cada vez más de la violencia vicaria</w:t>
      </w:r>
      <w:r w:rsidR="00EE1C27">
        <w:rPr>
          <w:rFonts w:ascii="Arial" w:hAnsi="Arial" w:cs="Arial"/>
        </w:rPr>
        <w:t>.</w:t>
      </w:r>
    </w:p>
    <w:p w14:paraId="08912DDB" w14:textId="77777777" w:rsidR="00625915" w:rsidRPr="00A9772F" w:rsidRDefault="00625915" w:rsidP="00EE1C27">
      <w:pPr>
        <w:pStyle w:val="Default"/>
        <w:spacing w:line="360" w:lineRule="auto"/>
        <w:ind w:firstLine="708"/>
        <w:jc w:val="both"/>
        <w:rPr>
          <w:rFonts w:ascii="Arial" w:hAnsi="Arial" w:cs="Arial"/>
        </w:rPr>
      </w:pPr>
      <w:r w:rsidRPr="00A9772F">
        <w:rPr>
          <w:rFonts w:ascii="Arial" w:hAnsi="Arial" w:cs="Arial"/>
        </w:rPr>
        <w:t xml:space="preserve">Adicionalmente, es importante considerar que, en contextos de altos índices de violencia de género, los cuerpos de las mujeres son conceptualizados como emblema de territorio, por lo que, ante el alza de enfrentamientos criminales y entre pandillas, las mujeres son utilizadas como mecanismo para generar sentimientos de terror, paralización, inseguridad, frustración, humillación, culpabilidad y dolor al adversario, causando un impacto grave en el tejido social de las comunidades. </w:t>
      </w:r>
    </w:p>
    <w:p w14:paraId="38C142FA" w14:textId="77777777" w:rsidR="00625915" w:rsidRPr="00EE1C27" w:rsidRDefault="00625915" w:rsidP="00EE1C27">
      <w:pPr>
        <w:spacing w:line="360" w:lineRule="auto"/>
        <w:ind w:firstLine="708"/>
        <w:jc w:val="both"/>
        <w:rPr>
          <w:rFonts w:ascii="Arial" w:hAnsi="Arial" w:cs="Arial"/>
          <w:sz w:val="28"/>
          <w:szCs w:val="28"/>
        </w:rPr>
      </w:pPr>
      <w:r w:rsidRPr="00A9772F">
        <w:rPr>
          <w:rFonts w:ascii="Arial" w:hAnsi="Arial" w:cs="Arial"/>
          <w:sz w:val="24"/>
          <w:szCs w:val="24"/>
        </w:rPr>
        <w:t>Dicho esto, incorporar un elemento que recoge las posibilidades expuestas y visibilizar el tipo de violencia que se ejerce contra las mujeres, a través de terceras personas, o en el que ellas son utilizadas como moneda de cambio, es un elemento indispensable que se debe considerar en el tipo penal de feminicidio, y que, por su impacto en las familias y comunidades, debe castigarse de manera idónea</w:t>
      </w:r>
      <w:r w:rsidRPr="00EE1C27">
        <w:rPr>
          <w:rFonts w:ascii="Arial" w:hAnsi="Arial" w:cs="Arial"/>
          <w:sz w:val="28"/>
          <w:szCs w:val="28"/>
        </w:rPr>
        <w:t>.</w:t>
      </w:r>
    </w:p>
    <w:p w14:paraId="0BF20EE7" w14:textId="12207645"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b/>
          <w:bCs/>
          <w:sz w:val="24"/>
          <w:szCs w:val="24"/>
        </w:rPr>
        <w:t>N. Cuando el sujeto activo tenga e</w:t>
      </w:r>
      <w:r w:rsidR="00EE1C27" w:rsidRPr="00EE1C27">
        <w:rPr>
          <w:rFonts w:ascii="Arial" w:hAnsi="Arial" w:cs="Arial"/>
          <w:b/>
          <w:bCs/>
          <w:sz w:val="24"/>
          <w:szCs w:val="24"/>
        </w:rPr>
        <w:t>l</w:t>
      </w:r>
      <w:r w:rsidRPr="00EE1C27">
        <w:rPr>
          <w:rFonts w:ascii="Arial" w:hAnsi="Arial" w:cs="Arial"/>
          <w:b/>
          <w:bCs/>
          <w:sz w:val="24"/>
          <w:szCs w:val="24"/>
        </w:rPr>
        <w:t xml:space="preserve"> deber de cuidado sobre la víctima</w:t>
      </w:r>
      <w:r w:rsidR="00EE1C27" w:rsidRPr="00EE1C27">
        <w:rPr>
          <w:rFonts w:ascii="Arial" w:hAnsi="Arial" w:cs="Arial"/>
          <w:b/>
          <w:bCs/>
          <w:sz w:val="24"/>
          <w:szCs w:val="24"/>
        </w:rPr>
        <w:t xml:space="preserve">. </w:t>
      </w:r>
      <w:r w:rsidRPr="00EE1C27">
        <w:rPr>
          <w:rFonts w:ascii="Arial" w:hAnsi="Arial" w:cs="Arial"/>
          <w:sz w:val="24"/>
          <w:szCs w:val="24"/>
        </w:rPr>
        <w:t xml:space="preserve">El incremento de la convivencia al interior de estos espacios, en donde las mujeres, las adolescentes y las niñas convivieron más tiempo con sus agresores, como consecuencia, se observó una alarmante alza de las denuncias sobre violencia doméstica y muertes violentas de mujeres durante la pandemia. </w:t>
      </w:r>
    </w:p>
    <w:p w14:paraId="0698F7AE" w14:textId="77777777" w:rsidR="00625915" w:rsidRPr="00A9772F" w:rsidRDefault="00625915" w:rsidP="00EE1C27">
      <w:pPr>
        <w:spacing w:line="360" w:lineRule="auto"/>
        <w:ind w:firstLine="708"/>
        <w:jc w:val="both"/>
        <w:rPr>
          <w:rFonts w:ascii="Arial" w:hAnsi="Arial" w:cs="Arial"/>
          <w:sz w:val="24"/>
          <w:szCs w:val="24"/>
        </w:rPr>
      </w:pPr>
      <w:r w:rsidRPr="00A9772F">
        <w:rPr>
          <w:rFonts w:ascii="Arial" w:hAnsi="Arial" w:cs="Arial"/>
          <w:sz w:val="24"/>
          <w:szCs w:val="24"/>
        </w:rPr>
        <w:t>En 2021, se recibieron 291,331 llamadas de emergencia relacionadas con violencia de género y representan una tasa nacional de 442.5 por cada 100 mil mujeres, las entidades federativas con mayor número de llamadas son: Chihuahua, Ciudad de México, Estado de México y Jalisco. Esta cifra aumentó respecto a 2020 (260,067) y 2019 (197, 693).</w:t>
      </w:r>
    </w:p>
    <w:p w14:paraId="356288BB" w14:textId="64E05A31" w:rsidR="00625915" w:rsidRPr="00A9772F" w:rsidRDefault="00EE1C27" w:rsidP="00EE1C27">
      <w:pPr>
        <w:spacing w:line="360" w:lineRule="auto"/>
        <w:ind w:firstLine="708"/>
        <w:jc w:val="both"/>
        <w:rPr>
          <w:rFonts w:ascii="Arial" w:hAnsi="Arial" w:cs="Arial"/>
          <w:sz w:val="24"/>
          <w:szCs w:val="24"/>
        </w:rPr>
      </w:pPr>
      <w:r>
        <w:rPr>
          <w:rFonts w:ascii="Arial" w:hAnsi="Arial" w:cs="Arial"/>
          <w:sz w:val="24"/>
          <w:szCs w:val="24"/>
        </w:rPr>
        <w:t>E</w:t>
      </w:r>
      <w:r w:rsidR="00625915" w:rsidRPr="00A9772F">
        <w:rPr>
          <w:rFonts w:ascii="Arial" w:hAnsi="Arial" w:cs="Arial"/>
          <w:sz w:val="24"/>
          <w:szCs w:val="24"/>
        </w:rPr>
        <w:t xml:space="preserve">l alto índice de violencia que sufren las mujeres, adolescentes y niñas en los espacios más íntimos y de confianza en los que se desarrollan, el cual es </w:t>
      </w:r>
      <w:r w:rsidR="00625915" w:rsidRPr="00A9772F">
        <w:rPr>
          <w:rFonts w:ascii="Arial" w:hAnsi="Arial" w:cs="Arial"/>
          <w:sz w:val="24"/>
          <w:szCs w:val="24"/>
        </w:rPr>
        <w:lastRenderedPageBreak/>
        <w:t xml:space="preserve">mayormente perpetrado por quienes debieran protegerlas. Dicho esto, se considera fundamental establecer una sanción más severa en el </w:t>
      </w:r>
      <w:r w:rsidR="00625915" w:rsidRPr="00A9772F">
        <w:rPr>
          <w:rFonts w:ascii="Arial" w:hAnsi="Arial" w:cs="Arial"/>
          <w:i/>
          <w:iCs/>
          <w:sz w:val="24"/>
          <w:szCs w:val="24"/>
        </w:rPr>
        <w:t xml:space="preserve">plus de injusto </w:t>
      </w:r>
      <w:r w:rsidR="00625915" w:rsidRPr="00A9772F">
        <w:rPr>
          <w:rFonts w:ascii="Arial" w:hAnsi="Arial" w:cs="Arial"/>
          <w:sz w:val="24"/>
          <w:szCs w:val="24"/>
        </w:rPr>
        <w:t>o mayor antijuricidad, cuando el sujeto activo del feminicidio se trate de una persona que tenga el deber de cuidado y respeto, originados tanto en el derecho civil como amparados constitucionalmente;</w:t>
      </w:r>
      <w:r w:rsidR="00625915">
        <w:rPr>
          <w:rFonts w:ascii="Arial" w:hAnsi="Arial" w:cs="Arial"/>
          <w:sz w:val="24"/>
          <w:szCs w:val="24"/>
        </w:rPr>
        <w:t xml:space="preserve"> </w:t>
      </w:r>
      <w:r w:rsidR="00625915" w:rsidRPr="00A9772F">
        <w:rPr>
          <w:rFonts w:ascii="Arial" w:hAnsi="Arial" w:cs="Arial"/>
          <w:sz w:val="24"/>
          <w:szCs w:val="24"/>
        </w:rPr>
        <w:t>por ejemplo, tratándose de hijas, esposas, concubinas, nietas, sobrinas, cuidadoras y/o dependientes de cuidado, o cualquier otra relación de consanguinidad, de confianza, cuidado y respeto. De igual manera, tratándose de una autoridad, personal docente, médico, persona guardadora o a quien se encomiende la supervisión y/o cuidado de la víctima, en donde, valiéndose de dicha posición, ejecute delitos o violencia de género que culminan en feminicidio.</w:t>
      </w:r>
    </w:p>
    <w:p w14:paraId="2A1631C9" w14:textId="22AFC66D"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b/>
          <w:bCs/>
          <w:sz w:val="24"/>
          <w:szCs w:val="24"/>
        </w:rPr>
        <w:t>O. Transporte</w:t>
      </w:r>
      <w:r w:rsidR="00EE1C27" w:rsidRPr="00EE1C27">
        <w:rPr>
          <w:rFonts w:ascii="Arial" w:hAnsi="Arial" w:cs="Arial"/>
          <w:b/>
          <w:bCs/>
          <w:sz w:val="24"/>
          <w:szCs w:val="24"/>
        </w:rPr>
        <w:t xml:space="preserve">. </w:t>
      </w:r>
      <w:r w:rsidRPr="00EE1C27">
        <w:rPr>
          <w:rFonts w:ascii="Arial" w:hAnsi="Arial" w:cs="Arial"/>
          <w:sz w:val="24"/>
          <w:szCs w:val="24"/>
        </w:rPr>
        <w:t>Conviene mencionar que, de acuerdo con la Comisión Económica para América Latina y el Caribe (CEPAL), en América Latina, la calle y el transporte público no son territorios neutrales y los grados de libertad vividos por hombres y mujeres en el espacio público son diferentes.</w:t>
      </w:r>
    </w:p>
    <w:p w14:paraId="3080B719" w14:textId="77777777"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sz w:val="24"/>
          <w:szCs w:val="24"/>
        </w:rPr>
        <w:t>En ese sentido, la CEPAL añade que las mujeres viven sus desplazamientos de manera desigual, ya que además del miedo al robo o el asalto, está el temor a la violación o al secuestro, y se encuentran expuestas a una forma de violencia cotidiana que se expresa en palabras, sonidos, frases que las menoscaban, roces o contactos corporales y abuso físico que tiene efectos negativos específicos sobre el modo de vivir la seguridad en la calle.</w:t>
      </w:r>
    </w:p>
    <w:p w14:paraId="54FD1412" w14:textId="77777777"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sz w:val="24"/>
          <w:szCs w:val="24"/>
        </w:rPr>
        <w:t>En general, las mujeres usan más el transporte público.</w:t>
      </w:r>
    </w:p>
    <w:p w14:paraId="0BF7D627" w14:textId="77777777"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sz w:val="24"/>
          <w:szCs w:val="24"/>
        </w:rPr>
        <w:t xml:space="preserve">El acoso y la violencia sexual es un problema universal presente en las calles, en el transporte público y en las escuelas, universidades y lugares de trabajo, en parques, en baños públicos y en puntos de distribución de agua y alimentos, en los mercados y en los propios hogares. Las mujeres y las niñas sufren y temen diversos </w:t>
      </w:r>
      <w:r w:rsidRPr="00EE1C27">
        <w:rPr>
          <w:rFonts w:ascii="Arial" w:hAnsi="Arial" w:cs="Arial"/>
          <w:sz w:val="24"/>
          <w:szCs w:val="24"/>
        </w:rPr>
        <w:lastRenderedPageBreak/>
        <w:t>tipos de acoso y violencia sexual en espacios públicos que van desde comentarios sexuales hasta el manoseo, la violación y el feminicidio.</w:t>
      </w:r>
    </w:p>
    <w:p w14:paraId="3DDF40F4" w14:textId="77777777"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sz w:val="24"/>
          <w:szCs w:val="24"/>
        </w:rPr>
        <w:t>Por ello, establecer una agravante respecto a que el sujeto activo se haya valido de su oficio como conductor de un vehículo de transporte de pasajeros, turismo o cualquier otra modalidad, para aprovecharse de la víctima y cometer delito, se considera una situación que debe establecer una mayor sanción contra el sujeto activo. Lo anterior, en virtud de que el bien jurídico que pretende tutelarse es la integridad y seguridad de las usuarias de dichos servicios que, al encontrarse dentro del vehículo, se encuentran más vulnerables e imposibilitadas de pedir ayuda, lesionándose en mayor medida el bien jurídico protegido.</w:t>
      </w:r>
    </w:p>
    <w:p w14:paraId="76B7351B" w14:textId="63BB2B0C" w:rsidR="00625915" w:rsidRPr="00EE1C27" w:rsidRDefault="00625915" w:rsidP="00B277B0">
      <w:pPr>
        <w:spacing w:line="360" w:lineRule="auto"/>
        <w:ind w:firstLine="708"/>
        <w:jc w:val="both"/>
        <w:rPr>
          <w:rFonts w:ascii="Arial" w:hAnsi="Arial" w:cs="Arial"/>
          <w:sz w:val="24"/>
          <w:szCs w:val="24"/>
        </w:rPr>
      </w:pPr>
      <w:r w:rsidRPr="00EE1C27">
        <w:rPr>
          <w:rFonts w:ascii="Arial" w:hAnsi="Arial" w:cs="Arial"/>
          <w:b/>
          <w:bCs/>
          <w:sz w:val="24"/>
          <w:szCs w:val="24"/>
        </w:rPr>
        <w:t>P. Niñas y adolescentes</w:t>
      </w:r>
      <w:r w:rsidR="00EE1C27">
        <w:rPr>
          <w:rFonts w:ascii="Arial" w:hAnsi="Arial" w:cs="Arial"/>
          <w:b/>
          <w:bCs/>
          <w:sz w:val="24"/>
          <w:szCs w:val="24"/>
        </w:rPr>
        <w:t xml:space="preserve">. </w:t>
      </w:r>
      <w:r w:rsidRPr="00EE1C27">
        <w:rPr>
          <w:rFonts w:ascii="Arial" w:hAnsi="Arial" w:cs="Arial"/>
          <w:sz w:val="24"/>
          <w:szCs w:val="24"/>
        </w:rPr>
        <w:t>En el mismo sentido, el Comité de los Derechos del Niño el comité compartió que “se consideran vulnerables todas las niñas y los niños hasta los 18 años de edad, porque no ha concluido aún su crecimiento y desarrollo neurológico, psicológico, social y físico. Los lactantes, las niñas y los niños pequeños son las y los más vulnerables debido a la inmadurez de su cerebro en desarrollo y a su completa dependencia de las personas adultas. Aunque corren peligro los niños y las niñas de ambos sexos, la violencia suele tener un componente de género” en contra de las niñas y adolescentes.</w:t>
      </w:r>
    </w:p>
    <w:p w14:paraId="6D7D3C4D" w14:textId="77777777"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sz w:val="24"/>
          <w:szCs w:val="24"/>
        </w:rPr>
        <w:t>En efecto, en el caso de las niñas y adolescentes, la vulnerabilidad se ve enmarcada y potenciada debido a factores de discriminación histórica en donde las mujeres, las adolescentes y las niñas sufran mayores índices de violencia sexual en su contra, especialmente en la esfera familiar. </w:t>
      </w:r>
    </w:p>
    <w:p w14:paraId="1BCC1764" w14:textId="77777777"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sz w:val="24"/>
          <w:szCs w:val="24"/>
        </w:rPr>
        <w:t xml:space="preserve">Las medidas especiales de protección obligatorias para el Estado se basan en el hecho de que las niñas, niños y adolescentes se consideran más vulnerables a violaciones de derechos humanos, lo que, a su vez, está determinado por factores </w:t>
      </w:r>
      <w:r w:rsidRPr="00EE1C27">
        <w:rPr>
          <w:rFonts w:ascii="Arial" w:hAnsi="Arial" w:cs="Arial"/>
          <w:sz w:val="24"/>
          <w:szCs w:val="24"/>
        </w:rPr>
        <w:lastRenderedPageBreak/>
        <w:t>como su edad, sus condiciones particulares, su grado de desarrollo y madurez, entre otros. En el caso de las niñas, dicha vulnerabilidad puede verse enmarcada y potenciada, debido a factores de discriminación histórica por razones de género en la esfera familiar. Dicho esto, y lo retomado a lo largo del presente documento, en relación con la perpetuación de la violencia contra niñas y adolescentes, así como el grado de vulnerabilidad al que están expuestas, se considera indispensable la incorporación de esta agravante.</w:t>
      </w:r>
    </w:p>
    <w:p w14:paraId="68DDC3F2" w14:textId="318D8A0D" w:rsidR="00625915" w:rsidRPr="00EE1C27" w:rsidRDefault="00625915" w:rsidP="00B277B0">
      <w:pPr>
        <w:spacing w:line="360" w:lineRule="auto"/>
        <w:ind w:firstLine="708"/>
        <w:jc w:val="both"/>
        <w:rPr>
          <w:rFonts w:ascii="Arial" w:hAnsi="Arial" w:cs="Arial"/>
          <w:sz w:val="24"/>
          <w:szCs w:val="24"/>
        </w:rPr>
      </w:pPr>
      <w:r w:rsidRPr="00EE1C27">
        <w:rPr>
          <w:rFonts w:ascii="Arial" w:hAnsi="Arial" w:cs="Arial"/>
          <w:b/>
          <w:bCs/>
          <w:sz w:val="24"/>
          <w:szCs w:val="24"/>
        </w:rPr>
        <w:t>Q. Pérdida de la patria potestad e interés superior de la niñez</w:t>
      </w:r>
      <w:r w:rsidR="00EE1C27">
        <w:rPr>
          <w:rFonts w:ascii="Arial" w:hAnsi="Arial" w:cs="Arial"/>
          <w:b/>
          <w:bCs/>
          <w:sz w:val="24"/>
          <w:szCs w:val="24"/>
        </w:rPr>
        <w:t xml:space="preserve">, </w:t>
      </w:r>
      <w:r w:rsidR="00EE1C27" w:rsidRPr="00EE1C27">
        <w:rPr>
          <w:rFonts w:ascii="Arial" w:hAnsi="Arial" w:cs="Arial"/>
          <w:bCs/>
          <w:sz w:val="24"/>
          <w:szCs w:val="24"/>
        </w:rPr>
        <w:t>L</w:t>
      </w:r>
      <w:r w:rsidRPr="00EE1C27">
        <w:rPr>
          <w:rFonts w:ascii="Arial" w:hAnsi="Arial" w:cs="Arial"/>
          <w:sz w:val="24"/>
          <w:szCs w:val="24"/>
        </w:rPr>
        <w:t>as consecuencias del feminicidio no solo afectan a la víctima directa, sino también tienen un impacto negativo muy grave en los entornos familiares y comunitarios. Es importante mencionar que una de las consecuencias y efectos de los feminicidios en el país recae en las víctimas indirectas, especialmente las adolescentes, niñas y niños, cuya madre fue víctima de este delito y se encuentran en situación de orfandad como secuela. La situación de niños, niñas y adolescentes en situación de orfandad como consecuencia del feminicidio y aquellos que han presenciado el asesinato de alguna mujer, constituye un evento traumático, que, además de quebrar la idea de familia como un espacio de protección y afecto, les coloca en un mayor riesgo de vulneración de sus derechos.</w:t>
      </w:r>
    </w:p>
    <w:p w14:paraId="1EB2FB59" w14:textId="75A404E4" w:rsidR="00EE1C27" w:rsidRPr="00EE1C27" w:rsidRDefault="00625915" w:rsidP="00EE1C27">
      <w:pPr>
        <w:autoSpaceDE w:val="0"/>
        <w:autoSpaceDN w:val="0"/>
        <w:adjustRightInd w:val="0"/>
        <w:spacing w:after="0" w:line="360" w:lineRule="auto"/>
        <w:ind w:firstLine="708"/>
        <w:jc w:val="both"/>
        <w:rPr>
          <w:rFonts w:ascii="Arial" w:hAnsi="Arial" w:cs="Arial"/>
          <w:i/>
          <w:iCs/>
          <w:sz w:val="24"/>
          <w:szCs w:val="24"/>
        </w:rPr>
      </w:pPr>
      <w:r w:rsidRPr="00EE1C27">
        <w:rPr>
          <w:rFonts w:ascii="Arial" w:hAnsi="Arial" w:cs="Arial"/>
          <w:color w:val="000000"/>
          <w:sz w:val="24"/>
          <w:szCs w:val="24"/>
        </w:rPr>
        <w:t>Esta situación cobra relevancia, tomando en consideración que, en muchas ocasiones, el feminicida es la pareja sentimental de la víctima y tiene hijos o hijas en común con la víctima, los cuales quedan bajo su resguardo y/o patria potestad</w:t>
      </w:r>
      <w:r w:rsidR="00EE1C27">
        <w:rPr>
          <w:rFonts w:ascii="Arial" w:hAnsi="Arial" w:cs="Arial"/>
          <w:color w:val="000000"/>
          <w:sz w:val="24"/>
          <w:szCs w:val="24"/>
        </w:rPr>
        <w:t>.</w:t>
      </w:r>
    </w:p>
    <w:p w14:paraId="741B4772" w14:textId="77777777"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sz w:val="24"/>
          <w:szCs w:val="24"/>
        </w:rPr>
        <w:t xml:space="preserve">Por su parte, la Corte IDH ha señalado que las niñas, los niños y adolescentes, tienen derecho a vivir con su familia, llamada a satisfacer sus necesidades materiales, afectivas y psicológicas. El derecho de toda persona a recibir protección contra cualquier injerencia arbitraria o ilegal en su familia forma parte, implícitamente, del derecho a la protección de la familia de las niñas, niños y </w:t>
      </w:r>
      <w:r w:rsidRPr="00EE1C27">
        <w:rPr>
          <w:rFonts w:ascii="Arial" w:hAnsi="Arial" w:cs="Arial"/>
          <w:sz w:val="24"/>
          <w:szCs w:val="24"/>
        </w:rPr>
        <w:lastRenderedPageBreak/>
        <w:t>adolescentes y, además, está expresamente reconocido por los artículos 12.1 de la Declaración Universal de Derechos Humanos y 11.2 de la Convención Americana de Derechos Humanos, disposiciones que poseen especial relevancia cuando se analiza la separación de un niño o una niña de su familia.</w:t>
      </w:r>
    </w:p>
    <w:p w14:paraId="5590CCAF" w14:textId="77777777"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sz w:val="24"/>
          <w:szCs w:val="24"/>
        </w:rPr>
        <w:t>Entre los derechos y obligaciones derivados del ejercicio de la patria potestad, destaca el deber de protección integral del menor de edad en sus aspectos físico, moral y social, su guarda y custodia, la administración de sus bienes y el derecho de corrección88, que, como se señaló, encuentra sus límites precisamente en el bienestar físico y mental del menor de edad, pues transgredirlo en el ejercicio de esta potestad, resulta ilícito.</w:t>
      </w:r>
    </w:p>
    <w:p w14:paraId="3CB222A4" w14:textId="77777777"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sz w:val="24"/>
          <w:szCs w:val="24"/>
        </w:rPr>
        <w:t>Aunque la reparación integral del daño es un derecho reconocido en la Constitución Política de los Estados Unidos Mexicanos, así como en otros instrumentos del orden jurídico nacional, como la Ley General de Víctimas, la Ley General de los Derechos de Niñas, Niños y Adolescentes, la Ley General de Acceso de las Mujeres a una Vida Libre de Violencia, el Código Nacional de Procedimientos Penales y el Código Penal Federal, así como por la Declaración de las Naciones Unidas sobre la Eliminación de la Violencia contra la Mujer y la Convención Interamericana para Prevenir, Sancionar y Erradicar la violencia contra la Mujer “Convención de Belém do Pará”, por mencionar algunos, se considera pertinente hacer alusión a esta figura en la propuesta del tipo penal, ante la realidad de nuestro país, en la que se ha invisibilizado a las niñas, niños y adolescentes en situación de orfandad por feminicidio y aquellos que son testigos de este delito.</w:t>
      </w:r>
    </w:p>
    <w:p w14:paraId="0F33418A" w14:textId="287B606F" w:rsidR="00625915" w:rsidRPr="00EE1C27" w:rsidRDefault="00625915" w:rsidP="00EE1C27">
      <w:pPr>
        <w:spacing w:line="360" w:lineRule="auto"/>
        <w:jc w:val="both"/>
        <w:rPr>
          <w:rFonts w:ascii="Arial" w:hAnsi="Arial" w:cs="Arial"/>
          <w:sz w:val="24"/>
          <w:szCs w:val="24"/>
        </w:rPr>
      </w:pPr>
      <w:r w:rsidRPr="00EE1C27">
        <w:rPr>
          <w:rFonts w:ascii="Arial" w:hAnsi="Arial" w:cs="Arial"/>
          <w:b/>
          <w:bCs/>
          <w:sz w:val="24"/>
          <w:szCs w:val="24"/>
        </w:rPr>
        <w:t>R. Reglas</w:t>
      </w:r>
      <w:r w:rsidR="00EE1C27">
        <w:rPr>
          <w:rFonts w:ascii="Arial" w:hAnsi="Arial" w:cs="Arial"/>
          <w:b/>
          <w:bCs/>
          <w:sz w:val="24"/>
          <w:szCs w:val="24"/>
        </w:rPr>
        <w:t xml:space="preserve">. </w:t>
      </w:r>
      <w:r w:rsidR="00EE1C27" w:rsidRPr="00EE1C27">
        <w:rPr>
          <w:rFonts w:ascii="Arial" w:hAnsi="Arial" w:cs="Arial"/>
          <w:bCs/>
          <w:sz w:val="24"/>
          <w:szCs w:val="24"/>
        </w:rPr>
        <w:t>E</w:t>
      </w:r>
      <w:r w:rsidRPr="00EE1C27">
        <w:rPr>
          <w:rFonts w:ascii="Arial" w:hAnsi="Arial" w:cs="Arial"/>
          <w:sz w:val="24"/>
          <w:szCs w:val="24"/>
        </w:rPr>
        <w:t xml:space="preserve">l Diagnóstico Nacional de Acceso a la Justicia y Violencia Feminicida en México, de la Comisión Nacional de los Derechos Humanos, publicado en 2018, mostró que, del total de casos de muerte de mujeres, adolescentes y niñas, el 3.39% </w:t>
      </w:r>
      <w:r w:rsidRPr="00EE1C27">
        <w:rPr>
          <w:rFonts w:ascii="Arial" w:hAnsi="Arial" w:cs="Arial"/>
          <w:sz w:val="24"/>
          <w:szCs w:val="24"/>
        </w:rPr>
        <w:lastRenderedPageBreak/>
        <w:t>se reportó como feminicidio, el 69.43% como homicidio culposo y el 25.62% como homicidio doloso.</w:t>
      </w:r>
    </w:p>
    <w:p w14:paraId="3C65F17F" w14:textId="77777777"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sz w:val="24"/>
          <w:szCs w:val="24"/>
        </w:rPr>
        <w:t xml:space="preserve">En relación con este tema, la tendencia en el registro de presuntas muertes violentas de mujeres (incluidas por presunto feminicidio y homicidio doloso) muestra que, entre 2015 y 2018, hubo un crecimiento sostenido que partió de 150 y llegó a 360 muertes violentas de mujeres en 2018. A partir de entonces, se observa una incidencia sostenida del delito, con un máximo histórico en agosto de 2021, con 384 muertes violentas de mujeres. </w:t>
      </w:r>
    </w:p>
    <w:p w14:paraId="2DEE6EFA" w14:textId="02E69E7B" w:rsidR="00625915" w:rsidRPr="00EE1C27" w:rsidRDefault="00625915" w:rsidP="00EE1C27">
      <w:pPr>
        <w:spacing w:line="360" w:lineRule="auto"/>
        <w:ind w:firstLine="708"/>
        <w:jc w:val="both"/>
        <w:rPr>
          <w:rFonts w:ascii="Arial" w:hAnsi="Arial" w:cs="Arial"/>
          <w:sz w:val="24"/>
          <w:szCs w:val="24"/>
        </w:rPr>
      </w:pPr>
      <w:r w:rsidRPr="00EE1C27">
        <w:rPr>
          <w:rFonts w:ascii="Arial" w:hAnsi="Arial" w:cs="Arial"/>
          <w:sz w:val="24"/>
          <w:szCs w:val="24"/>
        </w:rPr>
        <w:t xml:space="preserve">La investigación de las muertes violentas de mujeres con perspectiva de género, requiere que se realicen diligencias particulares. Para poder considerar que se está investigando de forma efectiva una denuncia de muerte violenta de mujer por razón de género, la investigación debe incorporar conceptos </w:t>
      </w:r>
      <w:r w:rsidR="008E2172" w:rsidRPr="00EE1C27">
        <w:rPr>
          <w:rFonts w:ascii="Arial" w:hAnsi="Arial" w:cs="Arial"/>
          <w:sz w:val="24"/>
          <w:szCs w:val="24"/>
        </w:rPr>
        <w:t>criminalístic</w:t>
      </w:r>
      <w:r w:rsidR="008E2172">
        <w:rPr>
          <w:rFonts w:ascii="Arial" w:hAnsi="Arial" w:cs="Arial"/>
          <w:sz w:val="24"/>
          <w:szCs w:val="24"/>
        </w:rPr>
        <w:t>o</w:t>
      </w:r>
      <w:r w:rsidR="008E2172" w:rsidRPr="00EE1C27">
        <w:rPr>
          <w:rFonts w:ascii="Arial" w:hAnsi="Arial" w:cs="Arial"/>
          <w:sz w:val="24"/>
          <w:szCs w:val="24"/>
        </w:rPr>
        <w:t>s</w:t>
      </w:r>
      <w:r w:rsidRPr="00EE1C27">
        <w:rPr>
          <w:rFonts w:ascii="Arial" w:hAnsi="Arial" w:cs="Arial"/>
          <w:sz w:val="24"/>
          <w:szCs w:val="24"/>
        </w:rPr>
        <w:t xml:space="preserve"> aplicados con visión de género. En consecuencia, en el caso de las muertes violentas de mujeres, se deben abrir las líneas de investigación con los elementos existentes que podrían ser compatibles con la violencia de género y avanzar la investigación sin descartar esa hipótesis para localizar e integrar el resto de los elementos probatorios. El deber de investigar con perspectiva de género adquiere mayor relevancia en casos de muertes violentas de mujeres, en un contexto de violencia contra las mujeres.</w:t>
      </w:r>
    </w:p>
    <w:p w14:paraId="1C7E412A" w14:textId="002C1E50" w:rsidR="00625915" w:rsidRPr="00EE1C27" w:rsidRDefault="00625915" w:rsidP="00EE1C27">
      <w:pPr>
        <w:spacing w:line="360" w:lineRule="auto"/>
        <w:jc w:val="both"/>
        <w:rPr>
          <w:rFonts w:ascii="Arial" w:hAnsi="Arial" w:cs="Arial"/>
          <w:sz w:val="24"/>
          <w:szCs w:val="24"/>
        </w:rPr>
      </w:pPr>
      <w:r w:rsidRPr="00EE1C27">
        <w:rPr>
          <w:rFonts w:ascii="Arial" w:hAnsi="Arial" w:cs="Arial"/>
          <w:b/>
          <w:bCs/>
          <w:sz w:val="24"/>
          <w:szCs w:val="24"/>
        </w:rPr>
        <w:t>S. Sanción a servidores públicos por filtración de información y omisión en la investigación</w:t>
      </w:r>
      <w:r w:rsidR="008E2172">
        <w:rPr>
          <w:rFonts w:ascii="Arial" w:hAnsi="Arial" w:cs="Arial"/>
          <w:b/>
          <w:bCs/>
          <w:sz w:val="24"/>
          <w:szCs w:val="24"/>
        </w:rPr>
        <w:t xml:space="preserve">. </w:t>
      </w:r>
      <w:r w:rsidRPr="00EE1C27">
        <w:rPr>
          <w:rFonts w:ascii="Arial" w:hAnsi="Arial" w:cs="Arial"/>
          <w:sz w:val="24"/>
          <w:szCs w:val="24"/>
        </w:rPr>
        <w:t xml:space="preserve">Esta protección está reconocida en el artículo 5 de la Ley General de Víctimas, como una obligación de las autoridades de adoptar medidas para garantizar la seguridad, el bienestar físico, psicológico y la intimidad de las víctimas. El artículo 40, fracción III, de esta ley define el principio de confidencialidad como la reserva para los fines de la investigación o del proceso respectivo de la información </w:t>
      </w:r>
      <w:r w:rsidRPr="00EE1C27">
        <w:rPr>
          <w:rFonts w:ascii="Arial" w:hAnsi="Arial" w:cs="Arial"/>
          <w:sz w:val="24"/>
          <w:szCs w:val="24"/>
        </w:rPr>
        <w:lastRenderedPageBreak/>
        <w:t>y actividad administrativa o jurisdiccional relacionada con el ámbito de protección de las personas. En el delito de feminicidio, las autoridades tienen la obligación de garantizar la confidencialidad a las víctimas desde el mismo acto de denuncia de los hechos y durante todo el procedimiento de actuación, mediante un proceso ágil y rápido, otorgando credibilidad a las víctimas y protegiendo la intimidad y dignidad de las personas afectadas.</w:t>
      </w:r>
    </w:p>
    <w:p w14:paraId="3296B67C" w14:textId="77777777" w:rsidR="00625915" w:rsidRPr="00EE1C27" w:rsidRDefault="00625915" w:rsidP="008E2172">
      <w:pPr>
        <w:spacing w:line="360" w:lineRule="auto"/>
        <w:ind w:firstLine="708"/>
        <w:jc w:val="both"/>
        <w:rPr>
          <w:rFonts w:ascii="Arial" w:hAnsi="Arial" w:cs="Arial"/>
          <w:sz w:val="24"/>
          <w:szCs w:val="24"/>
        </w:rPr>
      </w:pPr>
      <w:r w:rsidRPr="00EE1C27">
        <w:rPr>
          <w:rFonts w:ascii="Arial" w:hAnsi="Arial" w:cs="Arial"/>
          <w:sz w:val="24"/>
          <w:szCs w:val="24"/>
        </w:rPr>
        <w:t>Respecto a la filtración de información, en México han sido transgredidos durante la investigación de delitos, los derechos de acceso a la justicia e intimidad de las mujeres víctimas de violencia, en específico, en el delito de feminicidio. En 2019, la Comisión de Derechos Humanos de la Ciudad de México elaboró el Informe sobre las violencias de género en la procuración de justicia en la Ciudad de México, en donde llama la atención una acción de violencia institucional concreta: la filtración de información de la investigación o la víctima a los medios de comunicación. De los casos que documentó de feminicidio, hay un registro de que en 30% de estos hubo filtración, es decir, tres de cada diez investigaciones del delito.</w:t>
      </w:r>
    </w:p>
    <w:p w14:paraId="5AE37ECC" w14:textId="77777777" w:rsidR="00625915" w:rsidRPr="00EE1C27" w:rsidRDefault="00625915" w:rsidP="008E2172">
      <w:pPr>
        <w:spacing w:line="360" w:lineRule="auto"/>
        <w:ind w:firstLine="708"/>
        <w:jc w:val="both"/>
        <w:rPr>
          <w:rFonts w:ascii="Arial" w:hAnsi="Arial" w:cs="Arial"/>
          <w:sz w:val="24"/>
          <w:szCs w:val="24"/>
        </w:rPr>
      </w:pPr>
      <w:r w:rsidRPr="00EE1C27">
        <w:rPr>
          <w:rFonts w:ascii="Arial" w:hAnsi="Arial" w:cs="Arial"/>
          <w:sz w:val="24"/>
          <w:szCs w:val="24"/>
        </w:rPr>
        <w:t>En este contexto, las autoridades encargadas de la investigación de los hechos delictivos tienen el deber de debida diligencia para la protección de la información que existen en el proceso de investigación con un enfoque diferencial y especializado, sin someter a quienes atraviesan estos procesos a una revictimización y a la violencia institucional que constituya una violación a su derecho a la intimidad.</w:t>
      </w:r>
    </w:p>
    <w:p w14:paraId="64844A73" w14:textId="77777777" w:rsidR="00625915" w:rsidRPr="00EE1C27" w:rsidRDefault="00625915" w:rsidP="008E2172">
      <w:pPr>
        <w:spacing w:line="360" w:lineRule="auto"/>
        <w:ind w:firstLine="708"/>
        <w:jc w:val="both"/>
        <w:rPr>
          <w:rFonts w:ascii="Arial" w:hAnsi="Arial" w:cs="Arial"/>
          <w:sz w:val="24"/>
          <w:szCs w:val="24"/>
        </w:rPr>
      </w:pPr>
      <w:r w:rsidRPr="00EE1C27">
        <w:rPr>
          <w:rFonts w:ascii="Arial" w:hAnsi="Arial" w:cs="Arial"/>
          <w:sz w:val="24"/>
          <w:szCs w:val="24"/>
        </w:rPr>
        <w:t xml:space="preserve">Establecer una sanción mayor para las personas servidoras públicas que omitan, retarden, entorpezcan u obstaculicen el acceso efectivo de las víctimas a la justicia, representa un avance normativo y simbólico que pretende evidenciar el </w:t>
      </w:r>
      <w:r w:rsidRPr="00EE1C27">
        <w:rPr>
          <w:rFonts w:ascii="Arial" w:hAnsi="Arial" w:cs="Arial"/>
          <w:sz w:val="24"/>
          <w:szCs w:val="24"/>
        </w:rPr>
        <w:lastRenderedPageBreak/>
        <w:t>grave problema de impunidad y violencia institucional que sufren las mujeres en México.</w:t>
      </w:r>
    </w:p>
    <w:p w14:paraId="028E7EF8" w14:textId="274F0A77" w:rsidR="0024545B" w:rsidRDefault="008E2172" w:rsidP="003C6464">
      <w:pPr>
        <w:spacing w:before="240" w:line="360" w:lineRule="auto"/>
        <w:jc w:val="both"/>
        <w:rPr>
          <w:rFonts w:ascii="Arial" w:hAnsi="Arial" w:cs="Arial"/>
          <w:sz w:val="24"/>
          <w:szCs w:val="24"/>
          <w:lang w:val="es-ES"/>
        </w:rPr>
      </w:pPr>
      <w:r>
        <w:rPr>
          <w:rFonts w:ascii="Arial" w:hAnsi="Arial" w:cs="Arial"/>
          <w:sz w:val="24"/>
          <w:szCs w:val="24"/>
          <w:lang w:val="es-ES"/>
        </w:rPr>
        <w:tab/>
      </w:r>
      <w:r w:rsidR="00AF606F">
        <w:rPr>
          <w:rFonts w:ascii="Arial" w:hAnsi="Arial" w:cs="Arial"/>
          <w:sz w:val="24"/>
          <w:szCs w:val="24"/>
          <w:lang w:val="es-ES"/>
        </w:rPr>
        <w:t>Finalmente, e</w:t>
      </w:r>
      <w:r>
        <w:rPr>
          <w:rFonts w:ascii="Arial" w:hAnsi="Arial" w:cs="Arial"/>
          <w:sz w:val="24"/>
          <w:szCs w:val="24"/>
          <w:lang w:val="es-ES"/>
        </w:rPr>
        <w:t xml:space="preserve">sta iniciativa, también nos permitirá </w:t>
      </w:r>
      <w:r w:rsidR="00AF606F">
        <w:rPr>
          <w:rFonts w:ascii="Arial" w:hAnsi="Arial" w:cs="Arial"/>
          <w:sz w:val="24"/>
          <w:szCs w:val="24"/>
          <w:lang w:val="es-ES"/>
        </w:rPr>
        <w:t>atender</w:t>
      </w:r>
      <w:r>
        <w:rPr>
          <w:rFonts w:ascii="Arial" w:hAnsi="Arial" w:cs="Arial"/>
          <w:sz w:val="24"/>
          <w:szCs w:val="24"/>
          <w:lang w:val="es-ES"/>
        </w:rPr>
        <w:t xml:space="preserve"> la Recomendación General 43/2020, Sobre Violación al Acceso a la Justicia e Insuficiencia en la aplicación de Políticas Públicas en la Prevención, Atención, Sanción y Reparación Integral del Daño a Personas Víctimas Directas e Indirectas de Feminicidios y otras violencias, </w:t>
      </w:r>
      <w:r w:rsidR="00AF606F">
        <w:rPr>
          <w:rFonts w:ascii="Arial" w:hAnsi="Arial" w:cs="Arial"/>
          <w:sz w:val="24"/>
          <w:szCs w:val="24"/>
          <w:lang w:val="es-ES"/>
        </w:rPr>
        <w:t xml:space="preserve">cumpliendo el punto recomendatorio consistente en </w:t>
      </w:r>
      <w:r>
        <w:rPr>
          <w:rFonts w:ascii="Arial" w:hAnsi="Arial" w:cs="Arial"/>
          <w:sz w:val="24"/>
          <w:szCs w:val="24"/>
          <w:lang w:val="es-ES"/>
        </w:rPr>
        <w:t>realizar las reformas legislativas correspondientes, desde un enfoque de derechos humanos, interseccionalidad, perspectiva de género, identidad de género u orientación sexual e interculturalidad para</w:t>
      </w:r>
      <w:r w:rsidR="00AF606F">
        <w:rPr>
          <w:rFonts w:ascii="Arial" w:hAnsi="Arial" w:cs="Arial"/>
          <w:sz w:val="24"/>
          <w:szCs w:val="24"/>
          <w:lang w:val="es-ES"/>
        </w:rPr>
        <w:t xml:space="preserve"> </w:t>
      </w:r>
      <w:r>
        <w:rPr>
          <w:rFonts w:ascii="Arial" w:hAnsi="Arial" w:cs="Arial"/>
          <w:sz w:val="24"/>
          <w:szCs w:val="24"/>
          <w:lang w:val="es-ES"/>
        </w:rPr>
        <w:t xml:space="preserve">homologar y consolidar el tipo penal de feminicidio. </w:t>
      </w:r>
    </w:p>
    <w:p w14:paraId="0BBB6D07" w14:textId="06EDFEB1" w:rsidR="002E4CDB" w:rsidRPr="000651F9" w:rsidRDefault="001E66FD" w:rsidP="00AF606F">
      <w:pPr>
        <w:spacing w:before="240" w:line="360" w:lineRule="auto"/>
        <w:ind w:firstLine="708"/>
        <w:jc w:val="both"/>
        <w:rPr>
          <w:rFonts w:ascii="Arial" w:hAnsi="Arial" w:cs="Arial"/>
          <w:sz w:val="24"/>
          <w:szCs w:val="24"/>
          <w:lang w:val="es-ES"/>
        </w:rPr>
      </w:pPr>
      <w:r w:rsidRPr="000651F9">
        <w:rPr>
          <w:rFonts w:ascii="Arial" w:hAnsi="Arial" w:cs="Arial"/>
          <w:sz w:val="24"/>
          <w:szCs w:val="24"/>
          <w:lang w:val="es-ES"/>
        </w:rPr>
        <w:t>Por lo antes expuesto, someto a la consideración de esta H. Soberanía el presente proyecto de decreto, esperando sea aprobado en sus términos.</w:t>
      </w:r>
    </w:p>
    <w:p w14:paraId="6EA200AB" w14:textId="77777777" w:rsidR="001C5F57" w:rsidRDefault="001C5F57" w:rsidP="004B7942">
      <w:pPr>
        <w:autoSpaceDE w:val="0"/>
        <w:autoSpaceDN w:val="0"/>
        <w:adjustRightInd w:val="0"/>
        <w:snapToGrid w:val="0"/>
        <w:spacing w:before="240" w:line="360" w:lineRule="auto"/>
        <w:jc w:val="center"/>
        <w:rPr>
          <w:rFonts w:ascii="Arial" w:eastAsia="Times New Roman" w:hAnsi="Arial" w:cs="Arial"/>
          <w:b/>
          <w:sz w:val="24"/>
          <w:szCs w:val="24"/>
          <w:lang w:val="pt-BR" w:eastAsia="es-ES"/>
        </w:rPr>
      </w:pPr>
    </w:p>
    <w:p w14:paraId="43329559" w14:textId="253135DC" w:rsidR="00CE7938" w:rsidRDefault="00CE7938" w:rsidP="004B7942">
      <w:pPr>
        <w:autoSpaceDE w:val="0"/>
        <w:autoSpaceDN w:val="0"/>
        <w:adjustRightInd w:val="0"/>
        <w:snapToGrid w:val="0"/>
        <w:spacing w:before="240" w:line="360" w:lineRule="auto"/>
        <w:jc w:val="center"/>
        <w:rPr>
          <w:rFonts w:ascii="Arial" w:eastAsia="Times New Roman" w:hAnsi="Arial" w:cs="Arial"/>
          <w:b/>
          <w:sz w:val="24"/>
          <w:szCs w:val="24"/>
          <w:lang w:val="pt-BR" w:eastAsia="es-ES"/>
        </w:rPr>
      </w:pPr>
      <w:r w:rsidRPr="000651F9">
        <w:rPr>
          <w:rFonts w:ascii="Arial" w:eastAsia="Times New Roman" w:hAnsi="Arial" w:cs="Arial"/>
          <w:b/>
          <w:sz w:val="24"/>
          <w:szCs w:val="24"/>
          <w:lang w:val="pt-BR" w:eastAsia="es-ES"/>
        </w:rPr>
        <w:t>A</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T</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E</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N</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T</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A</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M</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E</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N</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T</w:t>
      </w:r>
      <w:r w:rsidR="00286743" w:rsidRPr="000651F9">
        <w:rPr>
          <w:rFonts w:ascii="Arial" w:eastAsia="Times New Roman" w:hAnsi="Arial" w:cs="Arial"/>
          <w:b/>
          <w:sz w:val="24"/>
          <w:szCs w:val="24"/>
          <w:lang w:val="pt-BR" w:eastAsia="es-ES"/>
        </w:rPr>
        <w:t xml:space="preserve"> </w:t>
      </w:r>
      <w:r w:rsidRPr="000651F9">
        <w:rPr>
          <w:rFonts w:ascii="Arial" w:eastAsia="Times New Roman" w:hAnsi="Arial" w:cs="Arial"/>
          <w:b/>
          <w:sz w:val="24"/>
          <w:szCs w:val="24"/>
          <w:lang w:val="pt-BR" w:eastAsia="es-ES"/>
        </w:rPr>
        <w:t>E</w:t>
      </w:r>
    </w:p>
    <w:p w14:paraId="1DFF0C62" w14:textId="77777777" w:rsidR="00BE2BE6" w:rsidRDefault="00BE2BE6" w:rsidP="004B7942">
      <w:pPr>
        <w:autoSpaceDE w:val="0"/>
        <w:autoSpaceDN w:val="0"/>
        <w:adjustRightInd w:val="0"/>
        <w:snapToGrid w:val="0"/>
        <w:spacing w:before="240" w:line="360" w:lineRule="auto"/>
        <w:jc w:val="center"/>
        <w:rPr>
          <w:rFonts w:ascii="Arial" w:eastAsia="Times New Roman" w:hAnsi="Arial" w:cs="Arial"/>
          <w:b/>
          <w:sz w:val="24"/>
          <w:szCs w:val="24"/>
          <w:lang w:val="pt-BR" w:eastAsia="es-ES"/>
        </w:rPr>
      </w:pPr>
    </w:p>
    <w:p w14:paraId="5C8AD435" w14:textId="3ADF9CC2" w:rsidR="00BE2BE6" w:rsidRDefault="00BE2BE6" w:rsidP="004B7942">
      <w:pPr>
        <w:autoSpaceDE w:val="0"/>
        <w:autoSpaceDN w:val="0"/>
        <w:adjustRightInd w:val="0"/>
        <w:snapToGrid w:val="0"/>
        <w:spacing w:before="240" w:line="360" w:lineRule="auto"/>
        <w:jc w:val="center"/>
        <w:rPr>
          <w:rFonts w:ascii="Arial" w:eastAsia="Calibri" w:hAnsi="Arial" w:cs="Arial"/>
          <w:b/>
          <w:sz w:val="24"/>
          <w:szCs w:val="24"/>
          <w:lang w:val="es-ES" w:eastAsia="es-ES"/>
        </w:rPr>
      </w:pPr>
      <w:r>
        <w:rPr>
          <w:rFonts w:ascii="Arial" w:eastAsia="Calibri" w:hAnsi="Arial" w:cs="Arial"/>
          <w:b/>
          <w:sz w:val="24"/>
          <w:szCs w:val="24"/>
          <w:lang w:val="es-ES" w:eastAsia="es-ES"/>
        </w:rPr>
        <w:t>COMISIÓN PARA LAS DECLARATORIAS DE ALERTA DE VIOLENCIA DE GÉNERO CONTRA LAS MUJERES POR FEMINICIDIO Y DESAPARICIÓN</w:t>
      </w:r>
    </w:p>
    <w:p w14:paraId="225F3E24" w14:textId="77777777" w:rsidR="00BE2BE6" w:rsidRPr="000651F9" w:rsidRDefault="00BE2BE6" w:rsidP="004B7942">
      <w:pPr>
        <w:autoSpaceDE w:val="0"/>
        <w:autoSpaceDN w:val="0"/>
        <w:adjustRightInd w:val="0"/>
        <w:snapToGrid w:val="0"/>
        <w:spacing w:before="240" w:line="360" w:lineRule="auto"/>
        <w:jc w:val="center"/>
        <w:rPr>
          <w:rFonts w:ascii="Arial" w:eastAsia="Times New Roman" w:hAnsi="Arial" w:cs="Arial"/>
          <w:b/>
          <w:sz w:val="24"/>
          <w:szCs w:val="24"/>
          <w:lang w:val="pt-BR"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10F03" w:rsidRPr="00BE2BE6" w14:paraId="4B908AE1" w14:textId="77777777" w:rsidTr="00E14D23">
        <w:trPr>
          <w:jc w:val="center"/>
        </w:trPr>
        <w:tc>
          <w:tcPr>
            <w:tcW w:w="8828" w:type="dxa"/>
            <w:gridSpan w:val="2"/>
          </w:tcPr>
          <w:p w14:paraId="756290E3" w14:textId="319CE28E" w:rsidR="007F074F" w:rsidRPr="00BE2BE6" w:rsidRDefault="00BE2BE6" w:rsidP="00BE2BE6">
            <w:pPr>
              <w:snapToGrid w:val="0"/>
              <w:spacing w:after="0" w:line="240" w:lineRule="auto"/>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 xml:space="preserve">DIP. </w:t>
            </w:r>
            <w:r w:rsidR="00710F03" w:rsidRPr="00BE2BE6">
              <w:rPr>
                <w:rFonts w:ascii="Arial" w:eastAsia="Calibri" w:hAnsi="Arial" w:cs="Arial"/>
                <w:b/>
                <w:sz w:val="24"/>
                <w:szCs w:val="24"/>
                <w:lang w:val="es-ES" w:eastAsia="es-ES"/>
              </w:rPr>
              <w:t>KARINA LABASTIDA SOTELO</w:t>
            </w:r>
          </w:p>
          <w:p w14:paraId="2CF350F4" w14:textId="6928E2DB" w:rsidR="00710F03" w:rsidRPr="00BE2BE6" w:rsidRDefault="00BE2BE6" w:rsidP="00BE2BE6">
            <w:pPr>
              <w:snapToGrid w:val="0"/>
              <w:spacing w:after="0" w:line="240" w:lineRule="auto"/>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PRESIDENTA</w:t>
            </w:r>
          </w:p>
          <w:p w14:paraId="3BFBF270" w14:textId="45C47D13" w:rsidR="0085605C" w:rsidRPr="00BE2BE6" w:rsidRDefault="0085605C" w:rsidP="00BE2BE6">
            <w:pPr>
              <w:snapToGrid w:val="0"/>
              <w:spacing w:before="240" w:line="240" w:lineRule="auto"/>
              <w:jc w:val="center"/>
              <w:rPr>
                <w:rFonts w:ascii="Arial" w:eastAsia="Calibri" w:hAnsi="Arial" w:cs="Arial"/>
                <w:b/>
                <w:sz w:val="24"/>
                <w:szCs w:val="24"/>
                <w:lang w:val="es-ES" w:eastAsia="es-ES"/>
              </w:rPr>
            </w:pPr>
          </w:p>
        </w:tc>
      </w:tr>
      <w:tr w:rsidR="00492F16" w:rsidRPr="00BE2BE6" w14:paraId="1C7F8DC8" w14:textId="77777777" w:rsidTr="00E14D23">
        <w:trPr>
          <w:jc w:val="center"/>
        </w:trPr>
        <w:tc>
          <w:tcPr>
            <w:tcW w:w="4414" w:type="dxa"/>
          </w:tcPr>
          <w:p w14:paraId="522BAA38" w14:textId="702E1190" w:rsidR="007B112E" w:rsidRPr="00BE2BE6" w:rsidRDefault="00BE2BE6" w:rsidP="00C13BAF">
            <w:pPr>
              <w:snapToGrid w:val="0"/>
              <w:spacing w:before="240" w:line="240" w:lineRule="auto"/>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lastRenderedPageBreak/>
              <w:t>DIP. MARÍA ISABEL SÁNCHEZ OLGUÍN</w:t>
            </w:r>
          </w:p>
          <w:p w14:paraId="032CAB90" w14:textId="66011729" w:rsidR="00C13BAF" w:rsidRPr="00BE2BE6" w:rsidRDefault="00BE2BE6" w:rsidP="00C13BAF">
            <w:pPr>
              <w:snapToGrid w:val="0"/>
              <w:spacing w:before="240" w:line="240" w:lineRule="auto"/>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SECRETARIA</w:t>
            </w:r>
          </w:p>
        </w:tc>
        <w:tc>
          <w:tcPr>
            <w:tcW w:w="4414" w:type="dxa"/>
          </w:tcPr>
          <w:p w14:paraId="451EA48A" w14:textId="77777777" w:rsidR="00492F16" w:rsidRPr="00BE2BE6" w:rsidRDefault="00BE2BE6" w:rsidP="00C13BAF">
            <w:pPr>
              <w:snapToGrid w:val="0"/>
              <w:spacing w:before="240" w:line="240" w:lineRule="auto"/>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DIP. MARÍA DE LOS ÁNGELES DÁVILA VARGAS</w:t>
            </w:r>
          </w:p>
          <w:p w14:paraId="63BE7446" w14:textId="301156B1" w:rsidR="00BE2BE6" w:rsidRPr="00BE2BE6" w:rsidRDefault="00BE2BE6" w:rsidP="00C13BAF">
            <w:pPr>
              <w:snapToGrid w:val="0"/>
              <w:spacing w:before="240" w:line="240" w:lineRule="auto"/>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PROSECRETARIA</w:t>
            </w:r>
          </w:p>
        </w:tc>
      </w:tr>
      <w:tr w:rsidR="00492F16" w:rsidRPr="00BE2BE6" w14:paraId="3FE9EA77" w14:textId="77777777" w:rsidTr="00E14D23">
        <w:trPr>
          <w:jc w:val="center"/>
        </w:trPr>
        <w:tc>
          <w:tcPr>
            <w:tcW w:w="4414" w:type="dxa"/>
          </w:tcPr>
          <w:p w14:paraId="101BBF8F" w14:textId="77DD6791" w:rsidR="00BE2BE6" w:rsidRDefault="00BE2BE6" w:rsidP="00C13BAF">
            <w:pPr>
              <w:snapToGrid w:val="0"/>
              <w:spacing w:before="240" w:line="240" w:lineRule="auto"/>
              <w:rPr>
                <w:rFonts w:ascii="Arial" w:eastAsia="Calibri" w:hAnsi="Arial" w:cs="Arial"/>
                <w:b/>
                <w:sz w:val="24"/>
                <w:szCs w:val="24"/>
                <w:lang w:val="es-ES" w:eastAsia="es-ES"/>
              </w:rPr>
            </w:pPr>
            <w:r w:rsidRPr="00BE2BE6">
              <w:rPr>
                <w:rFonts w:ascii="Arial" w:eastAsia="Calibri" w:hAnsi="Arial" w:cs="Arial"/>
                <w:b/>
                <w:sz w:val="24"/>
                <w:szCs w:val="24"/>
                <w:lang w:val="es-ES" w:eastAsia="es-ES"/>
              </w:rPr>
              <w:t>DIP. LOURDES JEZABEL DELGADO FLORES</w:t>
            </w:r>
          </w:p>
          <w:p w14:paraId="02A82420" w14:textId="77777777" w:rsidR="00C13BAF" w:rsidRDefault="00C13BAF" w:rsidP="00C13BAF">
            <w:pPr>
              <w:snapToGrid w:val="0"/>
              <w:spacing w:before="240" w:line="240" w:lineRule="auto"/>
              <w:rPr>
                <w:rFonts w:ascii="Arial" w:eastAsia="Calibri" w:hAnsi="Arial" w:cs="Arial"/>
                <w:b/>
                <w:sz w:val="24"/>
                <w:szCs w:val="24"/>
                <w:lang w:val="es-ES" w:eastAsia="es-ES"/>
              </w:rPr>
            </w:pPr>
          </w:p>
          <w:p w14:paraId="646EEECC" w14:textId="38CA718A" w:rsidR="00C13BAF" w:rsidRPr="00BE2BE6" w:rsidRDefault="00BE2BE6" w:rsidP="00C13BAF">
            <w:pPr>
              <w:snapToGrid w:val="0"/>
              <w:spacing w:before="240" w:line="240" w:lineRule="auto"/>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MIEMBRO</w:t>
            </w:r>
          </w:p>
        </w:tc>
        <w:tc>
          <w:tcPr>
            <w:tcW w:w="4414" w:type="dxa"/>
          </w:tcPr>
          <w:p w14:paraId="101D29AF" w14:textId="77777777" w:rsidR="00C13BAF" w:rsidRDefault="00C13BAF" w:rsidP="00C13BAF">
            <w:pPr>
              <w:spacing w:after="0" w:line="240" w:lineRule="auto"/>
              <w:contextualSpacing/>
              <w:jc w:val="center"/>
              <w:rPr>
                <w:rFonts w:ascii="Arial" w:eastAsia="Calibri" w:hAnsi="Arial" w:cs="Arial"/>
                <w:b/>
                <w:sz w:val="24"/>
                <w:szCs w:val="24"/>
                <w:lang w:val="es-ES" w:eastAsia="es-ES"/>
              </w:rPr>
            </w:pPr>
          </w:p>
          <w:p w14:paraId="03C03E21" w14:textId="03DB2DE6" w:rsidR="00BE2BE6" w:rsidRDefault="00BE2BE6" w:rsidP="00C13BAF">
            <w:pPr>
              <w:spacing w:after="0" w:line="240" w:lineRule="auto"/>
              <w:contextualSpacing/>
              <w:jc w:val="center"/>
              <w:rPr>
                <w:rFonts w:ascii="Arial" w:eastAsia="Times New Roman" w:hAnsi="Arial" w:cs="Arial"/>
                <w:b/>
                <w:sz w:val="24"/>
                <w:szCs w:val="24"/>
                <w:lang w:val="es-ES" w:eastAsia="es-ES"/>
              </w:rPr>
            </w:pPr>
            <w:r w:rsidRPr="00BE2BE6">
              <w:rPr>
                <w:rFonts w:ascii="Arial" w:eastAsia="Calibri" w:hAnsi="Arial" w:cs="Arial"/>
                <w:b/>
                <w:sz w:val="24"/>
                <w:szCs w:val="24"/>
                <w:lang w:val="es-ES" w:eastAsia="es-ES"/>
              </w:rPr>
              <w:t xml:space="preserve">DIP. </w:t>
            </w:r>
            <w:r w:rsidRPr="00BE2BE6">
              <w:rPr>
                <w:rFonts w:ascii="Arial" w:eastAsia="Times New Roman" w:hAnsi="Arial" w:cs="Arial"/>
                <w:b/>
                <w:sz w:val="24"/>
                <w:szCs w:val="24"/>
                <w:lang w:val="es-ES" w:eastAsia="es-ES"/>
              </w:rPr>
              <w:t>DIP. YESICA YANET ROJAS HERNÁNDEZ</w:t>
            </w:r>
          </w:p>
          <w:p w14:paraId="03E7930D" w14:textId="77777777" w:rsidR="00C13BAF" w:rsidRDefault="00C13BAF" w:rsidP="00C13BAF">
            <w:pPr>
              <w:snapToGrid w:val="0"/>
              <w:spacing w:before="240" w:after="0" w:line="240" w:lineRule="auto"/>
              <w:jc w:val="center"/>
              <w:rPr>
                <w:rFonts w:ascii="Arial" w:eastAsia="Calibri" w:hAnsi="Arial" w:cs="Arial"/>
                <w:b/>
                <w:sz w:val="24"/>
                <w:szCs w:val="24"/>
                <w:lang w:val="es-ES" w:eastAsia="es-ES"/>
              </w:rPr>
            </w:pPr>
          </w:p>
          <w:p w14:paraId="0ECBEA58" w14:textId="1E11DBCB" w:rsidR="00C13BAF" w:rsidRPr="00BE2BE6" w:rsidRDefault="00C13BAF" w:rsidP="00C13BAF">
            <w:pPr>
              <w:snapToGrid w:val="0"/>
              <w:spacing w:before="240" w:after="0" w:line="240" w:lineRule="auto"/>
              <w:jc w:val="center"/>
              <w:rPr>
                <w:rFonts w:ascii="Arial" w:eastAsia="Calibri" w:hAnsi="Arial" w:cs="Arial"/>
                <w:b/>
                <w:sz w:val="24"/>
                <w:szCs w:val="24"/>
                <w:lang w:val="es-ES" w:eastAsia="es-ES"/>
              </w:rPr>
            </w:pPr>
            <w:r>
              <w:rPr>
                <w:rFonts w:ascii="Arial" w:eastAsia="Calibri" w:hAnsi="Arial" w:cs="Arial"/>
                <w:b/>
                <w:sz w:val="24"/>
                <w:szCs w:val="24"/>
                <w:lang w:val="es-ES" w:eastAsia="es-ES"/>
              </w:rPr>
              <w:t>M</w:t>
            </w:r>
            <w:r w:rsidR="00BE2BE6" w:rsidRPr="00BE2BE6">
              <w:rPr>
                <w:rFonts w:ascii="Arial" w:eastAsia="Calibri" w:hAnsi="Arial" w:cs="Arial"/>
                <w:b/>
                <w:sz w:val="24"/>
                <w:szCs w:val="24"/>
                <w:lang w:val="es-ES" w:eastAsia="es-ES"/>
              </w:rPr>
              <w:t>IEMBRO</w:t>
            </w:r>
          </w:p>
        </w:tc>
      </w:tr>
      <w:tr w:rsidR="00492F16" w:rsidRPr="00BE2BE6" w14:paraId="22EEC46A" w14:textId="77777777" w:rsidTr="00E14D23">
        <w:trPr>
          <w:jc w:val="center"/>
        </w:trPr>
        <w:tc>
          <w:tcPr>
            <w:tcW w:w="4414" w:type="dxa"/>
          </w:tcPr>
          <w:p w14:paraId="0FA45E8D" w14:textId="0A7C8C93" w:rsidR="00BE2BE6" w:rsidRDefault="00BE2BE6" w:rsidP="00C13BAF">
            <w:pPr>
              <w:spacing w:after="0" w:line="240" w:lineRule="auto"/>
              <w:contextualSpacing/>
              <w:jc w:val="center"/>
              <w:rPr>
                <w:rFonts w:ascii="Arial" w:eastAsia="Times New Roman" w:hAnsi="Arial" w:cs="Arial"/>
                <w:b/>
                <w:sz w:val="24"/>
                <w:szCs w:val="24"/>
                <w:lang w:val="es-ES" w:eastAsia="es-ES"/>
              </w:rPr>
            </w:pPr>
            <w:r w:rsidRPr="00BE2BE6">
              <w:rPr>
                <w:rFonts w:ascii="Arial" w:eastAsia="Times New Roman" w:hAnsi="Arial" w:cs="Arial"/>
                <w:b/>
                <w:sz w:val="24"/>
                <w:szCs w:val="24"/>
                <w:lang w:val="es-ES" w:eastAsia="es-ES"/>
              </w:rPr>
              <w:t>DIP. MÓNICA ANGÉLICA ÁLVAREZ NEMER</w:t>
            </w:r>
          </w:p>
          <w:p w14:paraId="52E27DFF" w14:textId="77777777" w:rsidR="00C13BAF" w:rsidRDefault="00C13BAF" w:rsidP="00C13BAF">
            <w:pPr>
              <w:spacing w:after="0" w:line="240" w:lineRule="auto"/>
              <w:contextualSpacing/>
              <w:jc w:val="center"/>
              <w:rPr>
                <w:rFonts w:ascii="Arial" w:eastAsia="Calibri" w:hAnsi="Arial" w:cs="Arial"/>
                <w:b/>
                <w:sz w:val="24"/>
                <w:szCs w:val="24"/>
                <w:lang w:val="es-ES" w:eastAsia="es-ES"/>
              </w:rPr>
            </w:pPr>
          </w:p>
          <w:p w14:paraId="3D12A239" w14:textId="1A1941A8" w:rsidR="00BE2BE6" w:rsidRPr="00BE2BE6" w:rsidRDefault="00BE2BE6" w:rsidP="00C13BAF">
            <w:pPr>
              <w:spacing w:after="0" w:line="240" w:lineRule="auto"/>
              <w:contextualSpacing/>
              <w:jc w:val="center"/>
              <w:rPr>
                <w:rFonts w:ascii="Arial" w:eastAsia="Times New Roman" w:hAnsi="Arial" w:cs="Arial"/>
                <w:b/>
                <w:sz w:val="24"/>
                <w:szCs w:val="24"/>
                <w:lang w:val="es-ES" w:eastAsia="es-ES"/>
              </w:rPr>
            </w:pPr>
            <w:r w:rsidRPr="00BE2BE6">
              <w:rPr>
                <w:rFonts w:ascii="Arial" w:eastAsia="Calibri" w:hAnsi="Arial" w:cs="Arial"/>
                <w:b/>
                <w:sz w:val="24"/>
                <w:szCs w:val="24"/>
                <w:lang w:val="es-ES" w:eastAsia="es-ES"/>
              </w:rPr>
              <w:t>MIEMBR</w:t>
            </w:r>
            <w:r w:rsidR="00C13BAF">
              <w:rPr>
                <w:rFonts w:ascii="Arial" w:eastAsia="Calibri" w:hAnsi="Arial" w:cs="Arial"/>
                <w:b/>
                <w:sz w:val="24"/>
                <w:szCs w:val="24"/>
                <w:lang w:val="es-ES" w:eastAsia="es-ES"/>
              </w:rPr>
              <w:t>O</w:t>
            </w:r>
          </w:p>
          <w:p w14:paraId="0BD4AF6D" w14:textId="45C914F5" w:rsidR="004B7942" w:rsidRPr="00BE2BE6" w:rsidRDefault="004B7942" w:rsidP="00C13BAF">
            <w:pPr>
              <w:spacing w:after="0" w:line="240" w:lineRule="auto"/>
              <w:contextualSpacing/>
              <w:jc w:val="center"/>
              <w:rPr>
                <w:rFonts w:ascii="Arial" w:eastAsia="Calibri" w:hAnsi="Arial" w:cs="Arial"/>
                <w:b/>
                <w:sz w:val="24"/>
                <w:szCs w:val="24"/>
                <w:lang w:val="es-ES" w:eastAsia="es-ES"/>
              </w:rPr>
            </w:pPr>
          </w:p>
        </w:tc>
        <w:tc>
          <w:tcPr>
            <w:tcW w:w="4414" w:type="dxa"/>
          </w:tcPr>
          <w:p w14:paraId="293CBBBE" w14:textId="6729A9D5" w:rsidR="00BE2BE6" w:rsidRPr="00BE2BE6" w:rsidRDefault="00BE2BE6" w:rsidP="00C13BAF">
            <w:pPr>
              <w:spacing w:after="0" w:line="240" w:lineRule="auto"/>
              <w:contextualSpacing/>
              <w:jc w:val="center"/>
              <w:rPr>
                <w:rFonts w:ascii="Arial" w:eastAsia="Times New Roman" w:hAnsi="Arial" w:cs="Arial"/>
                <w:b/>
                <w:sz w:val="24"/>
                <w:szCs w:val="24"/>
                <w:lang w:val="es-ES" w:eastAsia="es-ES"/>
              </w:rPr>
            </w:pPr>
            <w:r w:rsidRPr="00BE2BE6">
              <w:rPr>
                <w:rFonts w:ascii="Arial" w:eastAsia="Times New Roman" w:hAnsi="Arial" w:cs="Arial"/>
                <w:b/>
                <w:sz w:val="24"/>
                <w:szCs w:val="24"/>
                <w:lang w:val="es-ES" w:eastAsia="es-ES"/>
              </w:rPr>
              <w:t>DIP. PAOLA JIMÉNEZ HERNÁNDEZ</w:t>
            </w:r>
          </w:p>
          <w:p w14:paraId="56089460" w14:textId="77777777" w:rsidR="00C13BAF" w:rsidRDefault="00C13BAF" w:rsidP="00C13BAF">
            <w:pPr>
              <w:spacing w:after="0" w:line="240" w:lineRule="auto"/>
              <w:contextualSpacing/>
              <w:jc w:val="center"/>
              <w:rPr>
                <w:rFonts w:ascii="Arial" w:eastAsia="Calibri" w:hAnsi="Arial" w:cs="Arial"/>
                <w:b/>
                <w:sz w:val="24"/>
                <w:szCs w:val="24"/>
                <w:lang w:val="es-ES" w:eastAsia="es-ES"/>
              </w:rPr>
            </w:pPr>
          </w:p>
          <w:p w14:paraId="795A940E" w14:textId="321CD0FB" w:rsidR="00492F16" w:rsidRPr="00BE2BE6" w:rsidRDefault="00BE2BE6" w:rsidP="00C13BAF">
            <w:pPr>
              <w:spacing w:after="0" w:line="240" w:lineRule="auto"/>
              <w:contextualSpacing/>
              <w:jc w:val="center"/>
              <w:rPr>
                <w:rFonts w:ascii="Arial" w:eastAsia="Calibri" w:hAnsi="Arial" w:cs="Arial"/>
                <w:b/>
                <w:sz w:val="24"/>
                <w:szCs w:val="24"/>
                <w:lang w:val="pt-BR" w:eastAsia="es-ES"/>
              </w:rPr>
            </w:pPr>
            <w:r w:rsidRPr="00BE2BE6">
              <w:rPr>
                <w:rFonts w:ascii="Arial" w:eastAsia="Calibri" w:hAnsi="Arial" w:cs="Arial"/>
                <w:b/>
                <w:sz w:val="24"/>
                <w:szCs w:val="24"/>
                <w:lang w:val="es-ES" w:eastAsia="es-ES"/>
              </w:rPr>
              <w:t>MIEMBRO</w:t>
            </w:r>
          </w:p>
        </w:tc>
      </w:tr>
      <w:tr w:rsidR="00492F16" w:rsidRPr="00BE2BE6" w14:paraId="2505C49F" w14:textId="77777777" w:rsidTr="00E14D23">
        <w:trPr>
          <w:jc w:val="center"/>
        </w:trPr>
        <w:tc>
          <w:tcPr>
            <w:tcW w:w="4414" w:type="dxa"/>
          </w:tcPr>
          <w:p w14:paraId="472B4B3A" w14:textId="446546B1" w:rsidR="00BE2BE6" w:rsidRPr="00BE2BE6" w:rsidRDefault="00BE2BE6" w:rsidP="00C13BAF">
            <w:pPr>
              <w:spacing w:after="0" w:line="240" w:lineRule="auto"/>
              <w:contextualSpacing/>
              <w:jc w:val="center"/>
              <w:rPr>
                <w:rFonts w:ascii="Arial" w:eastAsia="Times New Roman" w:hAnsi="Arial" w:cs="Arial"/>
                <w:b/>
                <w:sz w:val="24"/>
                <w:szCs w:val="24"/>
                <w:lang w:val="es-ES" w:eastAsia="es-ES"/>
              </w:rPr>
            </w:pPr>
            <w:r w:rsidRPr="00BE2BE6">
              <w:rPr>
                <w:rFonts w:ascii="Arial" w:eastAsia="Times New Roman" w:hAnsi="Arial" w:cs="Arial"/>
                <w:b/>
                <w:sz w:val="24"/>
                <w:szCs w:val="24"/>
                <w:lang w:val="es-ES" w:eastAsia="es-ES"/>
              </w:rPr>
              <w:t>DIP. GRETEL GONZÁLEZ AGUIRRE</w:t>
            </w:r>
          </w:p>
          <w:p w14:paraId="22310091" w14:textId="77777777" w:rsidR="00C13BAF" w:rsidRDefault="00C13BAF" w:rsidP="00C13BAF">
            <w:pPr>
              <w:spacing w:after="0" w:line="240" w:lineRule="auto"/>
              <w:contextualSpacing/>
              <w:jc w:val="center"/>
              <w:rPr>
                <w:rFonts w:ascii="Arial" w:eastAsia="Calibri" w:hAnsi="Arial" w:cs="Arial"/>
                <w:b/>
                <w:sz w:val="24"/>
                <w:szCs w:val="24"/>
                <w:lang w:val="es-ES" w:eastAsia="es-ES"/>
              </w:rPr>
            </w:pPr>
          </w:p>
          <w:p w14:paraId="1AD163C7" w14:textId="77777777" w:rsidR="00C13BAF" w:rsidRDefault="00C13BAF" w:rsidP="00C13BAF">
            <w:pPr>
              <w:spacing w:after="0" w:line="240" w:lineRule="auto"/>
              <w:contextualSpacing/>
              <w:jc w:val="center"/>
              <w:rPr>
                <w:rFonts w:ascii="Arial" w:eastAsia="Calibri" w:hAnsi="Arial" w:cs="Arial"/>
                <w:b/>
                <w:sz w:val="24"/>
                <w:szCs w:val="24"/>
                <w:lang w:val="es-ES" w:eastAsia="es-ES"/>
              </w:rPr>
            </w:pPr>
          </w:p>
          <w:p w14:paraId="091CB262" w14:textId="77777777" w:rsidR="0085605C" w:rsidRDefault="00BE2BE6" w:rsidP="00C13BAF">
            <w:pPr>
              <w:spacing w:after="0" w:line="240" w:lineRule="auto"/>
              <w:contextualSpacing/>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MIEMBRO</w:t>
            </w:r>
          </w:p>
          <w:p w14:paraId="3CF1DC91" w14:textId="1689FB7D" w:rsidR="00E14D23" w:rsidRPr="00BE2BE6" w:rsidRDefault="00E14D23" w:rsidP="00C13BAF">
            <w:pPr>
              <w:spacing w:after="0" w:line="240" w:lineRule="auto"/>
              <w:contextualSpacing/>
              <w:jc w:val="center"/>
              <w:rPr>
                <w:rFonts w:ascii="Arial" w:eastAsia="Calibri" w:hAnsi="Arial" w:cs="Arial"/>
                <w:b/>
                <w:sz w:val="24"/>
                <w:szCs w:val="24"/>
                <w:lang w:val="es-ES" w:eastAsia="es-ES"/>
              </w:rPr>
            </w:pPr>
          </w:p>
        </w:tc>
        <w:tc>
          <w:tcPr>
            <w:tcW w:w="4414" w:type="dxa"/>
          </w:tcPr>
          <w:p w14:paraId="5741C555" w14:textId="7C55C6DE" w:rsidR="00BE2BE6" w:rsidRPr="00BE2BE6" w:rsidRDefault="00BE2BE6" w:rsidP="00C13BAF">
            <w:pPr>
              <w:spacing w:after="0" w:line="240" w:lineRule="auto"/>
              <w:contextualSpacing/>
              <w:jc w:val="center"/>
              <w:rPr>
                <w:rFonts w:ascii="Arial" w:eastAsia="Times New Roman" w:hAnsi="Arial" w:cs="Arial"/>
                <w:b/>
                <w:sz w:val="24"/>
                <w:szCs w:val="24"/>
                <w:lang w:val="es-ES" w:eastAsia="es-ES"/>
              </w:rPr>
            </w:pPr>
            <w:r w:rsidRPr="00BE2BE6">
              <w:rPr>
                <w:rFonts w:ascii="Arial" w:eastAsia="Times New Roman" w:hAnsi="Arial" w:cs="Arial"/>
                <w:b/>
                <w:sz w:val="24"/>
                <w:szCs w:val="24"/>
                <w:lang w:val="es-ES" w:eastAsia="es-ES"/>
              </w:rPr>
              <w:t>DIP. INGRID KRASOPANI SCHEMELENSKY CASTRO</w:t>
            </w:r>
          </w:p>
          <w:p w14:paraId="4CEF7E69" w14:textId="77777777" w:rsidR="00C13BAF" w:rsidRDefault="00C13BAF" w:rsidP="00C13BAF">
            <w:pPr>
              <w:spacing w:after="0" w:line="240" w:lineRule="auto"/>
              <w:contextualSpacing/>
              <w:jc w:val="center"/>
              <w:rPr>
                <w:rFonts w:ascii="Arial" w:eastAsia="Calibri" w:hAnsi="Arial" w:cs="Arial"/>
                <w:b/>
                <w:sz w:val="24"/>
                <w:szCs w:val="24"/>
                <w:lang w:val="es-ES" w:eastAsia="es-ES"/>
              </w:rPr>
            </w:pPr>
          </w:p>
          <w:p w14:paraId="25A77A26" w14:textId="468196C5" w:rsidR="00492F16" w:rsidRPr="00BE2BE6" w:rsidRDefault="00BE2BE6" w:rsidP="00C13BAF">
            <w:pPr>
              <w:spacing w:after="0" w:line="240" w:lineRule="auto"/>
              <w:contextualSpacing/>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MIEMBRO</w:t>
            </w:r>
          </w:p>
        </w:tc>
      </w:tr>
      <w:tr w:rsidR="00492F16" w:rsidRPr="00BE2BE6" w14:paraId="41E1D419" w14:textId="77777777" w:rsidTr="00E14D23">
        <w:trPr>
          <w:jc w:val="center"/>
        </w:trPr>
        <w:tc>
          <w:tcPr>
            <w:tcW w:w="4414" w:type="dxa"/>
          </w:tcPr>
          <w:p w14:paraId="015459FE" w14:textId="01BB394C" w:rsidR="00BE2BE6" w:rsidRPr="00BE2BE6" w:rsidRDefault="00BE2BE6" w:rsidP="00C13BAF">
            <w:pPr>
              <w:spacing w:after="0" w:line="240" w:lineRule="auto"/>
              <w:contextualSpacing/>
              <w:jc w:val="center"/>
              <w:rPr>
                <w:rFonts w:ascii="Arial" w:eastAsia="Times New Roman" w:hAnsi="Arial" w:cs="Arial"/>
                <w:b/>
                <w:sz w:val="24"/>
                <w:szCs w:val="24"/>
                <w:lang w:val="es-ES" w:eastAsia="es-ES"/>
              </w:rPr>
            </w:pPr>
            <w:r w:rsidRPr="00BE2BE6">
              <w:rPr>
                <w:rFonts w:ascii="Arial" w:eastAsia="Times New Roman" w:hAnsi="Arial" w:cs="Arial"/>
                <w:b/>
                <w:sz w:val="24"/>
                <w:szCs w:val="24"/>
                <w:lang w:val="es-ES" w:eastAsia="es-ES"/>
              </w:rPr>
              <w:t>DIP. SILVIA BARBERENA MALDONADO</w:t>
            </w:r>
          </w:p>
          <w:p w14:paraId="6DED96C4" w14:textId="77777777" w:rsidR="00C13BAF" w:rsidRDefault="00C13BAF" w:rsidP="00C13BAF">
            <w:pPr>
              <w:spacing w:after="0" w:line="240" w:lineRule="auto"/>
              <w:contextualSpacing/>
              <w:jc w:val="center"/>
              <w:rPr>
                <w:rFonts w:ascii="Arial" w:eastAsia="Calibri" w:hAnsi="Arial" w:cs="Arial"/>
                <w:b/>
                <w:sz w:val="24"/>
                <w:szCs w:val="24"/>
                <w:lang w:val="es-ES" w:eastAsia="es-ES"/>
              </w:rPr>
            </w:pPr>
          </w:p>
          <w:p w14:paraId="2CF41D0A" w14:textId="77777777" w:rsidR="0085605C" w:rsidRDefault="00BE2BE6" w:rsidP="00C13BAF">
            <w:pPr>
              <w:spacing w:after="0" w:line="240" w:lineRule="auto"/>
              <w:contextualSpacing/>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MIEMBRO</w:t>
            </w:r>
          </w:p>
          <w:p w14:paraId="6954BFCE" w14:textId="7481CB6B" w:rsidR="00E14D23" w:rsidRPr="00BE2BE6" w:rsidRDefault="00E14D23" w:rsidP="00C13BAF">
            <w:pPr>
              <w:spacing w:after="0" w:line="240" w:lineRule="auto"/>
              <w:contextualSpacing/>
              <w:jc w:val="center"/>
              <w:rPr>
                <w:rFonts w:ascii="Arial" w:eastAsia="Calibri" w:hAnsi="Arial" w:cs="Arial"/>
                <w:b/>
                <w:sz w:val="24"/>
                <w:szCs w:val="24"/>
                <w:lang w:val="es-ES" w:eastAsia="es-ES"/>
              </w:rPr>
            </w:pPr>
          </w:p>
        </w:tc>
        <w:tc>
          <w:tcPr>
            <w:tcW w:w="4414" w:type="dxa"/>
          </w:tcPr>
          <w:p w14:paraId="4AFCAC8C" w14:textId="0691DBD3" w:rsidR="00BE2BE6" w:rsidRPr="00BE2BE6" w:rsidRDefault="00BE2BE6" w:rsidP="00C13BAF">
            <w:pPr>
              <w:spacing w:after="0" w:line="240" w:lineRule="auto"/>
              <w:contextualSpacing/>
              <w:jc w:val="center"/>
              <w:rPr>
                <w:rFonts w:ascii="Arial" w:eastAsia="Times New Roman" w:hAnsi="Arial" w:cs="Arial"/>
                <w:b/>
                <w:sz w:val="24"/>
                <w:szCs w:val="24"/>
                <w:lang w:val="es-ES" w:eastAsia="es-ES"/>
              </w:rPr>
            </w:pPr>
            <w:r w:rsidRPr="00BE2BE6">
              <w:rPr>
                <w:rFonts w:ascii="Arial" w:eastAsia="Times New Roman" w:hAnsi="Arial" w:cs="Arial"/>
                <w:b/>
                <w:sz w:val="24"/>
                <w:szCs w:val="24"/>
                <w:lang w:val="es-ES" w:eastAsia="es-ES"/>
              </w:rPr>
              <w:t>DIP. VIRIDIANA FUENTES CRUZ</w:t>
            </w:r>
          </w:p>
          <w:p w14:paraId="4EBDD65D" w14:textId="77777777" w:rsidR="00C13BAF" w:rsidRDefault="00C13BAF" w:rsidP="00C13BAF">
            <w:pPr>
              <w:spacing w:after="0" w:line="240" w:lineRule="auto"/>
              <w:contextualSpacing/>
              <w:jc w:val="center"/>
              <w:rPr>
                <w:rFonts w:ascii="Arial" w:eastAsia="Calibri" w:hAnsi="Arial" w:cs="Arial"/>
                <w:b/>
                <w:sz w:val="24"/>
                <w:szCs w:val="24"/>
                <w:lang w:val="es-ES" w:eastAsia="es-ES"/>
              </w:rPr>
            </w:pPr>
          </w:p>
          <w:p w14:paraId="63D57CAF" w14:textId="77777777" w:rsidR="00C13BAF" w:rsidRDefault="00C13BAF" w:rsidP="00C13BAF">
            <w:pPr>
              <w:spacing w:after="0" w:line="240" w:lineRule="auto"/>
              <w:contextualSpacing/>
              <w:jc w:val="center"/>
              <w:rPr>
                <w:rFonts w:ascii="Arial" w:eastAsia="Calibri" w:hAnsi="Arial" w:cs="Arial"/>
                <w:b/>
                <w:sz w:val="24"/>
                <w:szCs w:val="24"/>
                <w:lang w:val="es-ES" w:eastAsia="es-ES"/>
              </w:rPr>
            </w:pPr>
          </w:p>
          <w:p w14:paraId="734F3CF1" w14:textId="3265CF7E" w:rsidR="00492F16" w:rsidRPr="00BE2BE6" w:rsidRDefault="00BE2BE6" w:rsidP="00C13BAF">
            <w:pPr>
              <w:spacing w:after="0" w:line="240" w:lineRule="auto"/>
              <w:contextualSpacing/>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MIEMBRO</w:t>
            </w:r>
          </w:p>
        </w:tc>
      </w:tr>
      <w:tr w:rsidR="00492F16" w:rsidRPr="00BE2BE6" w14:paraId="77AEDD8C" w14:textId="77777777" w:rsidTr="00E14D23">
        <w:trPr>
          <w:jc w:val="center"/>
        </w:trPr>
        <w:tc>
          <w:tcPr>
            <w:tcW w:w="4414" w:type="dxa"/>
          </w:tcPr>
          <w:p w14:paraId="530C7F9F" w14:textId="24AADE83" w:rsidR="00BE2BE6" w:rsidRDefault="00BE2BE6" w:rsidP="00C13BAF">
            <w:pPr>
              <w:spacing w:after="0" w:line="240" w:lineRule="auto"/>
              <w:contextualSpacing/>
              <w:jc w:val="center"/>
              <w:rPr>
                <w:rFonts w:ascii="Arial" w:eastAsia="Times New Roman" w:hAnsi="Arial" w:cs="Arial"/>
                <w:b/>
                <w:sz w:val="24"/>
                <w:szCs w:val="24"/>
                <w:lang w:val="es-ES" w:eastAsia="es-ES"/>
              </w:rPr>
            </w:pPr>
            <w:r w:rsidRPr="00BE2BE6">
              <w:rPr>
                <w:rFonts w:ascii="Arial" w:eastAsia="Times New Roman" w:hAnsi="Arial" w:cs="Arial"/>
                <w:b/>
                <w:sz w:val="24"/>
                <w:szCs w:val="24"/>
                <w:lang w:val="es-ES" w:eastAsia="es-ES"/>
              </w:rPr>
              <w:t>DIP. CLAUDIA DESIREE MORALES ROBLEDO</w:t>
            </w:r>
          </w:p>
          <w:p w14:paraId="178E2C95" w14:textId="77777777" w:rsidR="00C13BAF" w:rsidRPr="00BE2BE6" w:rsidRDefault="00C13BAF" w:rsidP="00C13BAF">
            <w:pPr>
              <w:spacing w:after="0" w:line="240" w:lineRule="auto"/>
              <w:contextualSpacing/>
              <w:jc w:val="center"/>
              <w:rPr>
                <w:rFonts w:ascii="Arial" w:eastAsia="Times New Roman" w:hAnsi="Arial" w:cs="Arial"/>
                <w:b/>
                <w:sz w:val="24"/>
                <w:szCs w:val="24"/>
                <w:lang w:val="es-ES" w:eastAsia="es-ES"/>
              </w:rPr>
            </w:pPr>
          </w:p>
          <w:p w14:paraId="2C0ACE65" w14:textId="77777777" w:rsidR="001C5F57" w:rsidRDefault="00BE2BE6" w:rsidP="00C13BAF">
            <w:pPr>
              <w:spacing w:after="0" w:line="240" w:lineRule="auto"/>
              <w:contextualSpacing/>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MIEMBRO</w:t>
            </w:r>
          </w:p>
          <w:p w14:paraId="0F92A850" w14:textId="06D5E5C6" w:rsidR="00E14D23" w:rsidRPr="00BE2BE6" w:rsidRDefault="00E14D23" w:rsidP="00C13BAF">
            <w:pPr>
              <w:spacing w:after="0" w:line="240" w:lineRule="auto"/>
              <w:contextualSpacing/>
              <w:jc w:val="center"/>
              <w:rPr>
                <w:rFonts w:ascii="Arial" w:eastAsia="Calibri" w:hAnsi="Arial" w:cs="Arial"/>
                <w:b/>
                <w:sz w:val="24"/>
                <w:szCs w:val="24"/>
                <w:lang w:val="es-ES" w:eastAsia="es-ES"/>
              </w:rPr>
            </w:pPr>
          </w:p>
        </w:tc>
        <w:tc>
          <w:tcPr>
            <w:tcW w:w="4414" w:type="dxa"/>
          </w:tcPr>
          <w:p w14:paraId="0F6DA79B" w14:textId="4A26FC2F" w:rsidR="00BE2BE6" w:rsidRPr="00BE2BE6" w:rsidRDefault="00BE2BE6" w:rsidP="00C13BAF">
            <w:pPr>
              <w:spacing w:after="0" w:line="240" w:lineRule="auto"/>
              <w:contextualSpacing/>
              <w:jc w:val="center"/>
              <w:rPr>
                <w:rFonts w:ascii="Arial" w:eastAsia="Times New Roman" w:hAnsi="Arial" w:cs="Arial"/>
                <w:b/>
                <w:sz w:val="24"/>
                <w:szCs w:val="24"/>
                <w:lang w:val="es-ES" w:eastAsia="es-ES"/>
              </w:rPr>
            </w:pPr>
            <w:r w:rsidRPr="00BE2BE6">
              <w:rPr>
                <w:rFonts w:ascii="Arial" w:eastAsia="Times New Roman" w:hAnsi="Arial" w:cs="Arial"/>
                <w:b/>
                <w:sz w:val="24"/>
                <w:szCs w:val="24"/>
                <w:lang w:val="es-ES" w:eastAsia="es-ES"/>
              </w:rPr>
              <w:t>DIP. JUANA BONILLA JAIME</w:t>
            </w:r>
          </w:p>
          <w:p w14:paraId="7DED66D0" w14:textId="77777777" w:rsidR="00C13BAF" w:rsidRDefault="00C13BAF" w:rsidP="00C13BAF">
            <w:pPr>
              <w:spacing w:after="0" w:line="240" w:lineRule="auto"/>
              <w:contextualSpacing/>
              <w:jc w:val="center"/>
              <w:rPr>
                <w:rFonts w:ascii="Arial" w:eastAsia="Calibri" w:hAnsi="Arial" w:cs="Arial"/>
                <w:b/>
                <w:sz w:val="24"/>
                <w:szCs w:val="24"/>
                <w:lang w:val="es-ES" w:eastAsia="es-ES"/>
              </w:rPr>
            </w:pPr>
          </w:p>
          <w:p w14:paraId="4450FCB6" w14:textId="77777777" w:rsidR="00C13BAF" w:rsidRDefault="00C13BAF" w:rsidP="00C13BAF">
            <w:pPr>
              <w:spacing w:after="0" w:line="240" w:lineRule="auto"/>
              <w:contextualSpacing/>
              <w:jc w:val="center"/>
              <w:rPr>
                <w:rFonts w:ascii="Arial" w:eastAsia="Calibri" w:hAnsi="Arial" w:cs="Arial"/>
                <w:b/>
                <w:sz w:val="24"/>
                <w:szCs w:val="24"/>
                <w:lang w:val="es-ES" w:eastAsia="es-ES"/>
              </w:rPr>
            </w:pPr>
          </w:p>
          <w:p w14:paraId="084FC7C1" w14:textId="3C5AAEB7" w:rsidR="00492F16" w:rsidRPr="00BE2BE6" w:rsidRDefault="00C13BAF" w:rsidP="00C13BAF">
            <w:pPr>
              <w:spacing w:after="0" w:line="240" w:lineRule="auto"/>
              <w:contextualSpacing/>
              <w:jc w:val="center"/>
              <w:rPr>
                <w:rFonts w:ascii="Arial" w:eastAsia="Calibri" w:hAnsi="Arial" w:cs="Arial"/>
                <w:b/>
                <w:sz w:val="24"/>
                <w:szCs w:val="24"/>
                <w:lang w:val="es-ES" w:eastAsia="es-ES"/>
              </w:rPr>
            </w:pPr>
            <w:r>
              <w:rPr>
                <w:rFonts w:ascii="Arial" w:eastAsia="Calibri" w:hAnsi="Arial" w:cs="Arial"/>
                <w:b/>
                <w:sz w:val="24"/>
                <w:szCs w:val="24"/>
                <w:lang w:val="es-ES" w:eastAsia="es-ES"/>
              </w:rPr>
              <w:t>M</w:t>
            </w:r>
            <w:r w:rsidR="00BE2BE6" w:rsidRPr="00BE2BE6">
              <w:rPr>
                <w:rFonts w:ascii="Arial" w:eastAsia="Calibri" w:hAnsi="Arial" w:cs="Arial"/>
                <w:b/>
                <w:sz w:val="24"/>
                <w:szCs w:val="24"/>
                <w:lang w:val="es-ES" w:eastAsia="es-ES"/>
              </w:rPr>
              <w:t>IEMBRO</w:t>
            </w:r>
          </w:p>
        </w:tc>
      </w:tr>
      <w:tr w:rsidR="00492F16" w:rsidRPr="00BE2BE6" w14:paraId="04744546" w14:textId="77777777" w:rsidTr="00E14D23">
        <w:trPr>
          <w:jc w:val="center"/>
        </w:trPr>
        <w:tc>
          <w:tcPr>
            <w:tcW w:w="4414" w:type="dxa"/>
          </w:tcPr>
          <w:p w14:paraId="4B016B32" w14:textId="77777777" w:rsidR="00BE2BE6" w:rsidRPr="00BE2BE6" w:rsidRDefault="00BE2BE6" w:rsidP="00C13BAF">
            <w:pPr>
              <w:spacing w:after="0" w:line="240" w:lineRule="auto"/>
              <w:contextualSpacing/>
              <w:jc w:val="center"/>
              <w:rPr>
                <w:rFonts w:ascii="Arial" w:eastAsia="Times New Roman" w:hAnsi="Arial" w:cs="Arial"/>
                <w:b/>
                <w:sz w:val="24"/>
                <w:szCs w:val="24"/>
                <w:lang w:val="es-ES" w:eastAsia="es-ES"/>
              </w:rPr>
            </w:pPr>
            <w:r w:rsidRPr="00BE2BE6">
              <w:rPr>
                <w:rFonts w:ascii="Arial" w:eastAsia="Times New Roman" w:hAnsi="Arial" w:cs="Arial"/>
                <w:b/>
                <w:sz w:val="24"/>
                <w:szCs w:val="24"/>
                <w:lang w:val="es-ES" w:eastAsia="es-ES"/>
              </w:rPr>
              <w:t>DIP. MÓNICA MIRIAM GRANILLO VELAZCO</w:t>
            </w:r>
          </w:p>
          <w:p w14:paraId="0A764B09" w14:textId="68A5000B" w:rsidR="0085605C" w:rsidRPr="00BE2BE6" w:rsidRDefault="00BE2BE6" w:rsidP="00C13BAF">
            <w:pPr>
              <w:snapToGrid w:val="0"/>
              <w:spacing w:before="240" w:line="240" w:lineRule="auto"/>
              <w:jc w:val="center"/>
              <w:rPr>
                <w:rFonts w:ascii="Arial" w:eastAsia="Calibri" w:hAnsi="Arial" w:cs="Arial"/>
                <w:b/>
                <w:sz w:val="24"/>
                <w:szCs w:val="24"/>
                <w:lang w:val="es-ES" w:eastAsia="es-ES"/>
              </w:rPr>
            </w:pPr>
            <w:r w:rsidRPr="00BE2BE6">
              <w:rPr>
                <w:rFonts w:ascii="Arial" w:eastAsia="Calibri" w:hAnsi="Arial" w:cs="Arial"/>
                <w:b/>
                <w:sz w:val="24"/>
                <w:szCs w:val="24"/>
                <w:lang w:val="es-ES" w:eastAsia="es-ES"/>
              </w:rPr>
              <w:t>MIEMBRO</w:t>
            </w:r>
          </w:p>
        </w:tc>
        <w:tc>
          <w:tcPr>
            <w:tcW w:w="4414" w:type="dxa"/>
          </w:tcPr>
          <w:p w14:paraId="77293F74" w14:textId="2BBDCAE7" w:rsidR="00492F16" w:rsidRPr="00BE2BE6" w:rsidRDefault="00492F16" w:rsidP="00C13BAF">
            <w:pPr>
              <w:snapToGrid w:val="0"/>
              <w:spacing w:before="240" w:line="240" w:lineRule="auto"/>
              <w:jc w:val="center"/>
              <w:rPr>
                <w:rFonts w:ascii="Arial" w:eastAsia="Calibri" w:hAnsi="Arial" w:cs="Arial"/>
                <w:b/>
                <w:sz w:val="24"/>
                <w:szCs w:val="24"/>
                <w:lang w:val="es-ES" w:eastAsia="es-ES"/>
              </w:rPr>
            </w:pPr>
          </w:p>
        </w:tc>
      </w:tr>
      <w:tr w:rsidR="00492F16" w:rsidRPr="00BE2BE6" w14:paraId="6367DA0C" w14:textId="77777777" w:rsidTr="00E14D23">
        <w:trPr>
          <w:jc w:val="center"/>
        </w:trPr>
        <w:tc>
          <w:tcPr>
            <w:tcW w:w="4414" w:type="dxa"/>
          </w:tcPr>
          <w:p w14:paraId="7B9232EB" w14:textId="662D9FE5" w:rsidR="007F074F" w:rsidRPr="00BE2BE6" w:rsidRDefault="007F074F" w:rsidP="00BE2BE6">
            <w:pPr>
              <w:snapToGrid w:val="0"/>
              <w:spacing w:before="240" w:line="240" w:lineRule="auto"/>
              <w:jc w:val="center"/>
              <w:rPr>
                <w:rFonts w:ascii="Arial" w:hAnsi="Arial" w:cs="Arial"/>
                <w:b/>
                <w:sz w:val="24"/>
                <w:szCs w:val="24"/>
              </w:rPr>
            </w:pPr>
          </w:p>
        </w:tc>
        <w:tc>
          <w:tcPr>
            <w:tcW w:w="4414" w:type="dxa"/>
          </w:tcPr>
          <w:p w14:paraId="32B84CD2" w14:textId="2B1DC095" w:rsidR="00492F16" w:rsidRPr="00BE2BE6" w:rsidRDefault="00492F16" w:rsidP="00BE2BE6">
            <w:pPr>
              <w:snapToGrid w:val="0"/>
              <w:spacing w:before="240" w:line="240" w:lineRule="auto"/>
              <w:jc w:val="center"/>
              <w:rPr>
                <w:rFonts w:ascii="Arial" w:hAnsi="Arial" w:cs="Arial"/>
                <w:b/>
                <w:sz w:val="24"/>
                <w:szCs w:val="24"/>
              </w:rPr>
            </w:pPr>
          </w:p>
        </w:tc>
      </w:tr>
      <w:tr w:rsidR="00492F16" w:rsidRPr="00BE2BE6" w14:paraId="568DB3E7" w14:textId="77777777" w:rsidTr="00E14D23">
        <w:trPr>
          <w:jc w:val="center"/>
        </w:trPr>
        <w:tc>
          <w:tcPr>
            <w:tcW w:w="4414" w:type="dxa"/>
          </w:tcPr>
          <w:p w14:paraId="2224DC52" w14:textId="08129F76" w:rsidR="0085605C" w:rsidRPr="00BE2BE6" w:rsidRDefault="0085605C" w:rsidP="00BE2BE6">
            <w:pPr>
              <w:snapToGrid w:val="0"/>
              <w:spacing w:before="240" w:line="240" w:lineRule="auto"/>
              <w:jc w:val="center"/>
              <w:rPr>
                <w:rFonts w:ascii="Arial" w:hAnsi="Arial" w:cs="Arial"/>
                <w:b/>
                <w:sz w:val="24"/>
                <w:szCs w:val="24"/>
              </w:rPr>
            </w:pPr>
          </w:p>
        </w:tc>
        <w:tc>
          <w:tcPr>
            <w:tcW w:w="4414" w:type="dxa"/>
          </w:tcPr>
          <w:p w14:paraId="7B250715" w14:textId="2F71E49A" w:rsidR="00492F16" w:rsidRPr="00BE2BE6" w:rsidRDefault="00492F16" w:rsidP="00BE2BE6">
            <w:pPr>
              <w:snapToGrid w:val="0"/>
              <w:spacing w:before="240" w:line="240" w:lineRule="auto"/>
              <w:jc w:val="center"/>
              <w:rPr>
                <w:rFonts w:ascii="Arial" w:hAnsi="Arial" w:cs="Arial"/>
                <w:b/>
                <w:sz w:val="24"/>
                <w:szCs w:val="24"/>
                <w:lang w:val="pt-BR"/>
              </w:rPr>
            </w:pPr>
          </w:p>
        </w:tc>
      </w:tr>
      <w:tr w:rsidR="00492F16" w:rsidRPr="00BE2BE6" w14:paraId="7BDFF012" w14:textId="77777777" w:rsidTr="00E14D23">
        <w:trPr>
          <w:jc w:val="center"/>
        </w:trPr>
        <w:tc>
          <w:tcPr>
            <w:tcW w:w="4414" w:type="dxa"/>
          </w:tcPr>
          <w:p w14:paraId="153B87C0" w14:textId="2CC8C8A1" w:rsidR="0085605C" w:rsidRPr="00BE2BE6" w:rsidRDefault="0085605C" w:rsidP="00BE2BE6">
            <w:pPr>
              <w:snapToGrid w:val="0"/>
              <w:spacing w:before="240" w:line="240" w:lineRule="auto"/>
              <w:jc w:val="center"/>
              <w:rPr>
                <w:rFonts w:ascii="Arial" w:hAnsi="Arial" w:cs="Arial"/>
                <w:b/>
                <w:sz w:val="24"/>
                <w:szCs w:val="24"/>
              </w:rPr>
            </w:pPr>
          </w:p>
        </w:tc>
        <w:tc>
          <w:tcPr>
            <w:tcW w:w="4414" w:type="dxa"/>
          </w:tcPr>
          <w:p w14:paraId="27D39AA2" w14:textId="3F5BC4EF" w:rsidR="00492F16" w:rsidRPr="00BE2BE6" w:rsidRDefault="00492F16" w:rsidP="00BE2BE6">
            <w:pPr>
              <w:snapToGrid w:val="0"/>
              <w:spacing w:before="240" w:line="240" w:lineRule="auto"/>
              <w:jc w:val="center"/>
              <w:rPr>
                <w:rFonts w:ascii="Arial" w:hAnsi="Arial" w:cs="Arial"/>
                <w:b/>
                <w:sz w:val="24"/>
                <w:szCs w:val="24"/>
                <w:lang w:val="pt-BR"/>
              </w:rPr>
            </w:pPr>
          </w:p>
        </w:tc>
      </w:tr>
      <w:tr w:rsidR="00492F16" w:rsidRPr="00BE2BE6" w14:paraId="10522362" w14:textId="77777777" w:rsidTr="00E14D23">
        <w:trPr>
          <w:jc w:val="center"/>
        </w:trPr>
        <w:tc>
          <w:tcPr>
            <w:tcW w:w="4414" w:type="dxa"/>
          </w:tcPr>
          <w:p w14:paraId="5909DDB8" w14:textId="6C757818" w:rsidR="007B112E" w:rsidRPr="00BE2BE6" w:rsidRDefault="007B112E" w:rsidP="00BE2BE6">
            <w:pPr>
              <w:snapToGrid w:val="0"/>
              <w:spacing w:before="240" w:line="240" w:lineRule="auto"/>
              <w:jc w:val="center"/>
              <w:rPr>
                <w:rFonts w:ascii="Arial" w:hAnsi="Arial" w:cs="Arial"/>
                <w:b/>
                <w:sz w:val="24"/>
                <w:szCs w:val="24"/>
                <w:lang w:val="pt-BR"/>
              </w:rPr>
            </w:pPr>
          </w:p>
        </w:tc>
        <w:tc>
          <w:tcPr>
            <w:tcW w:w="4414" w:type="dxa"/>
          </w:tcPr>
          <w:p w14:paraId="6A8BCD5C" w14:textId="3E9EC843" w:rsidR="00492F16" w:rsidRPr="00BE2BE6" w:rsidRDefault="00492F16" w:rsidP="00BE2BE6">
            <w:pPr>
              <w:snapToGrid w:val="0"/>
              <w:spacing w:before="240" w:line="240" w:lineRule="auto"/>
              <w:jc w:val="center"/>
              <w:rPr>
                <w:rFonts w:ascii="Arial" w:hAnsi="Arial" w:cs="Arial"/>
                <w:b/>
                <w:sz w:val="24"/>
                <w:szCs w:val="24"/>
              </w:rPr>
            </w:pPr>
          </w:p>
        </w:tc>
      </w:tr>
      <w:tr w:rsidR="00492F16" w:rsidRPr="00BE2BE6" w14:paraId="7666E42B" w14:textId="77777777" w:rsidTr="00E14D23">
        <w:trPr>
          <w:jc w:val="center"/>
        </w:trPr>
        <w:tc>
          <w:tcPr>
            <w:tcW w:w="4414" w:type="dxa"/>
          </w:tcPr>
          <w:p w14:paraId="3A241BBA" w14:textId="495D0672" w:rsidR="001C5F57" w:rsidRPr="00BE2BE6" w:rsidRDefault="001C5F57" w:rsidP="00BE2BE6">
            <w:pPr>
              <w:snapToGrid w:val="0"/>
              <w:spacing w:before="240" w:line="240" w:lineRule="auto"/>
              <w:jc w:val="center"/>
              <w:rPr>
                <w:rFonts w:ascii="Arial" w:hAnsi="Arial" w:cs="Arial"/>
                <w:b/>
                <w:sz w:val="24"/>
                <w:szCs w:val="24"/>
              </w:rPr>
            </w:pPr>
          </w:p>
        </w:tc>
        <w:tc>
          <w:tcPr>
            <w:tcW w:w="4414" w:type="dxa"/>
          </w:tcPr>
          <w:p w14:paraId="16488018" w14:textId="718D350A" w:rsidR="00492F16" w:rsidRPr="00BE2BE6" w:rsidRDefault="00492F16" w:rsidP="00BE2BE6">
            <w:pPr>
              <w:snapToGrid w:val="0"/>
              <w:spacing w:before="240" w:line="240" w:lineRule="auto"/>
              <w:jc w:val="center"/>
              <w:rPr>
                <w:rFonts w:ascii="Arial" w:hAnsi="Arial" w:cs="Arial"/>
                <w:b/>
                <w:sz w:val="24"/>
                <w:szCs w:val="24"/>
              </w:rPr>
            </w:pPr>
          </w:p>
        </w:tc>
      </w:tr>
      <w:tr w:rsidR="00492F16" w:rsidRPr="00BE2BE6" w14:paraId="3A564934" w14:textId="77777777" w:rsidTr="00E14D23">
        <w:trPr>
          <w:jc w:val="center"/>
        </w:trPr>
        <w:tc>
          <w:tcPr>
            <w:tcW w:w="4414" w:type="dxa"/>
          </w:tcPr>
          <w:p w14:paraId="644C4273" w14:textId="0802F23C" w:rsidR="00492F16" w:rsidRPr="00BE2BE6" w:rsidRDefault="00492F16" w:rsidP="00BE2BE6">
            <w:pPr>
              <w:snapToGrid w:val="0"/>
              <w:spacing w:before="240" w:line="240" w:lineRule="auto"/>
              <w:jc w:val="center"/>
              <w:rPr>
                <w:rFonts w:ascii="Arial" w:hAnsi="Arial" w:cs="Arial"/>
                <w:b/>
                <w:sz w:val="24"/>
                <w:szCs w:val="24"/>
                <w:lang w:val="pt-BR"/>
              </w:rPr>
            </w:pPr>
          </w:p>
        </w:tc>
        <w:tc>
          <w:tcPr>
            <w:tcW w:w="4414" w:type="dxa"/>
          </w:tcPr>
          <w:p w14:paraId="5C9E274B" w14:textId="5138B84B" w:rsidR="00492F16" w:rsidRPr="00BE2BE6" w:rsidRDefault="00492F16" w:rsidP="00BE2BE6">
            <w:pPr>
              <w:snapToGrid w:val="0"/>
              <w:spacing w:before="240" w:line="240" w:lineRule="auto"/>
              <w:jc w:val="center"/>
              <w:rPr>
                <w:rFonts w:ascii="Arial" w:hAnsi="Arial" w:cs="Arial"/>
                <w:b/>
                <w:sz w:val="24"/>
                <w:szCs w:val="24"/>
              </w:rPr>
            </w:pPr>
          </w:p>
        </w:tc>
      </w:tr>
    </w:tbl>
    <w:p w14:paraId="28034554" w14:textId="77777777" w:rsidR="00712EED" w:rsidRPr="000651F9" w:rsidRDefault="00712EED" w:rsidP="004B7942">
      <w:pPr>
        <w:snapToGrid w:val="0"/>
        <w:spacing w:before="240" w:line="360" w:lineRule="auto"/>
        <w:rPr>
          <w:rFonts w:ascii="Arial" w:eastAsia="Calibri" w:hAnsi="Arial" w:cs="Arial"/>
          <w:b/>
          <w:sz w:val="24"/>
          <w:szCs w:val="24"/>
          <w:lang w:val="es-ES" w:eastAsia="es-ES"/>
        </w:rPr>
      </w:pPr>
    </w:p>
    <w:p w14:paraId="4288E118"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18303C73"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0D8BBC61"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44C69C58"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1268C446" w14:textId="77777777" w:rsidR="001C5F57" w:rsidRDefault="001C5F57" w:rsidP="004B7942">
      <w:pPr>
        <w:snapToGrid w:val="0"/>
        <w:spacing w:before="240" w:line="360" w:lineRule="auto"/>
        <w:rPr>
          <w:rFonts w:ascii="Arial" w:eastAsia="Calibri" w:hAnsi="Arial" w:cs="Arial"/>
          <w:b/>
          <w:sz w:val="24"/>
          <w:szCs w:val="24"/>
          <w:lang w:val="es-ES" w:eastAsia="es-ES"/>
        </w:rPr>
      </w:pPr>
    </w:p>
    <w:p w14:paraId="65F68915" w14:textId="77777777" w:rsidR="00B968A5" w:rsidRPr="00357432" w:rsidRDefault="00B968A5" w:rsidP="00B968A5">
      <w:pPr>
        <w:spacing w:line="360" w:lineRule="auto"/>
        <w:jc w:val="center"/>
        <w:rPr>
          <w:rFonts w:ascii="Arial" w:hAnsi="Arial" w:cs="Arial"/>
          <w:b/>
          <w:sz w:val="24"/>
          <w:szCs w:val="24"/>
        </w:rPr>
      </w:pPr>
      <w:r w:rsidRPr="00357432">
        <w:rPr>
          <w:rFonts w:ascii="Arial" w:hAnsi="Arial" w:cs="Arial"/>
          <w:b/>
          <w:sz w:val="24"/>
          <w:szCs w:val="24"/>
        </w:rPr>
        <w:t>PROYECTO DE DECRETO</w:t>
      </w:r>
    </w:p>
    <w:p w14:paraId="3DF5DA7F" w14:textId="77777777" w:rsidR="00B968A5" w:rsidRPr="000651F9" w:rsidRDefault="00B968A5" w:rsidP="00B968A5">
      <w:pPr>
        <w:snapToGrid w:val="0"/>
        <w:spacing w:after="0" w:line="360" w:lineRule="auto"/>
        <w:rPr>
          <w:rFonts w:ascii="Arial" w:eastAsia="Calibri" w:hAnsi="Arial" w:cs="Arial"/>
          <w:b/>
          <w:sz w:val="24"/>
          <w:szCs w:val="24"/>
          <w:lang w:val="es-ES" w:eastAsia="es-ES"/>
        </w:rPr>
      </w:pPr>
      <w:r w:rsidRPr="000651F9">
        <w:rPr>
          <w:rFonts w:ascii="Arial" w:eastAsia="Calibri" w:hAnsi="Arial" w:cs="Arial"/>
          <w:b/>
          <w:sz w:val="24"/>
          <w:szCs w:val="24"/>
          <w:lang w:val="es-ES" w:eastAsia="es-ES"/>
        </w:rPr>
        <w:t>PROYECTO DE DECRETO</w:t>
      </w:r>
    </w:p>
    <w:p w14:paraId="1BCC1B3F" w14:textId="77777777" w:rsidR="00B968A5" w:rsidRPr="000651F9" w:rsidRDefault="00B968A5" w:rsidP="00B968A5">
      <w:pPr>
        <w:pStyle w:val="Sinespaciado"/>
        <w:snapToGrid w:val="0"/>
        <w:spacing w:line="360" w:lineRule="auto"/>
        <w:jc w:val="both"/>
        <w:rPr>
          <w:rFonts w:ascii="Arial" w:hAnsi="Arial" w:cs="Arial"/>
          <w:b/>
          <w:sz w:val="24"/>
          <w:szCs w:val="24"/>
        </w:rPr>
      </w:pPr>
      <w:r w:rsidRPr="000651F9">
        <w:rPr>
          <w:rFonts w:ascii="Arial" w:hAnsi="Arial" w:cs="Arial"/>
          <w:b/>
          <w:sz w:val="24"/>
          <w:szCs w:val="24"/>
        </w:rPr>
        <w:t xml:space="preserve">DECRETO NÚMERO </w:t>
      </w:r>
    </w:p>
    <w:p w14:paraId="003E02F4" w14:textId="77777777" w:rsidR="00B968A5" w:rsidRPr="000651F9" w:rsidRDefault="00B968A5" w:rsidP="00B968A5">
      <w:pPr>
        <w:pStyle w:val="Sinespaciado"/>
        <w:snapToGrid w:val="0"/>
        <w:spacing w:line="360" w:lineRule="auto"/>
        <w:jc w:val="both"/>
        <w:rPr>
          <w:rFonts w:ascii="Arial" w:hAnsi="Arial" w:cs="Arial"/>
          <w:b/>
          <w:sz w:val="24"/>
          <w:szCs w:val="24"/>
        </w:rPr>
      </w:pPr>
      <w:r w:rsidRPr="000651F9">
        <w:rPr>
          <w:rFonts w:ascii="Arial" w:hAnsi="Arial" w:cs="Arial"/>
          <w:b/>
          <w:sz w:val="24"/>
          <w:szCs w:val="24"/>
        </w:rPr>
        <w:t>LA H. “LXI” LEGISLATURA DEL ESTADO DE MÉXICO</w:t>
      </w:r>
    </w:p>
    <w:p w14:paraId="6603ED8E" w14:textId="77777777" w:rsidR="00B968A5" w:rsidRPr="000651F9" w:rsidRDefault="00B968A5" w:rsidP="00B968A5">
      <w:pPr>
        <w:pStyle w:val="Sinespaciado"/>
        <w:snapToGrid w:val="0"/>
        <w:spacing w:line="360" w:lineRule="auto"/>
        <w:jc w:val="both"/>
        <w:rPr>
          <w:rFonts w:ascii="Arial" w:hAnsi="Arial" w:cs="Arial"/>
          <w:b/>
          <w:sz w:val="24"/>
          <w:szCs w:val="24"/>
        </w:rPr>
      </w:pPr>
      <w:r w:rsidRPr="000651F9">
        <w:rPr>
          <w:rFonts w:ascii="Arial" w:hAnsi="Arial" w:cs="Arial"/>
          <w:b/>
          <w:sz w:val="24"/>
          <w:szCs w:val="24"/>
        </w:rPr>
        <w:t xml:space="preserve">DECRETA: </w:t>
      </w:r>
    </w:p>
    <w:p w14:paraId="3FBD5327" w14:textId="77777777" w:rsidR="00B968A5" w:rsidRPr="00357432" w:rsidRDefault="00B968A5" w:rsidP="00B968A5">
      <w:pPr>
        <w:spacing w:line="360" w:lineRule="auto"/>
        <w:jc w:val="both"/>
        <w:rPr>
          <w:rFonts w:ascii="Arial" w:hAnsi="Arial" w:cs="Arial"/>
          <w:sz w:val="24"/>
          <w:szCs w:val="24"/>
        </w:rPr>
      </w:pPr>
    </w:p>
    <w:p w14:paraId="5D2BDCFA"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lastRenderedPageBreak/>
        <w:t>ARTÍCULO ÚNICO</w:t>
      </w:r>
      <w:r w:rsidRPr="00357432">
        <w:rPr>
          <w:rFonts w:ascii="Arial" w:hAnsi="Arial" w:cs="Arial"/>
          <w:sz w:val="24"/>
          <w:szCs w:val="24"/>
        </w:rPr>
        <w:t xml:space="preserve">.- Se reforma el párrafo primero, adicionando dos párrafos subsecuentes; se reforman las fracción II. a IX.; el párrafo cuarto, adicionando dos párrafos subsiguientes; el párrafo quinto y se adiciona un último párrafo al artículo 281 del Código Penal para el Estado de México, para quedar como sigue: </w:t>
      </w:r>
    </w:p>
    <w:p w14:paraId="76C94C8B" w14:textId="77777777" w:rsidR="00B968A5" w:rsidRPr="00357432" w:rsidRDefault="00B968A5" w:rsidP="00B968A5">
      <w:pPr>
        <w:spacing w:line="360" w:lineRule="auto"/>
        <w:jc w:val="both"/>
        <w:rPr>
          <w:rFonts w:ascii="Arial" w:hAnsi="Arial" w:cs="Arial"/>
          <w:sz w:val="24"/>
          <w:szCs w:val="24"/>
        </w:rPr>
      </w:pPr>
    </w:p>
    <w:p w14:paraId="238A55A7" w14:textId="77777777" w:rsidR="00B968A5" w:rsidRPr="00357432" w:rsidRDefault="00B968A5" w:rsidP="00B968A5">
      <w:pPr>
        <w:spacing w:line="360" w:lineRule="auto"/>
        <w:jc w:val="both"/>
        <w:rPr>
          <w:rFonts w:ascii="Arial" w:hAnsi="Arial" w:cs="Arial"/>
          <w:b/>
          <w:sz w:val="24"/>
          <w:szCs w:val="24"/>
        </w:rPr>
      </w:pPr>
      <w:r w:rsidRPr="00357432">
        <w:rPr>
          <w:rFonts w:ascii="Arial" w:hAnsi="Arial" w:cs="Arial"/>
          <w:b/>
          <w:sz w:val="24"/>
          <w:szCs w:val="24"/>
        </w:rPr>
        <w:t xml:space="preserve">Artículo 281. </w:t>
      </w:r>
      <w:r w:rsidRPr="00357432">
        <w:rPr>
          <w:rFonts w:ascii="Arial" w:hAnsi="Arial" w:cs="Arial"/>
          <w:sz w:val="24"/>
          <w:szCs w:val="24"/>
        </w:rPr>
        <w:t xml:space="preserve">Comete el delito de feminicidio quien prive de la vida a una mujer por </w:t>
      </w:r>
      <w:r w:rsidRPr="00357432">
        <w:rPr>
          <w:rFonts w:ascii="Arial" w:hAnsi="Arial" w:cs="Arial"/>
          <w:b/>
          <w:sz w:val="24"/>
          <w:szCs w:val="24"/>
        </w:rPr>
        <w:t>una razón de género.</w:t>
      </w:r>
    </w:p>
    <w:p w14:paraId="0D04A364" w14:textId="77777777" w:rsidR="00B968A5" w:rsidRPr="00357432" w:rsidRDefault="00B968A5" w:rsidP="00B968A5">
      <w:pPr>
        <w:spacing w:line="360" w:lineRule="auto"/>
        <w:jc w:val="both"/>
        <w:rPr>
          <w:rFonts w:ascii="Arial" w:hAnsi="Arial" w:cs="Arial"/>
          <w:b/>
          <w:sz w:val="24"/>
          <w:szCs w:val="24"/>
        </w:rPr>
      </w:pPr>
    </w:p>
    <w:p w14:paraId="05FCDDE4"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t>Para efectos de este artículo, el término mujer incluye a todas las mujeres en su diversidad y etapas de vida.</w:t>
      </w:r>
    </w:p>
    <w:p w14:paraId="50D92DE6" w14:textId="77777777" w:rsidR="00B968A5" w:rsidRPr="00357432" w:rsidRDefault="00B968A5" w:rsidP="00B968A5">
      <w:pPr>
        <w:spacing w:line="360" w:lineRule="auto"/>
        <w:jc w:val="both"/>
        <w:rPr>
          <w:rFonts w:ascii="Arial" w:hAnsi="Arial" w:cs="Arial"/>
          <w:sz w:val="24"/>
          <w:szCs w:val="24"/>
        </w:rPr>
      </w:pPr>
    </w:p>
    <w:p w14:paraId="36C2A1A1"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sz w:val="24"/>
          <w:szCs w:val="24"/>
        </w:rPr>
        <w:t xml:space="preserve">Se considera que existe </w:t>
      </w:r>
      <w:r w:rsidRPr="00357432">
        <w:rPr>
          <w:rFonts w:ascii="Arial" w:hAnsi="Arial" w:cs="Arial"/>
          <w:b/>
          <w:sz w:val="24"/>
          <w:szCs w:val="24"/>
        </w:rPr>
        <w:t>una razón de género</w:t>
      </w:r>
      <w:r w:rsidRPr="00357432">
        <w:rPr>
          <w:rFonts w:ascii="Arial" w:hAnsi="Arial" w:cs="Arial"/>
          <w:color w:val="FF0000"/>
          <w:sz w:val="24"/>
          <w:szCs w:val="24"/>
        </w:rPr>
        <w:t xml:space="preserve"> </w:t>
      </w:r>
      <w:r w:rsidRPr="00357432">
        <w:rPr>
          <w:rFonts w:ascii="Arial" w:hAnsi="Arial" w:cs="Arial"/>
          <w:sz w:val="24"/>
          <w:szCs w:val="24"/>
        </w:rPr>
        <w:t xml:space="preserve">cuando </w:t>
      </w:r>
      <w:r w:rsidRPr="00357432">
        <w:rPr>
          <w:rFonts w:ascii="Arial" w:hAnsi="Arial" w:cs="Arial"/>
          <w:b/>
          <w:sz w:val="24"/>
          <w:szCs w:val="24"/>
        </w:rPr>
        <w:t>ocurra cualquiera</w:t>
      </w:r>
      <w:r w:rsidRPr="00357432">
        <w:rPr>
          <w:rFonts w:ascii="Arial" w:hAnsi="Arial" w:cs="Arial"/>
          <w:sz w:val="24"/>
          <w:szCs w:val="24"/>
        </w:rPr>
        <w:t xml:space="preserve"> de las siguientes circunstancias:</w:t>
      </w:r>
    </w:p>
    <w:p w14:paraId="63BF657E" w14:textId="77777777" w:rsidR="00B968A5" w:rsidRPr="00357432" w:rsidRDefault="00B968A5" w:rsidP="00B968A5">
      <w:pPr>
        <w:spacing w:line="360" w:lineRule="auto"/>
        <w:jc w:val="both"/>
        <w:rPr>
          <w:rFonts w:ascii="Arial" w:hAnsi="Arial" w:cs="Arial"/>
          <w:sz w:val="24"/>
          <w:szCs w:val="24"/>
        </w:rPr>
      </w:pPr>
    </w:p>
    <w:p w14:paraId="40A581F8"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t>I.</w:t>
      </w:r>
      <w:r w:rsidRPr="00357432">
        <w:rPr>
          <w:rFonts w:ascii="Arial" w:hAnsi="Arial" w:cs="Arial"/>
          <w:sz w:val="24"/>
          <w:szCs w:val="24"/>
        </w:rPr>
        <w:t xml:space="preserve"> …</w:t>
      </w:r>
    </w:p>
    <w:p w14:paraId="2877CFDA" w14:textId="77777777" w:rsidR="00B968A5" w:rsidRPr="00357432" w:rsidRDefault="00B968A5" w:rsidP="00B968A5">
      <w:pPr>
        <w:spacing w:line="360" w:lineRule="auto"/>
        <w:jc w:val="both"/>
        <w:rPr>
          <w:rFonts w:ascii="Arial" w:hAnsi="Arial" w:cs="Arial"/>
          <w:sz w:val="24"/>
          <w:szCs w:val="24"/>
        </w:rPr>
      </w:pPr>
    </w:p>
    <w:p w14:paraId="176D9FFC"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t>II. El cuerpo o los restos de la víctima hayan sido calcinados, presenten heridas, traumatismos, escoriaciones, contusiones, decapitación, desollamiento, fracturas, dislocaciones, cortes, quemaduras, signos de asfixia, estrangulamiento, ahorcamiento, tortura, desmembramiento de partes del cuerpo o cualquier tipo de</w:t>
      </w:r>
      <w:r w:rsidRPr="00357432">
        <w:rPr>
          <w:rFonts w:ascii="Arial" w:hAnsi="Arial" w:cs="Arial"/>
          <w:sz w:val="24"/>
          <w:szCs w:val="24"/>
        </w:rPr>
        <w:t xml:space="preserve"> lesiones o mutilaciones, </w:t>
      </w:r>
      <w:r w:rsidRPr="00357432">
        <w:rPr>
          <w:rFonts w:ascii="Arial" w:hAnsi="Arial" w:cs="Arial"/>
          <w:b/>
          <w:sz w:val="24"/>
          <w:szCs w:val="24"/>
        </w:rPr>
        <w:t>internas o externas,</w:t>
      </w:r>
      <w:r w:rsidRPr="00357432">
        <w:rPr>
          <w:rFonts w:ascii="Arial" w:hAnsi="Arial" w:cs="Arial"/>
          <w:sz w:val="24"/>
          <w:szCs w:val="24"/>
        </w:rPr>
        <w:t xml:space="preserve"> </w:t>
      </w:r>
      <w:r w:rsidRPr="00357432">
        <w:rPr>
          <w:rFonts w:ascii="Arial" w:hAnsi="Arial" w:cs="Arial"/>
          <w:sz w:val="24"/>
          <w:szCs w:val="24"/>
        </w:rPr>
        <w:lastRenderedPageBreak/>
        <w:t>infamantes o degradantes, previas o posteriores a la privación de la vida o actos de necrofilia;</w:t>
      </w:r>
    </w:p>
    <w:p w14:paraId="639F4C74" w14:textId="77777777" w:rsidR="00B968A5" w:rsidRPr="00357432" w:rsidRDefault="00B968A5" w:rsidP="00B968A5">
      <w:pPr>
        <w:spacing w:line="360" w:lineRule="auto"/>
        <w:jc w:val="both"/>
        <w:rPr>
          <w:rFonts w:ascii="Arial" w:hAnsi="Arial" w:cs="Arial"/>
          <w:sz w:val="24"/>
          <w:szCs w:val="24"/>
        </w:rPr>
      </w:pPr>
    </w:p>
    <w:p w14:paraId="7144EA09" w14:textId="77777777" w:rsidR="00B968A5" w:rsidRPr="00357432" w:rsidRDefault="00B968A5" w:rsidP="00B968A5">
      <w:pPr>
        <w:spacing w:line="360" w:lineRule="auto"/>
        <w:jc w:val="both"/>
        <w:rPr>
          <w:rFonts w:ascii="Arial" w:hAnsi="Arial" w:cs="Arial"/>
          <w:b/>
          <w:sz w:val="24"/>
          <w:szCs w:val="24"/>
        </w:rPr>
      </w:pPr>
      <w:r w:rsidRPr="00357432">
        <w:rPr>
          <w:rFonts w:ascii="Arial" w:hAnsi="Arial" w:cs="Arial"/>
          <w:b/>
          <w:sz w:val="24"/>
          <w:szCs w:val="24"/>
        </w:rPr>
        <w:t>III.</w:t>
      </w:r>
      <w:r w:rsidRPr="00357432">
        <w:rPr>
          <w:rFonts w:ascii="Arial" w:hAnsi="Arial" w:cs="Arial"/>
          <w:sz w:val="24"/>
          <w:szCs w:val="24"/>
        </w:rPr>
        <w:t xml:space="preserve"> Existan antecedentes</w:t>
      </w:r>
      <w:r w:rsidRPr="00357432">
        <w:rPr>
          <w:rFonts w:ascii="Arial" w:hAnsi="Arial" w:cs="Arial"/>
          <w:b/>
          <w:sz w:val="24"/>
          <w:szCs w:val="24"/>
        </w:rPr>
        <w:t>, indicios</w:t>
      </w:r>
      <w:r w:rsidRPr="00357432">
        <w:rPr>
          <w:rFonts w:ascii="Arial" w:hAnsi="Arial" w:cs="Arial"/>
          <w:sz w:val="24"/>
          <w:szCs w:val="24"/>
        </w:rPr>
        <w:t xml:space="preserve"> o datos, </w:t>
      </w:r>
      <w:r w:rsidRPr="00357432">
        <w:rPr>
          <w:rFonts w:ascii="Arial" w:hAnsi="Arial" w:cs="Arial"/>
          <w:b/>
          <w:sz w:val="24"/>
          <w:szCs w:val="24"/>
        </w:rPr>
        <w:t>denunciados o no,</w:t>
      </w:r>
      <w:r w:rsidRPr="00357432">
        <w:rPr>
          <w:rFonts w:ascii="Arial" w:hAnsi="Arial" w:cs="Arial"/>
          <w:sz w:val="24"/>
          <w:szCs w:val="24"/>
        </w:rPr>
        <w:t xml:space="preserve"> de violencia </w:t>
      </w:r>
      <w:r w:rsidRPr="00357432">
        <w:rPr>
          <w:rFonts w:ascii="Arial" w:hAnsi="Arial" w:cs="Arial"/>
          <w:b/>
          <w:sz w:val="24"/>
          <w:szCs w:val="24"/>
        </w:rPr>
        <w:t>de género</w:t>
      </w:r>
      <w:r w:rsidRPr="00357432">
        <w:rPr>
          <w:rFonts w:ascii="Arial" w:hAnsi="Arial" w:cs="Arial"/>
          <w:sz w:val="24"/>
          <w:szCs w:val="24"/>
        </w:rPr>
        <w:t xml:space="preserve"> del sujeto activo en contra de la víctima en el ámbito familiar, laboral, </w:t>
      </w:r>
      <w:r w:rsidRPr="00357432">
        <w:rPr>
          <w:rFonts w:ascii="Arial" w:hAnsi="Arial" w:cs="Arial"/>
          <w:b/>
          <w:sz w:val="24"/>
          <w:szCs w:val="24"/>
        </w:rPr>
        <w:t>docente, comunitario, institucional, político, digital, mediático o cualquier otro;</w:t>
      </w:r>
    </w:p>
    <w:p w14:paraId="7BD34AAF" w14:textId="77777777" w:rsidR="00B968A5" w:rsidRPr="00357432" w:rsidRDefault="00B968A5" w:rsidP="00B968A5">
      <w:pPr>
        <w:spacing w:line="360" w:lineRule="auto"/>
        <w:jc w:val="both"/>
        <w:rPr>
          <w:rFonts w:ascii="Arial" w:hAnsi="Arial" w:cs="Arial"/>
          <w:b/>
          <w:sz w:val="24"/>
          <w:szCs w:val="24"/>
        </w:rPr>
      </w:pPr>
    </w:p>
    <w:p w14:paraId="73E51FAC" w14:textId="77777777" w:rsidR="00B968A5" w:rsidRPr="00357432" w:rsidRDefault="00B968A5" w:rsidP="00B968A5">
      <w:pPr>
        <w:spacing w:line="360" w:lineRule="auto"/>
        <w:jc w:val="both"/>
        <w:rPr>
          <w:rFonts w:ascii="Arial" w:hAnsi="Arial" w:cs="Arial"/>
          <w:b/>
          <w:sz w:val="24"/>
          <w:szCs w:val="24"/>
        </w:rPr>
      </w:pPr>
      <w:r w:rsidRPr="00357432">
        <w:rPr>
          <w:rFonts w:ascii="Arial" w:hAnsi="Arial" w:cs="Arial"/>
          <w:b/>
          <w:sz w:val="24"/>
          <w:szCs w:val="24"/>
        </w:rPr>
        <w:t>IV.</w:t>
      </w:r>
      <w:r w:rsidRPr="00357432">
        <w:rPr>
          <w:rFonts w:ascii="Arial" w:hAnsi="Arial" w:cs="Arial"/>
          <w:sz w:val="24"/>
          <w:szCs w:val="24"/>
        </w:rPr>
        <w:t xml:space="preserve"> </w:t>
      </w:r>
      <w:r w:rsidRPr="00357432">
        <w:rPr>
          <w:rFonts w:ascii="Arial" w:hAnsi="Arial" w:cs="Arial"/>
          <w:b/>
          <w:sz w:val="24"/>
          <w:szCs w:val="24"/>
        </w:rPr>
        <w:t>Exista o</w:t>
      </w:r>
      <w:r w:rsidRPr="00357432">
        <w:rPr>
          <w:rFonts w:ascii="Arial" w:hAnsi="Arial" w:cs="Arial"/>
          <w:sz w:val="24"/>
          <w:szCs w:val="24"/>
        </w:rPr>
        <w:t xml:space="preserve"> haya existido, entre el activo y la víctima, una relación sentimental, afectiva o de confianza, </w:t>
      </w:r>
      <w:r w:rsidRPr="00357432">
        <w:rPr>
          <w:rFonts w:ascii="Arial" w:hAnsi="Arial" w:cs="Arial"/>
          <w:b/>
          <w:sz w:val="24"/>
          <w:szCs w:val="24"/>
        </w:rPr>
        <w:t>por razón de parentesco por consanguinidad, afinidad, matrimonio, concubinato, cuidados, sociedad de convivencia, cohabitación, noviazgo, amistad o cualquier relación de hecho;</w:t>
      </w:r>
    </w:p>
    <w:p w14:paraId="37FCEC51" w14:textId="77777777" w:rsidR="00B968A5" w:rsidRPr="00357432" w:rsidRDefault="00B968A5" w:rsidP="00B968A5">
      <w:pPr>
        <w:spacing w:line="360" w:lineRule="auto"/>
        <w:jc w:val="both"/>
        <w:rPr>
          <w:rFonts w:ascii="Arial" w:hAnsi="Arial" w:cs="Arial"/>
          <w:b/>
          <w:sz w:val="24"/>
          <w:szCs w:val="24"/>
        </w:rPr>
      </w:pPr>
    </w:p>
    <w:p w14:paraId="7D02A960" w14:textId="77777777" w:rsidR="00B968A5" w:rsidRPr="00357432" w:rsidRDefault="00B968A5" w:rsidP="00B968A5">
      <w:pPr>
        <w:spacing w:line="360" w:lineRule="auto"/>
        <w:jc w:val="both"/>
        <w:rPr>
          <w:rFonts w:ascii="Arial" w:eastAsia="Calibri" w:hAnsi="Arial" w:cs="Arial"/>
          <w:color w:val="FF0000"/>
          <w:sz w:val="24"/>
          <w:szCs w:val="24"/>
        </w:rPr>
      </w:pPr>
      <w:r w:rsidRPr="00357432">
        <w:rPr>
          <w:rFonts w:ascii="Arial" w:eastAsia="Calibri" w:hAnsi="Arial" w:cs="Arial"/>
          <w:b/>
          <w:sz w:val="24"/>
          <w:szCs w:val="24"/>
        </w:rPr>
        <w:t>V.</w:t>
      </w:r>
      <w:r w:rsidRPr="00357432">
        <w:rPr>
          <w:rFonts w:ascii="Arial" w:eastAsia="Calibri" w:hAnsi="Arial" w:cs="Arial"/>
          <w:color w:val="FF0000"/>
          <w:sz w:val="24"/>
          <w:szCs w:val="24"/>
        </w:rPr>
        <w:t xml:space="preserve"> </w:t>
      </w:r>
      <w:r w:rsidRPr="00357432">
        <w:rPr>
          <w:rFonts w:ascii="Arial" w:eastAsia="Calibri" w:hAnsi="Arial" w:cs="Arial"/>
          <w:b/>
          <w:sz w:val="24"/>
          <w:szCs w:val="24"/>
        </w:rPr>
        <w:t>Exista o haya existido, entre el sujeto activo y la víctima, una relación laboral, docente, religiosa, institucional, o cualquier otra que implique, de manera formal o de hecho, una relación de subordinación o superioridad</w:t>
      </w:r>
      <w:r w:rsidRPr="00357432">
        <w:rPr>
          <w:rFonts w:ascii="Arial" w:eastAsia="Calibri" w:hAnsi="Arial" w:cs="Arial"/>
          <w:color w:val="FF0000"/>
          <w:sz w:val="24"/>
          <w:szCs w:val="24"/>
        </w:rPr>
        <w:t>;</w:t>
      </w:r>
    </w:p>
    <w:p w14:paraId="6A28D2CA" w14:textId="77777777" w:rsidR="00B968A5" w:rsidRPr="00357432" w:rsidRDefault="00B968A5" w:rsidP="00B968A5">
      <w:pPr>
        <w:spacing w:line="360" w:lineRule="auto"/>
        <w:jc w:val="both"/>
        <w:rPr>
          <w:rFonts w:ascii="Arial" w:eastAsia="Calibri" w:hAnsi="Arial" w:cs="Arial"/>
          <w:color w:val="FF0000"/>
          <w:sz w:val="24"/>
          <w:szCs w:val="24"/>
        </w:rPr>
      </w:pPr>
    </w:p>
    <w:p w14:paraId="3B2B8672" w14:textId="77777777" w:rsidR="00B968A5" w:rsidRPr="00357432" w:rsidRDefault="00B968A5" w:rsidP="00B968A5">
      <w:pPr>
        <w:spacing w:line="360" w:lineRule="auto"/>
        <w:jc w:val="both"/>
        <w:rPr>
          <w:rFonts w:ascii="Arial" w:hAnsi="Arial" w:cs="Arial"/>
          <w:b/>
          <w:sz w:val="24"/>
          <w:szCs w:val="24"/>
        </w:rPr>
      </w:pPr>
      <w:r w:rsidRPr="00357432">
        <w:rPr>
          <w:rFonts w:ascii="Arial" w:hAnsi="Arial" w:cs="Arial"/>
          <w:b/>
          <w:sz w:val="24"/>
          <w:szCs w:val="24"/>
        </w:rPr>
        <w:t>VI.</w:t>
      </w:r>
      <w:r w:rsidRPr="00357432">
        <w:rPr>
          <w:rFonts w:ascii="Arial" w:hAnsi="Arial" w:cs="Arial"/>
          <w:sz w:val="24"/>
          <w:szCs w:val="24"/>
        </w:rPr>
        <w:t xml:space="preserve"> Existan datos, </w:t>
      </w:r>
      <w:r w:rsidRPr="00357432">
        <w:rPr>
          <w:rFonts w:ascii="Arial" w:hAnsi="Arial" w:cs="Arial"/>
          <w:b/>
          <w:sz w:val="24"/>
          <w:szCs w:val="24"/>
        </w:rPr>
        <w:t>antecedentes o indicios, denunciados o no,</w:t>
      </w:r>
      <w:r w:rsidRPr="00357432">
        <w:rPr>
          <w:rFonts w:ascii="Arial" w:hAnsi="Arial" w:cs="Arial"/>
          <w:sz w:val="24"/>
          <w:szCs w:val="24"/>
        </w:rPr>
        <w:t xml:space="preserve"> que establezcan que hubo amenazas, </w:t>
      </w:r>
      <w:r w:rsidRPr="00357432">
        <w:rPr>
          <w:rFonts w:ascii="Arial" w:hAnsi="Arial" w:cs="Arial"/>
          <w:b/>
          <w:sz w:val="24"/>
          <w:szCs w:val="24"/>
        </w:rPr>
        <w:t>agresiones de cualquier tipo, intimidación, hostigamiento,</w:t>
      </w:r>
      <w:r w:rsidRPr="00357432">
        <w:rPr>
          <w:rFonts w:ascii="Arial" w:hAnsi="Arial" w:cs="Arial"/>
          <w:sz w:val="24"/>
          <w:szCs w:val="24"/>
        </w:rPr>
        <w:t xml:space="preserve"> acoso o lesiones del sujeto activo en contra de la víctima, </w:t>
      </w:r>
      <w:r w:rsidRPr="00357432">
        <w:rPr>
          <w:rFonts w:ascii="Arial" w:hAnsi="Arial" w:cs="Arial"/>
          <w:b/>
          <w:sz w:val="24"/>
          <w:szCs w:val="24"/>
        </w:rPr>
        <w:t>incluidas aquellas encaminadas a limitar, anular o menoscabar el ejercicio de los derechos políticos y electorales de la víctima o su acceso a un cargo político, público, de poder o de decisión;</w:t>
      </w:r>
    </w:p>
    <w:p w14:paraId="0FD18EF2" w14:textId="77777777" w:rsidR="00B968A5" w:rsidRPr="00357432" w:rsidRDefault="00B968A5" w:rsidP="00B968A5">
      <w:pPr>
        <w:spacing w:line="360" w:lineRule="auto"/>
        <w:jc w:val="both"/>
        <w:rPr>
          <w:rFonts w:ascii="Arial" w:hAnsi="Arial" w:cs="Arial"/>
          <w:b/>
          <w:sz w:val="24"/>
          <w:szCs w:val="24"/>
        </w:rPr>
      </w:pPr>
    </w:p>
    <w:p w14:paraId="756590FC" w14:textId="77777777" w:rsidR="00B968A5" w:rsidRPr="00357432" w:rsidRDefault="00B968A5" w:rsidP="00B968A5">
      <w:pPr>
        <w:spacing w:line="360" w:lineRule="auto"/>
        <w:jc w:val="both"/>
        <w:rPr>
          <w:rFonts w:ascii="Arial" w:hAnsi="Arial" w:cs="Arial"/>
          <w:b/>
          <w:sz w:val="24"/>
          <w:szCs w:val="24"/>
        </w:rPr>
      </w:pPr>
      <w:r w:rsidRPr="00357432">
        <w:rPr>
          <w:rFonts w:ascii="Arial" w:hAnsi="Arial" w:cs="Arial"/>
          <w:b/>
          <w:sz w:val="24"/>
          <w:szCs w:val="24"/>
        </w:rPr>
        <w:t>VII.</w:t>
      </w:r>
      <w:r w:rsidRPr="00357432">
        <w:rPr>
          <w:rFonts w:ascii="Arial" w:hAnsi="Arial" w:cs="Arial"/>
          <w:sz w:val="24"/>
          <w:szCs w:val="24"/>
        </w:rPr>
        <w:t xml:space="preserve"> La víctima haya sido incomunicada </w:t>
      </w:r>
      <w:r w:rsidRPr="00357432">
        <w:rPr>
          <w:rFonts w:ascii="Arial" w:hAnsi="Arial" w:cs="Arial"/>
          <w:b/>
          <w:sz w:val="24"/>
          <w:szCs w:val="24"/>
        </w:rPr>
        <w:t xml:space="preserve">o privada de la libertad, </w:t>
      </w:r>
      <w:r w:rsidRPr="00357432">
        <w:rPr>
          <w:rFonts w:ascii="Arial" w:hAnsi="Arial" w:cs="Arial"/>
          <w:sz w:val="24"/>
          <w:szCs w:val="24"/>
        </w:rPr>
        <w:t>cualquiera que sea el tiempo previo a la privación de la vida;</w:t>
      </w:r>
    </w:p>
    <w:p w14:paraId="547800CB" w14:textId="77777777" w:rsidR="00B968A5" w:rsidRPr="00357432" w:rsidRDefault="00B968A5" w:rsidP="00B968A5">
      <w:pPr>
        <w:spacing w:line="360" w:lineRule="auto"/>
        <w:jc w:val="both"/>
        <w:rPr>
          <w:rFonts w:ascii="Arial" w:hAnsi="Arial" w:cs="Arial"/>
          <w:sz w:val="24"/>
          <w:szCs w:val="24"/>
        </w:rPr>
      </w:pPr>
    </w:p>
    <w:p w14:paraId="1AC33F25" w14:textId="77777777" w:rsidR="00B968A5" w:rsidRPr="00357432" w:rsidRDefault="00B968A5" w:rsidP="00B968A5">
      <w:pPr>
        <w:spacing w:line="360" w:lineRule="auto"/>
        <w:jc w:val="both"/>
        <w:rPr>
          <w:rFonts w:ascii="Arial" w:hAnsi="Arial" w:cs="Arial"/>
          <w:b/>
          <w:sz w:val="24"/>
          <w:szCs w:val="24"/>
        </w:rPr>
      </w:pPr>
      <w:r w:rsidRPr="00357432">
        <w:rPr>
          <w:rFonts w:ascii="Arial" w:hAnsi="Arial" w:cs="Arial"/>
          <w:b/>
          <w:sz w:val="24"/>
          <w:szCs w:val="24"/>
        </w:rPr>
        <w:t>VIII. La víctima se haya encontrado en un estado de indefensión o desprotección real frente al sujeto activo, causado por factores físicos, psicológicos o materiales que imposibiliten o inhiban su defensa, como la edad; la discapacidad; el nivel de desarrollo cognitivo; la situación de embarazo; la dependencia por cuidados, formal o de hecho; las amenazas; la indefensión aprendida; la somnolencia o la alteración del estado de conciencia, voluntaria o involuntaria, causada por el consumo de alcohol, fármacos o drogas, o</w:t>
      </w:r>
    </w:p>
    <w:p w14:paraId="4F5A2849" w14:textId="77777777" w:rsidR="00B968A5" w:rsidRPr="00357432" w:rsidRDefault="00B968A5" w:rsidP="00B968A5">
      <w:pPr>
        <w:spacing w:line="360" w:lineRule="auto"/>
        <w:jc w:val="both"/>
        <w:rPr>
          <w:rFonts w:ascii="Arial" w:hAnsi="Arial" w:cs="Arial"/>
          <w:b/>
          <w:sz w:val="24"/>
          <w:szCs w:val="24"/>
        </w:rPr>
      </w:pPr>
    </w:p>
    <w:p w14:paraId="50C85B0D" w14:textId="77777777" w:rsidR="00B968A5" w:rsidRPr="00357432" w:rsidRDefault="00B968A5" w:rsidP="00B968A5">
      <w:pPr>
        <w:spacing w:line="360" w:lineRule="auto"/>
        <w:jc w:val="both"/>
        <w:rPr>
          <w:rFonts w:ascii="Arial" w:hAnsi="Arial" w:cs="Arial"/>
          <w:b/>
          <w:sz w:val="24"/>
          <w:szCs w:val="24"/>
        </w:rPr>
      </w:pPr>
      <w:r w:rsidRPr="00357432">
        <w:rPr>
          <w:rFonts w:ascii="Arial" w:hAnsi="Arial" w:cs="Arial"/>
          <w:b/>
          <w:sz w:val="24"/>
          <w:szCs w:val="24"/>
        </w:rPr>
        <w:t>IX.</w:t>
      </w:r>
      <w:r w:rsidRPr="00357432">
        <w:rPr>
          <w:rFonts w:ascii="Arial" w:hAnsi="Arial" w:cs="Arial"/>
          <w:sz w:val="24"/>
          <w:szCs w:val="24"/>
        </w:rPr>
        <w:t xml:space="preserve"> El cuerpo </w:t>
      </w:r>
      <w:r w:rsidRPr="00357432">
        <w:rPr>
          <w:rFonts w:ascii="Arial" w:hAnsi="Arial" w:cs="Arial"/>
          <w:b/>
          <w:sz w:val="24"/>
          <w:szCs w:val="24"/>
        </w:rPr>
        <w:t>o restos de la víctima</w:t>
      </w:r>
      <w:r w:rsidRPr="00357432">
        <w:rPr>
          <w:rFonts w:ascii="Arial" w:hAnsi="Arial" w:cs="Arial"/>
          <w:color w:val="FF0000"/>
          <w:sz w:val="24"/>
          <w:szCs w:val="24"/>
        </w:rPr>
        <w:t xml:space="preserve"> </w:t>
      </w:r>
      <w:r w:rsidRPr="00357432">
        <w:rPr>
          <w:rFonts w:ascii="Arial" w:hAnsi="Arial" w:cs="Arial"/>
          <w:sz w:val="24"/>
          <w:szCs w:val="24"/>
        </w:rPr>
        <w:t>sean expuesto</w:t>
      </w:r>
      <w:r w:rsidRPr="00357432">
        <w:rPr>
          <w:rFonts w:ascii="Arial" w:hAnsi="Arial" w:cs="Arial"/>
          <w:b/>
          <w:sz w:val="24"/>
          <w:szCs w:val="24"/>
        </w:rPr>
        <w:t>s</w:t>
      </w:r>
      <w:r w:rsidRPr="00357432">
        <w:rPr>
          <w:rFonts w:ascii="Arial" w:hAnsi="Arial" w:cs="Arial"/>
          <w:sz w:val="24"/>
          <w:szCs w:val="24"/>
        </w:rPr>
        <w:t xml:space="preserve">, </w:t>
      </w:r>
      <w:r w:rsidRPr="00357432">
        <w:rPr>
          <w:rFonts w:ascii="Arial" w:hAnsi="Arial" w:cs="Arial"/>
          <w:b/>
          <w:sz w:val="24"/>
          <w:szCs w:val="24"/>
        </w:rPr>
        <w:t>exhibidos, depositados, arrojados, enterrados u ocultados</w:t>
      </w:r>
      <w:r w:rsidRPr="00357432">
        <w:rPr>
          <w:rFonts w:ascii="Arial" w:hAnsi="Arial" w:cs="Arial"/>
          <w:sz w:val="24"/>
          <w:szCs w:val="24"/>
        </w:rPr>
        <w:t xml:space="preserve"> en un lugar público </w:t>
      </w:r>
      <w:r w:rsidRPr="00357432">
        <w:rPr>
          <w:rFonts w:ascii="Arial" w:hAnsi="Arial" w:cs="Arial"/>
          <w:b/>
          <w:sz w:val="24"/>
          <w:szCs w:val="24"/>
        </w:rPr>
        <w:t>o de libre concurrencia.</w:t>
      </w:r>
    </w:p>
    <w:p w14:paraId="3159D618" w14:textId="77777777" w:rsidR="00B968A5" w:rsidRPr="00357432" w:rsidRDefault="00B968A5" w:rsidP="00B968A5">
      <w:pPr>
        <w:spacing w:line="360" w:lineRule="auto"/>
        <w:jc w:val="both"/>
        <w:rPr>
          <w:rFonts w:ascii="Arial" w:hAnsi="Arial" w:cs="Arial"/>
          <w:sz w:val="24"/>
          <w:szCs w:val="24"/>
        </w:rPr>
      </w:pPr>
    </w:p>
    <w:p w14:paraId="5E771E6C" w14:textId="77777777" w:rsidR="00B968A5" w:rsidRDefault="00B968A5" w:rsidP="00B968A5">
      <w:pPr>
        <w:spacing w:line="360" w:lineRule="auto"/>
        <w:jc w:val="both"/>
        <w:rPr>
          <w:rFonts w:ascii="Arial" w:hAnsi="Arial" w:cs="Arial"/>
          <w:sz w:val="24"/>
          <w:szCs w:val="24"/>
        </w:rPr>
      </w:pPr>
      <w:r w:rsidRPr="00357432">
        <w:rPr>
          <w:rFonts w:ascii="Arial" w:hAnsi="Arial" w:cs="Arial"/>
          <w:sz w:val="24"/>
          <w:szCs w:val="24"/>
        </w:rPr>
        <w:t>…</w:t>
      </w:r>
    </w:p>
    <w:p w14:paraId="1AD70EEC" w14:textId="77777777" w:rsidR="00B968A5" w:rsidRPr="00357432" w:rsidRDefault="00B968A5" w:rsidP="00B968A5">
      <w:pPr>
        <w:spacing w:line="360" w:lineRule="auto"/>
        <w:jc w:val="both"/>
        <w:rPr>
          <w:rFonts w:ascii="Arial" w:hAnsi="Arial" w:cs="Arial"/>
          <w:sz w:val="24"/>
          <w:szCs w:val="24"/>
        </w:rPr>
      </w:pPr>
    </w:p>
    <w:p w14:paraId="4764269C"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sz w:val="24"/>
          <w:szCs w:val="24"/>
        </w:rPr>
        <w:t>…</w:t>
      </w:r>
    </w:p>
    <w:p w14:paraId="682A1552" w14:textId="77777777" w:rsidR="00B968A5" w:rsidRDefault="00B968A5" w:rsidP="00B968A5">
      <w:pPr>
        <w:spacing w:line="360" w:lineRule="auto"/>
        <w:jc w:val="both"/>
        <w:rPr>
          <w:rFonts w:ascii="Arial" w:hAnsi="Arial" w:cs="Arial"/>
          <w:sz w:val="24"/>
          <w:szCs w:val="24"/>
        </w:rPr>
      </w:pPr>
    </w:p>
    <w:p w14:paraId="3180E526"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sz w:val="24"/>
          <w:szCs w:val="24"/>
        </w:rPr>
        <w:lastRenderedPageBreak/>
        <w:t>La pena se agravará hasta en una tercera parte de su mínimo y máximo, cuando concurra cualquiera de las siguientes circunstancias:</w:t>
      </w:r>
    </w:p>
    <w:p w14:paraId="38E3AE09" w14:textId="77777777" w:rsidR="00B968A5" w:rsidRPr="00357432" w:rsidRDefault="00B968A5" w:rsidP="00B968A5">
      <w:pPr>
        <w:spacing w:line="360" w:lineRule="auto"/>
        <w:jc w:val="both"/>
        <w:rPr>
          <w:rFonts w:ascii="Arial" w:hAnsi="Arial" w:cs="Arial"/>
          <w:sz w:val="24"/>
          <w:szCs w:val="24"/>
        </w:rPr>
      </w:pPr>
    </w:p>
    <w:p w14:paraId="119850D6"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t>I.-</w:t>
      </w:r>
      <w:r w:rsidRPr="00357432">
        <w:rPr>
          <w:rFonts w:ascii="Arial" w:hAnsi="Arial" w:cs="Arial"/>
          <w:sz w:val="24"/>
          <w:szCs w:val="24"/>
        </w:rPr>
        <w:t xml:space="preserve"> Cuando el sujeto activo haya obligado a la víctima a ejercer la prostitución o haya ejercidos actos de explotación o trata de personas en agravio de la víctima;</w:t>
      </w:r>
    </w:p>
    <w:p w14:paraId="1B61D2BF" w14:textId="77777777" w:rsidR="00B968A5" w:rsidRPr="00357432" w:rsidRDefault="00B968A5" w:rsidP="00B968A5">
      <w:pPr>
        <w:spacing w:line="360" w:lineRule="auto"/>
        <w:jc w:val="both"/>
        <w:rPr>
          <w:rFonts w:ascii="Arial" w:hAnsi="Arial" w:cs="Arial"/>
          <w:sz w:val="24"/>
          <w:szCs w:val="24"/>
        </w:rPr>
      </w:pPr>
    </w:p>
    <w:p w14:paraId="12DEBB49"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t>II.-</w:t>
      </w:r>
      <w:r w:rsidRPr="00357432">
        <w:rPr>
          <w:rFonts w:ascii="Arial" w:hAnsi="Arial" w:cs="Arial"/>
          <w:sz w:val="24"/>
          <w:szCs w:val="24"/>
        </w:rPr>
        <w:t xml:space="preserve"> Cuando el sujeto activo sea o haya sido servidor público y cometa el delito en ejercicio de sus funciones o valiéndose de esta calidad. Tratándose de personal de instituciones de seguridad pública, del ejército, de las fuerzas armadas, de la Guardia Nacional o relacionadas con funciones de procuración o impartición de justicia, deberá considerarse como una conducta altamente gravosa por su lesividad social; </w:t>
      </w:r>
    </w:p>
    <w:p w14:paraId="05C3A774" w14:textId="77777777" w:rsidR="00B968A5" w:rsidRPr="00357432" w:rsidRDefault="00B968A5" w:rsidP="00B968A5">
      <w:pPr>
        <w:spacing w:line="360" w:lineRule="auto"/>
        <w:jc w:val="both"/>
        <w:rPr>
          <w:rFonts w:ascii="Arial" w:hAnsi="Arial" w:cs="Arial"/>
          <w:sz w:val="24"/>
          <w:szCs w:val="24"/>
        </w:rPr>
      </w:pPr>
    </w:p>
    <w:p w14:paraId="3DFBCF01"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t>III.-</w:t>
      </w:r>
      <w:r w:rsidRPr="00357432">
        <w:rPr>
          <w:rFonts w:ascii="Arial" w:hAnsi="Arial" w:cs="Arial"/>
          <w:sz w:val="24"/>
          <w:szCs w:val="24"/>
        </w:rPr>
        <w:t xml:space="preserve"> Cuando el delito sea cometido por dos o más personas;</w:t>
      </w:r>
    </w:p>
    <w:p w14:paraId="0041263E" w14:textId="77777777" w:rsidR="00B968A5" w:rsidRPr="00357432" w:rsidRDefault="00B968A5" w:rsidP="00B968A5">
      <w:pPr>
        <w:spacing w:line="360" w:lineRule="auto"/>
        <w:jc w:val="both"/>
        <w:rPr>
          <w:rFonts w:ascii="Arial" w:hAnsi="Arial" w:cs="Arial"/>
          <w:sz w:val="24"/>
          <w:szCs w:val="24"/>
        </w:rPr>
      </w:pPr>
    </w:p>
    <w:p w14:paraId="5E64D9EF"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t>IV.-</w:t>
      </w:r>
      <w:r w:rsidRPr="00357432">
        <w:rPr>
          <w:rFonts w:ascii="Arial" w:hAnsi="Arial" w:cs="Arial"/>
          <w:sz w:val="24"/>
          <w:szCs w:val="24"/>
        </w:rPr>
        <w:t xml:space="preserve"> Cuando el delito sea cometido en presencia de una o más personas con quienes la víctima tuviere un vínculo de parentesco por consanguinidad, afinidad o civil; matrimonio; concubinato; sociedad de convivencia; cohabitación; de cuidado; noviazgo, o cualquier otra relación afectiva, sentimental o de hecho;</w:t>
      </w:r>
    </w:p>
    <w:p w14:paraId="5E09959E" w14:textId="77777777" w:rsidR="00B968A5" w:rsidRPr="00357432" w:rsidRDefault="00B968A5" w:rsidP="00B968A5">
      <w:pPr>
        <w:spacing w:line="360" w:lineRule="auto"/>
        <w:jc w:val="both"/>
        <w:rPr>
          <w:rFonts w:ascii="Arial" w:hAnsi="Arial" w:cs="Arial"/>
          <w:sz w:val="24"/>
          <w:szCs w:val="24"/>
        </w:rPr>
      </w:pPr>
    </w:p>
    <w:p w14:paraId="30BDB6ED"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t>V.-</w:t>
      </w:r>
      <w:r w:rsidRPr="00357432">
        <w:rPr>
          <w:rFonts w:ascii="Arial" w:hAnsi="Arial" w:cs="Arial"/>
          <w:sz w:val="24"/>
          <w:szCs w:val="24"/>
        </w:rPr>
        <w:t xml:space="preserve"> Cuando el sujeto activo, con motivo de su cargo, encargo o situación personal, tenga la obligación o el deber de cuidado sobre la víctima; </w:t>
      </w:r>
    </w:p>
    <w:p w14:paraId="791F647B" w14:textId="77777777" w:rsidR="00B968A5" w:rsidRPr="00357432" w:rsidRDefault="00B968A5" w:rsidP="00B968A5">
      <w:pPr>
        <w:spacing w:line="360" w:lineRule="auto"/>
        <w:jc w:val="both"/>
        <w:rPr>
          <w:rFonts w:ascii="Arial" w:hAnsi="Arial" w:cs="Arial"/>
          <w:sz w:val="24"/>
          <w:szCs w:val="24"/>
        </w:rPr>
      </w:pPr>
    </w:p>
    <w:p w14:paraId="0205949D" w14:textId="2671F156"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t>VI.-</w:t>
      </w:r>
      <w:r w:rsidRPr="00357432">
        <w:rPr>
          <w:rFonts w:ascii="Arial" w:hAnsi="Arial" w:cs="Arial"/>
          <w:sz w:val="24"/>
          <w:szCs w:val="24"/>
        </w:rPr>
        <w:t xml:space="preserve"> El sujeto activo se haya valido de su oficio co</w:t>
      </w:r>
      <w:r w:rsidR="00B277B0">
        <w:rPr>
          <w:rFonts w:ascii="Arial" w:hAnsi="Arial" w:cs="Arial"/>
          <w:sz w:val="24"/>
          <w:szCs w:val="24"/>
        </w:rPr>
        <w:t xml:space="preserve">mo conductor de un vehículo de </w:t>
      </w:r>
      <w:r w:rsidRPr="00357432">
        <w:rPr>
          <w:rFonts w:ascii="Arial" w:hAnsi="Arial" w:cs="Arial"/>
          <w:sz w:val="24"/>
          <w:szCs w:val="24"/>
        </w:rPr>
        <w:t xml:space="preserve">transporte de pasajeros o de turismo, público o privado, para la comisión del delito; o </w:t>
      </w:r>
    </w:p>
    <w:p w14:paraId="2B22F7B2"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t>VII.-</w:t>
      </w:r>
      <w:r w:rsidRPr="00357432">
        <w:rPr>
          <w:rFonts w:ascii="Arial" w:hAnsi="Arial" w:cs="Arial"/>
          <w:sz w:val="24"/>
          <w:szCs w:val="24"/>
        </w:rPr>
        <w:t xml:space="preserve"> Cuando la víctima sea una niña o adolescente.</w:t>
      </w:r>
    </w:p>
    <w:p w14:paraId="77852508" w14:textId="77777777" w:rsidR="00B968A5" w:rsidRPr="00357432" w:rsidRDefault="00B968A5" w:rsidP="00B968A5">
      <w:pPr>
        <w:spacing w:line="360" w:lineRule="auto"/>
        <w:jc w:val="both"/>
        <w:rPr>
          <w:rFonts w:ascii="Arial" w:hAnsi="Arial" w:cs="Arial"/>
          <w:sz w:val="24"/>
          <w:szCs w:val="24"/>
        </w:rPr>
      </w:pPr>
    </w:p>
    <w:p w14:paraId="49EA8BAF" w14:textId="77777777" w:rsidR="00B968A5" w:rsidRPr="00357432" w:rsidRDefault="00B968A5" w:rsidP="00B968A5">
      <w:pPr>
        <w:spacing w:line="360" w:lineRule="auto"/>
        <w:jc w:val="both"/>
        <w:rPr>
          <w:rFonts w:ascii="Arial" w:hAnsi="Arial" w:cs="Arial"/>
          <w:b/>
          <w:sz w:val="24"/>
          <w:szCs w:val="24"/>
        </w:rPr>
      </w:pPr>
      <w:r w:rsidRPr="00357432">
        <w:rPr>
          <w:rFonts w:ascii="Arial" w:hAnsi="Arial" w:cs="Arial"/>
          <w:b/>
          <w:sz w:val="24"/>
          <w:szCs w:val="24"/>
        </w:rPr>
        <w:t>Adicionalmente, el sujeto activo será condenado a la pérdida de la patria potestad, en el caso de que tenga hijas o hijos con la víctima y se ordenará a las autoridades competentes la protección, prestación de servicios de ayuda inmediata, asistencia, atención y reparación integral del daño de las niñas, niños y adolescentes que hubiesen quedado en situación de orfandad por feminicidio o que hubieren presenciado este delito.</w:t>
      </w:r>
    </w:p>
    <w:p w14:paraId="45FD8214" w14:textId="77777777" w:rsidR="00B968A5" w:rsidRPr="00357432" w:rsidRDefault="00B968A5" w:rsidP="00B968A5">
      <w:pPr>
        <w:spacing w:line="360" w:lineRule="auto"/>
        <w:jc w:val="both"/>
        <w:rPr>
          <w:rFonts w:ascii="Arial" w:hAnsi="Arial" w:cs="Arial"/>
          <w:b/>
          <w:sz w:val="24"/>
          <w:szCs w:val="24"/>
        </w:rPr>
      </w:pPr>
    </w:p>
    <w:p w14:paraId="29741A60" w14:textId="77777777" w:rsidR="00B968A5" w:rsidRPr="00357432" w:rsidRDefault="00B968A5" w:rsidP="00B968A5">
      <w:pPr>
        <w:spacing w:line="360" w:lineRule="auto"/>
        <w:jc w:val="both"/>
        <w:rPr>
          <w:rFonts w:ascii="Arial" w:hAnsi="Arial" w:cs="Arial"/>
          <w:b/>
          <w:sz w:val="24"/>
          <w:szCs w:val="24"/>
        </w:rPr>
      </w:pPr>
      <w:r w:rsidRPr="00357432">
        <w:rPr>
          <w:rFonts w:ascii="Arial" w:hAnsi="Arial" w:cs="Arial"/>
          <w:b/>
          <w:sz w:val="24"/>
          <w:szCs w:val="24"/>
        </w:rPr>
        <w:t>Todas las muertes violentas de una mujer, incluidas aquellas que en principio parecieran haber sido causadas por motivos criminales, suicidio o accidente, deben de investigarse como probable feminicidio y con perspectiva de género, de conformidad con el protocolo especializado aplicable. Tratándose de niñas o adolescentes, deberá considerarse, además, la perspectiva de niñez.</w:t>
      </w:r>
    </w:p>
    <w:p w14:paraId="662497EF" w14:textId="77777777" w:rsidR="00B968A5" w:rsidRPr="00357432" w:rsidRDefault="00B968A5" w:rsidP="00B968A5">
      <w:pPr>
        <w:spacing w:line="360" w:lineRule="auto"/>
        <w:jc w:val="both"/>
        <w:rPr>
          <w:rFonts w:ascii="Arial" w:hAnsi="Arial" w:cs="Arial"/>
          <w:sz w:val="24"/>
          <w:szCs w:val="24"/>
        </w:rPr>
      </w:pPr>
    </w:p>
    <w:p w14:paraId="24E59B78"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sz w:val="24"/>
          <w:szCs w:val="24"/>
        </w:rPr>
        <w:t xml:space="preserve">En caso que no se acredite que existieron razones de género al privar de la vida a una mujer, al momento de resolver, para la imposición de las sanciones penales </w:t>
      </w:r>
      <w:r w:rsidRPr="00357432">
        <w:rPr>
          <w:rFonts w:ascii="Arial" w:hAnsi="Arial" w:cs="Arial"/>
          <w:sz w:val="24"/>
          <w:szCs w:val="24"/>
        </w:rPr>
        <w:lastRenderedPageBreak/>
        <w:t>correspondientes, el juez aplicará las disposiciones señaladas en los artículos 242, fracción II y 245 fracción V, inciso d) de este ordenamiento.</w:t>
      </w:r>
    </w:p>
    <w:p w14:paraId="178A16CC" w14:textId="77777777" w:rsidR="00B968A5" w:rsidRDefault="00B968A5" w:rsidP="00B968A5">
      <w:pPr>
        <w:spacing w:line="360" w:lineRule="auto"/>
        <w:jc w:val="both"/>
        <w:rPr>
          <w:rFonts w:ascii="Arial" w:hAnsi="Arial" w:cs="Arial"/>
          <w:sz w:val="24"/>
          <w:szCs w:val="24"/>
        </w:rPr>
      </w:pPr>
      <w:r w:rsidRPr="00357432">
        <w:rPr>
          <w:rFonts w:ascii="Arial" w:hAnsi="Arial" w:cs="Arial"/>
          <w:sz w:val="24"/>
          <w:szCs w:val="24"/>
        </w:rPr>
        <w:t>Se entenderá como homicidio doloso, la privación de la vida de una mujer por una razón de género, para los efectos de:</w:t>
      </w:r>
    </w:p>
    <w:p w14:paraId="27995F89" w14:textId="77777777" w:rsidR="00B968A5" w:rsidRPr="00357432" w:rsidRDefault="00B968A5" w:rsidP="00B968A5">
      <w:pPr>
        <w:spacing w:line="360" w:lineRule="auto"/>
        <w:jc w:val="both"/>
        <w:rPr>
          <w:rFonts w:ascii="Arial" w:hAnsi="Arial" w:cs="Arial"/>
          <w:sz w:val="24"/>
          <w:szCs w:val="24"/>
        </w:rPr>
      </w:pPr>
    </w:p>
    <w:p w14:paraId="41F2D2ED" w14:textId="77777777" w:rsidR="00B968A5" w:rsidRDefault="00B968A5" w:rsidP="00B968A5">
      <w:pPr>
        <w:spacing w:line="360" w:lineRule="auto"/>
        <w:jc w:val="both"/>
        <w:rPr>
          <w:rFonts w:ascii="Arial" w:hAnsi="Arial" w:cs="Arial"/>
          <w:sz w:val="24"/>
          <w:szCs w:val="24"/>
        </w:rPr>
      </w:pPr>
      <w:r w:rsidRPr="00357432">
        <w:rPr>
          <w:rFonts w:ascii="Arial" w:hAnsi="Arial" w:cs="Arial"/>
          <w:b/>
          <w:sz w:val="24"/>
          <w:szCs w:val="24"/>
        </w:rPr>
        <w:t>1)</w:t>
      </w:r>
      <w:r w:rsidRPr="00357432">
        <w:rPr>
          <w:rFonts w:ascii="Arial" w:hAnsi="Arial" w:cs="Arial"/>
          <w:sz w:val="24"/>
          <w:szCs w:val="24"/>
        </w:rPr>
        <w:t xml:space="preserve"> La imposición de la prisión preventiva oficiosa.</w:t>
      </w:r>
    </w:p>
    <w:p w14:paraId="1B92A4DE" w14:textId="77777777" w:rsidR="00B968A5" w:rsidRPr="00357432" w:rsidRDefault="00B968A5" w:rsidP="00B968A5">
      <w:pPr>
        <w:spacing w:line="360" w:lineRule="auto"/>
        <w:jc w:val="both"/>
        <w:rPr>
          <w:rFonts w:ascii="Arial" w:hAnsi="Arial" w:cs="Arial"/>
          <w:sz w:val="24"/>
          <w:szCs w:val="24"/>
        </w:rPr>
      </w:pPr>
    </w:p>
    <w:p w14:paraId="63CB9929" w14:textId="77777777" w:rsidR="00B968A5" w:rsidRPr="00357432" w:rsidRDefault="00B968A5" w:rsidP="00B968A5">
      <w:pPr>
        <w:spacing w:line="360" w:lineRule="auto"/>
        <w:jc w:val="both"/>
        <w:rPr>
          <w:rFonts w:ascii="Arial" w:hAnsi="Arial" w:cs="Arial"/>
          <w:sz w:val="24"/>
          <w:szCs w:val="24"/>
        </w:rPr>
      </w:pPr>
      <w:r w:rsidRPr="00357432">
        <w:rPr>
          <w:rFonts w:ascii="Arial" w:hAnsi="Arial" w:cs="Arial"/>
          <w:b/>
          <w:sz w:val="24"/>
          <w:szCs w:val="24"/>
        </w:rPr>
        <w:t>2)</w:t>
      </w:r>
      <w:r w:rsidRPr="00357432">
        <w:rPr>
          <w:rFonts w:ascii="Arial" w:hAnsi="Arial" w:cs="Arial"/>
          <w:sz w:val="24"/>
          <w:szCs w:val="24"/>
        </w:rPr>
        <w:t xml:space="preserve"> La remisión parcial de la pena, tratamiento </w:t>
      </w:r>
      <w:proofErr w:type="spellStart"/>
      <w:r w:rsidRPr="00357432">
        <w:rPr>
          <w:rFonts w:ascii="Arial" w:hAnsi="Arial" w:cs="Arial"/>
          <w:sz w:val="24"/>
          <w:szCs w:val="24"/>
        </w:rPr>
        <w:t>preliberacional</w:t>
      </w:r>
      <w:proofErr w:type="spellEnd"/>
      <w:r w:rsidRPr="00357432">
        <w:rPr>
          <w:rFonts w:ascii="Arial" w:hAnsi="Arial" w:cs="Arial"/>
          <w:sz w:val="24"/>
          <w:szCs w:val="24"/>
        </w:rPr>
        <w:t>, libertad condicionada al sistema de localización y rastreo y libertad condicional.</w:t>
      </w:r>
    </w:p>
    <w:p w14:paraId="14BFA2CC" w14:textId="77777777" w:rsidR="00B968A5" w:rsidRPr="00357432" w:rsidRDefault="00B968A5" w:rsidP="00B968A5">
      <w:pPr>
        <w:spacing w:line="360" w:lineRule="auto"/>
        <w:jc w:val="both"/>
        <w:rPr>
          <w:rFonts w:ascii="Arial" w:hAnsi="Arial" w:cs="Arial"/>
          <w:sz w:val="24"/>
          <w:szCs w:val="24"/>
        </w:rPr>
      </w:pPr>
    </w:p>
    <w:p w14:paraId="16D52AFA" w14:textId="77777777" w:rsidR="00B968A5" w:rsidRDefault="00B968A5" w:rsidP="00B968A5">
      <w:pPr>
        <w:spacing w:line="360" w:lineRule="auto"/>
        <w:jc w:val="both"/>
        <w:rPr>
          <w:rFonts w:ascii="Arial" w:hAnsi="Arial" w:cs="Arial"/>
          <w:sz w:val="24"/>
          <w:szCs w:val="24"/>
        </w:rPr>
      </w:pPr>
      <w:r w:rsidRPr="00357432">
        <w:rPr>
          <w:rFonts w:ascii="Arial" w:hAnsi="Arial" w:cs="Arial"/>
          <w:b/>
          <w:sz w:val="24"/>
          <w:szCs w:val="24"/>
        </w:rPr>
        <w:t>A la persona servidora pública</w:t>
      </w:r>
      <w:r w:rsidRPr="00357432">
        <w:rPr>
          <w:rFonts w:ascii="Arial" w:hAnsi="Arial" w:cs="Arial"/>
          <w:sz w:val="24"/>
          <w:szCs w:val="24"/>
        </w:rPr>
        <w:t xml:space="preserve"> que</w:t>
      </w:r>
      <w:r w:rsidRPr="00357432">
        <w:rPr>
          <w:rFonts w:ascii="Arial" w:hAnsi="Arial" w:cs="Arial"/>
          <w:b/>
          <w:sz w:val="24"/>
          <w:szCs w:val="24"/>
        </w:rPr>
        <w:t>, tratándose de la muerte violenta de una mujer, omita iniciar la investigación como probable feminicidio, filtre información, fotos, videos o evidencias de la investigación,</w:t>
      </w:r>
      <w:r w:rsidRPr="00357432">
        <w:rPr>
          <w:rFonts w:ascii="Arial" w:hAnsi="Arial" w:cs="Arial"/>
          <w:sz w:val="24"/>
          <w:szCs w:val="24"/>
        </w:rPr>
        <w:t xml:space="preserve"> retarde, </w:t>
      </w:r>
      <w:r w:rsidRPr="00357432">
        <w:rPr>
          <w:rFonts w:ascii="Arial" w:hAnsi="Arial" w:cs="Arial"/>
          <w:b/>
          <w:sz w:val="24"/>
          <w:szCs w:val="24"/>
        </w:rPr>
        <w:t>obstaculice</w:t>
      </w:r>
      <w:r w:rsidRPr="00357432">
        <w:rPr>
          <w:rFonts w:ascii="Arial" w:hAnsi="Arial" w:cs="Arial"/>
          <w:sz w:val="24"/>
          <w:szCs w:val="24"/>
        </w:rPr>
        <w:t xml:space="preserve"> o entorpezca maliciosamente o por negligencia la procuración o administración de justicia, se le impondrá una pena de</w:t>
      </w:r>
      <w:r w:rsidRPr="00357432">
        <w:rPr>
          <w:rFonts w:ascii="Arial" w:hAnsi="Arial" w:cs="Arial"/>
          <w:b/>
          <w:sz w:val="24"/>
          <w:szCs w:val="24"/>
        </w:rPr>
        <w:t xml:space="preserve"> cinco</w:t>
      </w:r>
      <w:r w:rsidRPr="00357432">
        <w:rPr>
          <w:rFonts w:ascii="Arial" w:hAnsi="Arial" w:cs="Arial"/>
          <w:sz w:val="24"/>
          <w:szCs w:val="24"/>
        </w:rPr>
        <w:t xml:space="preserve"> a ocho años de prisión y de quinientos a mil quinientos días multa. Además, será destituid</w:t>
      </w:r>
      <w:r w:rsidRPr="00357432">
        <w:rPr>
          <w:rFonts w:ascii="Arial" w:hAnsi="Arial" w:cs="Arial"/>
          <w:b/>
          <w:sz w:val="24"/>
          <w:szCs w:val="24"/>
        </w:rPr>
        <w:t>a</w:t>
      </w:r>
      <w:r w:rsidRPr="00357432">
        <w:rPr>
          <w:rFonts w:ascii="Arial" w:hAnsi="Arial" w:cs="Arial"/>
          <w:sz w:val="24"/>
          <w:szCs w:val="24"/>
        </w:rPr>
        <w:t xml:space="preserve"> e inhabilitad</w:t>
      </w:r>
      <w:r w:rsidRPr="00357432">
        <w:rPr>
          <w:rFonts w:ascii="Arial" w:hAnsi="Arial" w:cs="Arial"/>
          <w:b/>
          <w:sz w:val="24"/>
          <w:szCs w:val="24"/>
        </w:rPr>
        <w:t>a</w:t>
      </w:r>
      <w:r w:rsidRPr="00357432">
        <w:rPr>
          <w:rFonts w:ascii="Arial" w:hAnsi="Arial" w:cs="Arial"/>
          <w:sz w:val="24"/>
          <w:szCs w:val="24"/>
        </w:rPr>
        <w:t xml:space="preserve"> de </w:t>
      </w:r>
      <w:r w:rsidRPr="00357432">
        <w:rPr>
          <w:rFonts w:ascii="Arial" w:hAnsi="Arial" w:cs="Arial"/>
          <w:b/>
          <w:sz w:val="24"/>
          <w:szCs w:val="24"/>
        </w:rPr>
        <w:t>cinco</w:t>
      </w:r>
      <w:r w:rsidRPr="00357432">
        <w:rPr>
          <w:rFonts w:ascii="Arial" w:hAnsi="Arial" w:cs="Arial"/>
          <w:sz w:val="24"/>
          <w:szCs w:val="24"/>
        </w:rPr>
        <w:t xml:space="preserve"> a diez años para desempeñar otro empleo, cargo</w:t>
      </w:r>
      <w:r>
        <w:rPr>
          <w:rFonts w:ascii="Arial" w:hAnsi="Arial" w:cs="Arial"/>
          <w:sz w:val="24"/>
          <w:szCs w:val="24"/>
        </w:rPr>
        <w:t>.</w:t>
      </w:r>
    </w:p>
    <w:p w14:paraId="0ADE7B83" w14:textId="77777777" w:rsidR="00B968A5" w:rsidRDefault="00B968A5" w:rsidP="00B968A5">
      <w:pPr>
        <w:spacing w:line="360" w:lineRule="auto"/>
        <w:jc w:val="both"/>
        <w:rPr>
          <w:rFonts w:ascii="Arial" w:hAnsi="Arial" w:cs="Arial"/>
          <w:sz w:val="24"/>
          <w:szCs w:val="24"/>
        </w:rPr>
      </w:pPr>
    </w:p>
    <w:p w14:paraId="1434F708" w14:textId="77777777" w:rsidR="00B968A5" w:rsidRPr="004B1619" w:rsidRDefault="00B968A5" w:rsidP="00B968A5">
      <w:pPr>
        <w:spacing w:line="360" w:lineRule="auto"/>
        <w:jc w:val="both"/>
        <w:rPr>
          <w:rFonts w:ascii="Arial" w:hAnsi="Arial" w:cs="Arial"/>
          <w:sz w:val="24"/>
          <w:szCs w:val="24"/>
        </w:rPr>
      </w:pPr>
      <w:r w:rsidRPr="004B1619">
        <w:rPr>
          <w:rFonts w:ascii="Arial" w:hAnsi="Arial" w:cs="Arial"/>
          <w:sz w:val="24"/>
          <w:szCs w:val="24"/>
        </w:rPr>
        <w:t>Lo tendrá entendido el Gobernador del Estado, haciendo que se publique y se cumpla.</w:t>
      </w:r>
    </w:p>
    <w:p w14:paraId="4EF5A85A" w14:textId="77777777" w:rsidR="00B968A5" w:rsidRPr="004B1619" w:rsidRDefault="00B968A5" w:rsidP="00B968A5">
      <w:pPr>
        <w:spacing w:line="360" w:lineRule="auto"/>
        <w:jc w:val="both"/>
        <w:rPr>
          <w:rFonts w:ascii="Arial" w:hAnsi="Arial" w:cs="Arial"/>
          <w:sz w:val="24"/>
          <w:szCs w:val="24"/>
        </w:rPr>
      </w:pPr>
    </w:p>
    <w:p w14:paraId="4148523F" w14:textId="77777777" w:rsidR="00B968A5" w:rsidRPr="004B1619" w:rsidRDefault="00B968A5" w:rsidP="00B968A5">
      <w:pPr>
        <w:spacing w:line="360" w:lineRule="auto"/>
        <w:jc w:val="both"/>
        <w:rPr>
          <w:rFonts w:ascii="Arial" w:hAnsi="Arial" w:cs="Arial"/>
          <w:sz w:val="24"/>
          <w:szCs w:val="24"/>
        </w:rPr>
      </w:pPr>
      <w:r w:rsidRPr="004B1619">
        <w:rPr>
          <w:rFonts w:ascii="Arial" w:hAnsi="Arial" w:cs="Arial"/>
          <w:sz w:val="24"/>
          <w:szCs w:val="24"/>
        </w:rPr>
        <w:lastRenderedPageBreak/>
        <w:t>Dado en el Palacio del Poder Legislativo, en la Ciudad de Toluca de Lerdo, Capital del Estado de México, a los ... días del mes de ... de</w:t>
      </w:r>
      <w:proofErr w:type="gramStart"/>
      <w:r w:rsidRPr="004B1619">
        <w:rPr>
          <w:rFonts w:ascii="Arial" w:hAnsi="Arial" w:cs="Arial"/>
          <w:sz w:val="24"/>
          <w:szCs w:val="24"/>
        </w:rPr>
        <w:t>... .</w:t>
      </w:r>
      <w:proofErr w:type="gramEnd"/>
      <w:r w:rsidRPr="004B1619">
        <w:rPr>
          <w:rFonts w:ascii="Arial" w:hAnsi="Arial" w:cs="Arial"/>
          <w:sz w:val="24"/>
          <w:szCs w:val="24"/>
        </w:rPr>
        <w:t xml:space="preserve"> diputado Presidentes diputados Secretarios; (nombres y rúbricas)". </w:t>
      </w:r>
    </w:p>
    <w:p w14:paraId="28B2C671" w14:textId="77777777" w:rsidR="00B968A5" w:rsidRPr="00B968A5" w:rsidRDefault="00B968A5" w:rsidP="004B7942">
      <w:pPr>
        <w:snapToGrid w:val="0"/>
        <w:spacing w:before="240" w:line="360" w:lineRule="auto"/>
        <w:rPr>
          <w:rFonts w:ascii="Arial" w:eastAsia="Calibri" w:hAnsi="Arial" w:cs="Arial"/>
          <w:b/>
          <w:sz w:val="24"/>
          <w:szCs w:val="24"/>
          <w:lang w:eastAsia="es-ES"/>
        </w:rPr>
      </w:pPr>
    </w:p>
    <w:sectPr w:rsidR="00B968A5" w:rsidRPr="00B968A5">
      <w:headerReference w:type="default" r:id="rId8"/>
      <w:footerReference w:type="default" r:id="rId9"/>
      <w:pgSz w:w="12240" w:h="15840"/>
      <w:pgMar w:top="1417" w:right="1701" w:bottom="1417"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62269" w16cex:dateUtc="2022-08-04T15:48:00Z"/>
  <w16cex:commentExtensible w16cex:durableId="2696236E" w16cex:dateUtc="2022-08-04T15:52:00Z"/>
  <w16cex:commentExtensible w16cex:durableId="2696239A" w16cex:dateUtc="2022-08-04T15: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62F3E4" w14:textId="77777777" w:rsidR="00572FAE" w:rsidRDefault="00572FAE" w:rsidP="00FF5F21">
      <w:pPr>
        <w:spacing w:after="0" w:line="240" w:lineRule="auto"/>
      </w:pPr>
      <w:r>
        <w:separator/>
      </w:r>
    </w:p>
  </w:endnote>
  <w:endnote w:type="continuationSeparator" w:id="0">
    <w:p w14:paraId="6B884739" w14:textId="77777777" w:rsidR="00572FAE" w:rsidRDefault="00572FAE" w:rsidP="00FF5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Montserrat"/>
    <w:panose1 w:val="00000000000000000000"/>
    <w:charset w:val="00"/>
    <w:family w:val="swiss"/>
    <w:notTrueType/>
    <w:pitch w:val="default"/>
    <w:sig w:usb0="00000003" w:usb1="00000000" w:usb2="00000000" w:usb3="00000000" w:csb0="00000001" w:csb1="00000000"/>
  </w:font>
  <w:font w:name="Lato">
    <w:altName w:val="Calibri"/>
    <w:charset w:val="00"/>
    <w:family w:val="swiss"/>
    <w:pitch w:val="variable"/>
    <w:sig w:usb0="E10002FF" w:usb1="5000ECF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412B3" w14:textId="4243BE29" w:rsidR="007675B6" w:rsidRDefault="007675B6">
    <w:pPr>
      <w:pStyle w:val="Piedepgina"/>
      <w:jc w:val="right"/>
    </w:pPr>
  </w:p>
  <w:p w14:paraId="014D48F1" w14:textId="77777777" w:rsidR="007675B6" w:rsidRDefault="007675B6" w:rsidP="00CE7938">
    <w:pPr>
      <w:pStyle w:val="Piedepgina"/>
      <w:tabs>
        <w:tab w:val="clear" w:pos="4419"/>
        <w:tab w:val="clear" w:pos="8838"/>
        <w:tab w:val="left" w:pos="515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5E846" w14:textId="77777777" w:rsidR="00572FAE" w:rsidRDefault="00572FAE" w:rsidP="00FF5F21">
      <w:pPr>
        <w:spacing w:after="0" w:line="240" w:lineRule="auto"/>
      </w:pPr>
      <w:r>
        <w:separator/>
      </w:r>
    </w:p>
  </w:footnote>
  <w:footnote w:type="continuationSeparator" w:id="0">
    <w:p w14:paraId="122CF633" w14:textId="77777777" w:rsidR="00572FAE" w:rsidRDefault="00572FAE" w:rsidP="00FF5F21">
      <w:pPr>
        <w:spacing w:after="0" w:line="240" w:lineRule="auto"/>
      </w:pPr>
      <w:r>
        <w:continuationSeparator/>
      </w:r>
    </w:p>
  </w:footnote>
  <w:footnote w:id="1">
    <w:p w14:paraId="75C48EEA" w14:textId="300ED6AA" w:rsidR="007675B6" w:rsidRPr="00163E0F" w:rsidRDefault="007675B6" w:rsidP="00163E0F">
      <w:pPr>
        <w:pStyle w:val="Textonotapie"/>
        <w:jc w:val="both"/>
        <w:rPr>
          <w:rFonts w:ascii="Arial" w:hAnsi="Arial" w:cs="Arial"/>
        </w:rPr>
      </w:pPr>
      <w:r w:rsidRPr="00163E0F">
        <w:rPr>
          <w:rStyle w:val="Refdenotaalpie"/>
          <w:rFonts w:ascii="Arial" w:hAnsi="Arial" w:cs="Arial"/>
        </w:rPr>
        <w:footnoteRef/>
      </w:r>
      <w:r w:rsidRPr="00163E0F">
        <w:rPr>
          <w:rFonts w:ascii="Arial" w:hAnsi="Arial" w:cs="Arial"/>
        </w:rPr>
        <w:t xml:space="preserve"> MESECVI, OEA, CIM, </w:t>
      </w:r>
      <w:r w:rsidRPr="00163E0F">
        <w:rPr>
          <w:rFonts w:ascii="Arial" w:hAnsi="Arial" w:cs="Arial"/>
          <w:b/>
        </w:rPr>
        <w:t>“Declaración sobre feminicidio”,</w:t>
      </w:r>
      <w:r w:rsidRPr="00163E0F">
        <w:rPr>
          <w:rFonts w:ascii="Arial" w:hAnsi="Arial" w:cs="Arial"/>
        </w:rPr>
        <w:t xml:space="preserve"> Washington, D.C. Organización de los Estados Americanos, 2088, p. 3, octubre 2022, https://www.oas.org/es/mesecvi/docs/declaracionfemicidio-es.pdf</w:t>
      </w:r>
    </w:p>
  </w:footnote>
  <w:footnote w:id="2">
    <w:p w14:paraId="14000B5A" w14:textId="11976D75" w:rsidR="007675B6" w:rsidRPr="00163E0F" w:rsidRDefault="007675B6" w:rsidP="00163E0F">
      <w:pPr>
        <w:pStyle w:val="Textonotapie"/>
        <w:jc w:val="both"/>
        <w:rPr>
          <w:rFonts w:ascii="Arial" w:hAnsi="Arial" w:cs="Arial"/>
        </w:rPr>
      </w:pPr>
      <w:r w:rsidRPr="00163E0F">
        <w:rPr>
          <w:rStyle w:val="Refdenotaalpie"/>
          <w:rFonts w:ascii="Arial" w:hAnsi="Arial" w:cs="Arial"/>
        </w:rPr>
        <w:footnoteRef/>
      </w:r>
      <w:r w:rsidRPr="00163E0F">
        <w:rPr>
          <w:rFonts w:ascii="Arial" w:hAnsi="Arial" w:cs="Arial"/>
        </w:rPr>
        <w:t xml:space="preserve"> Guajardo, Gabriel &amp; Cenitagoya, Verónica. </w:t>
      </w:r>
      <w:r w:rsidRPr="00163E0F">
        <w:rPr>
          <w:rFonts w:ascii="Arial" w:hAnsi="Arial" w:cs="Arial"/>
          <w:b/>
        </w:rPr>
        <w:t>“Feminicidio y suicidio de mujeres por razones de género. Desafíos y aprendizajes en la Cooperación Sur-Sur en América Latina y el Caribe”,</w:t>
      </w:r>
      <w:r w:rsidRPr="00163E0F">
        <w:rPr>
          <w:rFonts w:ascii="Arial" w:hAnsi="Arial" w:cs="Arial"/>
        </w:rPr>
        <w:t xml:space="preserve"> Chile, 2017, p.101, octubre 2022, https://www.corteidh.or.cr/tablas/r37317.pdf</w:t>
      </w:r>
    </w:p>
  </w:footnote>
  <w:footnote w:id="3">
    <w:p w14:paraId="79B14FAD" w14:textId="77777777" w:rsidR="007675B6" w:rsidRPr="007F5D59" w:rsidRDefault="007675B6" w:rsidP="00163E0F">
      <w:pPr>
        <w:pStyle w:val="Textonotapie"/>
        <w:jc w:val="both"/>
        <w:rPr>
          <w:rFonts w:ascii="Arial" w:hAnsi="Arial" w:cs="Arial"/>
        </w:rPr>
      </w:pPr>
      <w:r w:rsidRPr="007F5D59">
        <w:rPr>
          <w:rStyle w:val="Refdenotaalpie"/>
          <w:rFonts w:ascii="Arial" w:hAnsi="Arial" w:cs="Arial"/>
        </w:rPr>
        <w:footnoteRef/>
      </w:r>
      <w:r w:rsidRPr="007F5D59">
        <w:rPr>
          <w:rFonts w:ascii="Arial" w:hAnsi="Arial" w:cs="Arial"/>
        </w:rPr>
        <w:t xml:space="preserve"> </w:t>
      </w:r>
      <w:r>
        <w:rPr>
          <w:rFonts w:ascii="Arial" w:hAnsi="Arial" w:cs="Arial"/>
        </w:rPr>
        <w:t xml:space="preserve">Mediante el Decreto Número 196, publicado el 22 de enero de 2013, en el </w:t>
      </w:r>
      <w:r w:rsidRPr="0035671A">
        <w:rPr>
          <w:rFonts w:ascii="Arial" w:hAnsi="Arial" w:cs="Arial"/>
        </w:rPr>
        <w:t>Periódico Oficial del Gobierno del Estado Libre y Soberano de México</w:t>
      </w:r>
      <w:r>
        <w:rPr>
          <w:rFonts w:ascii="Arial" w:hAnsi="Arial" w:cs="Arial"/>
        </w:rPr>
        <w:t xml:space="preserve">, se modificó </w:t>
      </w:r>
      <w:r w:rsidRPr="007F5D59">
        <w:rPr>
          <w:rFonts w:ascii="Arial" w:hAnsi="Arial" w:cs="Arial"/>
        </w:rPr>
        <w:t xml:space="preserve">en su totalidad la tipificación inicial </w:t>
      </w:r>
      <w:r>
        <w:rPr>
          <w:rFonts w:ascii="Arial" w:hAnsi="Arial" w:cs="Arial"/>
        </w:rPr>
        <w:t xml:space="preserve">del delito de feminicidio </w:t>
      </w:r>
      <w:r w:rsidRPr="007F5D59">
        <w:rPr>
          <w:rFonts w:ascii="Arial" w:hAnsi="Arial" w:cs="Arial"/>
        </w:rPr>
        <w:t>para excluir los elementos subjetivos para la acreditación del tipo penal e incluyendo como sanción al sujeto activo la p</w:t>
      </w:r>
      <w:r>
        <w:rPr>
          <w:rFonts w:ascii="Arial" w:hAnsi="Arial" w:cs="Arial"/>
        </w:rPr>
        <w:t>é</w:t>
      </w:r>
      <w:r w:rsidRPr="007F5D59">
        <w:rPr>
          <w:rFonts w:ascii="Arial" w:hAnsi="Arial" w:cs="Arial"/>
        </w:rPr>
        <w:t>rdida de todos los derechos en relación con la víctima, incluidos los de carácter sucesorio. La pena se agrav</w:t>
      </w:r>
      <w:r>
        <w:rPr>
          <w:rFonts w:ascii="Arial" w:hAnsi="Arial" w:cs="Arial"/>
        </w:rPr>
        <w:t>ó</w:t>
      </w:r>
      <w:r w:rsidRPr="007F5D59">
        <w:rPr>
          <w:rFonts w:ascii="Arial" w:hAnsi="Arial" w:cs="Arial"/>
        </w:rPr>
        <w:t xml:space="preserve"> hasta un tercio cuando la víctima es mujer menor de edad, embarazada o con discapacidad, así</w:t>
      </w:r>
      <w:r>
        <w:rPr>
          <w:rFonts w:ascii="Arial" w:hAnsi="Arial" w:cs="Arial"/>
        </w:rPr>
        <w:t>́ como</w:t>
      </w:r>
      <w:r w:rsidRPr="007F5D59">
        <w:rPr>
          <w:rFonts w:ascii="Arial" w:hAnsi="Arial" w:cs="Arial"/>
        </w:rPr>
        <w:t xml:space="preserve"> cuando el sujeto activo sea servidor público y haya cometido la conducta valiéndose de esta condición</w:t>
      </w:r>
      <w:r>
        <w:rPr>
          <w:rFonts w:ascii="Arial" w:hAnsi="Arial" w:cs="Arial"/>
        </w:rPr>
        <w:t xml:space="preserve">, quedando su redacción, en el Código Penal del Estado de México, de la siguiente manera: </w:t>
      </w:r>
      <w:r w:rsidRPr="0035671A">
        <w:rPr>
          <w:rFonts w:ascii="Arial" w:hAnsi="Arial" w:cs="Arial"/>
          <w:b/>
        </w:rPr>
        <w:t>Artículo 242. Bis.-</w:t>
      </w:r>
      <w:r w:rsidRPr="0035671A">
        <w:rPr>
          <w:rFonts w:ascii="Arial" w:hAnsi="Arial" w:cs="Arial"/>
        </w:rPr>
        <w:t xml:space="preserve"> Comete el delito de feminicidio quien prive de la vida a una mujer por razones de género. Se considera que existen razones de género cuando concurra alguna de las siguientes circunstancias: </w:t>
      </w:r>
      <w:r w:rsidRPr="0035671A">
        <w:rPr>
          <w:rFonts w:ascii="Arial" w:hAnsi="Arial" w:cs="Arial"/>
          <w:b/>
        </w:rPr>
        <w:t>I.</w:t>
      </w:r>
      <w:r w:rsidRPr="0035671A">
        <w:rPr>
          <w:rFonts w:ascii="Arial" w:hAnsi="Arial" w:cs="Arial"/>
        </w:rPr>
        <w:t xml:space="preserve"> La víctima presente signos de violencia sexual de cualquier tipo; </w:t>
      </w:r>
      <w:r w:rsidRPr="0035671A">
        <w:rPr>
          <w:rFonts w:ascii="Arial" w:hAnsi="Arial" w:cs="Arial"/>
          <w:b/>
        </w:rPr>
        <w:t>II.</w:t>
      </w:r>
      <w:r w:rsidRPr="0035671A">
        <w:rPr>
          <w:rFonts w:ascii="Arial" w:hAnsi="Arial" w:cs="Arial"/>
        </w:rPr>
        <w:t xml:space="preserve"> A la víctima se le hayan infligido lesiones o mutilaciones infamantes o degradantes, previas o posteriores a la privación de la vida o actos de necrofilia; </w:t>
      </w:r>
      <w:r w:rsidRPr="0035671A">
        <w:rPr>
          <w:rFonts w:ascii="Arial" w:hAnsi="Arial" w:cs="Arial"/>
          <w:b/>
        </w:rPr>
        <w:t>III.</w:t>
      </w:r>
      <w:r w:rsidRPr="0035671A">
        <w:rPr>
          <w:rFonts w:ascii="Arial" w:hAnsi="Arial" w:cs="Arial"/>
        </w:rPr>
        <w:t xml:space="preserve"> Existan antecedentes o datos de cualquier tipo de violencia en el ámbito familiar, laboral o escolar, del sujeto activo en contra de la víctima; </w:t>
      </w:r>
      <w:r w:rsidRPr="0035671A">
        <w:rPr>
          <w:rFonts w:ascii="Arial" w:hAnsi="Arial" w:cs="Arial"/>
          <w:b/>
        </w:rPr>
        <w:t>IV.</w:t>
      </w:r>
      <w:r w:rsidRPr="0035671A">
        <w:rPr>
          <w:rFonts w:ascii="Arial" w:hAnsi="Arial" w:cs="Arial"/>
        </w:rPr>
        <w:t xml:space="preserve"> Haya existido entre el activo y la víctima una relación sentimental, afectiva o de confianza; </w:t>
      </w:r>
      <w:r w:rsidRPr="0035671A">
        <w:rPr>
          <w:rFonts w:ascii="Arial" w:hAnsi="Arial" w:cs="Arial"/>
          <w:b/>
        </w:rPr>
        <w:t>V.</w:t>
      </w:r>
      <w:r w:rsidRPr="0035671A">
        <w:rPr>
          <w:rFonts w:ascii="Arial" w:hAnsi="Arial" w:cs="Arial"/>
        </w:rPr>
        <w:t xml:space="preserve"> Existan datos que establezcan que hubo amenazas relacionadas con el hecho delictuoso, acoso o lesiones del sujeto activo en contra de la víctima; </w:t>
      </w:r>
      <w:r w:rsidRPr="0035671A">
        <w:rPr>
          <w:rFonts w:ascii="Arial" w:hAnsi="Arial" w:cs="Arial"/>
          <w:b/>
        </w:rPr>
        <w:t>VI.</w:t>
      </w:r>
      <w:r w:rsidRPr="0035671A">
        <w:rPr>
          <w:rFonts w:ascii="Arial" w:hAnsi="Arial" w:cs="Arial"/>
        </w:rPr>
        <w:t xml:space="preserve"> La vícti</w:t>
      </w:r>
      <w:r>
        <w:rPr>
          <w:rFonts w:ascii="Arial" w:hAnsi="Arial" w:cs="Arial"/>
        </w:rPr>
        <w:t>m</w:t>
      </w:r>
      <w:r w:rsidRPr="0035671A">
        <w:rPr>
          <w:rFonts w:ascii="Arial" w:hAnsi="Arial" w:cs="Arial"/>
        </w:rPr>
        <w:t xml:space="preserve">a haya sido incomunicada, cualquiera que sea el tiempo previo a la privación de la vida; </w:t>
      </w:r>
      <w:r w:rsidRPr="0035671A">
        <w:rPr>
          <w:rFonts w:ascii="Arial" w:hAnsi="Arial" w:cs="Arial"/>
          <w:b/>
        </w:rPr>
        <w:t>VII.</w:t>
      </w:r>
      <w:r w:rsidRPr="0035671A">
        <w:rPr>
          <w:rFonts w:ascii="Arial" w:hAnsi="Arial" w:cs="Arial"/>
        </w:rPr>
        <w:t xml:space="preserve"> El cuerpo de la víctima sea expuesto o exhibido en un lugar público; </w:t>
      </w:r>
      <w:r w:rsidRPr="0035671A">
        <w:rPr>
          <w:rFonts w:ascii="Arial" w:hAnsi="Arial" w:cs="Arial"/>
          <w:b/>
        </w:rPr>
        <w:t>VIII.</w:t>
      </w:r>
      <w:r w:rsidRPr="0035671A">
        <w:rPr>
          <w:rFonts w:ascii="Arial" w:hAnsi="Arial" w:cs="Arial"/>
        </w:rPr>
        <w:t xml:space="preserve"> Como resultado de violencia de género, pudiendo ser el sujeto activo persona conocida o desconocida y sin ningún tipo de relación</w:t>
      </w:r>
      <w:r>
        <w:rPr>
          <w:rFonts w:ascii="Arial" w:hAnsi="Arial" w:cs="Arial"/>
        </w:rPr>
        <w:t>.</w:t>
      </w:r>
    </w:p>
  </w:footnote>
  <w:footnote w:id="4">
    <w:p w14:paraId="3002206A" w14:textId="474FD1B3" w:rsidR="00F13183" w:rsidRPr="00F13183" w:rsidRDefault="00F13183" w:rsidP="00F13183">
      <w:pPr>
        <w:pStyle w:val="Textonotapie"/>
        <w:jc w:val="both"/>
        <w:rPr>
          <w:rFonts w:ascii="Arial" w:hAnsi="Arial" w:cs="Arial"/>
        </w:rPr>
      </w:pPr>
      <w:r w:rsidRPr="00F13183">
        <w:rPr>
          <w:rStyle w:val="Refdenotaalpie"/>
          <w:rFonts w:ascii="Arial" w:hAnsi="Arial" w:cs="Arial"/>
        </w:rPr>
        <w:footnoteRef/>
      </w:r>
      <w:r w:rsidRPr="00F13183">
        <w:rPr>
          <w:rFonts w:ascii="Arial" w:hAnsi="Arial" w:cs="Arial"/>
        </w:rPr>
        <w:t xml:space="preserve"> Secretariado Ejecutivo del Sistema de Seguridad Pública y Anexo Estadístico del Sexto y Séptimo Informe Combinado de México respecto del cumplimiento de la Convención sobre los Derechos del Niño de Naciones Unidas.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C46DAB" w14:textId="647047CF" w:rsidR="007675B6" w:rsidRDefault="00572FAE" w:rsidP="00CE7938">
    <w:pPr>
      <w:pStyle w:val="Encabezado"/>
      <w:jc w:val="center"/>
    </w:pPr>
    <w:sdt>
      <w:sdtPr>
        <w:id w:val="-2063699260"/>
        <w:docPartObj>
          <w:docPartGallery w:val="Page Numbers (Margins)"/>
          <w:docPartUnique/>
        </w:docPartObj>
      </w:sdtPr>
      <w:sdtEndPr/>
      <w:sdtContent>
        <w:r w:rsidR="007675B6">
          <w:rPr>
            <w:noProof/>
            <w:lang w:eastAsia="es-MX"/>
          </w:rPr>
          <mc:AlternateContent>
            <mc:Choice Requires="wps">
              <w:drawing>
                <wp:anchor distT="0" distB="0" distL="114300" distR="114300" simplePos="0" relativeHeight="251659264" behindDoc="0" locked="0" layoutInCell="0" allowOverlap="1" wp14:anchorId="6C7996B8" wp14:editId="0F980F53">
                  <wp:simplePos x="0" y="0"/>
                  <wp:positionH relativeFrom="rightMargin">
                    <wp:align>right</wp:align>
                  </wp:positionH>
                  <wp:positionV relativeFrom="margin">
                    <wp:align>center</wp:align>
                  </wp:positionV>
                  <wp:extent cx="727710" cy="329565"/>
                  <wp:effectExtent l="1905" t="0" r="1905" b="3810"/>
                  <wp:wrapNone/>
                  <wp:docPr id="545"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028B5F1" w14:textId="4CDF57DB" w:rsidR="007675B6" w:rsidRPr="007E1DF6" w:rsidRDefault="007675B6">
                              <w:pPr>
                                <w:pBdr>
                                  <w:bottom w:val="single" w:sz="4" w:space="1" w:color="auto"/>
                                </w:pBdr>
                                <w:rPr>
                                  <w:rFonts w:ascii="Arial" w:hAnsi="Arial" w:cs="Arial"/>
                                  <w:sz w:val="20"/>
                                  <w:szCs w:val="20"/>
                                </w:rPr>
                              </w:pPr>
                              <w:r w:rsidRPr="007E1DF6">
                                <w:rPr>
                                  <w:rFonts w:ascii="Arial" w:hAnsi="Arial" w:cs="Arial"/>
                                  <w:sz w:val="20"/>
                                  <w:szCs w:val="20"/>
                                </w:rPr>
                                <w:fldChar w:fldCharType="begin"/>
                              </w:r>
                              <w:r w:rsidRPr="007E1DF6">
                                <w:rPr>
                                  <w:rFonts w:ascii="Arial" w:hAnsi="Arial" w:cs="Arial"/>
                                  <w:sz w:val="20"/>
                                  <w:szCs w:val="20"/>
                                </w:rPr>
                                <w:instrText>PAGE   \* MERGEFORMAT</w:instrText>
                              </w:r>
                              <w:r w:rsidRPr="007E1DF6">
                                <w:rPr>
                                  <w:rFonts w:ascii="Arial" w:hAnsi="Arial" w:cs="Arial"/>
                                  <w:sz w:val="20"/>
                                  <w:szCs w:val="20"/>
                                </w:rPr>
                                <w:fldChar w:fldCharType="separate"/>
                              </w:r>
                              <w:r w:rsidR="009011F8" w:rsidRPr="009011F8">
                                <w:rPr>
                                  <w:rFonts w:ascii="Arial" w:hAnsi="Arial" w:cs="Arial"/>
                                  <w:noProof/>
                                  <w:sz w:val="20"/>
                                  <w:szCs w:val="20"/>
                                  <w:lang w:val="es-ES"/>
                                </w:rPr>
                                <w:t>35</w:t>
                              </w:r>
                              <w:r w:rsidRPr="007E1DF6">
                                <w:rPr>
                                  <w:rFonts w:ascii="Arial" w:hAnsi="Arial" w:cs="Arial"/>
                                  <w:sz w:val="20"/>
                                  <w:szCs w:val="20"/>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C7996B8" id="Rectángulo 4" o:spid="_x0000_s1026" style="position:absolute;left:0;text-align:left;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CH2vgdfgIAAPEE&#10;AAAOAAAAAAAAAAAAAAAAAC4CAABkcnMvZTJvRG9jLnhtbFBLAQItABQABgAIAAAAIQBxpoaD3AAA&#10;AAQBAAAPAAAAAAAAAAAAAAAAANgEAABkcnMvZG93bnJldi54bWxQSwUGAAAAAAQABADzAAAA4QUA&#10;AAAA&#10;" o:allowincell="f" stroked="f">
                  <v:textbox>
                    <w:txbxContent>
                      <w:p w14:paraId="7028B5F1" w14:textId="4CDF57DB" w:rsidR="007675B6" w:rsidRPr="007E1DF6" w:rsidRDefault="007675B6">
                        <w:pPr>
                          <w:pBdr>
                            <w:bottom w:val="single" w:sz="4" w:space="1" w:color="auto"/>
                          </w:pBdr>
                          <w:rPr>
                            <w:rFonts w:ascii="Arial" w:hAnsi="Arial" w:cs="Arial"/>
                            <w:sz w:val="20"/>
                            <w:szCs w:val="20"/>
                          </w:rPr>
                        </w:pPr>
                        <w:r w:rsidRPr="007E1DF6">
                          <w:rPr>
                            <w:rFonts w:ascii="Arial" w:hAnsi="Arial" w:cs="Arial"/>
                            <w:sz w:val="20"/>
                            <w:szCs w:val="20"/>
                          </w:rPr>
                          <w:fldChar w:fldCharType="begin"/>
                        </w:r>
                        <w:r w:rsidRPr="007E1DF6">
                          <w:rPr>
                            <w:rFonts w:ascii="Arial" w:hAnsi="Arial" w:cs="Arial"/>
                            <w:sz w:val="20"/>
                            <w:szCs w:val="20"/>
                          </w:rPr>
                          <w:instrText>PAGE   \* MERGEFORMAT</w:instrText>
                        </w:r>
                        <w:r w:rsidRPr="007E1DF6">
                          <w:rPr>
                            <w:rFonts w:ascii="Arial" w:hAnsi="Arial" w:cs="Arial"/>
                            <w:sz w:val="20"/>
                            <w:szCs w:val="20"/>
                          </w:rPr>
                          <w:fldChar w:fldCharType="separate"/>
                        </w:r>
                        <w:r w:rsidR="009011F8" w:rsidRPr="009011F8">
                          <w:rPr>
                            <w:rFonts w:ascii="Arial" w:hAnsi="Arial" w:cs="Arial"/>
                            <w:noProof/>
                            <w:sz w:val="20"/>
                            <w:szCs w:val="20"/>
                            <w:lang w:val="es-ES"/>
                          </w:rPr>
                          <w:t>35</w:t>
                        </w:r>
                        <w:r w:rsidRPr="007E1DF6">
                          <w:rPr>
                            <w:rFonts w:ascii="Arial" w:hAnsi="Arial" w:cs="Arial"/>
                            <w:sz w:val="20"/>
                            <w:szCs w:val="20"/>
                          </w:rPr>
                          <w:fldChar w:fldCharType="end"/>
                        </w:r>
                      </w:p>
                    </w:txbxContent>
                  </v:textbox>
                  <w10:wrap anchorx="margin" anchory="margin"/>
                </v:rect>
              </w:pict>
            </mc:Fallback>
          </mc:AlternateContent>
        </w:r>
      </w:sdtContent>
    </w:sdt>
    <w:r w:rsidR="007675B6" w:rsidRPr="00112B63">
      <w:rPr>
        <w:noProof/>
        <w:lang w:eastAsia="es-MX"/>
      </w:rPr>
      <w:drawing>
        <wp:inline distT="0" distB="0" distL="0" distR="0" wp14:anchorId="5B5426E4" wp14:editId="2CC12FFF">
          <wp:extent cx="2304100" cy="744569"/>
          <wp:effectExtent l="0" t="0" r="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386224" cy="771107"/>
                  </a:xfrm>
                  <a:prstGeom prst="rect">
                    <a:avLst/>
                  </a:prstGeom>
                </pic:spPr>
              </pic:pic>
            </a:graphicData>
          </a:graphic>
        </wp:inline>
      </w:drawing>
    </w:r>
  </w:p>
  <w:p w14:paraId="18380292" w14:textId="41FF5C84" w:rsidR="007675B6" w:rsidRDefault="007675B6" w:rsidP="00210D63">
    <w:pPr>
      <w:jc w:val="center"/>
      <w:rPr>
        <w:rFonts w:ascii="Lato" w:hAnsi="Lato"/>
        <w:b/>
        <w:color w:val="941651"/>
        <w:sz w:val="18"/>
        <w:szCs w:val="18"/>
        <w:lang w:val="es-ES"/>
      </w:rPr>
    </w:pPr>
    <w:r w:rsidRPr="00AD2202">
      <w:rPr>
        <w:rFonts w:ascii="Lato" w:hAnsi="Lato"/>
        <w:b/>
        <w:color w:val="941651"/>
        <w:sz w:val="18"/>
        <w:szCs w:val="18"/>
        <w:lang w:val="es-ES"/>
      </w:rPr>
      <w:t>2022. “Quincentenario de Toluca, Capital del Estado de México”</w:t>
    </w:r>
  </w:p>
  <w:p w14:paraId="14AFF60A" w14:textId="77777777" w:rsidR="007675B6" w:rsidRDefault="007675B6" w:rsidP="00CE7938">
    <w:pPr>
      <w:pStyle w:val="Encabezado"/>
      <w:jc w:val="center"/>
      <w:rPr>
        <w:rFonts w:ascii="Arial" w:hAnsi="Arial" w:cs="Arial"/>
        <w:b/>
        <w:color w:val="990033"/>
        <w:sz w:val="20"/>
        <w:szCs w:val="20"/>
      </w:rPr>
    </w:pPr>
    <w:r>
      <w:rPr>
        <w:rFonts w:ascii="Arial" w:hAnsi="Arial" w:cs="Arial"/>
        <w:b/>
        <w:color w:val="990033"/>
        <w:sz w:val="20"/>
        <w:szCs w:val="20"/>
      </w:rPr>
      <w:t>DIP. KARINA LABASTIDA SOTELO</w:t>
    </w:r>
  </w:p>
  <w:p w14:paraId="047478B7" w14:textId="77777777" w:rsidR="007675B6" w:rsidRDefault="007675B6" w:rsidP="00210D63">
    <w:pPr>
      <w:pStyle w:val="Encabezado"/>
      <w:jc w:val="center"/>
      <w:rPr>
        <w:rFonts w:ascii="Arial" w:eastAsia="Times New Roman" w:hAnsi="Arial" w:cs="Arial"/>
        <w:b/>
        <w:color w:val="990033"/>
        <w:sz w:val="20"/>
        <w:szCs w:val="20"/>
        <w:lang w:val="es-ES" w:eastAsia="es-ES"/>
      </w:rPr>
    </w:pPr>
    <w:r>
      <w:rPr>
        <w:rFonts w:ascii="Arial" w:eastAsia="Times New Roman" w:hAnsi="Arial" w:cs="Arial"/>
        <w:b/>
        <w:color w:val="990033"/>
        <w:sz w:val="20"/>
        <w:szCs w:val="20"/>
        <w:lang w:val="es-ES" w:eastAsia="es-ES"/>
      </w:rPr>
      <w:t>PRESIDENTA</w:t>
    </w:r>
    <w:r w:rsidRPr="000D00F2">
      <w:rPr>
        <w:rFonts w:ascii="Arial" w:eastAsia="Times New Roman" w:hAnsi="Arial" w:cs="Arial"/>
        <w:b/>
        <w:color w:val="990033"/>
        <w:sz w:val="20"/>
        <w:szCs w:val="20"/>
        <w:lang w:val="es-ES" w:eastAsia="es-ES"/>
      </w:rPr>
      <w:t xml:space="preserve"> </w:t>
    </w:r>
    <w:r>
      <w:rPr>
        <w:rFonts w:ascii="Arial" w:eastAsia="Times New Roman" w:hAnsi="Arial" w:cs="Arial"/>
        <w:b/>
        <w:color w:val="990033"/>
        <w:sz w:val="20"/>
        <w:szCs w:val="20"/>
        <w:lang w:val="es-ES" w:eastAsia="es-ES"/>
      </w:rPr>
      <w:t xml:space="preserve">DE LA COMISIÓN </w:t>
    </w:r>
    <w:r w:rsidRPr="000D00F2">
      <w:rPr>
        <w:rFonts w:ascii="Arial" w:eastAsia="Times New Roman" w:hAnsi="Arial" w:cs="Arial"/>
        <w:b/>
        <w:color w:val="990033"/>
        <w:sz w:val="20"/>
        <w:szCs w:val="20"/>
        <w:lang w:val="es-ES" w:eastAsia="es-ES"/>
      </w:rPr>
      <w:t>PARA LAS DECLARATORIAS DE ALERTA DE VIOLENCIA DE GÉNERO CONTRA LAS MUJERES POR FEMINICIDIO Y DESAPARICIÓN</w:t>
    </w:r>
  </w:p>
  <w:p w14:paraId="11F827EF" w14:textId="77777777" w:rsidR="007675B6" w:rsidRDefault="007675B6" w:rsidP="00210D63">
    <w:pPr>
      <w:pStyle w:val="Encabezado"/>
      <w:jc w:val="center"/>
      <w:rPr>
        <w:rFonts w:ascii="Arial" w:eastAsia="Times New Roman" w:hAnsi="Arial" w:cs="Arial"/>
        <w:b/>
        <w:color w:val="990033"/>
        <w:sz w:val="20"/>
        <w:szCs w:val="20"/>
        <w:lang w:val="es-ES"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76BD5F1"/>
    <w:multiLevelType w:val="hybridMultilevel"/>
    <w:tmpl w:val="19D160E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3079791"/>
    <w:multiLevelType w:val="hybridMultilevel"/>
    <w:tmpl w:val="545ED3F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4E7AA10"/>
    <w:multiLevelType w:val="hybridMultilevel"/>
    <w:tmpl w:val="ECF4B2A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1B405E"/>
    <w:multiLevelType w:val="hybridMultilevel"/>
    <w:tmpl w:val="5CD8422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ABB55E"/>
    <w:multiLevelType w:val="hybridMultilevel"/>
    <w:tmpl w:val="5D8E86B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E987191"/>
    <w:multiLevelType w:val="hybridMultilevel"/>
    <w:tmpl w:val="2ABA73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112611E"/>
    <w:multiLevelType w:val="hybridMultilevel"/>
    <w:tmpl w:val="3186552E"/>
    <w:lvl w:ilvl="0" w:tplc="827688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2970C6"/>
    <w:multiLevelType w:val="hybridMultilevel"/>
    <w:tmpl w:val="85B053AA"/>
    <w:lvl w:ilvl="0" w:tplc="345E5A82">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2D3E5B2F"/>
    <w:multiLevelType w:val="hybridMultilevel"/>
    <w:tmpl w:val="13448A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F4937EF"/>
    <w:multiLevelType w:val="hybridMultilevel"/>
    <w:tmpl w:val="F4F058CE"/>
    <w:lvl w:ilvl="0" w:tplc="A41A133A">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0" w15:restartNumberingAfterBreak="0">
    <w:nsid w:val="2F952A00"/>
    <w:multiLevelType w:val="hybridMultilevel"/>
    <w:tmpl w:val="D576A2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7A542A"/>
    <w:multiLevelType w:val="hybridMultilevel"/>
    <w:tmpl w:val="565C7B2C"/>
    <w:lvl w:ilvl="0" w:tplc="080A0017">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2" w15:restartNumberingAfterBreak="0">
    <w:nsid w:val="3CD27E43"/>
    <w:multiLevelType w:val="hybridMultilevel"/>
    <w:tmpl w:val="8BFCAC9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05F0845"/>
    <w:multiLevelType w:val="hybridMultilevel"/>
    <w:tmpl w:val="042E931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5ABE0C23"/>
    <w:multiLevelType w:val="hybridMultilevel"/>
    <w:tmpl w:val="8974C0D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AD85A1B"/>
    <w:multiLevelType w:val="hybridMultilevel"/>
    <w:tmpl w:val="EF669F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BDF35C9"/>
    <w:multiLevelType w:val="hybridMultilevel"/>
    <w:tmpl w:val="587264C6"/>
    <w:lvl w:ilvl="0" w:tplc="C43E1C12">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C160060"/>
    <w:multiLevelType w:val="hybridMultilevel"/>
    <w:tmpl w:val="2BD62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33A45BD"/>
    <w:multiLevelType w:val="hybridMultilevel"/>
    <w:tmpl w:val="2B3643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3901EA1"/>
    <w:multiLevelType w:val="hybridMultilevel"/>
    <w:tmpl w:val="E7568E9C"/>
    <w:lvl w:ilvl="0" w:tplc="C31EF6D0">
      <w:start w:val="1"/>
      <w:numFmt w:val="upperRoman"/>
      <w:lvlText w:val="%1."/>
      <w:lvlJc w:val="left"/>
      <w:pPr>
        <w:ind w:left="1288" w:hanging="720"/>
      </w:pPr>
      <w:rPr>
        <w:rFonts w:ascii="Arial" w:hAnsi="Arial" w:cs="Arial" w:hint="default"/>
        <w:b/>
        <w:sz w:val="24"/>
        <w:szCs w:val="36"/>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0" w15:restartNumberingAfterBreak="0">
    <w:nsid w:val="74663B67"/>
    <w:multiLevelType w:val="hybridMultilevel"/>
    <w:tmpl w:val="99F24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94936D4"/>
    <w:multiLevelType w:val="hybridMultilevel"/>
    <w:tmpl w:val="F2E83244"/>
    <w:lvl w:ilvl="0" w:tplc="8276885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9C14700"/>
    <w:multiLevelType w:val="hybridMultilevel"/>
    <w:tmpl w:val="7C4D8D9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79F62077"/>
    <w:multiLevelType w:val="hybridMultilevel"/>
    <w:tmpl w:val="7A2A2CC2"/>
    <w:lvl w:ilvl="0" w:tplc="080A0017">
      <w:start w:val="1"/>
      <w:numFmt w:val="lowerLetter"/>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BA1059A"/>
    <w:multiLevelType w:val="hybridMultilevel"/>
    <w:tmpl w:val="BD83FC5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8"/>
  </w:num>
  <w:num w:numId="2">
    <w:abstractNumId w:val="11"/>
  </w:num>
  <w:num w:numId="3">
    <w:abstractNumId w:val="12"/>
  </w:num>
  <w:num w:numId="4">
    <w:abstractNumId w:val="15"/>
  </w:num>
  <w:num w:numId="5">
    <w:abstractNumId w:val="13"/>
  </w:num>
  <w:num w:numId="6">
    <w:abstractNumId w:val="7"/>
  </w:num>
  <w:num w:numId="7">
    <w:abstractNumId w:val="23"/>
  </w:num>
  <w:num w:numId="8">
    <w:abstractNumId w:val="9"/>
  </w:num>
  <w:num w:numId="9">
    <w:abstractNumId w:val="19"/>
  </w:num>
  <w:num w:numId="10">
    <w:abstractNumId w:val="16"/>
  </w:num>
  <w:num w:numId="11">
    <w:abstractNumId w:val="21"/>
  </w:num>
  <w:num w:numId="12">
    <w:abstractNumId w:val="6"/>
  </w:num>
  <w:num w:numId="13">
    <w:abstractNumId w:val="5"/>
  </w:num>
  <w:num w:numId="14">
    <w:abstractNumId w:val="8"/>
  </w:num>
  <w:num w:numId="15">
    <w:abstractNumId w:val="20"/>
  </w:num>
  <w:num w:numId="16">
    <w:abstractNumId w:val="17"/>
  </w:num>
  <w:num w:numId="17">
    <w:abstractNumId w:val="10"/>
  </w:num>
  <w:num w:numId="18">
    <w:abstractNumId w:val="3"/>
  </w:num>
  <w:num w:numId="19">
    <w:abstractNumId w:val="0"/>
  </w:num>
  <w:num w:numId="20">
    <w:abstractNumId w:val="1"/>
  </w:num>
  <w:num w:numId="21">
    <w:abstractNumId w:val="24"/>
  </w:num>
  <w:num w:numId="22">
    <w:abstractNumId w:val="4"/>
  </w:num>
  <w:num w:numId="23">
    <w:abstractNumId w:val="2"/>
  </w:num>
  <w:num w:numId="24">
    <w:abstractNumId w:val="14"/>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F21"/>
    <w:rsid w:val="0000126E"/>
    <w:rsid w:val="00004372"/>
    <w:rsid w:val="00012EE2"/>
    <w:rsid w:val="00016B3E"/>
    <w:rsid w:val="000205B5"/>
    <w:rsid w:val="00023085"/>
    <w:rsid w:val="00030E6A"/>
    <w:rsid w:val="00037B31"/>
    <w:rsid w:val="00044ADF"/>
    <w:rsid w:val="0004746B"/>
    <w:rsid w:val="00050807"/>
    <w:rsid w:val="00052DB4"/>
    <w:rsid w:val="00055062"/>
    <w:rsid w:val="00061C70"/>
    <w:rsid w:val="00061F64"/>
    <w:rsid w:val="00063F98"/>
    <w:rsid w:val="000651F9"/>
    <w:rsid w:val="000654A4"/>
    <w:rsid w:val="00066481"/>
    <w:rsid w:val="00073073"/>
    <w:rsid w:val="0007398B"/>
    <w:rsid w:val="00074291"/>
    <w:rsid w:val="0007674D"/>
    <w:rsid w:val="000814AF"/>
    <w:rsid w:val="00083AEB"/>
    <w:rsid w:val="00084656"/>
    <w:rsid w:val="000952A2"/>
    <w:rsid w:val="000A01E2"/>
    <w:rsid w:val="000A7443"/>
    <w:rsid w:val="000B0FB7"/>
    <w:rsid w:val="000B2BB4"/>
    <w:rsid w:val="000D66C9"/>
    <w:rsid w:val="000D6C3F"/>
    <w:rsid w:val="000E0F70"/>
    <w:rsid w:val="000E1879"/>
    <w:rsid w:val="000E20DC"/>
    <w:rsid w:val="000F00C0"/>
    <w:rsid w:val="000F390B"/>
    <w:rsid w:val="001006DC"/>
    <w:rsid w:val="00104B72"/>
    <w:rsid w:val="00112B63"/>
    <w:rsid w:val="0011403D"/>
    <w:rsid w:val="00120DA8"/>
    <w:rsid w:val="00122FD7"/>
    <w:rsid w:val="0012391C"/>
    <w:rsid w:val="001274DD"/>
    <w:rsid w:val="0012793D"/>
    <w:rsid w:val="001638E8"/>
    <w:rsid w:val="00163E0F"/>
    <w:rsid w:val="001654FD"/>
    <w:rsid w:val="00175E88"/>
    <w:rsid w:val="001848C4"/>
    <w:rsid w:val="00186712"/>
    <w:rsid w:val="00195C94"/>
    <w:rsid w:val="00197536"/>
    <w:rsid w:val="001A2C04"/>
    <w:rsid w:val="001A7D8C"/>
    <w:rsid w:val="001B130E"/>
    <w:rsid w:val="001B1B89"/>
    <w:rsid w:val="001B3127"/>
    <w:rsid w:val="001C0548"/>
    <w:rsid w:val="001C253F"/>
    <w:rsid w:val="001C5F57"/>
    <w:rsid w:val="001D0818"/>
    <w:rsid w:val="001D082D"/>
    <w:rsid w:val="001D793E"/>
    <w:rsid w:val="001E06BB"/>
    <w:rsid w:val="001E1F95"/>
    <w:rsid w:val="001E66FD"/>
    <w:rsid w:val="001E78A9"/>
    <w:rsid w:val="001F35ED"/>
    <w:rsid w:val="001F53F1"/>
    <w:rsid w:val="001F6B5E"/>
    <w:rsid w:val="00200862"/>
    <w:rsid w:val="00210D63"/>
    <w:rsid w:val="00212621"/>
    <w:rsid w:val="00224D0A"/>
    <w:rsid w:val="00226754"/>
    <w:rsid w:val="00231788"/>
    <w:rsid w:val="002317DE"/>
    <w:rsid w:val="0024545B"/>
    <w:rsid w:val="002468CC"/>
    <w:rsid w:val="00247D62"/>
    <w:rsid w:val="00255905"/>
    <w:rsid w:val="0026350A"/>
    <w:rsid w:val="00264DA9"/>
    <w:rsid w:val="00265185"/>
    <w:rsid w:val="00270219"/>
    <w:rsid w:val="002754B8"/>
    <w:rsid w:val="00282C19"/>
    <w:rsid w:val="002861A4"/>
    <w:rsid w:val="00286743"/>
    <w:rsid w:val="002901EE"/>
    <w:rsid w:val="00292DF1"/>
    <w:rsid w:val="0029540F"/>
    <w:rsid w:val="002A068B"/>
    <w:rsid w:val="002A53DB"/>
    <w:rsid w:val="002A7B2D"/>
    <w:rsid w:val="002B1497"/>
    <w:rsid w:val="002B2527"/>
    <w:rsid w:val="002B5BB8"/>
    <w:rsid w:val="002B7E91"/>
    <w:rsid w:val="002C57B0"/>
    <w:rsid w:val="002C7612"/>
    <w:rsid w:val="002D4BD0"/>
    <w:rsid w:val="002E13B4"/>
    <w:rsid w:val="002E4CDB"/>
    <w:rsid w:val="002E551D"/>
    <w:rsid w:val="002F21AF"/>
    <w:rsid w:val="002F2DA3"/>
    <w:rsid w:val="002F5E59"/>
    <w:rsid w:val="00310F7F"/>
    <w:rsid w:val="0031243B"/>
    <w:rsid w:val="00325B9E"/>
    <w:rsid w:val="00327296"/>
    <w:rsid w:val="0033370C"/>
    <w:rsid w:val="00337790"/>
    <w:rsid w:val="003411FF"/>
    <w:rsid w:val="00342C86"/>
    <w:rsid w:val="0034668B"/>
    <w:rsid w:val="00347A39"/>
    <w:rsid w:val="00347FF9"/>
    <w:rsid w:val="0035144B"/>
    <w:rsid w:val="003523D7"/>
    <w:rsid w:val="00356912"/>
    <w:rsid w:val="003573E6"/>
    <w:rsid w:val="003675D9"/>
    <w:rsid w:val="00370540"/>
    <w:rsid w:val="00377579"/>
    <w:rsid w:val="003818D8"/>
    <w:rsid w:val="00382D6D"/>
    <w:rsid w:val="003864E4"/>
    <w:rsid w:val="0038778F"/>
    <w:rsid w:val="003A49A6"/>
    <w:rsid w:val="003A6F3D"/>
    <w:rsid w:val="003B1ADA"/>
    <w:rsid w:val="003C6464"/>
    <w:rsid w:val="003C78F4"/>
    <w:rsid w:val="003D4B1E"/>
    <w:rsid w:val="003E13E6"/>
    <w:rsid w:val="003E3790"/>
    <w:rsid w:val="003E7367"/>
    <w:rsid w:val="00402B03"/>
    <w:rsid w:val="00412F6D"/>
    <w:rsid w:val="0041644D"/>
    <w:rsid w:val="00417B75"/>
    <w:rsid w:val="00420081"/>
    <w:rsid w:val="0042765F"/>
    <w:rsid w:val="00433415"/>
    <w:rsid w:val="00435FC9"/>
    <w:rsid w:val="00437BCF"/>
    <w:rsid w:val="0045196E"/>
    <w:rsid w:val="004536D0"/>
    <w:rsid w:val="0045403F"/>
    <w:rsid w:val="00454CB3"/>
    <w:rsid w:val="00457667"/>
    <w:rsid w:val="00457735"/>
    <w:rsid w:val="004578EC"/>
    <w:rsid w:val="00477C79"/>
    <w:rsid w:val="00485106"/>
    <w:rsid w:val="00492F16"/>
    <w:rsid w:val="00495970"/>
    <w:rsid w:val="004A712F"/>
    <w:rsid w:val="004B7942"/>
    <w:rsid w:val="004C1B7B"/>
    <w:rsid w:val="004C40BD"/>
    <w:rsid w:val="004D72F4"/>
    <w:rsid w:val="004E29BA"/>
    <w:rsid w:val="004E2EA0"/>
    <w:rsid w:val="004F34BD"/>
    <w:rsid w:val="00506E0A"/>
    <w:rsid w:val="005101C1"/>
    <w:rsid w:val="00523590"/>
    <w:rsid w:val="00524C1C"/>
    <w:rsid w:val="00531FBE"/>
    <w:rsid w:val="005332D3"/>
    <w:rsid w:val="00534C5C"/>
    <w:rsid w:val="00540990"/>
    <w:rsid w:val="00544F51"/>
    <w:rsid w:val="005471C9"/>
    <w:rsid w:val="00554A36"/>
    <w:rsid w:val="00560154"/>
    <w:rsid w:val="00572FAE"/>
    <w:rsid w:val="0057399F"/>
    <w:rsid w:val="00574AE4"/>
    <w:rsid w:val="00582B86"/>
    <w:rsid w:val="005858C6"/>
    <w:rsid w:val="00585AE4"/>
    <w:rsid w:val="00585D42"/>
    <w:rsid w:val="00587A5E"/>
    <w:rsid w:val="00592F35"/>
    <w:rsid w:val="00593ACC"/>
    <w:rsid w:val="0059601A"/>
    <w:rsid w:val="005A2E79"/>
    <w:rsid w:val="005A60AB"/>
    <w:rsid w:val="005A6C95"/>
    <w:rsid w:val="005A70A2"/>
    <w:rsid w:val="005A74EE"/>
    <w:rsid w:val="005A7E31"/>
    <w:rsid w:val="005C1DF7"/>
    <w:rsid w:val="005E3C9D"/>
    <w:rsid w:val="005F1AF5"/>
    <w:rsid w:val="005F4129"/>
    <w:rsid w:val="0060627C"/>
    <w:rsid w:val="00610F31"/>
    <w:rsid w:val="006131B8"/>
    <w:rsid w:val="00616136"/>
    <w:rsid w:val="0062145D"/>
    <w:rsid w:val="00623758"/>
    <w:rsid w:val="0062587D"/>
    <w:rsid w:val="00625915"/>
    <w:rsid w:val="00627124"/>
    <w:rsid w:val="0063152A"/>
    <w:rsid w:val="00647004"/>
    <w:rsid w:val="006474A3"/>
    <w:rsid w:val="00652403"/>
    <w:rsid w:val="006561D7"/>
    <w:rsid w:val="00656608"/>
    <w:rsid w:val="006572DD"/>
    <w:rsid w:val="00662D47"/>
    <w:rsid w:val="00665D09"/>
    <w:rsid w:val="00680454"/>
    <w:rsid w:val="00691DB9"/>
    <w:rsid w:val="006927B1"/>
    <w:rsid w:val="00694748"/>
    <w:rsid w:val="006A0314"/>
    <w:rsid w:val="006A62D1"/>
    <w:rsid w:val="006B120B"/>
    <w:rsid w:val="006B2380"/>
    <w:rsid w:val="006B7819"/>
    <w:rsid w:val="006C259E"/>
    <w:rsid w:val="006D25B3"/>
    <w:rsid w:val="006E189F"/>
    <w:rsid w:val="006F10E4"/>
    <w:rsid w:val="006F2093"/>
    <w:rsid w:val="006F666F"/>
    <w:rsid w:val="00710F03"/>
    <w:rsid w:val="00712EED"/>
    <w:rsid w:val="00723C93"/>
    <w:rsid w:val="00723D56"/>
    <w:rsid w:val="0072733B"/>
    <w:rsid w:val="007432A4"/>
    <w:rsid w:val="007513A5"/>
    <w:rsid w:val="00751408"/>
    <w:rsid w:val="00753AAB"/>
    <w:rsid w:val="00755B06"/>
    <w:rsid w:val="0075778D"/>
    <w:rsid w:val="00762592"/>
    <w:rsid w:val="00763FE4"/>
    <w:rsid w:val="007649AD"/>
    <w:rsid w:val="00764E76"/>
    <w:rsid w:val="007675B6"/>
    <w:rsid w:val="007710CE"/>
    <w:rsid w:val="00775E5F"/>
    <w:rsid w:val="007965F3"/>
    <w:rsid w:val="007A0EFF"/>
    <w:rsid w:val="007A35F4"/>
    <w:rsid w:val="007A5AF1"/>
    <w:rsid w:val="007B0C16"/>
    <w:rsid w:val="007B112E"/>
    <w:rsid w:val="007B1DF9"/>
    <w:rsid w:val="007B511F"/>
    <w:rsid w:val="007B5316"/>
    <w:rsid w:val="007B5FD0"/>
    <w:rsid w:val="007B6E10"/>
    <w:rsid w:val="007B7B06"/>
    <w:rsid w:val="007C235C"/>
    <w:rsid w:val="007D004B"/>
    <w:rsid w:val="007E1DF6"/>
    <w:rsid w:val="007E2C92"/>
    <w:rsid w:val="007E3293"/>
    <w:rsid w:val="007E49C6"/>
    <w:rsid w:val="007E6051"/>
    <w:rsid w:val="007E7980"/>
    <w:rsid w:val="007F074F"/>
    <w:rsid w:val="007F0A75"/>
    <w:rsid w:val="007F1F36"/>
    <w:rsid w:val="00801396"/>
    <w:rsid w:val="00805D55"/>
    <w:rsid w:val="00813B47"/>
    <w:rsid w:val="0081649D"/>
    <w:rsid w:val="00816F7E"/>
    <w:rsid w:val="008175A0"/>
    <w:rsid w:val="0082048D"/>
    <w:rsid w:val="008240DD"/>
    <w:rsid w:val="0082603A"/>
    <w:rsid w:val="00830234"/>
    <w:rsid w:val="00833595"/>
    <w:rsid w:val="00834B41"/>
    <w:rsid w:val="008352D9"/>
    <w:rsid w:val="0084009F"/>
    <w:rsid w:val="0084053F"/>
    <w:rsid w:val="008434E7"/>
    <w:rsid w:val="00844CE5"/>
    <w:rsid w:val="0085605C"/>
    <w:rsid w:val="00863DC4"/>
    <w:rsid w:val="00864012"/>
    <w:rsid w:val="00867243"/>
    <w:rsid w:val="00870CA8"/>
    <w:rsid w:val="00891838"/>
    <w:rsid w:val="00892AD2"/>
    <w:rsid w:val="008B7963"/>
    <w:rsid w:val="008C4D44"/>
    <w:rsid w:val="008C4F11"/>
    <w:rsid w:val="008C65BB"/>
    <w:rsid w:val="008D076D"/>
    <w:rsid w:val="008D1C0C"/>
    <w:rsid w:val="008E1F78"/>
    <w:rsid w:val="008E2172"/>
    <w:rsid w:val="008E3F3C"/>
    <w:rsid w:val="008E5F62"/>
    <w:rsid w:val="008E731A"/>
    <w:rsid w:val="008E7893"/>
    <w:rsid w:val="008F1ECA"/>
    <w:rsid w:val="008F7E6E"/>
    <w:rsid w:val="009011F8"/>
    <w:rsid w:val="00910DA4"/>
    <w:rsid w:val="00913CEA"/>
    <w:rsid w:val="00914E72"/>
    <w:rsid w:val="0091778B"/>
    <w:rsid w:val="00924B39"/>
    <w:rsid w:val="00931742"/>
    <w:rsid w:val="00932BB4"/>
    <w:rsid w:val="00950613"/>
    <w:rsid w:val="0095297D"/>
    <w:rsid w:val="00956567"/>
    <w:rsid w:val="00960140"/>
    <w:rsid w:val="009639B3"/>
    <w:rsid w:val="009712AE"/>
    <w:rsid w:val="00983B85"/>
    <w:rsid w:val="00983D82"/>
    <w:rsid w:val="00990929"/>
    <w:rsid w:val="00994B99"/>
    <w:rsid w:val="009A319B"/>
    <w:rsid w:val="009A41C4"/>
    <w:rsid w:val="009B2AD0"/>
    <w:rsid w:val="009B4575"/>
    <w:rsid w:val="009B78D8"/>
    <w:rsid w:val="009C13A1"/>
    <w:rsid w:val="009C350B"/>
    <w:rsid w:val="009C4253"/>
    <w:rsid w:val="009E075E"/>
    <w:rsid w:val="009E123F"/>
    <w:rsid w:val="009E294D"/>
    <w:rsid w:val="009E37F7"/>
    <w:rsid w:val="009E7E8E"/>
    <w:rsid w:val="009F78DA"/>
    <w:rsid w:val="00A03235"/>
    <w:rsid w:val="00A03EA2"/>
    <w:rsid w:val="00A0552B"/>
    <w:rsid w:val="00A070CE"/>
    <w:rsid w:val="00A07D47"/>
    <w:rsid w:val="00A07D99"/>
    <w:rsid w:val="00A23F4F"/>
    <w:rsid w:val="00A249E0"/>
    <w:rsid w:val="00A2557D"/>
    <w:rsid w:val="00A306B0"/>
    <w:rsid w:val="00A36F21"/>
    <w:rsid w:val="00A41016"/>
    <w:rsid w:val="00A43220"/>
    <w:rsid w:val="00A434CC"/>
    <w:rsid w:val="00A46A05"/>
    <w:rsid w:val="00A47BB1"/>
    <w:rsid w:val="00A562CA"/>
    <w:rsid w:val="00A57F66"/>
    <w:rsid w:val="00A62814"/>
    <w:rsid w:val="00A755AC"/>
    <w:rsid w:val="00A77187"/>
    <w:rsid w:val="00A81D83"/>
    <w:rsid w:val="00A82E77"/>
    <w:rsid w:val="00A82E91"/>
    <w:rsid w:val="00A863DC"/>
    <w:rsid w:val="00A8749E"/>
    <w:rsid w:val="00A87FC5"/>
    <w:rsid w:val="00A96E63"/>
    <w:rsid w:val="00A978CE"/>
    <w:rsid w:val="00AA3E48"/>
    <w:rsid w:val="00AA6B7D"/>
    <w:rsid w:val="00AB184D"/>
    <w:rsid w:val="00AB74F1"/>
    <w:rsid w:val="00AB7806"/>
    <w:rsid w:val="00AC01B9"/>
    <w:rsid w:val="00AC2BE2"/>
    <w:rsid w:val="00AC396E"/>
    <w:rsid w:val="00AC4147"/>
    <w:rsid w:val="00AC4FE1"/>
    <w:rsid w:val="00AD1D99"/>
    <w:rsid w:val="00AE2970"/>
    <w:rsid w:val="00AF0A59"/>
    <w:rsid w:val="00AF2136"/>
    <w:rsid w:val="00AF52C3"/>
    <w:rsid w:val="00AF606F"/>
    <w:rsid w:val="00AF7700"/>
    <w:rsid w:val="00B00713"/>
    <w:rsid w:val="00B067C6"/>
    <w:rsid w:val="00B1039F"/>
    <w:rsid w:val="00B11F31"/>
    <w:rsid w:val="00B177A4"/>
    <w:rsid w:val="00B23DFF"/>
    <w:rsid w:val="00B277B0"/>
    <w:rsid w:val="00B326F2"/>
    <w:rsid w:val="00B50D7C"/>
    <w:rsid w:val="00B518D3"/>
    <w:rsid w:val="00B657EB"/>
    <w:rsid w:val="00B73627"/>
    <w:rsid w:val="00B73F79"/>
    <w:rsid w:val="00B74E2A"/>
    <w:rsid w:val="00B84E68"/>
    <w:rsid w:val="00B87C21"/>
    <w:rsid w:val="00B968A5"/>
    <w:rsid w:val="00BA2311"/>
    <w:rsid w:val="00BA71F1"/>
    <w:rsid w:val="00BB3DB8"/>
    <w:rsid w:val="00BB5B35"/>
    <w:rsid w:val="00BB6999"/>
    <w:rsid w:val="00BC71A9"/>
    <w:rsid w:val="00BC73C5"/>
    <w:rsid w:val="00BD5A36"/>
    <w:rsid w:val="00BE2BE6"/>
    <w:rsid w:val="00BE4067"/>
    <w:rsid w:val="00BE69C0"/>
    <w:rsid w:val="00BE72ED"/>
    <w:rsid w:val="00BF0FF8"/>
    <w:rsid w:val="00BF23B5"/>
    <w:rsid w:val="00BF4586"/>
    <w:rsid w:val="00BF6E3E"/>
    <w:rsid w:val="00BF72E3"/>
    <w:rsid w:val="00C0008F"/>
    <w:rsid w:val="00C00E3D"/>
    <w:rsid w:val="00C027D7"/>
    <w:rsid w:val="00C036B4"/>
    <w:rsid w:val="00C04515"/>
    <w:rsid w:val="00C06ABE"/>
    <w:rsid w:val="00C10A48"/>
    <w:rsid w:val="00C11271"/>
    <w:rsid w:val="00C115BB"/>
    <w:rsid w:val="00C11D98"/>
    <w:rsid w:val="00C13BAF"/>
    <w:rsid w:val="00C154C9"/>
    <w:rsid w:val="00C24821"/>
    <w:rsid w:val="00C251DB"/>
    <w:rsid w:val="00C304F5"/>
    <w:rsid w:val="00C316D6"/>
    <w:rsid w:val="00C3636E"/>
    <w:rsid w:val="00C4291E"/>
    <w:rsid w:val="00C513DA"/>
    <w:rsid w:val="00C609A0"/>
    <w:rsid w:val="00C619E8"/>
    <w:rsid w:val="00C6389E"/>
    <w:rsid w:val="00C66EE0"/>
    <w:rsid w:val="00C6789E"/>
    <w:rsid w:val="00C72339"/>
    <w:rsid w:val="00C73208"/>
    <w:rsid w:val="00C7394E"/>
    <w:rsid w:val="00C74FB9"/>
    <w:rsid w:val="00C81509"/>
    <w:rsid w:val="00C841B1"/>
    <w:rsid w:val="00C909D0"/>
    <w:rsid w:val="00C9577C"/>
    <w:rsid w:val="00C962E7"/>
    <w:rsid w:val="00C96EB0"/>
    <w:rsid w:val="00CA137E"/>
    <w:rsid w:val="00CA2545"/>
    <w:rsid w:val="00CA402C"/>
    <w:rsid w:val="00CA55B1"/>
    <w:rsid w:val="00CB48FD"/>
    <w:rsid w:val="00CC0350"/>
    <w:rsid w:val="00CC12AE"/>
    <w:rsid w:val="00CC1521"/>
    <w:rsid w:val="00CC65F6"/>
    <w:rsid w:val="00CD005C"/>
    <w:rsid w:val="00CE1B6F"/>
    <w:rsid w:val="00CE2DAD"/>
    <w:rsid w:val="00CE7938"/>
    <w:rsid w:val="00CF2717"/>
    <w:rsid w:val="00CF38DA"/>
    <w:rsid w:val="00CF7C7F"/>
    <w:rsid w:val="00D0551F"/>
    <w:rsid w:val="00D075EA"/>
    <w:rsid w:val="00D13803"/>
    <w:rsid w:val="00D202FD"/>
    <w:rsid w:val="00D20839"/>
    <w:rsid w:val="00D219C8"/>
    <w:rsid w:val="00D21D9E"/>
    <w:rsid w:val="00D22482"/>
    <w:rsid w:val="00D2522F"/>
    <w:rsid w:val="00D25BB4"/>
    <w:rsid w:val="00D2659C"/>
    <w:rsid w:val="00D301EE"/>
    <w:rsid w:val="00D330A1"/>
    <w:rsid w:val="00D41693"/>
    <w:rsid w:val="00D61521"/>
    <w:rsid w:val="00D80D7F"/>
    <w:rsid w:val="00D81BAA"/>
    <w:rsid w:val="00D9347A"/>
    <w:rsid w:val="00DA42EF"/>
    <w:rsid w:val="00DA67FE"/>
    <w:rsid w:val="00DB4529"/>
    <w:rsid w:val="00DD051B"/>
    <w:rsid w:val="00DD0A64"/>
    <w:rsid w:val="00DE678F"/>
    <w:rsid w:val="00DF2D32"/>
    <w:rsid w:val="00DF345A"/>
    <w:rsid w:val="00E01124"/>
    <w:rsid w:val="00E07AC8"/>
    <w:rsid w:val="00E10EAA"/>
    <w:rsid w:val="00E1152E"/>
    <w:rsid w:val="00E14D23"/>
    <w:rsid w:val="00E21BED"/>
    <w:rsid w:val="00E239A1"/>
    <w:rsid w:val="00E340D4"/>
    <w:rsid w:val="00E347D4"/>
    <w:rsid w:val="00E354E3"/>
    <w:rsid w:val="00E3605A"/>
    <w:rsid w:val="00E37B15"/>
    <w:rsid w:val="00E425C0"/>
    <w:rsid w:val="00E42659"/>
    <w:rsid w:val="00E43139"/>
    <w:rsid w:val="00E53AC1"/>
    <w:rsid w:val="00E57977"/>
    <w:rsid w:val="00E617C8"/>
    <w:rsid w:val="00E711D5"/>
    <w:rsid w:val="00E85B6B"/>
    <w:rsid w:val="00E93A68"/>
    <w:rsid w:val="00E94CF8"/>
    <w:rsid w:val="00EA2707"/>
    <w:rsid w:val="00EA4272"/>
    <w:rsid w:val="00EA7058"/>
    <w:rsid w:val="00EA74A1"/>
    <w:rsid w:val="00EB231F"/>
    <w:rsid w:val="00EB4C33"/>
    <w:rsid w:val="00EB759B"/>
    <w:rsid w:val="00EC09F5"/>
    <w:rsid w:val="00EC41FF"/>
    <w:rsid w:val="00ED56F0"/>
    <w:rsid w:val="00ED6E21"/>
    <w:rsid w:val="00EE1C27"/>
    <w:rsid w:val="00EE2BBA"/>
    <w:rsid w:val="00EE598F"/>
    <w:rsid w:val="00EF3284"/>
    <w:rsid w:val="00EF6A0E"/>
    <w:rsid w:val="00F00C8C"/>
    <w:rsid w:val="00F13183"/>
    <w:rsid w:val="00F153C1"/>
    <w:rsid w:val="00F160CB"/>
    <w:rsid w:val="00F17215"/>
    <w:rsid w:val="00F212AD"/>
    <w:rsid w:val="00F22932"/>
    <w:rsid w:val="00F2469A"/>
    <w:rsid w:val="00F247A6"/>
    <w:rsid w:val="00F269E2"/>
    <w:rsid w:val="00F45DF9"/>
    <w:rsid w:val="00F45FA0"/>
    <w:rsid w:val="00F5317D"/>
    <w:rsid w:val="00F610D5"/>
    <w:rsid w:val="00F67B52"/>
    <w:rsid w:val="00F72A71"/>
    <w:rsid w:val="00F74FB0"/>
    <w:rsid w:val="00F80053"/>
    <w:rsid w:val="00F800EE"/>
    <w:rsid w:val="00F80176"/>
    <w:rsid w:val="00F96280"/>
    <w:rsid w:val="00FA0FCC"/>
    <w:rsid w:val="00FA398F"/>
    <w:rsid w:val="00FB0913"/>
    <w:rsid w:val="00FB0DC6"/>
    <w:rsid w:val="00FB49A3"/>
    <w:rsid w:val="00FB4F95"/>
    <w:rsid w:val="00FB69AE"/>
    <w:rsid w:val="00FB7F0E"/>
    <w:rsid w:val="00FC0E0B"/>
    <w:rsid w:val="00FC5073"/>
    <w:rsid w:val="00FD5C0A"/>
    <w:rsid w:val="00FD6ED0"/>
    <w:rsid w:val="00FD7DBB"/>
    <w:rsid w:val="00FE6AA0"/>
    <w:rsid w:val="00FF4FA0"/>
    <w:rsid w:val="00FF5F21"/>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84BCF"/>
  <w15:docId w15:val="{B00673CA-EB88-481E-99BC-E355AFC8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5F2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F5F2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FF5F21"/>
    <w:rPr>
      <w:color w:val="0000FF"/>
      <w:u w:val="single"/>
    </w:rPr>
  </w:style>
  <w:style w:type="character" w:styleId="Textoennegrita">
    <w:name w:val="Strong"/>
    <w:basedOn w:val="Fuentedeprrafopredeter"/>
    <w:uiPriority w:val="22"/>
    <w:qFormat/>
    <w:rsid w:val="00FF5F21"/>
    <w:rPr>
      <w:b/>
      <w:bCs/>
    </w:rPr>
  </w:style>
  <w:style w:type="paragraph" w:styleId="Prrafodelista">
    <w:name w:val="List Paragraph"/>
    <w:basedOn w:val="Normal"/>
    <w:uiPriority w:val="1"/>
    <w:qFormat/>
    <w:rsid w:val="00FF5F21"/>
    <w:pPr>
      <w:ind w:left="720"/>
      <w:contextualSpacing/>
    </w:pPr>
    <w:rPr>
      <w:lang w:val="es-ES"/>
    </w:rPr>
  </w:style>
  <w:style w:type="paragraph" w:styleId="Textonotapie">
    <w:name w:val="footnote text"/>
    <w:basedOn w:val="Normal"/>
    <w:link w:val="TextonotapieCar"/>
    <w:uiPriority w:val="99"/>
    <w:unhideWhenUsed/>
    <w:rsid w:val="00FF5F21"/>
    <w:pPr>
      <w:spacing w:after="0" w:line="240" w:lineRule="auto"/>
    </w:pPr>
    <w:rPr>
      <w:sz w:val="20"/>
      <w:szCs w:val="20"/>
    </w:rPr>
  </w:style>
  <w:style w:type="character" w:customStyle="1" w:styleId="TextonotapieCar">
    <w:name w:val="Texto nota pie Car"/>
    <w:basedOn w:val="Fuentedeprrafopredeter"/>
    <w:link w:val="Textonotapie"/>
    <w:uiPriority w:val="99"/>
    <w:rsid w:val="00FF5F21"/>
    <w:rPr>
      <w:sz w:val="20"/>
      <w:szCs w:val="20"/>
    </w:rPr>
  </w:style>
  <w:style w:type="character" w:styleId="Refdenotaalpie">
    <w:name w:val="footnote reference"/>
    <w:basedOn w:val="Fuentedeprrafopredeter"/>
    <w:uiPriority w:val="99"/>
    <w:semiHidden/>
    <w:unhideWhenUsed/>
    <w:rsid w:val="00FF5F21"/>
    <w:rPr>
      <w:vertAlign w:val="superscript"/>
    </w:rPr>
  </w:style>
  <w:style w:type="table" w:styleId="Tablaconcuadrcula">
    <w:name w:val="Table Grid"/>
    <w:basedOn w:val="Tablanormal"/>
    <w:uiPriority w:val="39"/>
    <w:rsid w:val="00A03E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E79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E7938"/>
  </w:style>
  <w:style w:type="paragraph" w:styleId="Piedepgina">
    <w:name w:val="footer"/>
    <w:basedOn w:val="Normal"/>
    <w:link w:val="PiedepginaCar"/>
    <w:uiPriority w:val="99"/>
    <w:unhideWhenUsed/>
    <w:rsid w:val="00CE79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E7938"/>
  </w:style>
  <w:style w:type="paragraph" w:styleId="Sinespaciado">
    <w:name w:val="No Spacing"/>
    <w:uiPriority w:val="1"/>
    <w:qFormat/>
    <w:rsid w:val="00CE7938"/>
    <w:pPr>
      <w:spacing w:after="0" w:line="240" w:lineRule="auto"/>
    </w:pPr>
  </w:style>
  <w:style w:type="paragraph" w:styleId="Textodeglobo">
    <w:name w:val="Balloon Text"/>
    <w:basedOn w:val="Normal"/>
    <w:link w:val="TextodegloboCar"/>
    <w:uiPriority w:val="99"/>
    <w:semiHidden/>
    <w:unhideWhenUsed/>
    <w:rsid w:val="006A62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62D1"/>
    <w:rPr>
      <w:rFonts w:ascii="Tahoma" w:hAnsi="Tahoma" w:cs="Tahoma"/>
      <w:sz w:val="16"/>
      <w:szCs w:val="16"/>
    </w:rPr>
  </w:style>
  <w:style w:type="character" w:customStyle="1" w:styleId="Mencinsinresolver1">
    <w:name w:val="Mención sin resolver1"/>
    <w:basedOn w:val="Fuentedeprrafopredeter"/>
    <w:uiPriority w:val="99"/>
    <w:semiHidden/>
    <w:unhideWhenUsed/>
    <w:rsid w:val="002E551D"/>
    <w:rPr>
      <w:color w:val="605E5C"/>
      <w:shd w:val="clear" w:color="auto" w:fill="E1DFDD"/>
    </w:rPr>
  </w:style>
  <w:style w:type="character" w:styleId="Hipervnculovisitado">
    <w:name w:val="FollowedHyperlink"/>
    <w:basedOn w:val="Fuentedeprrafopredeter"/>
    <w:uiPriority w:val="99"/>
    <w:semiHidden/>
    <w:unhideWhenUsed/>
    <w:rsid w:val="0057399F"/>
    <w:rPr>
      <w:color w:val="954F72" w:themeColor="followedHyperlink"/>
      <w:u w:val="single"/>
    </w:rPr>
  </w:style>
  <w:style w:type="character" w:customStyle="1" w:styleId="Ninguno">
    <w:name w:val="Ninguno"/>
    <w:rsid w:val="00610F31"/>
    <w:rPr>
      <w:lang w:val="es-ES_tradnl"/>
    </w:rPr>
  </w:style>
  <w:style w:type="character" w:styleId="nfasis">
    <w:name w:val="Emphasis"/>
    <w:basedOn w:val="Fuentedeprrafopredeter"/>
    <w:uiPriority w:val="20"/>
    <w:qFormat/>
    <w:rsid w:val="00F22932"/>
    <w:rPr>
      <w:i/>
      <w:iCs/>
    </w:rPr>
  </w:style>
  <w:style w:type="paragraph" w:customStyle="1" w:styleId="Texto">
    <w:name w:val="Texto"/>
    <w:aliases w:val="independiente,independiente Car Car Car"/>
    <w:basedOn w:val="Normal"/>
    <w:link w:val="TextoCar"/>
    <w:qFormat/>
    <w:rsid w:val="00D075EA"/>
    <w:pPr>
      <w:spacing w:after="101" w:line="216" w:lineRule="exact"/>
      <w:ind w:firstLine="288"/>
      <w:jc w:val="both"/>
    </w:pPr>
    <w:rPr>
      <w:rFonts w:ascii="Arial" w:eastAsia="Times New Roman" w:hAnsi="Arial" w:cs="Arial"/>
      <w:sz w:val="18"/>
      <w:szCs w:val="20"/>
      <w:lang w:eastAsia="es-ES"/>
    </w:rPr>
  </w:style>
  <w:style w:type="character" w:customStyle="1" w:styleId="TextoCar">
    <w:name w:val="Texto Car"/>
    <w:link w:val="Texto"/>
    <w:locked/>
    <w:rsid w:val="00D075EA"/>
    <w:rPr>
      <w:rFonts w:ascii="Arial" w:eastAsia="Times New Roman" w:hAnsi="Arial" w:cs="Arial"/>
      <w:sz w:val="18"/>
      <w:szCs w:val="20"/>
      <w:lang w:eastAsia="es-ES"/>
    </w:rPr>
  </w:style>
  <w:style w:type="paragraph" w:customStyle="1" w:styleId="PRIMERAPLANA">
    <w:name w:val="PRIMERA PLANA"/>
    <w:basedOn w:val="Normal"/>
    <w:rsid w:val="00755B06"/>
    <w:pPr>
      <w:spacing w:after="0" w:line="240" w:lineRule="auto"/>
      <w:jc w:val="both"/>
    </w:pPr>
    <w:rPr>
      <w:rFonts w:ascii="Arial" w:eastAsia="Times New Roman" w:hAnsi="Arial" w:cs="Times New Roman"/>
      <w:sz w:val="20"/>
      <w:szCs w:val="20"/>
      <w:lang w:val="es-ES_tradnl" w:eastAsia="es-ES"/>
    </w:rPr>
  </w:style>
  <w:style w:type="paragraph" w:styleId="Revisin">
    <w:name w:val="Revision"/>
    <w:hidden/>
    <w:uiPriority w:val="99"/>
    <w:semiHidden/>
    <w:rsid w:val="0004746B"/>
    <w:pPr>
      <w:spacing w:after="0" w:line="240" w:lineRule="auto"/>
    </w:pPr>
  </w:style>
  <w:style w:type="character" w:styleId="Refdecomentario">
    <w:name w:val="annotation reference"/>
    <w:basedOn w:val="Fuentedeprrafopredeter"/>
    <w:uiPriority w:val="99"/>
    <w:semiHidden/>
    <w:unhideWhenUsed/>
    <w:rsid w:val="001006DC"/>
    <w:rPr>
      <w:sz w:val="16"/>
      <w:szCs w:val="16"/>
    </w:rPr>
  </w:style>
  <w:style w:type="paragraph" w:styleId="Textocomentario">
    <w:name w:val="annotation text"/>
    <w:basedOn w:val="Normal"/>
    <w:link w:val="TextocomentarioCar"/>
    <w:uiPriority w:val="99"/>
    <w:semiHidden/>
    <w:unhideWhenUsed/>
    <w:rsid w:val="001006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006DC"/>
    <w:rPr>
      <w:sz w:val="20"/>
      <w:szCs w:val="20"/>
    </w:rPr>
  </w:style>
  <w:style w:type="paragraph" w:styleId="Asuntodelcomentario">
    <w:name w:val="annotation subject"/>
    <w:basedOn w:val="Textocomentario"/>
    <w:next w:val="Textocomentario"/>
    <w:link w:val="AsuntodelcomentarioCar"/>
    <w:uiPriority w:val="99"/>
    <w:semiHidden/>
    <w:unhideWhenUsed/>
    <w:rsid w:val="001006DC"/>
    <w:rPr>
      <w:b/>
      <w:bCs/>
    </w:rPr>
  </w:style>
  <w:style w:type="character" w:customStyle="1" w:styleId="AsuntodelcomentarioCar">
    <w:name w:val="Asunto del comentario Car"/>
    <w:basedOn w:val="TextocomentarioCar"/>
    <w:link w:val="Asuntodelcomentario"/>
    <w:uiPriority w:val="99"/>
    <w:semiHidden/>
    <w:rsid w:val="001006DC"/>
    <w:rPr>
      <w:b/>
      <w:bCs/>
      <w:sz w:val="20"/>
      <w:szCs w:val="20"/>
    </w:rPr>
  </w:style>
  <w:style w:type="paragraph" w:customStyle="1" w:styleId="Default">
    <w:name w:val="Default"/>
    <w:rsid w:val="00625915"/>
    <w:pPr>
      <w:autoSpaceDE w:val="0"/>
      <w:autoSpaceDN w:val="0"/>
      <w:adjustRightInd w:val="0"/>
      <w:spacing w:after="0" w:line="240" w:lineRule="auto"/>
    </w:pPr>
    <w:rPr>
      <w:rFonts w:ascii="Montserrat" w:hAnsi="Montserrat" w:cs="Montserra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6779">
      <w:bodyDiv w:val="1"/>
      <w:marLeft w:val="0"/>
      <w:marRight w:val="0"/>
      <w:marTop w:val="0"/>
      <w:marBottom w:val="0"/>
      <w:divBdr>
        <w:top w:val="none" w:sz="0" w:space="0" w:color="auto"/>
        <w:left w:val="none" w:sz="0" w:space="0" w:color="auto"/>
        <w:bottom w:val="none" w:sz="0" w:space="0" w:color="auto"/>
        <w:right w:val="none" w:sz="0" w:space="0" w:color="auto"/>
      </w:divBdr>
    </w:div>
    <w:div w:id="23560065">
      <w:bodyDiv w:val="1"/>
      <w:marLeft w:val="0"/>
      <w:marRight w:val="0"/>
      <w:marTop w:val="0"/>
      <w:marBottom w:val="0"/>
      <w:divBdr>
        <w:top w:val="none" w:sz="0" w:space="0" w:color="auto"/>
        <w:left w:val="none" w:sz="0" w:space="0" w:color="auto"/>
        <w:bottom w:val="none" w:sz="0" w:space="0" w:color="auto"/>
        <w:right w:val="none" w:sz="0" w:space="0" w:color="auto"/>
      </w:divBdr>
    </w:div>
    <w:div w:id="125902927">
      <w:bodyDiv w:val="1"/>
      <w:marLeft w:val="0"/>
      <w:marRight w:val="0"/>
      <w:marTop w:val="0"/>
      <w:marBottom w:val="0"/>
      <w:divBdr>
        <w:top w:val="none" w:sz="0" w:space="0" w:color="auto"/>
        <w:left w:val="none" w:sz="0" w:space="0" w:color="auto"/>
        <w:bottom w:val="none" w:sz="0" w:space="0" w:color="auto"/>
        <w:right w:val="none" w:sz="0" w:space="0" w:color="auto"/>
      </w:divBdr>
    </w:div>
    <w:div w:id="157506042">
      <w:bodyDiv w:val="1"/>
      <w:marLeft w:val="0"/>
      <w:marRight w:val="0"/>
      <w:marTop w:val="0"/>
      <w:marBottom w:val="0"/>
      <w:divBdr>
        <w:top w:val="none" w:sz="0" w:space="0" w:color="auto"/>
        <w:left w:val="none" w:sz="0" w:space="0" w:color="auto"/>
        <w:bottom w:val="none" w:sz="0" w:space="0" w:color="auto"/>
        <w:right w:val="none" w:sz="0" w:space="0" w:color="auto"/>
      </w:divBdr>
    </w:div>
    <w:div w:id="288824457">
      <w:bodyDiv w:val="1"/>
      <w:marLeft w:val="0"/>
      <w:marRight w:val="0"/>
      <w:marTop w:val="0"/>
      <w:marBottom w:val="0"/>
      <w:divBdr>
        <w:top w:val="none" w:sz="0" w:space="0" w:color="auto"/>
        <w:left w:val="none" w:sz="0" w:space="0" w:color="auto"/>
        <w:bottom w:val="none" w:sz="0" w:space="0" w:color="auto"/>
        <w:right w:val="none" w:sz="0" w:space="0" w:color="auto"/>
      </w:divBdr>
    </w:div>
    <w:div w:id="381831500">
      <w:bodyDiv w:val="1"/>
      <w:marLeft w:val="0"/>
      <w:marRight w:val="0"/>
      <w:marTop w:val="0"/>
      <w:marBottom w:val="0"/>
      <w:divBdr>
        <w:top w:val="none" w:sz="0" w:space="0" w:color="auto"/>
        <w:left w:val="none" w:sz="0" w:space="0" w:color="auto"/>
        <w:bottom w:val="none" w:sz="0" w:space="0" w:color="auto"/>
        <w:right w:val="none" w:sz="0" w:space="0" w:color="auto"/>
      </w:divBdr>
    </w:div>
    <w:div w:id="395787858">
      <w:bodyDiv w:val="1"/>
      <w:marLeft w:val="0"/>
      <w:marRight w:val="0"/>
      <w:marTop w:val="0"/>
      <w:marBottom w:val="0"/>
      <w:divBdr>
        <w:top w:val="none" w:sz="0" w:space="0" w:color="auto"/>
        <w:left w:val="none" w:sz="0" w:space="0" w:color="auto"/>
        <w:bottom w:val="none" w:sz="0" w:space="0" w:color="auto"/>
        <w:right w:val="none" w:sz="0" w:space="0" w:color="auto"/>
      </w:divBdr>
    </w:div>
    <w:div w:id="495927437">
      <w:bodyDiv w:val="1"/>
      <w:marLeft w:val="0"/>
      <w:marRight w:val="0"/>
      <w:marTop w:val="0"/>
      <w:marBottom w:val="0"/>
      <w:divBdr>
        <w:top w:val="none" w:sz="0" w:space="0" w:color="auto"/>
        <w:left w:val="none" w:sz="0" w:space="0" w:color="auto"/>
        <w:bottom w:val="none" w:sz="0" w:space="0" w:color="auto"/>
        <w:right w:val="none" w:sz="0" w:space="0" w:color="auto"/>
      </w:divBdr>
    </w:div>
    <w:div w:id="842671355">
      <w:bodyDiv w:val="1"/>
      <w:marLeft w:val="0"/>
      <w:marRight w:val="0"/>
      <w:marTop w:val="0"/>
      <w:marBottom w:val="0"/>
      <w:divBdr>
        <w:top w:val="none" w:sz="0" w:space="0" w:color="auto"/>
        <w:left w:val="none" w:sz="0" w:space="0" w:color="auto"/>
        <w:bottom w:val="none" w:sz="0" w:space="0" w:color="auto"/>
        <w:right w:val="none" w:sz="0" w:space="0" w:color="auto"/>
      </w:divBdr>
    </w:div>
    <w:div w:id="957832800">
      <w:bodyDiv w:val="1"/>
      <w:marLeft w:val="0"/>
      <w:marRight w:val="0"/>
      <w:marTop w:val="0"/>
      <w:marBottom w:val="0"/>
      <w:divBdr>
        <w:top w:val="none" w:sz="0" w:space="0" w:color="auto"/>
        <w:left w:val="none" w:sz="0" w:space="0" w:color="auto"/>
        <w:bottom w:val="none" w:sz="0" w:space="0" w:color="auto"/>
        <w:right w:val="none" w:sz="0" w:space="0" w:color="auto"/>
      </w:divBdr>
    </w:div>
    <w:div w:id="1021127414">
      <w:bodyDiv w:val="1"/>
      <w:marLeft w:val="0"/>
      <w:marRight w:val="0"/>
      <w:marTop w:val="0"/>
      <w:marBottom w:val="0"/>
      <w:divBdr>
        <w:top w:val="none" w:sz="0" w:space="0" w:color="auto"/>
        <w:left w:val="none" w:sz="0" w:space="0" w:color="auto"/>
        <w:bottom w:val="none" w:sz="0" w:space="0" w:color="auto"/>
        <w:right w:val="none" w:sz="0" w:space="0" w:color="auto"/>
      </w:divBdr>
    </w:div>
    <w:div w:id="1044721288">
      <w:bodyDiv w:val="1"/>
      <w:marLeft w:val="0"/>
      <w:marRight w:val="0"/>
      <w:marTop w:val="0"/>
      <w:marBottom w:val="0"/>
      <w:divBdr>
        <w:top w:val="none" w:sz="0" w:space="0" w:color="auto"/>
        <w:left w:val="none" w:sz="0" w:space="0" w:color="auto"/>
        <w:bottom w:val="none" w:sz="0" w:space="0" w:color="auto"/>
        <w:right w:val="none" w:sz="0" w:space="0" w:color="auto"/>
      </w:divBdr>
      <w:divsChild>
        <w:div w:id="848101975">
          <w:marLeft w:val="0"/>
          <w:marRight w:val="0"/>
          <w:marTop w:val="0"/>
          <w:marBottom w:val="0"/>
          <w:divBdr>
            <w:top w:val="none" w:sz="0" w:space="0" w:color="auto"/>
            <w:left w:val="none" w:sz="0" w:space="0" w:color="auto"/>
            <w:bottom w:val="none" w:sz="0" w:space="0" w:color="auto"/>
            <w:right w:val="none" w:sz="0" w:space="0" w:color="auto"/>
          </w:divBdr>
          <w:divsChild>
            <w:div w:id="963655685">
              <w:marLeft w:val="0"/>
              <w:marRight w:val="0"/>
              <w:marTop w:val="0"/>
              <w:marBottom w:val="0"/>
              <w:divBdr>
                <w:top w:val="none" w:sz="0" w:space="0" w:color="auto"/>
                <w:left w:val="none" w:sz="0" w:space="0" w:color="auto"/>
                <w:bottom w:val="none" w:sz="0" w:space="0" w:color="auto"/>
                <w:right w:val="none" w:sz="0" w:space="0" w:color="auto"/>
              </w:divBdr>
              <w:divsChild>
                <w:div w:id="5447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485882">
      <w:bodyDiv w:val="1"/>
      <w:marLeft w:val="0"/>
      <w:marRight w:val="0"/>
      <w:marTop w:val="0"/>
      <w:marBottom w:val="0"/>
      <w:divBdr>
        <w:top w:val="none" w:sz="0" w:space="0" w:color="auto"/>
        <w:left w:val="none" w:sz="0" w:space="0" w:color="auto"/>
        <w:bottom w:val="none" w:sz="0" w:space="0" w:color="auto"/>
        <w:right w:val="none" w:sz="0" w:space="0" w:color="auto"/>
      </w:divBdr>
    </w:div>
    <w:div w:id="1492722046">
      <w:bodyDiv w:val="1"/>
      <w:marLeft w:val="0"/>
      <w:marRight w:val="0"/>
      <w:marTop w:val="0"/>
      <w:marBottom w:val="0"/>
      <w:divBdr>
        <w:top w:val="none" w:sz="0" w:space="0" w:color="auto"/>
        <w:left w:val="none" w:sz="0" w:space="0" w:color="auto"/>
        <w:bottom w:val="none" w:sz="0" w:space="0" w:color="auto"/>
        <w:right w:val="none" w:sz="0" w:space="0" w:color="auto"/>
      </w:divBdr>
    </w:div>
    <w:div w:id="1839032503">
      <w:bodyDiv w:val="1"/>
      <w:marLeft w:val="0"/>
      <w:marRight w:val="0"/>
      <w:marTop w:val="0"/>
      <w:marBottom w:val="0"/>
      <w:divBdr>
        <w:top w:val="none" w:sz="0" w:space="0" w:color="auto"/>
        <w:left w:val="none" w:sz="0" w:space="0" w:color="auto"/>
        <w:bottom w:val="none" w:sz="0" w:space="0" w:color="auto"/>
        <w:right w:val="none" w:sz="0" w:space="0" w:color="auto"/>
      </w:divBdr>
    </w:div>
    <w:div w:id="191373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F777A-7C56-4582-8761-976F466BB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9821</Words>
  <Characters>54020</Characters>
  <Application>Microsoft Office Word</Application>
  <DocSecurity>0</DocSecurity>
  <Lines>450</Lines>
  <Paragraphs>127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LEGISLATURA EDOMEX</dc:creator>
  <cp:lastModifiedBy>PRODESK HP</cp:lastModifiedBy>
  <cp:revision>2</cp:revision>
  <cp:lastPrinted>2022-10-20T17:51:00Z</cp:lastPrinted>
  <dcterms:created xsi:type="dcterms:W3CDTF">2022-10-28T16:48:00Z</dcterms:created>
  <dcterms:modified xsi:type="dcterms:W3CDTF">2022-10-28T16:48:00Z</dcterms:modified>
</cp:coreProperties>
</file>