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C2038" w14:textId="77777777" w:rsidR="005D30D2" w:rsidRPr="00F92DC6" w:rsidRDefault="005D30D2" w:rsidP="005D30D2">
      <w:pPr>
        <w:pStyle w:val="Sinespaciado"/>
        <w:jc w:val="right"/>
        <w:rPr>
          <w:rFonts w:ascii="Arial" w:hAnsi="Arial" w:cs="Arial"/>
          <w:b/>
          <w:lang w:val="es-ES"/>
        </w:rPr>
      </w:pPr>
      <w:r w:rsidRPr="00F92DC6">
        <w:rPr>
          <w:rFonts w:ascii="Arial" w:hAnsi="Arial" w:cs="Arial"/>
          <w:b/>
          <w:lang w:val="es-ES"/>
        </w:rPr>
        <w:t xml:space="preserve">Toluca de Lerdo, Capital del Estado de México, </w:t>
      </w:r>
    </w:p>
    <w:p w14:paraId="78FCEC7E" w14:textId="07F0F55D" w:rsidR="005D30D2" w:rsidRPr="00F92DC6" w:rsidRDefault="002F6012" w:rsidP="005D30D2">
      <w:pPr>
        <w:pStyle w:val="Sinespaciado"/>
        <w:jc w:val="right"/>
        <w:rPr>
          <w:rFonts w:ascii="Arial" w:hAnsi="Arial" w:cs="Arial"/>
          <w:b/>
          <w:lang w:val="es-ES"/>
        </w:rPr>
      </w:pPr>
      <w:r>
        <w:rPr>
          <w:rFonts w:ascii="Arial" w:hAnsi="Arial" w:cs="Arial"/>
          <w:b/>
          <w:lang w:val="es-ES"/>
        </w:rPr>
        <w:t>29</w:t>
      </w:r>
      <w:r w:rsidR="005D30D2" w:rsidRPr="00F92DC6">
        <w:rPr>
          <w:rFonts w:ascii="Arial" w:hAnsi="Arial" w:cs="Arial"/>
          <w:b/>
          <w:lang w:val="es-ES"/>
        </w:rPr>
        <w:t xml:space="preserve"> de </w:t>
      </w:r>
      <w:r w:rsidR="005D30D2">
        <w:rPr>
          <w:rFonts w:ascii="Arial" w:hAnsi="Arial" w:cs="Arial"/>
          <w:b/>
          <w:lang w:val="es-ES"/>
        </w:rPr>
        <w:t>octubre</w:t>
      </w:r>
      <w:r w:rsidR="005D30D2" w:rsidRPr="00F92DC6">
        <w:rPr>
          <w:rFonts w:ascii="Arial" w:hAnsi="Arial" w:cs="Arial"/>
          <w:b/>
          <w:lang w:val="es-ES"/>
        </w:rPr>
        <w:t xml:space="preserve"> del 2024.</w:t>
      </w:r>
    </w:p>
    <w:p w14:paraId="50802E74" w14:textId="77777777" w:rsidR="00802C5B" w:rsidRDefault="00802C5B" w:rsidP="009038A0">
      <w:pPr>
        <w:spacing w:after="0" w:line="240" w:lineRule="auto"/>
        <w:rPr>
          <w:rFonts w:ascii="Arial" w:hAnsi="Arial" w:cs="Arial"/>
          <w:b/>
          <w:bCs/>
          <w:sz w:val="24"/>
          <w:szCs w:val="24"/>
        </w:rPr>
      </w:pPr>
    </w:p>
    <w:p w14:paraId="716ECFB7" w14:textId="77777777" w:rsidR="005D30D2" w:rsidRPr="00087645" w:rsidRDefault="005D30D2" w:rsidP="009038A0">
      <w:pPr>
        <w:spacing w:after="0" w:line="240" w:lineRule="auto"/>
        <w:rPr>
          <w:rFonts w:ascii="Arial" w:hAnsi="Arial" w:cs="Arial"/>
          <w:b/>
          <w:bCs/>
          <w:sz w:val="24"/>
          <w:szCs w:val="24"/>
        </w:rPr>
      </w:pPr>
    </w:p>
    <w:p w14:paraId="4ECDE51C" w14:textId="77777777" w:rsidR="005D30D2" w:rsidRPr="00F92DC6" w:rsidRDefault="005D30D2" w:rsidP="005D30D2">
      <w:pPr>
        <w:pStyle w:val="Sinespaciado"/>
        <w:rPr>
          <w:rFonts w:ascii="Arial" w:hAnsi="Arial" w:cs="Arial"/>
          <w:b/>
          <w:sz w:val="24"/>
        </w:rPr>
      </w:pPr>
      <w:r w:rsidRPr="00F92DC6">
        <w:rPr>
          <w:rFonts w:ascii="Arial" w:hAnsi="Arial" w:cs="Arial"/>
          <w:b/>
          <w:sz w:val="24"/>
        </w:rPr>
        <w:t>DIPUTAD</w:t>
      </w:r>
      <w:r>
        <w:rPr>
          <w:rFonts w:ascii="Arial" w:hAnsi="Arial" w:cs="Arial"/>
          <w:b/>
          <w:sz w:val="24"/>
        </w:rPr>
        <w:t xml:space="preserve">O </w:t>
      </w:r>
      <w:r w:rsidRPr="00DF50DC">
        <w:rPr>
          <w:rFonts w:ascii="Arial" w:hAnsi="Arial" w:cs="Arial"/>
          <w:b/>
          <w:bCs/>
          <w:sz w:val="24"/>
        </w:rPr>
        <w:t>MAURILIO HERNÁNDEZ GONZÁLEZ</w:t>
      </w:r>
    </w:p>
    <w:p w14:paraId="4BDB5211" w14:textId="77777777" w:rsidR="005D30D2" w:rsidRDefault="005D30D2" w:rsidP="005D30D2">
      <w:pPr>
        <w:pStyle w:val="Sinespaciado"/>
        <w:rPr>
          <w:rFonts w:ascii="Arial" w:hAnsi="Arial" w:cs="Arial"/>
          <w:b/>
          <w:sz w:val="24"/>
        </w:rPr>
      </w:pPr>
      <w:r w:rsidRPr="00F92DC6">
        <w:rPr>
          <w:rFonts w:ascii="Arial" w:hAnsi="Arial" w:cs="Arial"/>
          <w:b/>
          <w:sz w:val="24"/>
        </w:rPr>
        <w:t>PRESIDENT</w:t>
      </w:r>
      <w:r>
        <w:rPr>
          <w:rFonts w:ascii="Arial" w:hAnsi="Arial" w:cs="Arial"/>
          <w:b/>
          <w:sz w:val="24"/>
        </w:rPr>
        <w:t>E</w:t>
      </w:r>
      <w:r w:rsidRPr="00F92DC6">
        <w:rPr>
          <w:rFonts w:ascii="Arial" w:hAnsi="Arial" w:cs="Arial"/>
          <w:b/>
          <w:sz w:val="24"/>
        </w:rPr>
        <w:t xml:space="preserve"> DE LA MESA DIRECTIVA</w:t>
      </w:r>
      <w:r>
        <w:rPr>
          <w:rFonts w:ascii="Arial" w:hAnsi="Arial" w:cs="Arial"/>
          <w:b/>
          <w:sz w:val="24"/>
        </w:rPr>
        <w:t xml:space="preserve"> </w:t>
      </w:r>
      <w:r w:rsidRPr="00F92DC6">
        <w:rPr>
          <w:rFonts w:ascii="Arial" w:hAnsi="Arial" w:cs="Arial"/>
          <w:b/>
          <w:sz w:val="24"/>
        </w:rPr>
        <w:t>DE LA</w:t>
      </w:r>
    </w:p>
    <w:p w14:paraId="37E8296C" w14:textId="77777777" w:rsidR="005D30D2" w:rsidRPr="00E504F7" w:rsidRDefault="005D30D2" w:rsidP="005D30D2">
      <w:pPr>
        <w:pStyle w:val="Sinespaciado"/>
        <w:rPr>
          <w:rFonts w:ascii="Arial" w:hAnsi="Arial" w:cs="Arial"/>
          <w:b/>
          <w:sz w:val="24"/>
        </w:rPr>
      </w:pPr>
      <w:r w:rsidRPr="00F92DC6">
        <w:rPr>
          <w:rFonts w:ascii="Arial" w:hAnsi="Arial" w:cs="Arial"/>
          <w:b/>
          <w:sz w:val="24"/>
        </w:rPr>
        <w:t>LX</w:t>
      </w:r>
      <w:r>
        <w:rPr>
          <w:rFonts w:ascii="Arial" w:hAnsi="Arial" w:cs="Arial"/>
          <w:b/>
          <w:sz w:val="24"/>
        </w:rPr>
        <w:t>II</w:t>
      </w:r>
      <w:r w:rsidRPr="00F92DC6">
        <w:rPr>
          <w:rFonts w:ascii="Arial" w:hAnsi="Arial" w:cs="Arial"/>
          <w:b/>
          <w:sz w:val="24"/>
        </w:rPr>
        <w:t xml:space="preserve"> LEGISLATURA DEL ESTADO LIBRE</w:t>
      </w:r>
      <w:r>
        <w:rPr>
          <w:rFonts w:ascii="Arial" w:hAnsi="Arial" w:cs="Arial"/>
          <w:b/>
          <w:sz w:val="24"/>
        </w:rPr>
        <w:t xml:space="preserve"> </w:t>
      </w:r>
      <w:r w:rsidRPr="00E504F7">
        <w:rPr>
          <w:rFonts w:ascii="Arial" w:hAnsi="Arial" w:cs="Arial"/>
          <w:b/>
          <w:sz w:val="24"/>
        </w:rPr>
        <w:t xml:space="preserve">Y </w:t>
      </w:r>
    </w:p>
    <w:p w14:paraId="6089E681" w14:textId="77777777" w:rsidR="005D30D2" w:rsidRPr="001F362C" w:rsidRDefault="005D30D2" w:rsidP="005D30D2">
      <w:pPr>
        <w:pStyle w:val="Sinespaciado"/>
        <w:rPr>
          <w:rFonts w:ascii="Arial" w:hAnsi="Arial" w:cs="Arial"/>
          <w:b/>
          <w:sz w:val="24"/>
          <w:lang w:val="pt-BR"/>
        </w:rPr>
      </w:pPr>
      <w:r w:rsidRPr="001F362C">
        <w:rPr>
          <w:rFonts w:ascii="Arial" w:hAnsi="Arial" w:cs="Arial"/>
          <w:b/>
          <w:sz w:val="24"/>
          <w:lang w:val="pt-BR"/>
        </w:rPr>
        <w:t>SOBERANO DE MÉXICO</w:t>
      </w:r>
    </w:p>
    <w:p w14:paraId="255CCDA3" w14:textId="77777777" w:rsidR="005D30D2" w:rsidRDefault="005D30D2" w:rsidP="005D30D2">
      <w:pPr>
        <w:pStyle w:val="Sinespaciado"/>
        <w:rPr>
          <w:rFonts w:ascii="Arial" w:hAnsi="Arial" w:cs="Arial"/>
          <w:b/>
          <w:sz w:val="24"/>
          <w:lang w:val="pt-BR"/>
        </w:rPr>
      </w:pPr>
      <w:r w:rsidRPr="001F362C">
        <w:rPr>
          <w:rFonts w:ascii="Arial" w:hAnsi="Arial" w:cs="Arial"/>
          <w:b/>
          <w:sz w:val="24"/>
          <w:lang w:val="pt-BR"/>
        </w:rPr>
        <w:t>P R E S E N T E.</w:t>
      </w:r>
    </w:p>
    <w:p w14:paraId="560794D0" w14:textId="28C0D485" w:rsidR="00802C5B" w:rsidRPr="00C458EF" w:rsidRDefault="005D30D2" w:rsidP="005D30D2">
      <w:pPr>
        <w:pStyle w:val="NormalWeb"/>
        <w:shd w:val="clear" w:color="auto" w:fill="FFFFFF"/>
        <w:jc w:val="both"/>
        <w:rPr>
          <w:rFonts w:ascii="Arial" w:hAnsi="Arial" w:cs="Arial"/>
          <w:b/>
          <w:bCs/>
        </w:rPr>
      </w:pPr>
      <w:r>
        <w:rPr>
          <w:rFonts w:ascii="Arial" w:hAnsi="Arial" w:cs="Arial"/>
        </w:rPr>
        <w:t xml:space="preserve">Los que suscriben </w:t>
      </w:r>
      <w:r w:rsidR="008D7E50" w:rsidRPr="008D7E50">
        <w:rPr>
          <w:rFonts w:ascii="Arial" w:hAnsi="Arial" w:cs="Arial"/>
          <w:b/>
          <w:bCs/>
        </w:rPr>
        <w:t>Emma Laura Álvarez Villavicencio</w:t>
      </w:r>
      <w:r w:rsidR="008D7E50">
        <w:rPr>
          <w:rFonts w:ascii="Arial" w:hAnsi="Arial" w:cs="Arial"/>
          <w:b/>
          <w:bCs/>
        </w:rPr>
        <w:t xml:space="preserve"> y </w:t>
      </w:r>
      <w:r w:rsidR="008D7E50" w:rsidRPr="008D7E50">
        <w:rPr>
          <w:rFonts w:ascii="Arial" w:hAnsi="Arial" w:cs="Arial"/>
          <w:b/>
          <w:bCs/>
        </w:rPr>
        <w:t>Pablo Fernández De Cevallos González</w:t>
      </w:r>
      <w:r w:rsidR="008D7E50">
        <w:rPr>
          <w:rFonts w:ascii="Arial" w:hAnsi="Arial" w:cs="Arial"/>
        </w:rPr>
        <w:t>, a nombre</w:t>
      </w:r>
      <w:r w:rsidR="00D65216" w:rsidRPr="00087645">
        <w:rPr>
          <w:rFonts w:ascii="Arial" w:hAnsi="Arial" w:cs="Arial"/>
        </w:rPr>
        <w:t xml:space="preserve"> del Grupo Parlamentario del Partido Acción Nacional en el H. Congreso del Estado Libre y Soberano de México c</w:t>
      </w:r>
      <w:r w:rsidR="00802C5B" w:rsidRPr="00087645">
        <w:rPr>
          <w:rFonts w:ascii="Arial" w:hAnsi="Arial" w:cs="Arial"/>
        </w:rPr>
        <w:t xml:space="preserve">on fundamento en los artículos 116 de la Constitución Política de los Estados Unidos Mexicanos; 51 fracción II, 55, 57y 61 fracción I de la Constitución Política del Estado Libre y Soberano de México; 38 fracción IV, 78 de la Ley Orgánica del Poder Legislativo del Estado Libre y Soberano de México, así como su Reglamento someto a la consideración de esta Honorable Legislatura, </w:t>
      </w:r>
      <w:r w:rsidR="00802C5B" w:rsidRPr="00087645">
        <w:rPr>
          <w:rFonts w:ascii="Arial" w:hAnsi="Arial" w:cs="Arial"/>
          <w:b/>
        </w:rPr>
        <w:t xml:space="preserve">Punto de Acuerdo </w:t>
      </w:r>
      <w:r w:rsidR="005E02EB" w:rsidRPr="00087645">
        <w:rPr>
          <w:rFonts w:ascii="Arial" w:hAnsi="Arial" w:cs="Arial"/>
          <w:b/>
        </w:rPr>
        <w:t>por el que</w:t>
      </w:r>
      <w:r w:rsidR="00666879" w:rsidRPr="00087645">
        <w:rPr>
          <w:rFonts w:ascii="Arial" w:hAnsi="Arial" w:cs="Arial"/>
          <w:b/>
        </w:rPr>
        <w:t xml:space="preserve"> </w:t>
      </w:r>
      <w:bookmarkStart w:id="0" w:name="_Hlk176995801"/>
      <w:bookmarkStart w:id="1" w:name="_Hlk177511387"/>
      <w:r w:rsidR="00DD216F" w:rsidRPr="00087645">
        <w:rPr>
          <w:rFonts w:ascii="Arial" w:hAnsi="Arial" w:cs="Arial"/>
          <w:b/>
        </w:rPr>
        <w:t>la</w:t>
      </w:r>
      <w:r w:rsidR="00CC4B69" w:rsidRPr="00CC4B69">
        <w:rPr>
          <w:rFonts w:ascii="Arial" w:hAnsi="Arial" w:cs="Arial"/>
          <w:b/>
          <w:bCs/>
        </w:rPr>
        <w:t xml:space="preserve"> LXI</w:t>
      </w:r>
      <w:r w:rsidR="002A5E86">
        <w:rPr>
          <w:rFonts w:ascii="Arial" w:hAnsi="Arial" w:cs="Arial"/>
          <w:b/>
          <w:bCs/>
        </w:rPr>
        <w:t>I</w:t>
      </w:r>
      <w:r w:rsidR="00CC4B69" w:rsidRPr="00CC4B69">
        <w:rPr>
          <w:rFonts w:ascii="Arial" w:hAnsi="Arial" w:cs="Arial"/>
          <w:b/>
          <w:bCs/>
        </w:rPr>
        <w:t xml:space="preserve"> Legislatura del Poder Legislativo del Estado Libre y Soberano de México, </w:t>
      </w:r>
      <w:bookmarkEnd w:id="0"/>
      <w:r w:rsidR="004E7C90" w:rsidRPr="004E7C90">
        <w:rPr>
          <w:rFonts w:ascii="Arial" w:hAnsi="Arial" w:cs="Arial"/>
          <w:b/>
          <w:bCs/>
        </w:rPr>
        <w:t xml:space="preserve">exhorta de manera respetuosa al </w:t>
      </w:r>
      <w:r w:rsidR="004E7C90">
        <w:rPr>
          <w:rFonts w:ascii="Arial" w:hAnsi="Arial" w:cs="Arial"/>
          <w:b/>
          <w:bCs/>
        </w:rPr>
        <w:t xml:space="preserve">Gobierno del Estado de México </w:t>
      </w:r>
      <w:r w:rsidR="004E7C90" w:rsidRPr="004E7C90">
        <w:rPr>
          <w:rFonts w:ascii="Arial" w:hAnsi="Arial" w:cs="Arial"/>
          <w:b/>
          <w:bCs/>
        </w:rPr>
        <w:t>a</w:t>
      </w:r>
      <w:r w:rsidR="004E7C90">
        <w:rPr>
          <w:rFonts w:ascii="Arial" w:hAnsi="Arial" w:cs="Arial"/>
          <w:b/>
          <w:bCs/>
        </w:rPr>
        <w:t xml:space="preserve"> generar una agenda de trabajo con el Gobierno Federal y los 125 municipios de la entidad para</w:t>
      </w:r>
      <w:r w:rsidR="004E7C90" w:rsidRPr="004E7C90">
        <w:rPr>
          <w:rFonts w:ascii="Arial" w:hAnsi="Arial" w:cs="Arial"/>
          <w:b/>
          <w:bCs/>
        </w:rPr>
        <w:t xml:space="preserve"> </w:t>
      </w:r>
      <w:r w:rsidR="004E7C90">
        <w:rPr>
          <w:rFonts w:ascii="Arial" w:hAnsi="Arial" w:cs="Arial"/>
          <w:b/>
          <w:bCs/>
        </w:rPr>
        <w:t xml:space="preserve">generar acciones destinadas a </w:t>
      </w:r>
      <w:r w:rsidR="004E7C90" w:rsidRPr="004E7C90">
        <w:rPr>
          <w:rFonts w:ascii="Arial" w:hAnsi="Arial" w:cs="Arial"/>
          <w:b/>
          <w:bCs/>
        </w:rPr>
        <w:t>garantizar que se satisfagan las necesidades nutricionales de los recién nacidos</w:t>
      </w:r>
      <w:r w:rsidR="004E7C90">
        <w:rPr>
          <w:rFonts w:ascii="Arial" w:hAnsi="Arial" w:cs="Arial"/>
          <w:b/>
          <w:bCs/>
        </w:rPr>
        <w:t xml:space="preserve"> y </w:t>
      </w:r>
      <w:r w:rsidR="004E7C90" w:rsidRPr="004E7C90">
        <w:rPr>
          <w:rFonts w:ascii="Arial" w:hAnsi="Arial" w:cs="Arial"/>
          <w:b/>
          <w:bCs/>
        </w:rPr>
        <w:t>prematuros, asegurando reciban apoyo nutricional dentro de las primeras horas de vida para reducir el riesgo de eventos adversos a corto y largo plazo</w:t>
      </w:r>
      <w:bookmarkEnd w:id="1"/>
      <w:r w:rsidR="003D28BA">
        <w:rPr>
          <w:rFonts w:ascii="Arial" w:hAnsi="Arial" w:cs="Arial"/>
          <w:b/>
          <w:color w:val="000000"/>
        </w:rPr>
        <w:t xml:space="preserve">, </w:t>
      </w:r>
      <w:r w:rsidR="00802C5B" w:rsidRPr="00087645">
        <w:rPr>
          <w:rFonts w:ascii="Arial" w:hAnsi="Arial" w:cs="Arial"/>
        </w:rPr>
        <w:t>conforme a lo</w:t>
      </w:r>
      <w:r w:rsidR="00D65216" w:rsidRPr="00087645">
        <w:rPr>
          <w:rFonts w:ascii="Arial" w:hAnsi="Arial" w:cs="Arial"/>
        </w:rPr>
        <w:t>s</w:t>
      </w:r>
      <w:r w:rsidR="00802C5B" w:rsidRPr="00087645">
        <w:rPr>
          <w:rFonts w:ascii="Arial" w:hAnsi="Arial" w:cs="Arial"/>
        </w:rPr>
        <w:t xml:space="preserve"> siguiente</w:t>
      </w:r>
      <w:r w:rsidR="00D65216" w:rsidRPr="00087645">
        <w:rPr>
          <w:rFonts w:ascii="Arial" w:hAnsi="Arial" w:cs="Arial"/>
        </w:rPr>
        <w:t>s</w:t>
      </w:r>
      <w:r w:rsidR="00802C5B" w:rsidRPr="00087645">
        <w:rPr>
          <w:rFonts w:ascii="Arial" w:hAnsi="Arial" w:cs="Arial"/>
        </w:rPr>
        <w:t>:</w:t>
      </w:r>
    </w:p>
    <w:p w14:paraId="66140F20" w14:textId="18BD0D7E" w:rsidR="001577C8" w:rsidRPr="00087645" w:rsidRDefault="00D65216" w:rsidP="009038A0">
      <w:pPr>
        <w:pStyle w:val="Sinespaciado"/>
        <w:jc w:val="center"/>
        <w:rPr>
          <w:rFonts w:ascii="Arial" w:hAnsi="Arial" w:cs="Arial"/>
          <w:b/>
          <w:sz w:val="24"/>
          <w:szCs w:val="24"/>
        </w:rPr>
      </w:pPr>
      <w:r w:rsidRPr="00087645">
        <w:rPr>
          <w:rFonts w:ascii="Arial" w:hAnsi="Arial" w:cs="Arial"/>
          <w:b/>
          <w:sz w:val="24"/>
          <w:szCs w:val="24"/>
        </w:rPr>
        <w:t>CONSIDERANDOS</w:t>
      </w:r>
    </w:p>
    <w:p w14:paraId="2993FB89" w14:textId="4CAC2E6E" w:rsidR="004E7C90" w:rsidRPr="004E7C90" w:rsidRDefault="005D30D2" w:rsidP="004E7C90">
      <w:pPr>
        <w:pStyle w:val="NormalWeb"/>
        <w:shd w:val="clear" w:color="auto" w:fill="FFFFFF"/>
        <w:jc w:val="both"/>
        <w:rPr>
          <w:rFonts w:ascii="Arial" w:hAnsi="Arial" w:cs="Arial"/>
          <w:color w:val="000000"/>
        </w:rPr>
      </w:pPr>
      <w:r w:rsidRPr="00087645">
        <w:rPr>
          <w:rFonts w:ascii="Arial" w:hAnsi="Arial" w:cs="Arial"/>
          <w:b/>
          <w:bCs/>
          <w:color w:val="000000"/>
        </w:rPr>
        <w:t>Primer</w:t>
      </w:r>
      <w:r>
        <w:rPr>
          <w:rFonts w:ascii="Arial" w:hAnsi="Arial" w:cs="Arial"/>
          <w:b/>
          <w:bCs/>
          <w:color w:val="000000"/>
        </w:rPr>
        <w:t>o</w:t>
      </w:r>
      <w:r w:rsidRPr="00087645">
        <w:rPr>
          <w:rFonts w:ascii="Arial" w:hAnsi="Arial" w:cs="Arial"/>
          <w:b/>
          <w:bCs/>
          <w:color w:val="000000"/>
        </w:rPr>
        <w:t>. -</w:t>
      </w:r>
      <w:r w:rsidR="007240A9" w:rsidRPr="00087645">
        <w:rPr>
          <w:rFonts w:ascii="Arial" w:hAnsi="Arial" w:cs="Arial"/>
          <w:color w:val="000000"/>
        </w:rPr>
        <w:t xml:space="preserve"> </w:t>
      </w:r>
      <w:r w:rsidR="004E7C90" w:rsidRPr="004E7C90">
        <w:rPr>
          <w:rFonts w:ascii="Arial" w:hAnsi="Arial" w:cs="Arial"/>
          <w:color w:val="000000"/>
        </w:rPr>
        <w:t xml:space="preserve">De acuerdo a la Organización Mundial de la Salud, se define como recién </w:t>
      </w:r>
      <w:r w:rsidR="002121F6">
        <w:rPr>
          <w:rFonts w:ascii="Arial" w:hAnsi="Arial" w:cs="Arial"/>
          <w:color w:val="000000"/>
        </w:rPr>
        <w:t xml:space="preserve">nacido </w:t>
      </w:r>
      <w:r w:rsidR="004E7C90" w:rsidRPr="004E7C90">
        <w:rPr>
          <w:rFonts w:ascii="Arial" w:hAnsi="Arial" w:cs="Arial"/>
          <w:color w:val="000000"/>
        </w:rPr>
        <w:t xml:space="preserve">prematuro a cualquier </w:t>
      </w:r>
      <w:r w:rsidR="002121F6">
        <w:rPr>
          <w:rFonts w:ascii="Arial" w:hAnsi="Arial" w:cs="Arial"/>
          <w:color w:val="000000"/>
        </w:rPr>
        <w:t>ser humano r</w:t>
      </w:r>
      <w:r w:rsidR="004E7C90" w:rsidRPr="004E7C90">
        <w:rPr>
          <w:rFonts w:ascii="Arial" w:hAnsi="Arial" w:cs="Arial"/>
          <w:color w:val="000000"/>
        </w:rPr>
        <w:t xml:space="preserve">ecién </w:t>
      </w:r>
      <w:r w:rsidR="002121F6">
        <w:rPr>
          <w:rFonts w:ascii="Arial" w:hAnsi="Arial" w:cs="Arial"/>
          <w:color w:val="000000"/>
        </w:rPr>
        <w:t>n</w:t>
      </w:r>
      <w:r w:rsidR="004E7C90" w:rsidRPr="004E7C90">
        <w:rPr>
          <w:rFonts w:ascii="Arial" w:hAnsi="Arial" w:cs="Arial"/>
          <w:color w:val="000000"/>
        </w:rPr>
        <w:t>acido vivo</w:t>
      </w:r>
      <w:r w:rsidR="002121F6">
        <w:rPr>
          <w:rFonts w:ascii="Arial" w:hAnsi="Arial" w:cs="Arial"/>
          <w:color w:val="000000"/>
        </w:rPr>
        <w:t>,</w:t>
      </w:r>
      <w:r w:rsidR="004E7C90" w:rsidRPr="004E7C90">
        <w:rPr>
          <w:rFonts w:ascii="Arial" w:hAnsi="Arial" w:cs="Arial"/>
          <w:color w:val="000000"/>
        </w:rPr>
        <w:t xml:space="preserve"> antes de las 37 semanas de gestación. La prematuridad es la primera causa de mortalidad en los niños menores de cinco años, siendo la responsable de 1.1 millón de muertes al año en el mundo. Por ello, resulta de vital importancia que el Gobierno </w:t>
      </w:r>
      <w:r w:rsidR="002121F6">
        <w:rPr>
          <w:rFonts w:ascii="Arial" w:hAnsi="Arial" w:cs="Arial"/>
          <w:color w:val="000000"/>
        </w:rPr>
        <w:t>del Estado de México</w:t>
      </w:r>
      <w:r w:rsidR="004E7C90" w:rsidRPr="004E7C90">
        <w:rPr>
          <w:rFonts w:ascii="Arial" w:hAnsi="Arial" w:cs="Arial"/>
          <w:color w:val="000000"/>
        </w:rPr>
        <w:t xml:space="preserve"> tome las medidas necesarias para</w:t>
      </w:r>
      <w:r w:rsidR="002121F6">
        <w:rPr>
          <w:rFonts w:ascii="Arial" w:hAnsi="Arial" w:cs="Arial"/>
          <w:color w:val="000000"/>
        </w:rPr>
        <w:t xml:space="preserve"> </w:t>
      </w:r>
      <w:r w:rsidR="00D43A69">
        <w:rPr>
          <w:rFonts w:ascii="Arial" w:hAnsi="Arial" w:cs="Arial"/>
          <w:color w:val="000000"/>
        </w:rPr>
        <w:t>que,</w:t>
      </w:r>
      <w:r w:rsidR="002121F6">
        <w:rPr>
          <w:rFonts w:ascii="Arial" w:hAnsi="Arial" w:cs="Arial"/>
          <w:color w:val="000000"/>
        </w:rPr>
        <w:t xml:space="preserve"> dentro de sus alcances, se tomen acciones coordinadas destinadas a</w:t>
      </w:r>
      <w:r w:rsidR="004E7C90" w:rsidRPr="004E7C90">
        <w:rPr>
          <w:rFonts w:ascii="Arial" w:hAnsi="Arial" w:cs="Arial"/>
          <w:color w:val="000000"/>
        </w:rPr>
        <w:t xml:space="preserve"> reducir la mortalidad de recién nacidos prematuros, y en este sentido, la atención nutricional resulta clave.  </w:t>
      </w:r>
    </w:p>
    <w:p w14:paraId="2D2591F5" w14:textId="6B660E88"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lastRenderedPageBreak/>
        <w:t>Segund</w:t>
      </w:r>
      <w:r>
        <w:rPr>
          <w:rFonts w:ascii="Arial" w:hAnsi="Arial" w:cs="Arial"/>
          <w:b/>
          <w:color w:val="000000"/>
        </w:rPr>
        <w:t>o</w:t>
      </w:r>
      <w:r w:rsidRPr="004E7C90">
        <w:rPr>
          <w:rFonts w:ascii="Arial" w:hAnsi="Arial" w:cs="Arial"/>
          <w:b/>
          <w:color w:val="000000"/>
        </w:rPr>
        <w:t>. -</w:t>
      </w:r>
      <w:r w:rsidR="004E7C90">
        <w:rPr>
          <w:rFonts w:ascii="Arial" w:hAnsi="Arial" w:cs="Arial"/>
          <w:color w:val="000000"/>
        </w:rPr>
        <w:t xml:space="preserve"> </w:t>
      </w:r>
      <w:r w:rsidR="004E7C90" w:rsidRPr="004E7C90">
        <w:rPr>
          <w:rFonts w:ascii="Arial" w:hAnsi="Arial" w:cs="Arial"/>
          <w:color w:val="000000"/>
        </w:rPr>
        <w:t>En México, mientras la tasa de natalidad va a la baja, la tasa de nacimientos prematuros ha incrementado. Para el año 2020, la Tasa de Nacimientos prematuros fue de 7.3 por cada 100 nacidos vivos y cada año, desde 2016, se registran en promedio 141 mil nacimientos prematuros.</w:t>
      </w:r>
    </w:p>
    <w:p w14:paraId="155D4005" w14:textId="32FDD46F"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t>Tercero. -</w:t>
      </w:r>
      <w:r w:rsidR="004E7C90">
        <w:rPr>
          <w:rFonts w:ascii="Arial" w:hAnsi="Arial" w:cs="Arial"/>
          <w:color w:val="000000"/>
        </w:rPr>
        <w:t xml:space="preserve"> </w:t>
      </w:r>
      <w:r w:rsidR="004E7C90" w:rsidRPr="004E7C90">
        <w:rPr>
          <w:rFonts w:ascii="Arial" w:hAnsi="Arial" w:cs="Arial"/>
          <w:color w:val="000000"/>
        </w:rPr>
        <w:t xml:space="preserve">La malnutrición afecta a al menos el 50% de los pacientes hospitalizados de todas las edades, de acuerdo a los datos recabados por la Federación Latinoamericana de Terapia Nutricional, Nutrición Clínica y Metabolismo. En la región latinoamericana, la malnutrición clínica alcanza el 45%, siendo un 11% malnutrición severa, con un </w:t>
      </w:r>
      <w:proofErr w:type="spellStart"/>
      <w:r w:rsidR="004E7C90" w:rsidRPr="004E7C90">
        <w:rPr>
          <w:rFonts w:ascii="Arial" w:hAnsi="Arial" w:cs="Arial"/>
          <w:color w:val="000000"/>
        </w:rPr>
        <w:t>subdiagnóstico</w:t>
      </w:r>
      <w:proofErr w:type="spellEnd"/>
      <w:r w:rsidR="004E7C90" w:rsidRPr="004E7C90">
        <w:rPr>
          <w:rFonts w:ascii="Arial" w:hAnsi="Arial" w:cs="Arial"/>
          <w:color w:val="000000"/>
        </w:rPr>
        <w:t xml:space="preserve"> de hasta un 56%. </w:t>
      </w:r>
    </w:p>
    <w:p w14:paraId="356DB564" w14:textId="0E98D52F"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t>Cuarto. -</w:t>
      </w:r>
      <w:r w:rsidR="004E7C90">
        <w:rPr>
          <w:rFonts w:ascii="Arial" w:hAnsi="Arial" w:cs="Arial"/>
          <w:color w:val="000000"/>
        </w:rPr>
        <w:t xml:space="preserve"> </w:t>
      </w:r>
      <w:r w:rsidR="004E7C90" w:rsidRPr="004E7C90">
        <w:rPr>
          <w:rFonts w:ascii="Arial" w:hAnsi="Arial" w:cs="Arial"/>
          <w:color w:val="000000"/>
        </w:rPr>
        <w:t xml:space="preserve">Algunas de las consecuencias de la desnutrición desatendida incluyen – de manera no limitativa-:   </w:t>
      </w:r>
    </w:p>
    <w:p w14:paraId="4CD4924C" w14:textId="76D006BB" w:rsidR="004E7C90" w:rsidRPr="004E7C90" w:rsidRDefault="004E7C90" w:rsidP="005D30D2">
      <w:pPr>
        <w:pStyle w:val="NormalWeb"/>
        <w:numPr>
          <w:ilvl w:val="0"/>
          <w:numId w:val="18"/>
        </w:numPr>
        <w:shd w:val="clear" w:color="auto" w:fill="FFFFFF"/>
        <w:jc w:val="both"/>
        <w:rPr>
          <w:rFonts w:ascii="Arial" w:hAnsi="Arial" w:cs="Arial"/>
          <w:color w:val="000000"/>
        </w:rPr>
      </w:pPr>
      <w:r w:rsidRPr="004E7C90">
        <w:rPr>
          <w:rFonts w:ascii="Arial" w:hAnsi="Arial" w:cs="Arial"/>
          <w:color w:val="000000"/>
        </w:rPr>
        <w:t xml:space="preserve">Aumento de la morbimortalidad; </w:t>
      </w:r>
    </w:p>
    <w:p w14:paraId="11FD46B4" w14:textId="679FF476" w:rsidR="004E7C90" w:rsidRPr="004E7C90" w:rsidRDefault="004E7C90" w:rsidP="005D30D2">
      <w:pPr>
        <w:pStyle w:val="NormalWeb"/>
        <w:numPr>
          <w:ilvl w:val="0"/>
          <w:numId w:val="18"/>
        </w:numPr>
        <w:shd w:val="clear" w:color="auto" w:fill="FFFFFF"/>
        <w:jc w:val="both"/>
        <w:rPr>
          <w:rFonts w:ascii="Arial" w:hAnsi="Arial" w:cs="Arial"/>
          <w:color w:val="000000"/>
        </w:rPr>
      </w:pPr>
      <w:r w:rsidRPr="004E7C90">
        <w:rPr>
          <w:rFonts w:ascii="Arial" w:hAnsi="Arial" w:cs="Arial"/>
          <w:color w:val="000000"/>
        </w:rPr>
        <w:t xml:space="preserve">Complicaciones de los padecimientos existentes; </w:t>
      </w:r>
    </w:p>
    <w:p w14:paraId="3C8E19BE" w14:textId="7E24022C" w:rsidR="004E7C90" w:rsidRPr="004E7C90" w:rsidRDefault="004E7C90" w:rsidP="005D30D2">
      <w:pPr>
        <w:pStyle w:val="NormalWeb"/>
        <w:numPr>
          <w:ilvl w:val="0"/>
          <w:numId w:val="18"/>
        </w:numPr>
        <w:shd w:val="clear" w:color="auto" w:fill="FFFFFF"/>
        <w:jc w:val="both"/>
        <w:rPr>
          <w:rFonts w:ascii="Arial" w:hAnsi="Arial" w:cs="Arial"/>
          <w:color w:val="000000"/>
        </w:rPr>
      </w:pPr>
      <w:r w:rsidRPr="004E7C90">
        <w:rPr>
          <w:rFonts w:ascii="Arial" w:hAnsi="Arial" w:cs="Arial"/>
          <w:color w:val="000000"/>
        </w:rPr>
        <w:t xml:space="preserve">Baja respuesta del tratamiento farmacológico administrado; </w:t>
      </w:r>
    </w:p>
    <w:p w14:paraId="327E6A43" w14:textId="7576A4B8" w:rsidR="004E7C90" w:rsidRPr="004E7C90" w:rsidRDefault="004E7C90" w:rsidP="005D30D2">
      <w:pPr>
        <w:pStyle w:val="NormalWeb"/>
        <w:numPr>
          <w:ilvl w:val="0"/>
          <w:numId w:val="18"/>
        </w:numPr>
        <w:shd w:val="clear" w:color="auto" w:fill="FFFFFF"/>
        <w:jc w:val="both"/>
        <w:rPr>
          <w:rFonts w:ascii="Arial" w:hAnsi="Arial" w:cs="Arial"/>
          <w:color w:val="000000"/>
        </w:rPr>
      </w:pPr>
      <w:r w:rsidRPr="004E7C90">
        <w:rPr>
          <w:rFonts w:ascii="Arial" w:hAnsi="Arial" w:cs="Arial"/>
          <w:color w:val="000000"/>
        </w:rPr>
        <w:t xml:space="preserve">Disminución de la respuesta del sistema inmune; provocando infecciones y/o dificultades a la hora de cicatrizar; </w:t>
      </w:r>
    </w:p>
    <w:p w14:paraId="36BF56D2" w14:textId="2A3DBB87" w:rsidR="004E7C90" w:rsidRPr="004E7C90" w:rsidRDefault="004E7C90" w:rsidP="005D30D2">
      <w:pPr>
        <w:pStyle w:val="NormalWeb"/>
        <w:numPr>
          <w:ilvl w:val="0"/>
          <w:numId w:val="18"/>
        </w:numPr>
        <w:shd w:val="clear" w:color="auto" w:fill="FFFFFF"/>
        <w:jc w:val="both"/>
        <w:rPr>
          <w:rFonts w:ascii="Arial" w:hAnsi="Arial" w:cs="Arial"/>
          <w:color w:val="000000"/>
        </w:rPr>
      </w:pPr>
      <w:r w:rsidRPr="004E7C90">
        <w:rPr>
          <w:rFonts w:ascii="Arial" w:hAnsi="Arial" w:cs="Arial"/>
          <w:color w:val="000000"/>
        </w:rPr>
        <w:t xml:space="preserve">Incremento de los días de estancia hospitalaria y </w:t>
      </w:r>
    </w:p>
    <w:p w14:paraId="65727EE5" w14:textId="1DF491D7" w:rsidR="004E7C90" w:rsidRPr="004E7C90" w:rsidRDefault="004E7C90" w:rsidP="005D30D2">
      <w:pPr>
        <w:pStyle w:val="NormalWeb"/>
        <w:numPr>
          <w:ilvl w:val="0"/>
          <w:numId w:val="18"/>
        </w:numPr>
        <w:shd w:val="clear" w:color="auto" w:fill="FFFFFF"/>
        <w:jc w:val="both"/>
        <w:rPr>
          <w:rFonts w:ascii="Arial" w:hAnsi="Arial" w:cs="Arial"/>
          <w:color w:val="000000"/>
        </w:rPr>
      </w:pPr>
      <w:r w:rsidRPr="004E7C90">
        <w:rPr>
          <w:rFonts w:ascii="Arial" w:hAnsi="Arial" w:cs="Arial"/>
          <w:color w:val="000000"/>
        </w:rPr>
        <w:t xml:space="preserve">Generación de costos hospitalarios adicionales de al menos un 30%. </w:t>
      </w:r>
    </w:p>
    <w:p w14:paraId="747AF167" w14:textId="0FB41326"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t>Quinto. -</w:t>
      </w:r>
      <w:r w:rsidR="004E7C90">
        <w:rPr>
          <w:rFonts w:ascii="Arial" w:hAnsi="Arial" w:cs="Arial"/>
          <w:color w:val="000000"/>
        </w:rPr>
        <w:t xml:space="preserve"> </w:t>
      </w:r>
      <w:r w:rsidR="004E7C90" w:rsidRPr="004E7C90">
        <w:rPr>
          <w:rFonts w:ascii="Arial" w:hAnsi="Arial" w:cs="Arial"/>
          <w:color w:val="000000"/>
        </w:rPr>
        <w:t>En el caso específico de los recién nacidos prematuros, en contextos de ingresos bajos, el 50 % de los recién nacidos a las 32 semanas, mueren por no haber recibido cuidados sencillos y costo-eficientes, como aportar al recién nacido calor suficiente o no haber proporcionado una nutrición adecuada. De acuerdo a la Federación Nacional de Neonatología de México, la nutrición es la medida terapéutica más importante para limitar el daño y establecer la recuperación de estas criaturas.</w:t>
      </w:r>
    </w:p>
    <w:p w14:paraId="2B8BF0EF" w14:textId="23FEC22B"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t>Sexto. -</w:t>
      </w:r>
      <w:r w:rsidR="004E7C90">
        <w:rPr>
          <w:rFonts w:ascii="Arial" w:hAnsi="Arial" w:cs="Arial"/>
          <w:color w:val="000000"/>
        </w:rPr>
        <w:t xml:space="preserve"> </w:t>
      </w:r>
      <w:r w:rsidR="004E7C90" w:rsidRPr="004E7C90">
        <w:rPr>
          <w:rFonts w:ascii="Arial" w:hAnsi="Arial" w:cs="Arial"/>
          <w:color w:val="000000"/>
        </w:rPr>
        <w:t>El periodo de la primera infancia constituye un momento único del crecimiento en el que el cerebro se desarrolla notablemente, y en este sentido, la atención nutricional en recién nacidos es de gran importancia, ya que ayuda a promover un desarrollo y crecimiento adecuado que generará las condiciones necesarias para los próximos años de vida del recién nacido, y durante las etapas de la niñez.</w:t>
      </w:r>
    </w:p>
    <w:p w14:paraId="32A6C5AF" w14:textId="17CD2B4B"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lastRenderedPageBreak/>
        <w:t>Séptimo. -</w:t>
      </w:r>
      <w:r w:rsidR="004E7C90">
        <w:rPr>
          <w:rFonts w:ascii="Arial" w:hAnsi="Arial" w:cs="Arial"/>
          <w:color w:val="000000"/>
        </w:rPr>
        <w:t xml:space="preserve"> </w:t>
      </w:r>
      <w:r w:rsidR="004E7C90" w:rsidRPr="004E7C90">
        <w:rPr>
          <w:rFonts w:ascii="Arial" w:hAnsi="Arial" w:cs="Arial"/>
          <w:color w:val="000000"/>
        </w:rPr>
        <w:t>Una inadecuada nutrición del recién nacido es un factor importante que contribuye a una falla de crecimiento y desarrollo del nacido prematuro.</w:t>
      </w:r>
    </w:p>
    <w:p w14:paraId="42FAA1A4" w14:textId="77777777" w:rsidR="004E7C90" w:rsidRPr="004E7C90" w:rsidRDefault="004E7C90" w:rsidP="004E7C90">
      <w:pPr>
        <w:pStyle w:val="NormalWeb"/>
        <w:shd w:val="clear" w:color="auto" w:fill="FFFFFF"/>
        <w:jc w:val="both"/>
        <w:rPr>
          <w:rFonts w:ascii="Arial" w:hAnsi="Arial" w:cs="Arial"/>
          <w:color w:val="000000"/>
        </w:rPr>
      </w:pPr>
      <w:r w:rsidRPr="004E7C90">
        <w:rPr>
          <w:rFonts w:ascii="Arial" w:hAnsi="Arial" w:cs="Arial"/>
          <w:color w:val="000000"/>
        </w:rPr>
        <w:t>Por un lado, a corto plazo, una subnutrición es altamente asociada a una mayor susceptibilidad de infecciones, menor desarrollo cognitivo, y el desarrollo de enfermedades respiratorias crónicas. De manera directa o indirecta, los recién nacidos de Bajo Peso (&lt;2500 gr) contribuyen del 60% a 80% de muertes neonatales.</w:t>
      </w:r>
    </w:p>
    <w:p w14:paraId="2417ECF7" w14:textId="77777777" w:rsidR="004E7C90" w:rsidRPr="004E7C90" w:rsidRDefault="004E7C90" w:rsidP="004E7C90">
      <w:pPr>
        <w:pStyle w:val="NormalWeb"/>
        <w:shd w:val="clear" w:color="auto" w:fill="FFFFFF"/>
        <w:jc w:val="both"/>
        <w:rPr>
          <w:rFonts w:ascii="Arial" w:hAnsi="Arial" w:cs="Arial"/>
          <w:color w:val="000000"/>
        </w:rPr>
      </w:pPr>
      <w:r w:rsidRPr="004E7C90">
        <w:rPr>
          <w:rFonts w:ascii="Arial" w:hAnsi="Arial" w:cs="Arial"/>
          <w:color w:val="000000"/>
        </w:rPr>
        <w:t xml:space="preserve">Por otro lado, a largo plazo, la gran mayoría de neonatos </w:t>
      </w:r>
      <w:proofErr w:type="spellStart"/>
      <w:r w:rsidRPr="004E7C90">
        <w:rPr>
          <w:rFonts w:ascii="Arial" w:hAnsi="Arial" w:cs="Arial"/>
          <w:color w:val="000000"/>
        </w:rPr>
        <w:t>subnutridos</w:t>
      </w:r>
      <w:proofErr w:type="spellEnd"/>
      <w:r w:rsidRPr="004E7C90">
        <w:rPr>
          <w:rFonts w:ascii="Arial" w:hAnsi="Arial" w:cs="Arial"/>
          <w:color w:val="000000"/>
        </w:rPr>
        <w:t xml:space="preserve"> padece de problemas en el crecimiento y desarrollo, resultando en alguna discapacidad física, neurológica o educacional, implicando un enorme costo para las familias y la sociedad. </w:t>
      </w:r>
    </w:p>
    <w:p w14:paraId="44EA9825" w14:textId="36514F00"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t>Octavo. -</w:t>
      </w:r>
      <w:r w:rsidR="004E7C90">
        <w:rPr>
          <w:rFonts w:ascii="Arial" w:hAnsi="Arial" w:cs="Arial"/>
          <w:color w:val="000000"/>
        </w:rPr>
        <w:t xml:space="preserve"> </w:t>
      </w:r>
      <w:r w:rsidR="004E7C90" w:rsidRPr="004E7C90">
        <w:rPr>
          <w:rFonts w:ascii="Arial" w:hAnsi="Arial" w:cs="Arial"/>
          <w:color w:val="000000"/>
        </w:rPr>
        <w:t xml:space="preserve">Durante el periodo neonatal, comprendido de los 0 a 28 días de vida extrauterina, en las unidades de cuidado intensivo, los neonatos a término o </w:t>
      </w:r>
      <w:proofErr w:type="spellStart"/>
      <w:r w:rsidR="004E7C90" w:rsidRPr="004E7C90">
        <w:rPr>
          <w:rFonts w:ascii="Arial" w:hAnsi="Arial" w:cs="Arial"/>
          <w:color w:val="000000"/>
        </w:rPr>
        <w:t>postérmino</w:t>
      </w:r>
      <w:proofErr w:type="spellEnd"/>
      <w:r w:rsidR="004E7C90" w:rsidRPr="004E7C90">
        <w:rPr>
          <w:rFonts w:ascii="Arial" w:hAnsi="Arial" w:cs="Arial"/>
          <w:color w:val="000000"/>
        </w:rPr>
        <w:t xml:space="preserve">, pueden sufrir problemas metabólicos graves relacionados con la nutrición, mientras que, en el caso de los pacientes prematuros, dichos problemas pueden darse de manera más marcada, agresiva y nociva. </w:t>
      </w:r>
    </w:p>
    <w:p w14:paraId="76DBAA2A" w14:textId="2C0E0FED"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t>Noveno. -</w:t>
      </w:r>
      <w:r w:rsidR="004E7C90">
        <w:rPr>
          <w:rFonts w:ascii="Arial" w:hAnsi="Arial" w:cs="Arial"/>
          <w:color w:val="000000"/>
        </w:rPr>
        <w:t xml:space="preserve"> </w:t>
      </w:r>
      <w:r w:rsidR="004E7C90" w:rsidRPr="004E7C90">
        <w:rPr>
          <w:rFonts w:ascii="Arial" w:hAnsi="Arial" w:cs="Arial"/>
          <w:color w:val="000000"/>
        </w:rPr>
        <w:t>Cuando por motivos fisiológicos el neonato no es capaz de ingerir alimentos, el uso de nutrición parenteral total o en combinación con alimentación con leche materna por sonda en los recién nacidos de termino, ha sido un procedimiento altamente efectivo y aceptado en todas las unidades de cuidados intensivos a nivel mundial, siendo este un método seguro, con un alto grado de aplicación clínica.</w:t>
      </w:r>
    </w:p>
    <w:p w14:paraId="641C0E95" w14:textId="77777777" w:rsidR="004E7C90" w:rsidRPr="004E7C90" w:rsidRDefault="004E7C90" w:rsidP="0029609E">
      <w:pPr>
        <w:pStyle w:val="NormalWeb"/>
        <w:shd w:val="clear" w:color="auto" w:fill="FFFFFF"/>
        <w:spacing w:before="0" w:beforeAutospacing="0" w:after="0" w:afterAutospacing="0"/>
        <w:jc w:val="both"/>
        <w:rPr>
          <w:rFonts w:ascii="Arial" w:hAnsi="Arial" w:cs="Arial"/>
          <w:color w:val="000000"/>
        </w:rPr>
      </w:pPr>
      <w:r w:rsidRPr="004E7C90">
        <w:rPr>
          <w:rFonts w:ascii="Arial" w:hAnsi="Arial" w:cs="Arial"/>
          <w:color w:val="000000"/>
        </w:rPr>
        <w:t xml:space="preserve">En este sentido, los objetivos del soporte nutricional son: </w:t>
      </w:r>
    </w:p>
    <w:p w14:paraId="236857C0" w14:textId="77777777" w:rsidR="004E7C90" w:rsidRPr="004E7C90" w:rsidRDefault="004E7C90" w:rsidP="0029609E">
      <w:pPr>
        <w:pStyle w:val="NormalWeb"/>
        <w:shd w:val="clear" w:color="auto" w:fill="FFFFFF"/>
        <w:spacing w:before="0" w:beforeAutospacing="0" w:after="0" w:afterAutospacing="0"/>
        <w:ind w:left="705" w:hanging="705"/>
        <w:jc w:val="both"/>
        <w:rPr>
          <w:rFonts w:ascii="Arial" w:hAnsi="Arial" w:cs="Arial"/>
          <w:color w:val="000000"/>
        </w:rPr>
      </w:pPr>
      <w:r w:rsidRPr="004E7C90">
        <w:rPr>
          <w:rFonts w:ascii="Arial" w:hAnsi="Arial" w:cs="Arial"/>
          <w:color w:val="000000"/>
        </w:rPr>
        <w:t>1.</w:t>
      </w:r>
      <w:r w:rsidRPr="004E7C90">
        <w:rPr>
          <w:rFonts w:ascii="Arial" w:hAnsi="Arial" w:cs="Arial"/>
          <w:color w:val="000000"/>
        </w:rPr>
        <w:tab/>
        <w:t>Preservar la función de órganos vitales y mantener la homeostasis, disminuyendo la pérdida de masa magra, masa ósea y evitar por completo el catabolismo.</w:t>
      </w:r>
    </w:p>
    <w:p w14:paraId="74FB309F" w14:textId="77777777" w:rsidR="004E7C90" w:rsidRPr="004E7C90" w:rsidRDefault="004E7C90" w:rsidP="0029609E">
      <w:pPr>
        <w:pStyle w:val="NormalWeb"/>
        <w:shd w:val="clear" w:color="auto" w:fill="FFFFFF"/>
        <w:spacing w:before="0" w:beforeAutospacing="0" w:after="0" w:afterAutospacing="0"/>
        <w:jc w:val="both"/>
        <w:rPr>
          <w:rFonts w:ascii="Arial" w:hAnsi="Arial" w:cs="Arial"/>
          <w:color w:val="000000"/>
        </w:rPr>
      </w:pPr>
      <w:r w:rsidRPr="004E7C90">
        <w:rPr>
          <w:rFonts w:ascii="Arial" w:hAnsi="Arial" w:cs="Arial"/>
          <w:color w:val="000000"/>
        </w:rPr>
        <w:t>2.</w:t>
      </w:r>
      <w:r w:rsidRPr="004E7C90">
        <w:rPr>
          <w:rFonts w:ascii="Arial" w:hAnsi="Arial" w:cs="Arial"/>
          <w:color w:val="000000"/>
        </w:rPr>
        <w:tab/>
        <w:t>Lograr un balance nitrogenado positivo.</w:t>
      </w:r>
    </w:p>
    <w:p w14:paraId="638535BA" w14:textId="77777777" w:rsidR="004E7C90" w:rsidRPr="004E7C90" w:rsidRDefault="004E7C90" w:rsidP="0029609E">
      <w:pPr>
        <w:pStyle w:val="NormalWeb"/>
        <w:shd w:val="clear" w:color="auto" w:fill="FFFFFF"/>
        <w:spacing w:before="0" w:beforeAutospacing="0" w:after="0" w:afterAutospacing="0"/>
        <w:ind w:left="705" w:hanging="705"/>
        <w:jc w:val="both"/>
        <w:rPr>
          <w:rFonts w:ascii="Arial" w:hAnsi="Arial" w:cs="Arial"/>
          <w:color w:val="000000"/>
        </w:rPr>
      </w:pPr>
      <w:r w:rsidRPr="004E7C90">
        <w:rPr>
          <w:rFonts w:ascii="Arial" w:hAnsi="Arial" w:cs="Arial"/>
          <w:color w:val="000000"/>
        </w:rPr>
        <w:t>3.</w:t>
      </w:r>
      <w:r w:rsidRPr="004E7C90">
        <w:rPr>
          <w:rFonts w:ascii="Arial" w:hAnsi="Arial" w:cs="Arial"/>
          <w:color w:val="000000"/>
        </w:rPr>
        <w:tab/>
        <w:t>Evitar la sobrealimentación, que predispone a retención de bióxido de carbono.</w:t>
      </w:r>
    </w:p>
    <w:p w14:paraId="086B050E" w14:textId="77777777" w:rsidR="004E7C90" w:rsidRPr="004E7C90" w:rsidRDefault="004E7C90" w:rsidP="0029609E">
      <w:pPr>
        <w:pStyle w:val="NormalWeb"/>
        <w:shd w:val="clear" w:color="auto" w:fill="FFFFFF"/>
        <w:spacing w:before="0" w:beforeAutospacing="0" w:after="0" w:afterAutospacing="0"/>
        <w:ind w:left="705" w:hanging="705"/>
        <w:jc w:val="both"/>
        <w:rPr>
          <w:rFonts w:ascii="Arial" w:hAnsi="Arial" w:cs="Arial"/>
          <w:color w:val="000000"/>
        </w:rPr>
      </w:pPr>
      <w:r w:rsidRPr="004E7C90">
        <w:rPr>
          <w:rFonts w:ascii="Arial" w:hAnsi="Arial" w:cs="Arial"/>
          <w:color w:val="000000"/>
        </w:rPr>
        <w:t>4.</w:t>
      </w:r>
      <w:r w:rsidRPr="004E7C90">
        <w:rPr>
          <w:rFonts w:ascii="Arial" w:hAnsi="Arial" w:cs="Arial"/>
          <w:color w:val="000000"/>
        </w:rPr>
        <w:tab/>
        <w:t xml:space="preserve">Proporcionar requerimientos hídricos, calóricos, proteicos, hidratos de carbono y de lípidos. </w:t>
      </w:r>
    </w:p>
    <w:p w14:paraId="0CAD8D75" w14:textId="77777777" w:rsidR="004E7C90" w:rsidRPr="004E7C90" w:rsidRDefault="004E7C90" w:rsidP="004E7C90">
      <w:pPr>
        <w:pStyle w:val="NormalWeb"/>
        <w:shd w:val="clear" w:color="auto" w:fill="FFFFFF"/>
        <w:jc w:val="both"/>
        <w:rPr>
          <w:rFonts w:ascii="Arial" w:hAnsi="Arial" w:cs="Arial"/>
          <w:color w:val="000000"/>
        </w:rPr>
      </w:pPr>
      <w:r w:rsidRPr="004E7C90">
        <w:rPr>
          <w:rFonts w:ascii="Arial" w:hAnsi="Arial" w:cs="Arial"/>
          <w:color w:val="000000"/>
        </w:rPr>
        <w:lastRenderedPageBreak/>
        <w:t>Es importante destacar que el depósito de nutrimentos en el feto se produce en las últimas semanas de gestación. En consecuencia, el recién nacido –y en especial el prematuro– nace con escasas reservas de nutrimentos, que se agotan en 3 a 4 días, y, por ende, este tiempo es el límite para iniciar su alimentación (parenteral y/o enteral). El prematuro no tiene prácticamente reservas de glucógeno, y cada día sin aporte de proteínas se degradan 1.2 g/kg/día de proteínas endógenas y se agotan en pocos días sus mínimas reservas de ácidos grasos esenciales.</w:t>
      </w:r>
    </w:p>
    <w:p w14:paraId="79186AC9" w14:textId="1076A668" w:rsidR="004E7C90" w:rsidRPr="004E7C90" w:rsidRDefault="005D30D2" w:rsidP="004E7C90">
      <w:pPr>
        <w:pStyle w:val="NormalWeb"/>
        <w:shd w:val="clear" w:color="auto" w:fill="FFFFFF"/>
        <w:jc w:val="both"/>
        <w:rPr>
          <w:rFonts w:ascii="Arial" w:hAnsi="Arial" w:cs="Arial"/>
          <w:color w:val="000000"/>
        </w:rPr>
      </w:pPr>
      <w:r w:rsidRPr="004E7C90">
        <w:rPr>
          <w:rFonts w:ascii="Arial" w:hAnsi="Arial" w:cs="Arial"/>
          <w:b/>
          <w:color w:val="000000"/>
        </w:rPr>
        <w:t>Décimo. -</w:t>
      </w:r>
      <w:r w:rsidR="004E7C90">
        <w:rPr>
          <w:rFonts w:ascii="Arial" w:hAnsi="Arial" w:cs="Arial"/>
          <w:color w:val="000000"/>
        </w:rPr>
        <w:t xml:space="preserve"> </w:t>
      </w:r>
      <w:r w:rsidR="004E7C90" w:rsidRPr="004E7C90">
        <w:rPr>
          <w:rFonts w:ascii="Arial" w:hAnsi="Arial" w:cs="Arial"/>
          <w:color w:val="000000"/>
        </w:rPr>
        <w:t xml:space="preserve">En los neonatos con bajo peso al nacimiento, el inicio del soporte nutricional está indicado debido a sus limitadas reservas nutricionales, de preferencia en   las primeras 24 horas de vida, para así minimizar la pérdida de peso, corregir la restricción de crecimiento intrauterina y prevenir la restricción de crecimiento extrauterina. </w:t>
      </w:r>
    </w:p>
    <w:p w14:paraId="67C2F68E" w14:textId="07D00622" w:rsidR="005C5B81" w:rsidRDefault="004E7C90" w:rsidP="00B07ABE">
      <w:pPr>
        <w:pStyle w:val="NormalWeb"/>
        <w:shd w:val="clear" w:color="auto" w:fill="FFFFFF"/>
        <w:jc w:val="both"/>
        <w:rPr>
          <w:rFonts w:ascii="Arial" w:hAnsi="Arial" w:cs="Arial"/>
          <w:color w:val="000000"/>
        </w:rPr>
      </w:pPr>
      <w:r w:rsidRPr="004E7C90">
        <w:rPr>
          <w:rFonts w:ascii="Arial" w:hAnsi="Arial" w:cs="Arial"/>
          <w:b/>
          <w:color w:val="000000"/>
        </w:rPr>
        <w:t xml:space="preserve">Décimo </w:t>
      </w:r>
      <w:r w:rsidR="005D30D2" w:rsidRPr="004E7C90">
        <w:rPr>
          <w:rFonts w:ascii="Arial" w:hAnsi="Arial" w:cs="Arial"/>
          <w:b/>
          <w:color w:val="000000"/>
        </w:rPr>
        <w:t>Primero. -</w:t>
      </w:r>
      <w:r>
        <w:rPr>
          <w:rFonts w:ascii="Arial" w:hAnsi="Arial" w:cs="Arial"/>
          <w:color w:val="000000"/>
        </w:rPr>
        <w:t xml:space="preserve"> </w:t>
      </w:r>
      <w:r w:rsidR="005C5B81">
        <w:rPr>
          <w:rFonts w:ascii="Arial" w:hAnsi="Arial" w:cs="Arial"/>
          <w:color w:val="000000"/>
        </w:rPr>
        <w:t xml:space="preserve">En este trabajo parlamentario, el Grupo Parlamentario de Acción Nacional, anteponiendo el Bien Común y el objetivo de defender la dignidad de las personas, proponemos </w:t>
      </w:r>
      <w:r>
        <w:rPr>
          <w:rFonts w:ascii="Arial" w:hAnsi="Arial" w:cs="Arial"/>
          <w:color w:val="000000"/>
        </w:rPr>
        <w:t>que,</w:t>
      </w:r>
      <w:r w:rsidR="005C5B81">
        <w:rPr>
          <w:rFonts w:ascii="Arial" w:hAnsi="Arial" w:cs="Arial"/>
          <w:color w:val="000000"/>
        </w:rPr>
        <w:t xml:space="preserve"> en la agenda de trabajo propuesta en los 125 municipios del Estado de México, se retomen estos pr</w:t>
      </w:r>
      <w:bookmarkStart w:id="2" w:name="_GoBack"/>
      <w:bookmarkEnd w:id="2"/>
      <w:r w:rsidR="005C5B81">
        <w:rPr>
          <w:rFonts w:ascii="Arial" w:hAnsi="Arial" w:cs="Arial"/>
          <w:color w:val="000000"/>
        </w:rPr>
        <w:t>incipios</w:t>
      </w:r>
      <w:r>
        <w:rPr>
          <w:rFonts w:ascii="Arial" w:hAnsi="Arial" w:cs="Arial"/>
          <w:color w:val="000000"/>
        </w:rPr>
        <w:t xml:space="preserve"> y se apoye esta mesa trabajo con campañas de orientación</w:t>
      </w:r>
      <w:r w:rsidR="005C5B81">
        <w:rPr>
          <w:rFonts w:ascii="Arial" w:hAnsi="Arial" w:cs="Arial"/>
          <w:color w:val="000000"/>
        </w:rPr>
        <w:t>.</w:t>
      </w:r>
    </w:p>
    <w:p w14:paraId="1DE72497" w14:textId="69EFAA52" w:rsidR="00986C68" w:rsidRPr="008B40C3" w:rsidRDefault="00986C68" w:rsidP="009038A0">
      <w:pPr>
        <w:pStyle w:val="NormalWeb"/>
        <w:shd w:val="clear" w:color="auto" w:fill="FFFFFF"/>
        <w:jc w:val="both"/>
        <w:rPr>
          <w:rFonts w:ascii="Arial" w:hAnsi="Arial" w:cs="Arial"/>
          <w:color w:val="000000"/>
        </w:rPr>
      </w:pPr>
      <w:r>
        <w:rPr>
          <w:rFonts w:ascii="Arial" w:hAnsi="Arial" w:cs="Arial"/>
          <w:color w:val="000000"/>
        </w:rPr>
        <w:t xml:space="preserve">Como lo apoyan estos razonamientos, resulta urgente que impulsemos esta agenda especial </w:t>
      </w:r>
      <w:r w:rsidR="00B20D79" w:rsidRPr="00B20D79">
        <w:rPr>
          <w:rFonts w:ascii="Arial" w:hAnsi="Arial" w:cs="Arial"/>
          <w:bCs/>
        </w:rPr>
        <w:t xml:space="preserve">para generar acciones destinadas a garantizar </w:t>
      </w:r>
      <w:r w:rsidR="00B20D79">
        <w:rPr>
          <w:rFonts w:ascii="Arial" w:hAnsi="Arial" w:cs="Arial"/>
          <w:bCs/>
        </w:rPr>
        <w:t>y satisfacer</w:t>
      </w:r>
      <w:r w:rsidR="00B20D79" w:rsidRPr="00B20D79">
        <w:rPr>
          <w:rFonts w:ascii="Arial" w:hAnsi="Arial" w:cs="Arial"/>
          <w:bCs/>
        </w:rPr>
        <w:t xml:space="preserve"> las necesidades nutricionales de los recién nacidos y prematuros, asegurando reciban apoyo nutricional dentro de las primeras horas de vida para reducir el riesgo de eventos adversos a corto y largo plazo</w:t>
      </w:r>
      <w:r w:rsidRPr="00B20D79">
        <w:rPr>
          <w:rFonts w:ascii="Arial" w:hAnsi="Arial" w:cs="Arial"/>
          <w:color w:val="000000"/>
        </w:rPr>
        <w:t>,</w:t>
      </w:r>
      <w:r>
        <w:rPr>
          <w:rFonts w:ascii="Arial" w:hAnsi="Arial" w:cs="Arial"/>
          <w:color w:val="000000"/>
        </w:rPr>
        <w:t xml:space="preserve"> y por ello, invitamos a todos los Grupos Parlamentarios a sumarse a este esfuerzo</w:t>
      </w:r>
      <w:r w:rsidR="00E87E2A">
        <w:rPr>
          <w:rFonts w:ascii="Arial" w:hAnsi="Arial" w:cs="Arial"/>
          <w:color w:val="000000"/>
        </w:rPr>
        <w:t>.</w:t>
      </w:r>
    </w:p>
    <w:p w14:paraId="19E8E741" w14:textId="3DB6A1CE" w:rsidR="009A6BC7" w:rsidRDefault="00670451" w:rsidP="009038A0">
      <w:pPr>
        <w:pStyle w:val="NormalWeb"/>
        <w:shd w:val="clear" w:color="auto" w:fill="FFFFFF"/>
        <w:jc w:val="both"/>
        <w:rPr>
          <w:rFonts w:ascii="Arial" w:hAnsi="Arial" w:cs="Arial"/>
        </w:rPr>
      </w:pPr>
      <w:r w:rsidRPr="00087645">
        <w:rPr>
          <w:rFonts w:ascii="Arial" w:hAnsi="Arial" w:cs="Arial"/>
          <w:color w:val="000000"/>
        </w:rPr>
        <w:t xml:space="preserve">Con </w:t>
      </w:r>
      <w:r w:rsidR="00D94C95" w:rsidRPr="00087645">
        <w:rPr>
          <w:rFonts w:ascii="Arial" w:hAnsi="Arial" w:cs="Arial"/>
          <w:color w:val="000000"/>
        </w:rPr>
        <w:t xml:space="preserve">el </w:t>
      </w:r>
      <w:r w:rsidR="008D3DF7" w:rsidRPr="00087645">
        <w:rPr>
          <w:rFonts w:ascii="Arial" w:hAnsi="Arial" w:cs="Arial"/>
          <w:color w:val="000000"/>
        </w:rPr>
        <w:t xml:space="preserve">firme </w:t>
      </w:r>
      <w:r w:rsidR="00D94C95" w:rsidRPr="00087645">
        <w:rPr>
          <w:rFonts w:ascii="Arial" w:hAnsi="Arial" w:cs="Arial"/>
          <w:color w:val="000000"/>
        </w:rPr>
        <w:t xml:space="preserve">objetivo de </w:t>
      </w:r>
      <w:r w:rsidR="00C40874" w:rsidRPr="00087645">
        <w:rPr>
          <w:rFonts w:ascii="Arial" w:hAnsi="Arial" w:cs="Arial"/>
          <w:color w:val="000000"/>
        </w:rPr>
        <w:t>construir un mejor Estado de México</w:t>
      </w:r>
      <w:r w:rsidR="00096448" w:rsidRPr="00087645">
        <w:rPr>
          <w:rFonts w:ascii="Arial" w:hAnsi="Arial" w:cs="Arial"/>
          <w:color w:val="000000"/>
        </w:rPr>
        <w:t>,</w:t>
      </w:r>
      <w:r w:rsidR="00E66422" w:rsidRPr="00087645">
        <w:rPr>
          <w:rFonts w:ascii="Arial" w:hAnsi="Arial" w:cs="Arial"/>
          <w:color w:val="000000"/>
        </w:rPr>
        <w:t xml:space="preserve"> </w:t>
      </w:r>
      <w:r w:rsidR="00D65216" w:rsidRPr="00087645">
        <w:rPr>
          <w:rFonts w:ascii="Arial" w:hAnsi="Arial" w:cs="Arial"/>
        </w:rPr>
        <w:t>someto a la consideración de este H. Poder Legislativo del Estado de México, para su análisis, discusión y en su caso aprobación, el presente</w:t>
      </w:r>
      <w:r w:rsidR="00B20D79">
        <w:rPr>
          <w:rFonts w:ascii="Arial" w:hAnsi="Arial" w:cs="Arial"/>
        </w:rPr>
        <w:t xml:space="preserve"> Punto de Acuerdo</w:t>
      </w:r>
      <w:r w:rsidR="00D65216" w:rsidRPr="00087645">
        <w:rPr>
          <w:rFonts w:ascii="Arial" w:hAnsi="Arial" w:cs="Arial"/>
        </w:rPr>
        <w:t>:</w:t>
      </w:r>
    </w:p>
    <w:p w14:paraId="12EB6BF7" w14:textId="7825616E" w:rsidR="005D30D2" w:rsidRPr="00E504F7" w:rsidRDefault="005D30D2" w:rsidP="005D30D2">
      <w:pPr>
        <w:pStyle w:val="NormalWeb"/>
        <w:shd w:val="clear" w:color="auto" w:fill="FFFFFF"/>
        <w:jc w:val="center"/>
        <w:rPr>
          <w:rFonts w:ascii="Arial" w:hAnsi="Arial" w:cs="Arial"/>
          <w:b/>
          <w:lang w:val="pt-BR"/>
        </w:rPr>
      </w:pPr>
      <w:r w:rsidRPr="00E504F7">
        <w:rPr>
          <w:rFonts w:ascii="Arial" w:hAnsi="Arial" w:cs="Arial"/>
          <w:b/>
          <w:lang w:val="pt-BR"/>
        </w:rPr>
        <w:t>A T E N T A M E N T E</w:t>
      </w:r>
    </w:p>
    <w:p w14:paraId="6C999B00" w14:textId="77777777" w:rsidR="005D30D2" w:rsidRDefault="005D30D2" w:rsidP="005D30D2">
      <w:pPr>
        <w:spacing w:line="240" w:lineRule="auto"/>
        <w:jc w:val="both"/>
        <w:rPr>
          <w:rFonts w:ascii="Arial" w:hAnsi="Arial" w:cs="Arial"/>
          <w:b/>
          <w:sz w:val="24"/>
          <w:szCs w:val="24"/>
          <w:lang w:val="pt-BR"/>
        </w:rPr>
      </w:pPr>
    </w:p>
    <w:p w14:paraId="5BDC38A6" w14:textId="77777777" w:rsidR="005D30D2" w:rsidRPr="00E504F7" w:rsidRDefault="005D30D2" w:rsidP="005D30D2">
      <w:pPr>
        <w:spacing w:line="240" w:lineRule="auto"/>
        <w:jc w:val="both"/>
        <w:rPr>
          <w:rFonts w:ascii="Arial" w:hAnsi="Arial" w:cs="Arial"/>
          <w:b/>
          <w:sz w:val="24"/>
          <w:szCs w:val="24"/>
          <w:lang w:val="pt-BR"/>
        </w:rPr>
      </w:pPr>
    </w:p>
    <w:p w14:paraId="2A7616A4" w14:textId="36F505ED" w:rsidR="005D30D2" w:rsidRDefault="005D30D2" w:rsidP="0029609E">
      <w:pPr>
        <w:spacing w:after="0" w:line="240" w:lineRule="auto"/>
        <w:ind w:left="-1276" w:right="-1227"/>
        <w:jc w:val="center"/>
        <w:rPr>
          <w:rFonts w:ascii="Arial" w:hAnsi="Arial" w:cs="Arial"/>
          <w:b/>
          <w:bCs/>
        </w:rPr>
      </w:pPr>
      <w:r w:rsidRPr="005D30D2">
        <w:rPr>
          <w:rFonts w:ascii="Arial" w:hAnsi="Arial" w:cs="Arial"/>
          <w:b/>
          <w:sz w:val="24"/>
          <w:szCs w:val="24"/>
        </w:rPr>
        <w:t xml:space="preserve">DIP. </w:t>
      </w:r>
      <w:r w:rsidRPr="005D30D2">
        <w:rPr>
          <w:rFonts w:ascii="Arial" w:hAnsi="Arial" w:cs="Arial"/>
          <w:b/>
          <w:bCs/>
        </w:rPr>
        <w:t xml:space="preserve">EMMA LAURA ALVAREZ VILLAVICENCIO            DIP. </w:t>
      </w:r>
      <w:r>
        <w:rPr>
          <w:rFonts w:ascii="Arial" w:hAnsi="Arial" w:cs="Arial"/>
          <w:b/>
          <w:bCs/>
        </w:rPr>
        <w:t>PABLO FERNÁNDEZ DE CEVALLOS GONZÁLEZ</w:t>
      </w:r>
    </w:p>
    <w:p w14:paraId="7D1A5A25" w14:textId="77777777" w:rsidR="0029609E" w:rsidRPr="0029609E" w:rsidRDefault="0029609E" w:rsidP="0029609E">
      <w:pPr>
        <w:spacing w:after="0" w:line="240" w:lineRule="auto"/>
        <w:jc w:val="center"/>
        <w:rPr>
          <w:rFonts w:ascii="Arial" w:hAnsi="Arial" w:cs="Arial"/>
          <w:b/>
          <w:sz w:val="16"/>
          <w:szCs w:val="16"/>
        </w:rPr>
      </w:pPr>
    </w:p>
    <w:p w14:paraId="7309EE5D" w14:textId="407C56CA" w:rsidR="005D30D2" w:rsidRPr="00B7418B" w:rsidRDefault="005D30D2" w:rsidP="0029609E">
      <w:pPr>
        <w:spacing w:after="0" w:line="240" w:lineRule="auto"/>
        <w:jc w:val="center"/>
        <w:rPr>
          <w:rFonts w:ascii="Arial" w:hAnsi="Arial" w:cs="Arial"/>
          <w:b/>
          <w:sz w:val="24"/>
          <w:szCs w:val="24"/>
        </w:rPr>
      </w:pPr>
      <w:r w:rsidRPr="00B7418B">
        <w:rPr>
          <w:rFonts w:ascii="Arial" w:hAnsi="Arial" w:cs="Arial"/>
          <w:b/>
          <w:sz w:val="24"/>
          <w:szCs w:val="24"/>
        </w:rPr>
        <w:t>Grupo Parlamentario del Partido Acción Nacional</w:t>
      </w:r>
    </w:p>
    <w:p w14:paraId="74036B65" w14:textId="77777777" w:rsidR="00B90467" w:rsidRDefault="00B90467" w:rsidP="005D30D2">
      <w:pPr>
        <w:spacing w:line="240" w:lineRule="auto"/>
        <w:jc w:val="center"/>
        <w:rPr>
          <w:rFonts w:ascii="Arial" w:hAnsi="Arial" w:cs="Arial"/>
          <w:b/>
          <w:bCs/>
          <w:sz w:val="24"/>
          <w:szCs w:val="24"/>
        </w:rPr>
      </w:pPr>
    </w:p>
    <w:p w14:paraId="6862DBAC" w14:textId="0ADDA4AE" w:rsidR="005D30D2" w:rsidRDefault="005D30D2" w:rsidP="005D30D2">
      <w:pPr>
        <w:spacing w:line="240" w:lineRule="auto"/>
        <w:jc w:val="center"/>
        <w:rPr>
          <w:rFonts w:ascii="Arial" w:hAnsi="Arial" w:cs="Arial"/>
          <w:b/>
          <w:bCs/>
          <w:sz w:val="24"/>
          <w:szCs w:val="24"/>
        </w:rPr>
      </w:pPr>
      <w:r w:rsidRPr="00087645">
        <w:rPr>
          <w:rFonts w:ascii="Arial" w:hAnsi="Arial" w:cs="Arial"/>
          <w:b/>
          <w:bCs/>
          <w:sz w:val="24"/>
          <w:szCs w:val="24"/>
        </w:rPr>
        <w:t>PUNTO DE ACUERDO</w:t>
      </w:r>
    </w:p>
    <w:p w14:paraId="12F02D91" w14:textId="77777777" w:rsidR="00B90467" w:rsidRDefault="00B90467" w:rsidP="00B90467">
      <w:pPr>
        <w:spacing w:after="0" w:line="240" w:lineRule="auto"/>
        <w:jc w:val="center"/>
        <w:rPr>
          <w:rFonts w:ascii="Arial" w:hAnsi="Arial" w:cs="Arial"/>
          <w:b/>
          <w:bCs/>
          <w:sz w:val="24"/>
          <w:szCs w:val="24"/>
        </w:rPr>
      </w:pPr>
    </w:p>
    <w:p w14:paraId="0FA915B7" w14:textId="77777777" w:rsidR="005D30D2" w:rsidRDefault="005D30D2" w:rsidP="0029609E">
      <w:pPr>
        <w:spacing w:after="0" w:line="360" w:lineRule="auto"/>
        <w:jc w:val="both"/>
        <w:rPr>
          <w:rFonts w:ascii="Arial" w:hAnsi="Arial" w:cs="Arial"/>
          <w:b/>
          <w:bCs/>
          <w:sz w:val="24"/>
          <w:szCs w:val="24"/>
        </w:rPr>
      </w:pPr>
      <w:r w:rsidRPr="008F2B06">
        <w:rPr>
          <w:rFonts w:ascii="Arial" w:hAnsi="Arial" w:cs="Arial"/>
          <w:b/>
          <w:bCs/>
          <w:sz w:val="24"/>
          <w:szCs w:val="24"/>
        </w:rPr>
        <w:t>LA H. “LXI</w:t>
      </w:r>
      <w:r>
        <w:rPr>
          <w:rFonts w:ascii="Arial" w:hAnsi="Arial" w:cs="Arial"/>
          <w:b/>
          <w:bCs/>
          <w:sz w:val="24"/>
          <w:szCs w:val="24"/>
        </w:rPr>
        <w:t>I</w:t>
      </w:r>
      <w:r w:rsidRPr="008F2B06">
        <w:rPr>
          <w:rFonts w:ascii="Arial" w:hAnsi="Arial" w:cs="Arial"/>
          <w:b/>
          <w:bCs/>
          <w:sz w:val="24"/>
          <w:szCs w:val="24"/>
        </w:rPr>
        <w:t xml:space="preserve">” LEGISLATURA EN EJERCICIO DE LAS FACULTADES QUE LE CONFIEREN LOS ARTÍCULOS </w:t>
      </w:r>
      <w:r>
        <w:rPr>
          <w:rFonts w:ascii="Arial" w:hAnsi="Arial" w:cs="Arial"/>
          <w:b/>
          <w:bCs/>
          <w:sz w:val="24"/>
          <w:szCs w:val="24"/>
        </w:rPr>
        <w:t xml:space="preserve">51, </w:t>
      </w:r>
      <w:r w:rsidRPr="008F2B06">
        <w:rPr>
          <w:rFonts w:ascii="Arial" w:hAnsi="Arial" w:cs="Arial"/>
          <w:b/>
          <w:bCs/>
          <w:sz w:val="24"/>
          <w:szCs w:val="24"/>
        </w:rPr>
        <w:t>57, 61, FRACCIÓN I DE LA CONSTITUCIÓN POLÍTICA DEL ESTADO LIBRE Y SOBERANO DE MÉXICO; 38 FRACCIÓN IV DE LA LEY ORGÁNICA DEL PODER LEGISLATIVO DEL ESTADO LIBRE Y SOBERANO DE MÉXICO Y 72 DEL REGLAMENTO DEL PODER LEGISLATIVO DEL ESTADO DE MÉXICO, HA TENIDO A BIEN EL SIGUIENTE:</w:t>
      </w:r>
    </w:p>
    <w:p w14:paraId="64B2D6AF" w14:textId="1DDA6CD1" w:rsidR="005D30D2" w:rsidRDefault="005D30D2" w:rsidP="005D30D2">
      <w:pPr>
        <w:jc w:val="center"/>
        <w:rPr>
          <w:rFonts w:ascii="Arial" w:hAnsi="Arial" w:cs="Arial"/>
          <w:b/>
          <w:bCs/>
          <w:sz w:val="24"/>
          <w:szCs w:val="24"/>
        </w:rPr>
      </w:pPr>
      <w:r>
        <w:rPr>
          <w:rFonts w:ascii="Arial" w:hAnsi="Arial" w:cs="Arial"/>
          <w:b/>
          <w:bCs/>
          <w:sz w:val="24"/>
          <w:szCs w:val="24"/>
        </w:rPr>
        <w:t>ACUERDO</w:t>
      </w:r>
    </w:p>
    <w:p w14:paraId="2ACA0D6E" w14:textId="483A0DC0" w:rsidR="002A5E86" w:rsidRDefault="00D65216" w:rsidP="0029609E">
      <w:pPr>
        <w:pStyle w:val="NormalWeb"/>
        <w:shd w:val="clear" w:color="auto" w:fill="FFFFFF"/>
        <w:spacing w:before="0" w:beforeAutospacing="0" w:after="0" w:afterAutospacing="0" w:line="360" w:lineRule="auto"/>
        <w:jc w:val="both"/>
        <w:rPr>
          <w:rFonts w:ascii="Arial" w:hAnsi="Arial" w:cs="Arial"/>
        </w:rPr>
      </w:pPr>
      <w:r w:rsidRPr="00087645">
        <w:rPr>
          <w:rFonts w:ascii="Arial" w:hAnsi="Arial" w:cs="Arial"/>
          <w:b/>
          <w:bCs/>
        </w:rPr>
        <w:t>Único.</w:t>
      </w:r>
      <w:r w:rsidRPr="00087645">
        <w:rPr>
          <w:rFonts w:ascii="Arial" w:hAnsi="Arial" w:cs="Arial"/>
        </w:rPr>
        <w:t xml:space="preserve"> </w:t>
      </w:r>
      <w:r w:rsidR="002121F6">
        <w:rPr>
          <w:rFonts w:ascii="Arial" w:hAnsi="Arial" w:cs="Arial"/>
        </w:rPr>
        <w:t>L</w:t>
      </w:r>
      <w:r w:rsidR="002121F6" w:rsidRPr="002121F6">
        <w:rPr>
          <w:rFonts w:ascii="Arial" w:hAnsi="Arial" w:cs="Arial"/>
        </w:rPr>
        <w:t>a LXII Legislatura del Poder Legislativo del Estado Libre y Soberano de México, exhorta de manera respetuosa al Gobierno del Estado de México a generar una agenda de trabajo con el Gobierno Federal y los 125 municipios de la entidad para generar acciones destinadas a garantizar que se satisfagan las necesidades nutricionales de los recién nacidos y prematuros, asegurando reciban apoyo nutricional dentro de las primeras horas de vida para reducir el riesgo de eventos adversos a corto y largo plazo</w:t>
      </w:r>
      <w:r w:rsidR="0029609E">
        <w:rPr>
          <w:rFonts w:ascii="Arial" w:hAnsi="Arial" w:cs="Arial"/>
        </w:rPr>
        <w:t>.</w:t>
      </w:r>
    </w:p>
    <w:p w14:paraId="329A6D70" w14:textId="77777777" w:rsidR="0029609E" w:rsidRDefault="0029609E" w:rsidP="0029609E">
      <w:pPr>
        <w:pStyle w:val="NormalWeb"/>
        <w:shd w:val="clear" w:color="auto" w:fill="FFFFFF"/>
        <w:spacing w:before="0" w:beforeAutospacing="0" w:after="0" w:afterAutospacing="0" w:line="360" w:lineRule="auto"/>
        <w:jc w:val="both"/>
        <w:rPr>
          <w:rFonts w:ascii="Arial" w:hAnsi="Arial" w:cs="Arial"/>
        </w:rPr>
      </w:pPr>
    </w:p>
    <w:p w14:paraId="2153920C" w14:textId="77777777" w:rsidR="005D30D2" w:rsidRDefault="005D30D2" w:rsidP="0029609E">
      <w:pPr>
        <w:pStyle w:val="NormalWeb"/>
        <w:shd w:val="clear" w:color="auto" w:fill="FFFFFF"/>
        <w:spacing w:before="0" w:beforeAutospacing="0" w:after="0" w:afterAutospacing="0" w:line="360" w:lineRule="auto"/>
        <w:jc w:val="both"/>
        <w:rPr>
          <w:rFonts w:ascii="Arial" w:hAnsi="Arial" w:cs="Arial"/>
          <w:bCs/>
        </w:rPr>
      </w:pPr>
      <w:r w:rsidRPr="005F5A0F">
        <w:rPr>
          <w:rFonts w:ascii="Arial" w:hAnsi="Arial" w:cs="Arial"/>
          <w:b/>
          <w:bCs/>
        </w:rPr>
        <w:t>ARTÍCULO PRIMERO. -</w:t>
      </w:r>
      <w:r w:rsidRPr="005F5A0F">
        <w:rPr>
          <w:rFonts w:ascii="Arial" w:hAnsi="Arial" w:cs="Arial"/>
          <w:bCs/>
        </w:rPr>
        <w:t xml:space="preserve"> Publíquese este Acuerdo en el Periódico Oficial “Gaceta del Gobierno” del Estado de México.</w:t>
      </w:r>
    </w:p>
    <w:p w14:paraId="6CBD6F4C" w14:textId="77777777" w:rsidR="0029609E" w:rsidRPr="005F5A0F" w:rsidRDefault="0029609E" w:rsidP="0029609E">
      <w:pPr>
        <w:pStyle w:val="NormalWeb"/>
        <w:shd w:val="clear" w:color="auto" w:fill="FFFFFF"/>
        <w:spacing w:before="0" w:beforeAutospacing="0" w:after="0" w:afterAutospacing="0" w:line="360" w:lineRule="auto"/>
        <w:jc w:val="both"/>
        <w:rPr>
          <w:rFonts w:ascii="Arial" w:hAnsi="Arial" w:cs="Arial"/>
          <w:bCs/>
        </w:rPr>
      </w:pPr>
    </w:p>
    <w:p w14:paraId="1E1690CE" w14:textId="77777777" w:rsidR="005D30D2" w:rsidRDefault="005D30D2" w:rsidP="0029609E">
      <w:pPr>
        <w:pStyle w:val="NormalWeb"/>
        <w:shd w:val="clear" w:color="auto" w:fill="FFFFFF"/>
        <w:spacing w:before="0" w:beforeAutospacing="0" w:after="0" w:afterAutospacing="0" w:line="360" w:lineRule="auto"/>
        <w:jc w:val="both"/>
        <w:rPr>
          <w:rFonts w:ascii="Arial" w:hAnsi="Arial" w:cs="Arial"/>
          <w:bCs/>
        </w:rPr>
      </w:pPr>
      <w:r w:rsidRPr="005F5A0F">
        <w:rPr>
          <w:rFonts w:ascii="Arial" w:hAnsi="Arial" w:cs="Arial"/>
          <w:b/>
          <w:bCs/>
        </w:rPr>
        <w:t xml:space="preserve">ARTÍCULO SEGUNDO. </w:t>
      </w:r>
      <w:r>
        <w:rPr>
          <w:rFonts w:ascii="Arial" w:hAnsi="Arial" w:cs="Arial"/>
          <w:b/>
          <w:bCs/>
        </w:rPr>
        <w:t xml:space="preserve">- </w:t>
      </w:r>
      <w:r w:rsidRPr="005F5A0F">
        <w:rPr>
          <w:rFonts w:ascii="Arial" w:hAnsi="Arial" w:cs="Arial"/>
          <w:bCs/>
        </w:rPr>
        <w:t>Comuníquese el presente Acuerdo a las autoridades competentes, para los efectos correspondientes.</w:t>
      </w:r>
    </w:p>
    <w:p w14:paraId="0F10EEC2" w14:textId="77777777" w:rsidR="00B90467" w:rsidRDefault="00B90467" w:rsidP="0029609E">
      <w:pPr>
        <w:pStyle w:val="NormalWeb"/>
        <w:shd w:val="clear" w:color="auto" w:fill="FFFFFF"/>
        <w:spacing w:before="0" w:beforeAutospacing="0" w:after="0" w:afterAutospacing="0" w:line="360" w:lineRule="auto"/>
        <w:jc w:val="both"/>
        <w:rPr>
          <w:rFonts w:ascii="Arial" w:hAnsi="Arial" w:cs="Arial"/>
          <w:bCs/>
        </w:rPr>
      </w:pPr>
    </w:p>
    <w:p w14:paraId="62BDFC63" w14:textId="452194A3" w:rsidR="005D30D2" w:rsidRDefault="005D30D2" w:rsidP="0029609E">
      <w:pPr>
        <w:pStyle w:val="NormalWeb"/>
        <w:shd w:val="clear" w:color="auto" w:fill="FFFFFF"/>
        <w:spacing w:before="0" w:beforeAutospacing="0" w:after="0" w:afterAutospacing="0" w:line="360" w:lineRule="auto"/>
        <w:jc w:val="both"/>
        <w:rPr>
          <w:rFonts w:ascii="Arial" w:hAnsi="Arial" w:cs="Arial"/>
          <w:bCs/>
        </w:rPr>
      </w:pPr>
      <w:r w:rsidRPr="005F5A0F">
        <w:rPr>
          <w:rFonts w:ascii="Arial" w:hAnsi="Arial" w:cs="Arial"/>
          <w:bCs/>
        </w:rPr>
        <w:lastRenderedPageBreak/>
        <w:t xml:space="preserve">Dado en el Palacio del Poder Legislativo, en la ciudad de Toluca de Lerdo, capital del Estado de México, a los </w:t>
      </w:r>
      <w:r w:rsidR="0029609E">
        <w:rPr>
          <w:rFonts w:ascii="Arial" w:hAnsi="Arial" w:cs="Arial"/>
          <w:bCs/>
        </w:rPr>
        <w:t>__</w:t>
      </w:r>
      <w:r w:rsidRPr="005F5A0F">
        <w:rPr>
          <w:rFonts w:ascii="Arial" w:hAnsi="Arial" w:cs="Arial"/>
          <w:bCs/>
        </w:rPr>
        <w:t xml:space="preserve"> días del mes de </w:t>
      </w:r>
      <w:r>
        <w:rPr>
          <w:rFonts w:ascii="Arial" w:hAnsi="Arial" w:cs="Arial"/>
          <w:bCs/>
        </w:rPr>
        <w:t xml:space="preserve">octubre </w:t>
      </w:r>
      <w:r w:rsidRPr="005F5A0F">
        <w:rPr>
          <w:rFonts w:ascii="Arial" w:hAnsi="Arial" w:cs="Arial"/>
          <w:bCs/>
        </w:rPr>
        <w:t xml:space="preserve">del año dos mil </w:t>
      </w:r>
      <w:r>
        <w:rPr>
          <w:rFonts w:ascii="Arial" w:hAnsi="Arial" w:cs="Arial"/>
          <w:bCs/>
        </w:rPr>
        <w:t>veinticuatro</w:t>
      </w:r>
      <w:r w:rsidRPr="005F5A0F">
        <w:rPr>
          <w:rFonts w:ascii="Arial" w:hAnsi="Arial" w:cs="Arial"/>
          <w:bCs/>
        </w:rPr>
        <w:t xml:space="preserve">. </w:t>
      </w:r>
    </w:p>
    <w:p w14:paraId="5309AA79" w14:textId="77777777" w:rsidR="00282334" w:rsidRPr="00282334" w:rsidRDefault="00282334" w:rsidP="009038A0">
      <w:pPr>
        <w:spacing w:after="0" w:line="240" w:lineRule="auto"/>
        <w:jc w:val="center"/>
        <w:rPr>
          <w:rFonts w:ascii="Arial" w:hAnsi="Arial" w:cs="Arial"/>
          <w:sz w:val="24"/>
          <w:szCs w:val="24"/>
        </w:rPr>
      </w:pPr>
    </w:p>
    <w:p w14:paraId="42DD685A" w14:textId="018DCB29" w:rsidR="00E04C40" w:rsidRPr="00F100EE" w:rsidRDefault="00B10482" w:rsidP="00833E3E">
      <w:pPr>
        <w:spacing w:after="0" w:line="240" w:lineRule="atLeast"/>
        <w:jc w:val="both"/>
        <w:rPr>
          <w:b/>
          <w:bCs/>
          <w:i/>
          <w:iCs/>
          <w:sz w:val="18"/>
          <w:szCs w:val="18"/>
        </w:rPr>
      </w:pPr>
      <w:r w:rsidRPr="00F100EE">
        <w:rPr>
          <w:b/>
          <w:bCs/>
          <w:i/>
          <w:iCs/>
          <w:sz w:val="18"/>
          <w:szCs w:val="18"/>
        </w:rPr>
        <w:t>Bibliografía consultada:</w:t>
      </w:r>
    </w:p>
    <w:p w14:paraId="70D626E7" w14:textId="77777777" w:rsidR="00B15011" w:rsidRPr="00F100EE" w:rsidRDefault="00B15011" w:rsidP="00833E3E">
      <w:pPr>
        <w:spacing w:after="0" w:line="240" w:lineRule="atLeast"/>
        <w:jc w:val="both"/>
        <w:rPr>
          <w:b/>
          <w:bCs/>
          <w:i/>
          <w:iCs/>
          <w:sz w:val="18"/>
          <w:szCs w:val="18"/>
        </w:rPr>
      </w:pPr>
    </w:p>
    <w:p w14:paraId="6128F361" w14:textId="3DE5BF20" w:rsidR="005A6D26" w:rsidRDefault="005A6D26" w:rsidP="00833E3E">
      <w:pPr>
        <w:pStyle w:val="Prrafodelista"/>
        <w:numPr>
          <w:ilvl w:val="0"/>
          <w:numId w:val="17"/>
        </w:numPr>
        <w:spacing w:after="0" w:line="240" w:lineRule="atLeast"/>
        <w:rPr>
          <w:b/>
          <w:bCs/>
          <w:i/>
          <w:iCs/>
          <w:sz w:val="18"/>
          <w:szCs w:val="18"/>
        </w:rPr>
      </w:pPr>
      <w:r>
        <w:rPr>
          <w:b/>
          <w:bCs/>
          <w:i/>
          <w:iCs/>
          <w:sz w:val="18"/>
          <w:szCs w:val="18"/>
        </w:rPr>
        <w:t>Constitución Política de los Estados Unidos Mexicanos</w:t>
      </w:r>
    </w:p>
    <w:p w14:paraId="3BF789D8" w14:textId="77777777" w:rsidR="00833E3E" w:rsidRDefault="00471FA9" w:rsidP="00833E3E">
      <w:pPr>
        <w:pStyle w:val="Prrafodelista"/>
        <w:numPr>
          <w:ilvl w:val="0"/>
          <w:numId w:val="17"/>
        </w:numPr>
        <w:spacing w:after="0" w:line="240" w:lineRule="atLeast"/>
        <w:rPr>
          <w:b/>
          <w:bCs/>
          <w:i/>
          <w:iCs/>
          <w:sz w:val="18"/>
          <w:szCs w:val="18"/>
        </w:rPr>
      </w:pPr>
      <w:r>
        <w:rPr>
          <w:b/>
          <w:bCs/>
          <w:i/>
          <w:iCs/>
          <w:sz w:val="18"/>
          <w:szCs w:val="18"/>
        </w:rPr>
        <w:t>Constitución Política del Estado Libre y Soberano de México</w:t>
      </w:r>
    </w:p>
    <w:p w14:paraId="7E28F17E" w14:textId="2FE9FD65" w:rsidR="003F19C9" w:rsidRDefault="003F19C9" w:rsidP="00833E3E">
      <w:pPr>
        <w:pStyle w:val="Prrafodelista"/>
        <w:numPr>
          <w:ilvl w:val="0"/>
          <w:numId w:val="17"/>
        </w:numPr>
        <w:spacing w:after="0" w:line="240" w:lineRule="atLeast"/>
        <w:rPr>
          <w:b/>
          <w:bCs/>
          <w:i/>
          <w:iCs/>
          <w:sz w:val="18"/>
          <w:szCs w:val="18"/>
        </w:rPr>
      </w:pPr>
      <w:r w:rsidRPr="003F19C9">
        <w:rPr>
          <w:b/>
          <w:bCs/>
          <w:i/>
          <w:iCs/>
          <w:sz w:val="18"/>
          <w:szCs w:val="18"/>
        </w:rPr>
        <w:t xml:space="preserve">Ley General de Salud. </w:t>
      </w:r>
    </w:p>
    <w:p w14:paraId="3EAAE6F4" w14:textId="5C4E9E4F" w:rsidR="00473CDF" w:rsidRDefault="00473CDF" w:rsidP="00833E3E">
      <w:pPr>
        <w:pStyle w:val="Prrafodelista"/>
        <w:numPr>
          <w:ilvl w:val="0"/>
          <w:numId w:val="17"/>
        </w:numPr>
        <w:spacing w:after="0" w:line="240" w:lineRule="atLeast"/>
        <w:rPr>
          <w:b/>
          <w:bCs/>
          <w:i/>
          <w:iCs/>
          <w:sz w:val="18"/>
          <w:szCs w:val="18"/>
        </w:rPr>
      </w:pPr>
      <w:r>
        <w:rPr>
          <w:b/>
          <w:bCs/>
          <w:i/>
          <w:iCs/>
          <w:sz w:val="18"/>
          <w:szCs w:val="18"/>
        </w:rPr>
        <w:t>Código Administrativo del Estado de México.</w:t>
      </w:r>
    </w:p>
    <w:p w14:paraId="0159800D" w14:textId="77777777" w:rsidR="002121F6" w:rsidRPr="002121F6" w:rsidRDefault="002121F6" w:rsidP="002121F6">
      <w:pPr>
        <w:pStyle w:val="Prrafodelista"/>
        <w:numPr>
          <w:ilvl w:val="0"/>
          <w:numId w:val="17"/>
        </w:numPr>
        <w:rPr>
          <w:b/>
          <w:bCs/>
          <w:i/>
          <w:iCs/>
          <w:sz w:val="18"/>
          <w:szCs w:val="18"/>
        </w:rPr>
      </w:pPr>
      <w:r w:rsidRPr="002121F6">
        <w:rPr>
          <w:b/>
          <w:bCs/>
          <w:i/>
          <w:iCs/>
          <w:sz w:val="18"/>
          <w:szCs w:val="18"/>
        </w:rPr>
        <w:t xml:space="preserve">Bibliografía </w:t>
      </w:r>
    </w:p>
    <w:p w14:paraId="6192109E" w14:textId="0717215B" w:rsidR="002121F6" w:rsidRPr="002121F6" w:rsidRDefault="002121F6" w:rsidP="002121F6">
      <w:pPr>
        <w:pStyle w:val="Prrafodelista"/>
        <w:numPr>
          <w:ilvl w:val="0"/>
          <w:numId w:val="17"/>
        </w:numPr>
        <w:rPr>
          <w:b/>
          <w:bCs/>
          <w:i/>
          <w:iCs/>
          <w:sz w:val="18"/>
          <w:szCs w:val="18"/>
        </w:rPr>
      </w:pPr>
      <w:r w:rsidRPr="002121F6">
        <w:rPr>
          <w:b/>
          <w:bCs/>
          <w:i/>
          <w:iCs/>
          <w:sz w:val="18"/>
          <w:szCs w:val="18"/>
        </w:rPr>
        <w:t xml:space="preserve">INEGI (s. f.). Natalidad. </w:t>
      </w:r>
      <w:hyperlink r:id="rId8" w:history="1">
        <w:r w:rsidRPr="004229BF">
          <w:rPr>
            <w:rStyle w:val="Hipervnculo"/>
            <w:b/>
            <w:bCs/>
            <w:i/>
            <w:iCs/>
            <w:sz w:val="18"/>
            <w:szCs w:val="18"/>
          </w:rPr>
          <w:t>https://www.inegi.org.mx/programas/natalidad/</w:t>
        </w:r>
      </w:hyperlink>
      <w:r>
        <w:rPr>
          <w:b/>
          <w:bCs/>
          <w:i/>
          <w:iCs/>
          <w:sz w:val="18"/>
          <w:szCs w:val="18"/>
        </w:rPr>
        <w:t xml:space="preserve"> </w:t>
      </w:r>
    </w:p>
    <w:p w14:paraId="3B946972" w14:textId="0E6F28F9" w:rsidR="002121F6" w:rsidRPr="002121F6" w:rsidRDefault="002121F6" w:rsidP="002121F6">
      <w:pPr>
        <w:pStyle w:val="Prrafodelista"/>
        <w:numPr>
          <w:ilvl w:val="0"/>
          <w:numId w:val="17"/>
        </w:numPr>
        <w:rPr>
          <w:b/>
          <w:bCs/>
          <w:i/>
          <w:iCs/>
          <w:sz w:val="18"/>
          <w:szCs w:val="18"/>
        </w:rPr>
      </w:pPr>
      <w:r w:rsidRPr="002121F6">
        <w:rPr>
          <w:b/>
          <w:bCs/>
          <w:i/>
          <w:iCs/>
          <w:sz w:val="18"/>
          <w:szCs w:val="18"/>
        </w:rPr>
        <w:t xml:space="preserve">Intervenciones de enfermería en la Atención del Recién Nacido Prematuro. (2013). En Instituto Mexicano del Seguro Social. </w:t>
      </w:r>
      <w:hyperlink r:id="rId9" w:history="1">
        <w:r w:rsidRPr="004229BF">
          <w:rPr>
            <w:rStyle w:val="Hipervnculo"/>
            <w:b/>
            <w:bCs/>
            <w:i/>
            <w:iCs/>
            <w:sz w:val="18"/>
            <w:szCs w:val="18"/>
          </w:rPr>
          <w:t>https://www.imss.gob.mx/sites/all/statics/guiasclinicas/645GER.pdf</w:t>
        </w:r>
      </w:hyperlink>
      <w:r>
        <w:rPr>
          <w:b/>
          <w:bCs/>
          <w:i/>
          <w:iCs/>
          <w:sz w:val="18"/>
          <w:szCs w:val="18"/>
        </w:rPr>
        <w:t xml:space="preserve"> </w:t>
      </w:r>
    </w:p>
    <w:p w14:paraId="479E1CDF" w14:textId="77777777" w:rsidR="002121F6" w:rsidRPr="002121F6" w:rsidRDefault="002121F6" w:rsidP="002121F6">
      <w:pPr>
        <w:pStyle w:val="Prrafodelista"/>
        <w:numPr>
          <w:ilvl w:val="0"/>
          <w:numId w:val="17"/>
        </w:numPr>
        <w:rPr>
          <w:b/>
          <w:bCs/>
          <w:i/>
          <w:iCs/>
          <w:sz w:val="18"/>
          <w:szCs w:val="18"/>
        </w:rPr>
      </w:pPr>
      <w:proofErr w:type="spellStart"/>
      <w:r w:rsidRPr="001C73F6">
        <w:rPr>
          <w:b/>
          <w:bCs/>
          <w:i/>
          <w:iCs/>
          <w:sz w:val="18"/>
          <w:szCs w:val="18"/>
          <w:lang w:val="en-US"/>
        </w:rPr>
        <w:t>Manktelow</w:t>
      </w:r>
      <w:proofErr w:type="spellEnd"/>
      <w:r w:rsidRPr="001C73F6">
        <w:rPr>
          <w:b/>
          <w:bCs/>
          <w:i/>
          <w:iCs/>
          <w:sz w:val="18"/>
          <w:szCs w:val="18"/>
          <w:lang w:val="en-US"/>
        </w:rPr>
        <w:t xml:space="preserve">, B. N., Seaton, S. E., Field, D. J. &amp; Draper, E. S. (2013). Population-Based Estimates of In-Unit Survival for Very Preterm Infants. </w:t>
      </w:r>
      <w:proofErr w:type="spellStart"/>
      <w:r w:rsidRPr="002121F6">
        <w:rPr>
          <w:b/>
          <w:bCs/>
          <w:i/>
          <w:iCs/>
          <w:sz w:val="18"/>
          <w:szCs w:val="18"/>
        </w:rPr>
        <w:t>Pediatrics</w:t>
      </w:r>
      <w:proofErr w:type="spellEnd"/>
      <w:r w:rsidRPr="002121F6">
        <w:rPr>
          <w:b/>
          <w:bCs/>
          <w:i/>
          <w:iCs/>
          <w:sz w:val="18"/>
          <w:szCs w:val="18"/>
        </w:rPr>
        <w:t xml:space="preserve">, 131(2), e425-e432. https://doi.org/10.1542/peds.2012-2189 </w:t>
      </w:r>
    </w:p>
    <w:p w14:paraId="17C6646A" w14:textId="5835C40D" w:rsidR="002121F6" w:rsidRPr="002121F6" w:rsidRDefault="002121F6" w:rsidP="002121F6">
      <w:pPr>
        <w:pStyle w:val="Prrafodelista"/>
        <w:numPr>
          <w:ilvl w:val="0"/>
          <w:numId w:val="17"/>
        </w:numPr>
        <w:rPr>
          <w:b/>
          <w:bCs/>
          <w:i/>
          <w:iCs/>
          <w:sz w:val="18"/>
          <w:szCs w:val="18"/>
        </w:rPr>
      </w:pPr>
      <w:r w:rsidRPr="001C73F6">
        <w:rPr>
          <w:b/>
          <w:bCs/>
          <w:i/>
          <w:iCs/>
          <w:sz w:val="18"/>
          <w:szCs w:val="18"/>
          <w:lang w:val="en-US"/>
        </w:rPr>
        <w:t xml:space="preserve">March of Dimes, </w:t>
      </w:r>
      <w:proofErr w:type="spellStart"/>
      <w:r w:rsidRPr="001C73F6">
        <w:rPr>
          <w:b/>
          <w:bCs/>
          <w:i/>
          <w:iCs/>
          <w:sz w:val="18"/>
          <w:szCs w:val="18"/>
          <w:lang w:val="en-US"/>
        </w:rPr>
        <w:t>pmNch</w:t>
      </w:r>
      <w:proofErr w:type="spellEnd"/>
      <w:r w:rsidRPr="001C73F6">
        <w:rPr>
          <w:b/>
          <w:bCs/>
          <w:i/>
          <w:iCs/>
          <w:sz w:val="18"/>
          <w:szCs w:val="18"/>
          <w:lang w:val="en-US"/>
        </w:rPr>
        <w:t xml:space="preserve">, Save the children, Who. (2012). Born too soon: the global action report on Preterm Birth. </w:t>
      </w:r>
      <w:hyperlink r:id="rId10" w:history="1">
        <w:r w:rsidRPr="004229BF">
          <w:rPr>
            <w:rStyle w:val="Hipervnculo"/>
            <w:b/>
            <w:bCs/>
            <w:i/>
            <w:iCs/>
            <w:sz w:val="18"/>
            <w:szCs w:val="18"/>
          </w:rPr>
          <w:t>http://apps.who.int/iris/bitstream/handle/10665/44864/9789241503433_eng.pdf;jsessionid=5085011979AA3CD4B8D1FF60714F8865?sequence=1</w:t>
        </w:r>
      </w:hyperlink>
      <w:r>
        <w:rPr>
          <w:b/>
          <w:bCs/>
          <w:i/>
          <w:iCs/>
          <w:sz w:val="18"/>
          <w:szCs w:val="18"/>
        </w:rPr>
        <w:t xml:space="preserve"> </w:t>
      </w:r>
    </w:p>
    <w:p w14:paraId="31070256" w14:textId="77777777" w:rsidR="002121F6" w:rsidRPr="002121F6" w:rsidRDefault="002121F6" w:rsidP="002121F6">
      <w:pPr>
        <w:pStyle w:val="Prrafodelista"/>
        <w:numPr>
          <w:ilvl w:val="0"/>
          <w:numId w:val="17"/>
        </w:numPr>
        <w:rPr>
          <w:b/>
          <w:bCs/>
          <w:i/>
          <w:iCs/>
          <w:sz w:val="18"/>
          <w:szCs w:val="18"/>
        </w:rPr>
      </w:pPr>
      <w:r w:rsidRPr="002121F6">
        <w:rPr>
          <w:b/>
          <w:bCs/>
          <w:i/>
          <w:iCs/>
          <w:sz w:val="18"/>
          <w:szCs w:val="18"/>
        </w:rPr>
        <w:t xml:space="preserve">MG Ávila-Pérez, OE Ceja-Mejía, JJ Pérez-Molina &amp; LA Almonte-Lemus. (2020). Conceptos claves de la nutrición parenteral agresiva en prematuros: a 20 años de su descripción inicial. Salud Jalisco, 6(3), 181-187. </w:t>
      </w:r>
    </w:p>
    <w:p w14:paraId="74F1702F" w14:textId="333BC4B1" w:rsidR="002121F6" w:rsidRPr="002121F6" w:rsidRDefault="002121F6" w:rsidP="002121F6">
      <w:pPr>
        <w:pStyle w:val="Prrafodelista"/>
        <w:numPr>
          <w:ilvl w:val="0"/>
          <w:numId w:val="17"/>
        </w:numPr>
        <w:rPr>
          <w:b/>
          <w:bCs/>
          <w:i/>
          <w:iCs/>
          <w:sz w:val="18"/>
          <w:szCs w:val="18"/>
        </w:rPr>
      </w:pPr>
      <w:proofErr w:type="spellStart"/>
      <w:r w:rsidRPr="002121F6">
        <w:rPr>
          <w:b/>
          <w:bCs/>
          <w:i/>
          <w:iCs/>
          <w:sz w:val="18"/>
          <w:szCs w:val="18"/>
        </w:rPr>
        <w:t>Preterm</w:t>
      </w:r>
      <w:proofErr w:type="spellEnd"/>
      <w:r w:rsidRPr="002121F6">
        <w:rPr>
          <w:b/>
          <w:bCs/>
          <w:i/>
          <w:iCs/>
          <w:sz w:val="18"/>
          <w:szCs w:val="18"/>
        </w:rPr>
        <w:t xml:space="preserve"> </w:t>
      </w:r>
      <w:proofErr w:type="spellStart"/>
      <w:r w:rsidRPr="002121F6">
        <w:rPr>
          <w:b/>
          <w:bCs/>
          <w:i/>
          <w:iCs/>
          <w:sz w:val="18"/>
          <w:szCs w:val="18"/>
        </w:rPr>
        <w:t>birth</w:t>
      </w:r>
      <w:proofErr w:type="spellEnd"/>
      <w:r w:rsidRPr="002121F6">
        <w:rPr>
          <w:b/>
          <w:bCs/>
          <w:i/>
          <w:iCs/>
          <w:sz w:val="18"/>
          <w:szCs w:val="18"/>
        </w:rPr>
        <w:t xml:space="preserve">. (2018, 19 febrero). </w:t>
      </w:r>
      <w:hyperlink r:id="rId11" w:history="1">
        <w:r w:rsidRPr="004229BF">
          <w:rPr>
            <w:rStyle w:val="Hipervnculo"/>
            <w:b/>
            <w:bCs/>
            <w:i/>
            <w:iCs/>
            <w:sz w:val="18"/>
            <w:szCs w:val="18"/>
          </w:rPr>
          <w:t>https://www.who.int/news-room/fact-sheets/detail/preterm-birth</w:t>
        </w:r>
      </w:hyperlink>
      <w:r>
        <w:rPr>
          <w:b/>
          <w:bCs/>
          <w:i/>
          <w:iCs/>
          <w:sz w:val="18"/>
          <w:szCs w:val="18"/>
        </w:rPr>
        <w:t xml:space="preserve"> </w:t>
      </w:r>
    </w:p>
    <w:p w14:paraId="00EDFA52" w14:textId="37580400" w:rsidR="00473CDF" w:rsidRPr="002121F6" w:rsidRDefault="002121F6" w:rsidP="002121F6">
      <w:pPr>
        <w:pStyle w:val="Prrafodelista"/>
        <w:numPr>
          <w:ilvl w:val="0"/>
          <w:numId w:val="17"/>
        </w:numPr>
        <w:rPr>
          <w:b/>
          <w:bCs/>
          <w:i/>
          <w:iCs/>
          <w:sz w:val="18"/>
          <w:szCs w:val="18"/>
        </w:rPr>
      </w:pPr>
      <w:r w:rsidRPr="002121F6">
        <w:rPr>
          <w:b/>
          <w:bCs/>
          <w:i/>
          <w:iCs/>
          <w:sz w:val="18"/>
          <w:szCs w:val="18"/>
        </w:rPr>
        <w:t xml:space="preserve">Programa de actualización continua en neonatología. (2016). Federación Nacional de Neonatología de México. </w:t>
      </w:r>
      <w:hyperlink r:id="rId12" w:history="1">
        <w:r w:rsidRPr="004229BF">
          <w:rPr>
            <w:rStyle w:val="Hipervnculo"/>
            <w:b/>
            <w:bCs/>
            <w:i/>
            <w:iCs/>
            <w:sz w:val="18"/>
            <w:szCs w:val="18"/>
          </w:rPr>
          <w:t>https://www.anmm.org.mx/publicaciones/PAC/PAC_Neonato_4_L4_edited.pdf</w:t>
        </w:r>
      </w:hyperlink>
      <w:r>
        <w:rPr>
          <w:b/>
          <w:bCs/>
          <w:i/>
          <w:iCs/>
          <w:sz w:val="18"/>
          <w:szCs w:val="18"/>
        </w:rPr>
        <w:t xml:space="preserve"> </w:t>
      </w:r>
    </w:p>
    <w:sectPr w:rsidR="00473CDF" w:rsidRPr="002121F6" w:rsidSect="001C73F6">
      <w:headerReference w:type="default" r:id="rId13"/>
      <w:footerReference w:type="default" r:id="rId14"/>
      <w:pgSz w:w="12240" w:h="15840"/>
      <w:pgMar w:top="2552" w:right="1701" w:bottom="1701" w:left="1701" w:header="709" w:footer="27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8A9DB" w14:textId="77777777" w:rsidR="000755DC" w:rsidRDefault="000755DC" w:rsidP="00DF2A37">
      <w:pPr>
        <w:spacing w:after="0" w:line="240" w:lineRule="auto"/>
      </w:pPr>
      <w:r>
        <w:separator/>
      </w:r>
    </w:p>
  </w:endnote>
  <w:endnote w:type="continuationSeparator" w:id="0">
    <w:p w14:paraId="35011EC2" w14:textId="77777777" w:rsidR="000755DC" w:rsidRDefault="000755DC" w:rsidP="00DF2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9D446" w14:textId="77777777" w:rsidR="001C73F6" w:rsidRPr="001E44FA" w:rsidRDefault="001C73F6" w:rsidP="001C73F6">
    <w:pPr>
      <w:pStyle w:val="Piedepgina"/>
      <w:rPr>
        <w:rFonts w:ascii="Lato" w:hAnsi="Lato"/>
        <w:noProof/>
        <w:color w:val="595959" w:themeColor="text1" w:themeTint="A6"/>
        <w:sz w:val="18"/>
      </w:rPr>
    </w:pPr>
    <w:bookmarkStart w:id="5" w:name="_Hlk177114220"/>
    <w:r w:rsidRPr="001E44FA">
      <w:rPr>
        <w:rFonts w:ascii="Lato" w:hAnsi="Lato"/>
        <w:noProof/>
        <w:color w:val="595959" w:themeColor="text1" w:themeTint="A6"/>
        <w:sz w:val="18"/>
      </w:rPr>
      <w:drawing>
        <wp:anchor distT="0" distB="0" distL="114300" distR="114300" simplePos="0" relativeHeight="251660288" behindDoc="0" locked="0" layoutInCell="1" allowOverlap="1" wp14:anchorId="4DC0D359" wp14:editId="7978E8A0">
          <wp:simplePos x="0" y="0"/>
          <wp:positionH relativeFrom="column">
            <wp:posOffset>2555326</wp:posOffset>
          </wp:positionH>
          <wp:positionV relativeFrom="paragraph">
            <wp:posOffset>8495</wp:posOffset>
          </wp:positionV>
          <wp:extent cx="615263" cy="560173"/>
          <wp:effectExtent l="19050" t="0" r="0" b="0"/>
          <wp:wrapNone/>
          <wp:docPr id="99299549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5263" cy="560173"/>
                  </a:xfrm>
                  <a:prstGeom prst="rect">
                    <a:avLst/>
                  </a:prstGeom>
                </pic:spPr>
              </pic:pic>
            </a:graphicData>
          </a:graphic>
          <wp14:sizeRelH relativeFrom="margin">
            <wp14:pctWidth>0</wp14:pctWidth>
          </wp14:sizeRelH>
          <wp14:sizeRelV relativeFrom="margin">
            <wp14:pctHeight>0</wp14:pctHeight>
          </wp14:sizeRelV>
        </wp:anchor>
      </w:drawing>
    </w:r>
    <w:r w:rsidRPr="006D1D4A">
      <w:rPr>
        <w:rFonts w:ascii="Lato" w:hAnsi="Lato"/>
        <w:noProof/>
        <w:color w:val="595959" w:themeColor="text1" w:themeTint="A6"/>
        <w:sz w:val="18"/>
      </w:rPr>
      <w:drawing>
        <wp:anchor distT="0" distB="0" distL="114300" distR="114300" simplePos="0" relativeHeight="251659264" behindDoc="0" locked="0" layoutInCell="1" allowOverlap="1" wp14:anchorId="2E814686" wp14:editId="307B5B05">
          <wp:simplePos x="0" y="0"/>
          <wp:positionH relativeFrom="column">
            <wp:posOffset>4019087</wp:posOffset>
          </wp:positionH>
          <wp:positionV relativeFrom="paragraph">
            <wp:posOffset>86155</wp:posOffset>
          </wp:positionV>
          <wp:extent cx="2054345" cy="345989"/>
          <wp:effectExtent l="19050" t="0" r="3055" b="0"/>
          <wp:wrapNone/>
          <wp:docPr id="154010508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54345" cy="345989"/>
                  </a:xfrm>
                  <a:prstGeom prst="rect">
                    <a:avLst/>
                  </a:prstGeom>
                </pic:spPr>
              </pic:pic>
            </a:graphicData>
          </a:graphic>
        </wp:anchor>
      </w:drawing>
    </w:r>
    <w:r w:rsidRPr="001E44FA">
      <w:rPr>
        <w:rFonts w:ascii="Lato" w:hAnsi="Lato"/>
        <w:noProof/>
        <w:color w:val="595959" w:themeColor="text1" w:themeTint="A6"/>
        <w:sz w:val="18"/>
      </w:rPr>
      <w:t xml:space="preserve">Plaza Hidalgo S/N. Col. Centro  </w:t>
    </w:r>
  </w:p>
  <w:p w14:paraId="2DD14265" w14:textId="77777777" w:rsidR="001C73F6" w:rsidRPr="001E44FA" w:rsidRDefault="001C73F6" w:rsidP="001C73F6">
    <w:pPr>
      <w:tabs>
        <w:tab w:val="left" w:pos="1219"/>
      </w:tabs>
      <w:spacing w:after="0" w:line="240" w:lineRule="auto"/>
      <w:contextualSpacing/>
      <w:rPr>
        <w:color w:val="595959" w:themeColor="text1" w:themeTint="A6"/>
      </w:rPr>
    </w:pPr>
    <w:r w:rsidRPr="001E44FA">
      <w:rPr>
        <w:rFonts w:ascii="Lato" w:hAnsi="Lato"/>
        <w:noProof/>
        <w:color w:val="595959" w:themeColor="text1" w:themeTint="A6"/>
        <w:sz w:val="18"/>
      </w:rPr>
      <w:t>Toluca, México, C. P. 50000</w:t>
    </w:r>
    <w:r w:rsidRPr="001E44FA">
      <w:rPr>
        <w:rFonts w:ascii="Lato" w:hAnsi="Lato"/>
        <w:noProof/>
        <w:color w:val="595959" w:themeColor="text1" w:themeTint="A6"/>
        <w:sz w:val="18"/>
      </w:rPr>
      <w:br/>
      <w:t>Tels. (722) 2 79 64 00 y 2 79 65 00</w:t>
    </w:r>
  </w:p>
  <w:bookmarkEnd w:id="5"/>
  <w:p w14:paraId="4FECE2AC" w14:textId="77777777" w:rsidR="001C73F6" w:rsidRDefault="001C73F6" w:rsidP="001C73F6">
    <w:pPr>
      <w:pStyle w:val="Piedepgina"/>
    </w:pPr>
  </w:p>
  <w:sdt>
    <w:sdtPr>
      <w:id w:val="605925123"/>
      <w:docPartObj>
        <w:docPartGallery w:val="Page Numbers (Bottom of Page)"/>
        <w:docPartUnique/>
      </w:docPartObj>
    </w:sdtPr>
    <w:sdtEndPr/>
    <w:sdtContent>
      <w:p w14:paraId="37A1934D" w14:textId="54E17FA1" w:rsidR="000755DC" w:rsidRDefault="000755DC">
        <w:pPr>
          <w:pStyle w:val="Piedepgina"/>
          <w:jc w:val="right"/>
        </w:pPr>
        <w:r>
          <w:fldChar w:fldCharType="begin"/>
        </w:r>
        <w:r>
          <w:instrText>PAGE   \* MERGEFORMAT</w:instrText>
        </w:r>
        <w:r>
          <w:fldChar w:fldCharType="separate"/>
        </w:r>
        <w:r w:rsidR="00B20D79" w:rsidRPr="00B20D79">
          <w:rPr>
            <w:noProof/>
            <w:lang w:val="es-ES"/>
          </w:rPr>
          <w:t>6</w:t>
        </w:r>
        <w:r>
          <w:fldChar w:fldCharType="end"/>
        </w:r>
      </w:p>
    </w:sdtContent>
  </w:sdt>
  <w:p w14:paraId="688E2854" w14:textId="77777777" w:rsidR="000755DC" w:rsidRDefault="000755D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FD94F" w14:textId="77777777" w:rsidR="000755DC" w:rsidRDefault="000755DC" w:rsidP="00DF2A37">
      <w:pPr>
        <w:spacing w:after="0" w:line="240" w:lineRule="auto"/>
      </w:pPr>
      <w:r>
        <w:separator/>
      </w:r>
    </w:p>
  </w:footnote>
  <w:footnote w:type="continuationSeparator" w:id="0">
    <w:p w14:paraId="73CF3977" w14:textId="77777777" w:rsidR="000755DC" w:rsidRDefault="000755DC" w:rsidP="00DF2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6DA95" w14:textId="77777777" w:rsidR="001C73F6" w:rsidRDefault="001C73F6" w:rsidP="001C73F6">
    <w:pPr>
      <w:pStyle w:val="NormalWeb"/>
      <w:jc w:val="center"/>
    </w:pPr>
    <w:bookmarkStart w:id="3" w:name="_Hlk177114186"/>
    <w:bookmarkStart w:id="4" w:name="_Hlk177114187"/>
    <w:r>
      <w:rPr>
        <w:noProof/>
      </w:rPr>
      <w:drawing>
        <wp:inline distT="0" distB="0" distL="0" distR="0" wp14:anchorId="66FB1ED6" wp14:editId="4ADAD447">
          <wp:extent cx="2153432" cy="799465"/>
          <wp:effectExtent l="0" t="0" r="0" b="635"/>
          <wp:docPr id="170010714" name="Imagen 170010714" descr="C:\Users\LEGISLATURA\Documents\LXI Legislatura\Griss Sáenz\Logos\logo LXII Diputados Locales gris 5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GISLATURA\Documents\LXI Legislatura\Griss Sáenz\Logos\logo LXII Diputados Locales gris 5x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3432" cy="799465"/>
                  </a:xfrm>
                  <a:prstGeom prst="rect">
                    <a:avLst/>
                  </a:prstGeom>
                  <a:noFill/>
                  <a:ln>
                    <a:noFill/>
                  </a:ln>
                </pic:spPr>
              </pic:pic>
            </a:graphicData>
          </a:graphic>
        </wp:inline>
      </w:drawing>
    </w:r>
  </w:p>
  <w:p w14:paraId="16AC4BBE" w14:textId="6E0096C4" w:rsidR="001C73F6" w:rsidRPr="002814F2" w:rsidRDefault="001C73F6" w:rsidP="001C73F6">
    <w:pPr>
      <w:spacing w:line="240" w:lineRule="auto"/>
      <w:jc w:val="center"/>
      <w:rPr>
        <w:rFonts w:cs="Cambria"/>
        <w:b/>
        <w:bCs/>
        <w:color w:val="253166"/>
        <w:sz w:val="32"/>
        <w:szCs w:val="32"/>
        <w:lang w:val="es-ES"/>
      </w:rPr>
    </w:pPr>
    <w:r w:rsidRPr="004E7667">
      <w:rPr>
        <w:rFonts w:ascii="Arial" w:hAnsi="Arial" w:cs="Arial"/>
        <w:b/>
      </w:rPr>
      <w:t xml:space="preserve">DIP. </w:t>
    </w:r>
    <w:r>
      <w:rPr>
        <w:rFonts w:ascii="Arial" w:hAnsi="Arial" w:cs="Arial"/>
        <w:b/>
      </w:rPr>
      <w:t xml:space="preserve">EMMA </w:t>
    </w:r>
    <w:r w:rsidR="005D30D2">
      <w:rPr>
        <w:rFonts w:ascii="Arial" w:hAnsi="Arial" w:cs="Arial"/>
        <w:b/>
      </w:rPr>
      <w:t xml:space="preserve">LAURA </w:t>
    </w:r>
    <w:r w:rsidR="008D7E50">
      <w:rPr>
        <w:rFonts w:ascii="Arial" w:hAnsi="Arial" w:cs="Arial"/>
        <w:b/>
      </w:rPr>
      <w:t>Á</w:t>
    </w:r>
    <w:r>
      <w:rPr>
        <w:rFonts w:ascii="Arial" w:hAnsi="Arial" w:cs="Arial"/>
        <w:b/>
      </w:rPr>
      <w:t>LVAREZ</w:t>
    </w:r>
    <w:r w:rsidR="005D30D2">
      <w:rPr>
        <w:rFonts w:ascii="Arial" w:hAnsi="Arial" w:cs="Arial"/>
        <w:b/>
      </w:rPr>
      <w:t xml:space="preserve"> VILLAVICENCIO</w:t>
    </w:r>
    <w:r>
      <w:rPr>
        <w:rFonts w:ascii="Arial" w:hAnsi="Arial" w:cs="Arial"/>
        <w:b/>
      </w:rPr>
      <w:t xml:space="preserve"> </w:t>
    </w:r>
  </w:p>
  <w:p w14:paraId="6AE26D2F" w14:textId="77777777" w:rsidR="001C73F6" w:rsidRPr="004E7667" w:rsidRDefault="001C73F6" w:rsidP="001C73F6">
    <w:pPr>
      <w:pStyle w:val="NormalWeb"/>
      <w:spacing w:before="0" w:beforeAutospacing="0" w:after="0" w:afterAutospacing="0"/>
      <w:jc w:val="center"/>
      <w:rPr>
        <w:rFonts w:ascii="Arial" w:hAnsi="Arial" w:cs="Arial"/>
        <w:b/>
        <w:sz w:val="20"/>
        <w:szCs w:val="20"/>
      </w:rPr>
    </w:pPr>
    <w:r>
      <w:rPr>
        <w:rFonts w:ascii="Arial" w:hAnsi="Arial" w:cs="Arial"/>
        <w:b/>
        <w:sz w:val="20"/>
        <w:szCs w:val="20"/>
      </w:rPr>
      <w:t xml:space="preserve">Grupo Parlamentario </w:t>
    </w:r>
    <w:r w:rsidRPr="004E7667">
      <w:rPr>
        <w:rFonts w:ascii="Arial" w:hAnsi="Arial" w:cs="Arial"/>
        <w:b/>
        <w:sz w:val="20"/>
        <w:szCs w:val="20"/>
      </w:rPr>
      <w:t>del P</w:t>
    </w:r>
    <w:r>
      <w:rPr>
        <w:rFonts w:ascii="Arial" w:hAnsi="Arial" w:cs="Arial"/>
        <w:b/>
        <w:sz w:val="20"/>
        <w:szCs w:val="20"/>
      </w:rPr>
      <w:t xml:space="preserve">artido </w:t>
    </w:r>
    <w:r w:rsidRPr="004E7667">
      <w:rPr>
        <w:rFonts w:ascii="Arial" w:hAnsi="Arial" w:cs="Arial"/>
        <w:b/>
        <w:sz w:val="20"/>
        <w:szCs w:val="20"/>
      </w:rPr>
      <w:t>A</w:t>
    </w:r>
    <w:r>
      <w:rPr>
        <w:rFonts w:ascii="Arial" w:hAnsi="Arial" w:cs="Arial"/>
        <w:b/>
        <w:sz w:val="20"/>
        <w:szCs w:val="20"/>
      </w:rPr>
      <w:t xml:space="preserve">cción </w:t>
    </w:r>
    <w:r w:rsidRPr="004E7667">
      <w:rPr>
        <w:rFonts w:ascii="Arial" w:hAnsi="Arial" w:cs="Arial"/>
        <w:b/>
        <w:sz w:val="20"/>
        <w:szCs w:val="20"/>
      </w:rPr>
      <w:t>N</w:t>
    </w:r>
    <w:r>
      <w:rPr>
        <w:rFonts w:ascii="Arial" w:hAnsi="Arial" w:cs="Arial"/>
        <w:b/>
        <w:sz w:val="20"/>
        <w:szCs w:val="20"/>
      </w:rPr>
      <w:t>acional</w:t>
    </w:r>
  </w:p>
  <w:p w14:paraId="0B838C44" w14:textId="77777777" w:rsidR="001C73F6" w:rsidRPr="00C04441" w:rsidRDefault="001C73F6" w:rsidP="001C73F6">
    <w:pPr>
      <w:pStyle w:val="NormalWeb"/>
      <w:spacing w:before="0" w:beforeAutospacing="0" w:after="0" w:afterAutospacing="0"/>
      <w:jc w:val="center"/>
      <w:rPr>
        <w:rFonts w:ascii="Arial" w:hAnsi="Arial" w:cs="Arial"/>
        <w:sz w:val="16"/>
        <w:szCs w:val="16"/>
      </w:rPr>
    </w:pPr>
  </w:p>
  <w:p w14:paraId="50A8C307" w14:textId="77777777" w:rsidR="001C73F6" w:rsidRDefault="001C73F6" w:rsidP="001C73F6">
    <w:pPr>
      <w:pStyle w:val="NormalWeb"/>
      <w:spacing w:before="0" w:beforeAutospacing="0" w:after="0" w:afterAutospacing="0"/>
      <w:jc w:val="center"/>
    </w:pPr>
    <w:r w:rsidRPr="001E44FA">
      <w:rPr>
        <w:rFonts w:ascii="Arial" w:hAnsi="Arial" w:cs="Arial"/>
        <w:sz w:val="16"/>
        <w:szCs w:val="16"/>
      </w:rPr>
      <w:t>“2024. Año del Bicentenario de la Erección del Estado Libre y Soberano de México”</w:t>
    </w:r>
    <w:bookmarkEnd w:id="3"/>
    <w:bookmarkEnd w:id="4"/>
  </w:p>
  <w:p w14:paraId="754EB177" w14:textId="77777777" w:rsidR="001C73F6" w:rsidRDefault="001C73F6" w:rsidP="001C73F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91F25"/>
    <w:multiLevelType w:val="hybridMultilevel"/>
    <w:tmpl w:val="28188B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B5A7AE5"/>
    <w:multiLevelType w:val="hybridMultilevel"/>
    <w:tmpl w:val="08A88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DB674C5"/>
    <w:multiLevelType w:val="hybridMultilevel"/>
    <w:tmpl w:val="10AC16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374AFE"/>
    <w:multiLevelType w:val="hybridMultilevel"/>
    <w:tmpl w:val="67E2A5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433979"/>
    <w:multiLevelType w:val="hybridMultilevel"/>
    <w:tmpl w:val="1A72EB8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3310E"/>
    <w:multiLevelType w:val="hybridMultilevel"/>
    <w:tmpl w:val="5EB497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B9B6633"/>
    <w:multiLevelType w:val="hybridMultilevel"/>
    <w:tmpl w:val="EFA64C5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CA82A87"/>
    <w:multiLevelType w:val="hybridMultilevel"/>
    <w:tmpl w:val="7DBABC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73C11E4"/>
    <w:multiLevelType w:val="hybridMultilevel"/>
    <w:tmpl w:val="2C1EF2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8E77E59"/>
    <w:multiLevelType w:val="hybridMultilevel"/>
    <w:tmpl w:val="EDA68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21E18F9"/>
    <w:multiLevelType w:val="hybridMultilevel"/>
    <w:tmpl w:val="5FF25E2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3036FEF"/>
    <w:multiLevelType w:val="hybridMultilevel"/>
    <w:tmpl w:val="C9041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8946DC1"/>
    <w:multiLevelType w:val="hybridMultilevel"/>
    <w:tmpl w:val="A6545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9392ABF"/>
    <w:multiLevelType w:val="hybridMultilevel"/>
    <w:tmpl w:val="5EA2C7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8123644"/>
    <w:multiLevelType w:val="hybridMultilevel"/>
    <w:tmpl w:val="0DA49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D7577A9"/>
    <w:multiLevelType w:val="hybridMultilevel"/>
    <w:tmpl w:val="B1549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4F958A1"/>
    <w:multiLevelType w:val="hybridMultilevel"/>
    <w:tmpl w:val="DC5A2A50"/>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7" w15:restartNumberingAfterBreak="0">
    <w:nsid w:val="7B467447"/>
    <w:multiLevelType w:val="hybridMultilevel"/>
    <w:tmpl w:val="3D38F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1"/>
  </w:num>
  <w:num w:numId="4">
    <w:abstractNumId w:val="7"/>
  </w:num>
  <w:num w:numId="5">
    <w:abstractNumId w:val="12"/>
  </w:num>
  <w:num w:numId="6">
    <w:abstractNumId w:val="17"/>
  </w:num>
  <w:num w:numId="7">
    <w:abstractNumId w:val="9"/>
  </w:num>
  <w:num w:numId="8">
    <w:abstractNumId w:val="3"/>
  </w:num>
  <w:num w:numId="9">
    <w:abstractNumId w:val="8"/>
  </w:num>
  <w:num w:numId="10">
    <w:abstractNumId w:val="14"/>
  </w:num>
  <w:num w:numId="11">
    <w:abstractNumId w:val="4"/>
  </w:num>
  <w:num w:numId="12">
    <w:abstractNumId w:val="13"/>
  </w:num>
  <w:num w:numId="13">
    <w:abstractNumId w:val="15"/>
  </w:num>
  <w:num w:numId="14">
    <w:abstractNumId w:val="2"/>
  </w:num>
  <w:num w:numId="15">
    <w:abstractNumId w:val="10"/>
  </w:num>
  <w:num w:numId="16">
    <w:abstractNumId w:val="6"/>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A37"/>
    <w:rsid w:val="0000183A"/>
    <w:rsid w:val="0000232E"/>
    <w:rsid w:val="00003871"/>
    <w:rsid w:val="00004246"/>
    <w:rsid w:val="000046DA"/>
    <w:rsid w:val="000055A2"/>
    <w:rsid w:val="00010F26"/>
    <w:rsid w:val="000147D3"/>
    <w:rsid w:val="00022E5E"/>
    <w:rsid w:val="0002319A"/>
    <w:rsid w:val="00023358"/>
    <w:rsid w:val="0002374A"/>
    <w:rsid w:val="00032C44"/>
    <w:rsid w:val="00034683"/>
    <w:rsid w:val="00035689"/>
    <w:rsid w:val="0003614E"/>
    <w:rsid w:val="00044DA4"/>
    <w:rsid w:val="000451DE"/>
    <w:rsid w:val="000458E0"/>
    <w:rsid w:val="00045ADD"/>
    <w:rsid w:val="00045CCA"/>
    <w:rsid w:val="00046E0C"/>
    <w:rsid w:val="0005026D"/>
    <w:rsid w:val="00052536"/>
    <w:rsid w:val="00054691"/>
    <w:rsid w:val="00057349"/>
    <w:rsid w:val="0005754C"/>
    <w:rsid w:val="00057F91"/>
    <w:rsid w:val="00060B81"/>
    <w:rsid w:val="00061BC4"/>
    <w:rsid w:val="00066E2F"/>
    <w:rsid w:val="000701A4"/>
    <w:rsid w:val="00071493"/>
    <w:rsid w:val="00071568"/>
    <w:rsid w:val="00071F18"/>
    <w:rsid w:val="00074F8E"/>
    <w:rsid w:val="000755DC"/>
    <w:rsid w:val="00087645"/>
    <w:rsid w:val="00092109"/>
    <w:rsid w:val="000950AE"/>
    <w:rsid w:val="00096448"/>
    <w:rsid w:val="00097E50"/>
    <w:rsid w:val="000B414D"/>
    <w:rsid w:val="000B56BD"/>
    <w:rsid w:val="000B5B0A"/>
    <w:rsid w:val="000C2B9A"/>
    <w:rsid w:val="000C5939"/>
    <w:rsid w:val="000D4207"/>
    <w:rsid w:val="000D5C11"/>
    <w:rsid w:val="000E1340"/>
    <w:rsid w:val="000E1E7C"/>
    <w:rsid w:val="000E522D"/>
    <w:rsid w:val="000F1046"/>
    <w:rsid w:val="000F16A9"/>
    <w:rsid w:val="000F252E"/>
    <w:rsid w:val="000F5D5D"/>
    <w:rsid w:val="00104915"/>
    <w:rsid w:val="00104E61"/>
    <w:rsid w:val="00106AA3"/>
    <w:rsid w:val="00116A52"/>
    <w:rsid w:val="001202FC"/>
    <w:rsid w:val="0012418D"/>
    <w:rsid w:val="00126566"/>
    <w:rsid w:val="001307CD"/>
    <w:rsid w:val="00137040"/>
    <w:rsid w:val="00142CBB"/>
    <w:rsid w:val="00144450"/>
    <w:rsid w:val="001524E6"/>
    <w:rsid w:val="0015461B"/>
    <w:rsid w:val="001575CA"/>
    <w:rsid w:val="001577C8"/>
    <w:rsid w:val="00162743"/>
    <w:rsid w:val="00163744"/>
    <w:rsid w:val="00163B82"/>
    <w:rsid w:val="00163D76"/>
    <w:rsid w:val="00164712"/>
    <w:rsid w:val="001672E2"/>
    <w:rsid w:val="00177551"/>
    <w:rsid w:val="00177ABA"/>
    <w:rsid w:val="00186351"/>
    <w:rsid w:val="001872E5"/>
    <w:rsid w:val="00193565"/>
    <w:rsid w:val="001A002C"/>
    <w:rsid w:val="001A2042"/>
    <w:rsid w:val="001A28C2"/>
    <w:rsid w:val="001A3394"/>
    <w:rsid w:val="001B0A10"/>
    <w:rsid w:val="001B52FD"/>
    <w:rsid w:val="001C03A2"/>
    <w:rsid w:val="001C0AF3"/>
    <w:rsid w:val="001C51E5"/>
    <w:rsid w:val="001C73F6"/>
    <w:rsid w:val="001C7EAC"/>
    <w:rsid w:val="001C7F6A"/>
    <w:rsid w:val="001D013E"/>
    <w:rsid w:val="001D3234"/>
    <w:rsid w:val="001D6119"/>
    <w:rsid w:val="001D735E"/>
    <w:rsid w:val="001E0406"/>
    <w:rsid w:val="001E17EB"/>
    <w:rsid w:val="001E28C5"/>
    <w:rsid w:val="001E3A26"/>
    <w:rsid w:val="001E53E2"/>
    <w:rsid w:val="001E5EC4"/>
    <w:rsid w:val="001F240D"/>
    <w:rsid w:val="001F265D"/>
    <w:rsid w:val="002007E8"/>
    <w:rsid w:val="00201164"/>
    <w:rsid w:val="00202FA9"/>
    <w:rsid w:val="00205076"/>
    <w:rsid w:val="00206855"/>
    <w:rsid w:val="0020790D"/>
    <w:rsid w:val="002121F6"/>
    <w:rsid w:val="0021345A"/>
    <w:rsid w:val="0021575A"/>
    <w:rsid w:val="00220CAD"/>
    <w:rsid w:val="00221339"/>
    <w:rsid w:val="002222EB"/>
    <w:rsid w:val="00222475"/>
    <w:rsid w:val="0022578C"/>
    <w:rsid w:val="00227768"/>
    <w:rsid w:val="002343D3"/>
    <w:rsid w:val="002353DE"/>
    <w:rsid w:val="00235E90"/>
    <w:rsid w:val="002365A6"/>
    <w:rsid w:val="00237B8B"/>
    <w:rsid w:val="002403ED"/>
    <w:rsid w:val="002530D1"/>
    <w:rsid w:val="00255C30"/>
    <w:rsid w:val="002563A5"/>
    <w:rsid w:val="002602F0"/>
    <w:rsid w:val="00260CF6"/>
    <w:rsid w:val="00273CB9"/>
    <w:rsid w:val="00275E23"/>
    <w:rsid w:val="00282334"/>
    <w:rsid w:val="0029071E"/>
    <w:rsid w:val="00291958"/>
    <w:rsid w:val="00292356"/>
    <w:rsid w:val="00294607"/>
    <w:rsid w:val="0029609E"/>
    <w:rsid w:val="00296139"/>
    <w:rsid w:val="00296FD5"/>
    <w:rsid w:val="002A2208"/>
    <w:rsid w:val="002A4F6D"/>
    <w:rsid w:val="002A5317"/>
    <w:rsid w:val="002A5E86"/>
    <w:rsid w:val="002B13D1"/>
    <w:rsid w:val="002B2BBC"/>
    <w:rsid w:val="002B2CF9"/>
    <w:rsid w:val="002B42CE"/>
    <w:rsid w:val="002B4BDF"/>
    <w:rsid w:val="002B7F0C"/>
    <w:rsid w:val="002C165F"/>
    <w:rsid w:val="002C4819"/>
    <w:rsid w:val="002C7003"/>
    <w:rsid w:val="002D2591"/>
    <w:rsid w:val="002D64C4"/>
    <w:rsid w:val="002D6AFC"/>
    <w:rsid w:val="002D7B12"/>
    <w:rsid w:val="002E0720"/>
    <w:rsid w:val="002E0A67"/>
    <w:rsid w:val="002E33C4"/>
    <w:rsid w:val="002E6340"/>
    <w:rsid w:val="002F1328"/>
    <w:rsid w:val="002F20D3"/>
    <w:rsid w:val="002F52CC"/>
    <w:rsid w:val="002F593C"/>
    <w:rsid w:val="002F6012"/>
    <w:rsid w:val="002F7AFD"/>
    <w:rsid w:val="00315EBE"/>
    <w:rsid w:val="003273FE"/>
    <w:rsid w:val="003275DD"/>
    <w:rsid w:val="00330862"/>
    <w:rsid w:val="003308A3"/>
    <w:rsid w:val="003310F6"/>
    <w:rsid w:val="00337BF7"/>
    <w:rsid w:val="00343886"/>
    <w:rsid w:val="00345AD7"/>
    <w:rsid w:val="003474B2"/>
    <w:rsid w:val="003525F8"/>
    <w:rsid w:val="003623F0"/>
    <w:rsid w:val="00366E5B"/>
    <w:rsid w:val="00367889"/>
    <w:rsid w:val="0037054D"/>
    <w:rsid w:val="00371105"/>
    <w:rsid w:val="003716F2"/>
    <w:rsid w:val="003741D2"/>
    <w:rsid w:val="003741F2"/>
    <w:rsid w:val="00375290"/>
    <w:rsid w:val="0037602C"/>
    <w:rsid w:val="00376223"/>
    <w:rsid w:val="00381B1A"/>
    <w:rsid w:val="00381D98"/>
    <w:rsid w:val="0038200B"/>
    <w:rsid w:val="00386DA8"/>
    <w:rsid w:val="0038743C"/>
    <w:rsid w:val="003943B2"/>
    <w:rsid w:val="00394E2E"/>
    <w:rsid w:val="00395D0D"/>
    <w:rsid w:val="00395D79"/>
    <w:rsid w:val="00395F5D"/>
    <w:rsid w:val="00396CD5"/>
    <w:rsid w:val="003A27B9"/>
    <w:rsid w:val="003B5217"/>
    <w:rsid w:val="003C023F"/>
    <w:rsid w:val="003C0AF1"/>
    <w:rsid w:val="003C5EA4"/>
    <w:rsid w:val="003D00F7"/>
    <w:rsid w:val="003D0362"/>
    <w:rsid w:val="003D28BA"/>
    <w:rsid w:val="003D7276"/>
    <w:rsid w:val="003D784C"/>
    <w:rsid w:val="003E10AB"/>
    <w:rsid w:val="003E2872"/>
    <w:rsid w:val="003E30EF"/>
    <w:rsid w:val="003E3E52"/>
    <w:rsid w:val="003E6626"/>
    <w:rsid w:val="003E6D15"/>
    <w:rsid w:val="003F19C9"/>
    <w:rsid w:val="003F47FE"/>
    <w:rsid w:val="00401996"/>
    <w:rsid w:val="00404C89"/>
    <w:rsid w:val="0040641B"/>
    <w:rsid w:val="00414A1C"/>
    <w:rsid w:val="00416108"/>
    <w:rsid w:val="00416E73"/>
    <w:rsid w:val="00420110"/>
    <w:rsid w:val="004224E1"/>
    <w:rsid w:val="00425C44"/>
    <w:rsid w:val="00427BED"/>
    <w:rsid w:val="004322AC"/>
    <w:rsid w:val="0043375C"/>
    <w:rsid w:val="00436E1E"/>
    <w:rsid w:val="004409AC"/>
    <w:rsid w:val="0044109B"/>
    <w:rsid w:val="00442E3F"/>
    <w:rsid w:val="00443B5C"/>
    <w:rsid w:val="00444E7E"/>
    <w:rsid w:val="00446C9D"/>
    <w:rsid w:val="00447E79"/>
    <w:rsid w:val="0045415E"/>
    <w:rsid w:val="00454C96"/>
    <w:rsid w:val="004614C9"/>
    <w:rsid w:val="00461EB9"/>
    <w:rsid w:val="004634F3"/>
    <w:rsid w:val="00463CD9"/>
    <w:rsid w:val="00463E7F"/>
    <w:rsid w:val="0046648F"/>
    <w:rsid w:val="00471FA9"/>
    <w:rsid w:val="00472010"/>
    <w:rsid w:val="00472CE8"/>
    <w:rsid w:val="00473928"/>
    <w:rsid w:val="00473CDF"/>
    <w:rsid w:val="00477895"/>
    <w:rsid w:val="00477B1C"/>
    <w:rsid w:val="0048042B"/>
    <w:rsid w:val="00480CF2"/>
    <w:rsid w:val="004833D7"/>
    <w:rsid w:val="00484870"/>
    <w:rsid w:val="00491866"/>
    <w:rsid w:val="00491A04"/>
    <w:rsid w:val="00496691"/>
    <w:rsid w:val="00497C38"/>
    <w:rsid w:val="004A7B8C"/>
    <w:rsid w:val="004B0853"/>
    <w:rsid w:val="004B3F96"/>
    <w:rsid w:val="004B4AA4"/>
    <w:rsid w:val="004B5383"/>
    <w:rsid w:val="004C088B"/>
    <w:rsid w:val="004C45F9"/>
    <w:rsid w:val="004C5FE7"/>
    <w:rsid w:val="004C7D6A"/>
    <w:rsid w:val="004C7D74"/>
    <w:rsid w:val="004D16BF"/>
    <w:rsid w:val="004D518B"/>
    <w:rsid w:val="004E41A5"/>
    <w:rsid w:val="004E7C90"/>
    <w:rsid w:val="004F21DC"/>
    <w:rsid w:val="004F411D"/>
    <w:rsid w:val="004F5A41"/>
    <w:rsid w:val="00500D1F"/>
    <w:rsid w:val="005022AD"/>
    <w:rsid w:val="00506E81"/>
    <w:rsid w:val="0050761A"/>
    <w:rsid w:val="00507789"/>
    <w:rsid w:val="00513455"/>
    <w:rsid w:val="00514889"/>
    <w:rsid w:val="0051754E"/>
    <w:rsid w:val="0052453B"/>
    <w:rsid w:val="00525DB2"/>
    <w:rsid w:val="00534A26"/>
    <w:rsid w:val="00546EEC"/>
    <w:rsid w:val="00550413"/>
    <w:rsid w:val="005522F1"/>
    <w:rsid w:val="005534AF"/>
    <w:rsid w:val="00557E29"/>
    <w:rsid w:val="00562F04"/>
    <w:rsid w:val="0057186B"/>
    <w:rsid w:val="00573A7B"/>
    <w:rsid w:val="0057582F"/>
    <w:rsid w:val="00576748"/>
    <w:rsid w:val="005803F9"/>
    <w:rsid w:val="005804EF"/>
    <w:rsid w:val="00584034"/>
    <w:rsid w:val="005848F8"/>
    <w:rsid w:val="00587040"/>
    <w:rsid w:val="005903EE"/>
    <w:rsid w:val="005906BA"/>
    <w:rsid w:val="00590CD4"/>
    <w:rsid w:val="00592A3E"/>
    <w:rsid w:val="00594E86"/>
    <w:rsid w:val="0059588B"/>
    <w:rsid w:val="005A6D26"/>
    <w:rsid w:val="005B3CE1"/>
    <w:rsid w:val="005B65DD"/>
    <w:rsid w:val="005C2649"/>
    <w:rsid w:val="005C5B81"/>
    <w:rsid w:val="005D098A"/>
    <w:rsid w:val="005D30D2"/>
    <w:rsid w:val="005D7473"/>
    <w:rsid w:val="005D7F20"/>
    <w:rsid w:val="005E02EB"/>
    <w:rsid w:val="005E0409"/>
    <w:rsid w:val="005E562C"/>
    <w:rsid w:val="00601E78"/>
    <w:rsid w:val="00602905"/>
    <w:rsid w:val="00604B5D"/>
    <w:rsid w:val="00611997"/>
    <w:rsid w:val="0061351A"/>
    <w:rsid w:val="00614C99"/>
    <w:rsid w:val="00615D72"/>
    <w:rsid w:val="00630F3E"/>
    <w:rsid w:val="0063334E"/>
    <w:rsid w:val="00635564"/>
    <w:rsid w:val="00637119"/>
    <w:rsid w:val="00642B6F"/>
    <w:rsid w:val="00643E2B"/>
    <w:rsid w:val="00644777"/>
    <w:rsid w:val="00644F9B"/>
    <w:rsid w:val="0064554A"/>
    <w:rsid w:val="0064787D"/>
    <w:rsid w:val="0065020C"/>
    <w:rsid w:val="00652382"/>
    <w:rsid w:val="006535F4"/>
    <w:rsid w:val="0066344D"/>
    <w:rsid w:val="00664835"/>
    <w:rsid w:val="0066525C"/>
    <w:rsid w:val="00665FFB"/>
    <w:rsid w:val="00666879"/>
    <w:rsid w:val="00670451"/>
    <w:rsid w:val="006719D9"/>
    <w:rsid w:val="00675682"/>
    <w:rsid w:val="006773BD"/>
    <w:rsid w:val="00680FA0"/>
    <w:rsid w:val="006816A3"/>
    <w:rsid w:val="00682D71"/>
    <w:rsid w:val="00685607"/>
    <w:rsid w:val="006867DE"/>
    <w:rsid w:val="006869A1"/>
    <w:rsid w:val="00690936"/>
    <w:rsid w:val="00693445"/>
    <w:rsid w:val="00695A96"/>
    <w:rsid w:val="006A3BE3"/>
    <w:rsid w:val="006A3EE1"/>
    <w:rsid w:val="006B047F"/>
    <w:rsid w:val="006B317E"/>
    <w:rsid w:val="006B6B97"/>
    <w:rsid w:val="006C00CD"/>
    <w:rsid w:val="006C2D1C"/>
    <w:rsid w:val="006C3F28"/>
    <w:rsid w:val="006C443F"/>
    <w:rsid w:val="006C5C27"/>
    <w:rsid w:val="006D2012"/>
    <w:rsid w:val="006D213E"/>
    <w:rsid w:val="006D2FEC"/>
    <w:rsid w:val="006D39F0"/>
    <w:rsid w:val="006D68F2"/>
    <w:rsid w:val="006E2006"/>
    <w:rsid w:val="006E30EA"/>
    <w:rsid w:val="006E75BD"/>
    <w:rsid w:val="006F0786"/>
    <w:rsid w:val="006F4F95"/>
    <w:rsid w:val="006F6178"/>
    <w:rsid w:val="006F6ACE"/>
    <w:rsid w:val="006F6DF8"/>
    <w:rsid w:val="006F7989"/>
    <w:rsid w:val="006F7FF7"/>
    <w:rsid w:val="007008B0"/>
    <w:rsid w:val="00704267"/>
    <w:rsid w:val="00706812"/>
    <w:rsid w:val="00711145"/>
    <w:rsid w:val="007147F4"/>
    <w:rsid w:val="00714D16"/>
    <w:rsid w:val="00717593"/>
    <w:rsid w:val="00720EDB"/>
    <w:rsid w:val="007240A9"/>
    <w:rsid w:val="00725ACA"/>
    <w:rsid w:val="00726E89"/>
    <w:rsid w:val="0073270F"/>
    <w:rsid w:val="0073638A"/>
    <w:rsid w:val="007430A8"/>
    <w:rsid w:val="007440B4"/>
    <w:rsid w:val="00746327"/>
    <w:rsid w:val="007469BB"/>
    <w:rsid w:val="00750CC4"/>
    <w:rsid w:val="0075128B"/>
    <w:rsid w:val="007531E8"/>
    <w:rsid w:val="007600B8"/>
    <w:rsid w:val="00760BB5"/>
    <w:rsid w:val="00763040"/>
    <w:rsid w:val="00763D78"/>
    <w:rsid w:val="00777EA0"/>
    <w:rsid w:val="00780AEA"/>
    <w:rsid w:val="00782F0C"/>
    <w:rsid w:val="00782F50"/>
    <w:rsid w:val="007840F3"/>
    <w:rsid w:val="007A1A41"/>
    <w:rsid w:val="007A3FE0"/>
    <w:rsid w:val="007A4C50"/>
    <w:rsid w:val="007B0DFA"/>
    <w:rsid w:val="007C384A"/>
    <w:rsid w:val="007C3BC5"/>
    <w:rsid w:val="007C4840"/>
    <w:rsid w:val="007C5F76"/>
    <w:rsid w:val="007D1A98"/>
    <w:rsid w:val="007D22C0"/>
    <w:rsid w:val="007D4EF8"/>
    <w:rsid w:val="007D58BA"/>
    <w:rsid w:val="007E0290"/>
    <w:rsid w:val="007E4CAF"/>
    <w:rsid w:val="007E6578"/>
    <w:rsid w:val="007F04A4"/>
    <w:rsid w:val="007F0582"/>
    <w:rsid w:val="007F1F67"/>
    <w:rsid w:val="007F4E5B"/>
    <w:rsid w:val="00802C5B"/>
    <w:rsid w:val="00802F44"/>
    <w:rsid w:val="00805954"/>
    <w:rsid w:val="00805C90"/>
    <w:rsid w:val="008125EE"/>
    <w:rsid w:val="008157F7"/>
    <w:rsid w:val="00816C31"/>
    <w:rsid w:val="008240D0"/>
    <w:rsid w:val="00824BE9"/>
    <w:rsid w:val="00826026"/>
    <w:rsid w:val="00826E44"/>
    <w:rsid w:val="0082772C"/>
    <w:rsid w:val="00833E3E"/>
    <w:rsid w:val="00833F88"/>
    <w:rsid w:val="00836C07"/>
    <w:rsid w:val="0084093D"/>
    <w:rsid w:val="00844B65"/>
    <w:rsid w:val="008472C5"/>
    <w:rsid w:val="00854805"/>
    <w:rsid w:val="00856A59"/>
    <w:rsid w:val="008619DC"/>
    <w:rsid w:val="0086379C"/>
    <w:rsid w:val="00863EBD"/>
    <w:rsid w:val="008647B3"/>
    <w:rsid w:val="00867EAF"/>
    <w:rsid w:val="008733AC"/>
    <w:rsid w:val="0087364D"/>
    <w:rsid w:val="00874D19"/>
    <w:rsid w:val="008778D4"/>
    <w:rsid w:val="00881059"/>
    <w:rsid w:val="00881392"/>
    <w:rsid w:val="008814E0"/>
    <w:rsid w:val="008862E5"/>
    <w:rsid w:val="00886963"/>
    <w:rsid w:val="008875C5"/>
    <w:rsid w:val="008912E0"/>
    <w:rsid w:val="008944B8"/>
    <w:rsid w:val="00897FB6"/>
    <w:rsid w:val="008A155B"/>
    <w:rsid w:val="008A3B6C"/>
    <w:rsid w:val="008A7090"/>
    <w:rsid w:val="008A7C02"/>
    <w:rsid w:val="008B40C3"/>
    <w:rsid w:val="008B540C"/>
    <w:rsid w:val="008B5A7B"/>
    <w:rsid w:val="008C065B"/>
    <w:rsid w:val="008C1236"/>
    <w:rsid w:val="008C30F8"/>
    <w:rsid w:val="008C38C1"/>
    <w:rsid w:val="008C3941"/>
    <w:rsid w:val="008C4028"/>
    <w:rsid w:val="008C66CA"/>
    <w:rsid w:val="008C698C"/>
    <w:rsid w:val="008C7229"/>
    <w:rsid w:val="008D127B"/>
    <w:rsid w:val="008D3DF7"/>
    <w:rsid w:val="008D3EB5"/>
    <w:rsid w:val="008D5325"/>
    <w:rsid w:val="008D55FC"/>
    <w:rsid w:val="008D5F45"/>
    <w:rsid w:val="008D7E50"/>
    <w:rsid w:val="008E0282"/>
    <w:rsid w:val="008E091D"/>
    <w:rsid w:val="008E18E7"/>
    <w:rsid w:val="008E540B"/>
    <w:rsid w:val="008E6925"/>
    <w:rsid w:val="008E6DED"/>
    <w:rsid w:val="008F5DD3"/>
    <w:rsid w:val="00901F2E"/>
    <w:rsid w:val="00903889"/>
    <w:rsid w:val="009038A0"/>
    <w:rsid w:val="0091399A"/>
    <w:rsid w:val="00914BAF"/>
    <w:rsid w:val="009162D6"/>
    <w:rsid w:val="0092021E"/>
    <w:rsid w:val="00921BB9"/>
    <w:rsid w:val="00924078"/>
    <w:rsid w:val="009257F8"/>
    <w:rsid w:val="00931506"/>
    <w:rsid w:val="009348E3"/>
    <w:rsid w:val="00937045"/>
    <w:rsid w:val="0094131E"/>
    <w:rsid w:val="00941F6F"/>
    <w:rsid w:val="00944591"/>
    <w:rsid w:val="00947B6D"/>
    <w:rsid w:val="009517B9"/>
    <w:rsid w:val="00951F58"/>
    <w:rsid w:val="009544F6"/>
    <w:rsid w:val="00954927"/>
    <w:rsid w:val="00954FE2"/>
    <w:rsid w:val="00955315"/>
    <w:rsid w:val="00955639"/>
    <w:rsid w:val="00965063"/>
    <w:rsid w:val="00965081"/>
    <w:rsid w:val="009654CC"/>
    <w:rsid w:val="00974C7A"/>
    <w:rsid w:val="009777E0"/>
    <w:rsid w:val="00981D70"/>
    <w:rsid w:val="00986927"/>
    <w:rsid w:val="009869C5"/>
    <w:rsid w:val="00986C68"/>
    <w:rsid w:val="009876D7"/>
    <w:rsid w:val="00987AE8"/>
    <w:rsid w:val="00987F07"/>
    <w:rsid w:val="009948C5"/>
    <w:rsid w:val="00996DBB"/>
    <w:rsid w:val="009A6BC7"/>
    <w:rsid w:val="009B4C95"/>
    <w:rsid w:val="009B77A2"/>
    <w:rsid w:val="009C400B"/>
    <w:rsid w:val="009C70C3"/>
    <w:rsid w:val="009D528E"/>
    <w:rsid w:val="009D6BE4"/>
    <w:rsid w:val="009E0144"/>
    <w:rsid w:val="009E0A4F"/>
    <w:rsid w:val="009F1E53"/>
    <w:rsid w:val="009F3ADA"/>
    <w:rsid w:val="009F4458"/>
    <w:rsid w:val="009F7DA0"/>
    <w:rsid w:val="00A028B8"/>
    <w:rsid w:val="00A03601"/>
    <w:rsid w:val="00A05B01"/>
    <w:rsid w:val="00A13686"/>
    <w:rsid w:val="00A13A0E"/>
    <w:rsid w:val="00A14397"/>
    <w:rsid w:val="00A17333"/>
    <w:rsid w:val="00A22353"/>
    <w:rsid w:val="00A23F37"/>
    <w:rsid w:val="00A24E66"/>
    <w:rsid w:val="00A255A8"/>
    <w:rsid w:val="00A25E1C"/>
    <w:rsid w:val="00A32BBC"/>
    <w:rsid w:val="00A35279"/>
    <w:rsid w:val="00A36936"/>
    <w:rsid w:val="00A36A56"/>
    <w:rsid w:val="00A41524"/>
    <w:rsid w:val="00A4247A"/>
    <w:rsid w:val="00A44F8B"/>
    <w:rsid w:val="00A457E4"/>
    <w:rsid w:val="00A50C10"/>
    <w:rsid w:val="00A53A36"/>
    <w:rsid w:val="00A54772"/>
    <w:rsid w:val="00A57068"/>
    <w:rsid w:val="00A6084E"/>
    <w:rsid w:val="00A705F5"/>
    <w:rsid w:val="00A71B30"/>
    <w:rsid w:val="00A72744"/>
    <w:rsid w:val="00A73B2C"/>
    <w:rsid w:val="00A7472A"/>
    <w:rsid w:val="00A74F09"/>
    <w:rsid w:val="00A75F70"/>
    <w:rsid w:val="00A8048B"/>
    <w:rsid w:val="00A820C7"/>
    <w:rsid w:val="00A86547"/>
    <w:rsid w:val="00A91828"/>
    <w:rsid w:val="00A97D28"/>
    <w:rsid w:val="00AA045F"/>
    <w:rsid w:val="00AA3111"/>
    <w:rsid w:val="00AA697D"/>
    <w:rsid w:val="00AA77CC"/>
    <w:rsid w:val="00AB1A34"/>
    <w:rsid w:val="00AB1D3D"/>
    <w:rsid w:val="00AB34B2"/>
    <w:rsid w:val="00AB4083"/>
    <w:rsid w:val="00AB4BFE"/>
    <w:rsid w:val="00AB5A69"/>
    <w:rsid w:val="00AC2769"/>
    <w:rsid w:val="00AC7A9D"/>
    <w:rsid w:val="00AD17FC"/>
    <w:rsid w:val="00AE34E9"/>
    <w:rsid w:val="00AE7266"/>
    <w:rsid w:val="00AF1A92"/>
    <w:rsid w:val="00AF1CBD"/>
    <w:rsid w:val="00B0235B"/>
    <w:rsid w:val="00B02923"/>
    <w:rsid w:val="00B05C42"/>
    <w:rsid w:val="00B07ABE"/>
    <w:rsid w:val="00B10482"/>
    <w:rsid w:val="00B1391D"/>
    <w:rsid w:val="00B15011"/>
    <w:rsid w:val="00B15CB9"/>
    <w:rsid w:val="00B16C0C"/>
    <w:rsid w:val="00B20D79"/>
    <w:rsid w:val="00B21181"/>
    <w:rsid w:val="00B33CF8"/>
    <w:rsid w:val="00B34F1D"/>
    <w:rsid w:val="00B368FA"/>
    <w:rsid w:val="00B41D37"/>
    <w:rsid w:val="00B471B2"/>
    <w:rsid w:val="00B50F3E"/>
    <w:rsid w:val="00B518F6"/>
    <w:rsid w:val="00B5634A"/>
    <w:rsid w:val="00B605EB"/>
    <w:rsid w:val="00B61099"/>
    <w:rsid w:val="00B73204"/>
    <w:rsid w:val="00B73CB5"/>
    <w:rsid w:val="00B7418B"/>
    <w:rsid w:val="00B80447"/>
    <w:rsid w:val="00B81C97"/>
    <w:rsid w:val="00B83F1E"/>
    <w:rsid w:val="00B90467"/>
    <w:rsid w:val="00B90E6F"/>
    <w:rsid w:val="00B91407"/>
    <w:rsid w:val="00B92E00"/>
    <w:rsid w:val="00B92FDD"/>
    <w:rsid w:val="00B94CEF"/>
    <w:rsid w:val="00B95D64"/>
    <w:rsid w:val="00BA14A6"/>
    <w:rsid w:val="00BA167F"/>
    <w:rsid w:val="00BA43C8"/>
    <w:rsid w:val="00BA581F"/>
    <w:rsid w:val="00BA5F17"/>
    <w:rsid w:val="00BB0BF3"/>
    <w:rsid w:val="00BB1593"/>
    <w:rsid w:val="00BB58B4"/>
    <w:rsid w:val="00BB6BDF"/>
    <w:rsid w:val="00BC08D7"/>
    <w:rsid w:val="00BC558A"/>
    <w:rsid w:val="00BD4447"/>
    <w:rsid w:val="00BD5775"/>
    <w:rsid w:val="00BE0763"/>
    <w:rsid w:val="00BE0C10"/>
    <w:rsid w:val="00BE6D68"/>
    <w:rsid w:val="00BF1769"/>
    <w:rsid w:val="00BF457E"/>
    <w:rsid w:val="00BF7024"/>
    <w:rsid w:val="00C00C14"/>
    <w:rsid w:val="00C029A0"/>
    <w:rsid w:val="00C02E2F"/>
    <w:rsid w:val="00C031BD"/>
    <w:rsid w:val="00C037B2"/>
    <w:rsid w:val="00C04D89"/>
    <w:rsid w:val="00C05033"/>
    <w:rsid w:val="00C10008"/>
    <w:rsid w:val="00C17A1C"/>
    <w:rsid w:val="00C31397"/>
    <w:rsid w:val="00C32960"/>
    <w:rsid w:val="00C40874"/>
    <w:rsid w:val="00C40BC2"/>
    <w:rsid w:val="00C412B8"/>
    <w:rsid w:val="00C41C88"/>
    <w:rsid w:val="00C458EF"/>
    <w:rsid w:val="00C459C4"/>
    <w:rsid w:val="00C51359"/>
    <w:rsid w:val="00C535F5"/>
    <w:rsid w:val="00C60C43"/>
    <w:rsid w:val="00C62FAA"/>
    <w:rsid w:val="00C63270"/>
    <w:rsid w:val="00C63DF5"/>
    <w:rsid w:val="00C66631"/>
    <w:rsid w:val="00C723ED"/>
    <w:rsid w:val="00C72CBB"/>
    <w:rsid w:val="00C75DB4"/>
    <w:rsid w:val="00C76A46"/>
    <w:rsid w:val="00C8301A"/>
    <w:rsid w:val="00C8659F"/>
    <w:rsid w:val="00C8782D"/>
    <w:rsid w:val="00C87867"/>
    <w:rsid w:val="00C9247C"/>
    <w:rsid w:val="00C96730"/>
    <w:rsid w:val="00CA13E5"/>
    <w:rsid w:val="00CA2D48"/>
    <w:rsid w:val="00CA532E"/>
    <w:rsid w:val="00CA5A62"/>
    <w:rsid w:val="00CA5E42"/>
    <w:rsid w:val="00CA762B"/>
    <w:rsid w:val="00CB243A"/>
    <w:rsid w:val="00CB5D36"/>
    <w:rsid w:val="00CC46D1"/>
    <w:rsid w:val="00CC4B69"/>
    <w:rsid w:val="00CD0DC4"/>
    <w:rsid w:val="00CD0F24"/>
    <w:rsid w:val="00CD3A0B"/>
    <w:rsid w:val="00CD4C87"/>
    <w:rsid w:val="00CD6F40"/>
    <w:rsid w:val="00CE18C8"/>
    <w:rsid w:val="00CE2AA3"/>
    <w:rsid w:val="00CE5CDB"/>
    <w:rsid w:val="00CE7898"/>
    <w:rsid w:val="00CF0CDD"/>
    <w:rsid w:val="00CF4394"/>
    <w:rsid w:val="00CF55B2"/>
    <w:rsid w:val="00CF567C"/>
    <w:rsid w:val="00CF6AF2"/>
    <w:rsid w:val="00D03287"/>
    <w:rsid w:val="00D131C9"/>
    <w:rsid w:val="00D15F36"/>
    <w:rsid w:val="00D21A87"/>
    <w:rsid w:val="00D22101"/>
    <w:rsid w:val="00D22771"/>
    <w:rsid w:val="00D2557E"/>
    <w:rsid w:val="00D27A72"/>
    <w:rsid w:val="00D32B46"/>
    <w:rsid w:val="00D36EDA"/>
    <w:rsid w:val="00D4376D"/>
    <w:rsid w:val="00D43A69"/>
    <w:rsid w:val="00D45476"/>
    <w:rsid w:val="00D456F6"/>
    <w:rsid w:val="00D501EA"/>
    <w:rsid w:val="00D51029"/>
    <w:rsid w:val="00D55389"/>
    <w:rsid w:val="00D5671F"/>
    <w:rsid w:val="00D571E9"/>
    <w:rsid w:val="00D604FA"/>
    <w:rsid w:val="00D65216"/>
    <w:rsid w:val="00D65420"/>
    <w:rsid w:val="00D73053"/>
    <w:rsid w:val="00D76A1C"/>
    <w:rsid w:val="00D76EAA"/>
    <w:rsid w:val="00D8053B"/>
    <w:rsid w:val="00D812E5"/>
    <w:rsid w:val="00D8275D"/>
    <w:rsid w:val="00D840AA"/>
    <w:rsid w:val="00D914C3"/>
    <w:rsid w:val="00D94C95"/>
    <w:rsid w:val="00D94EC0"/>
    <w:rsid w:val="00D976F8"/>
    <w:rsid w:val="00DA166A"/>
    <w:rsid w:val="00DA3138"/>
    <w:rsid w:val="00DA591B"/>
    <w:rsid w:val="00DB1E15"/>
    <w:rsid w:val="00DB56E9"/>
    <w:rsid w:val="00DB5ECE"/>
    <w:rsid w:val="00DC2267"/>
    <w:rsid w:val="00DC27E1"/>
    <w:rsid w:val="00DC3ED1"/>
    <w:rsid w:val="00DC4E25"/>
    <w:rsid w:val="00DD1D4E"/>
    <w:rsid w:val="00DD216F"/>
    <w:rsid w:val="00DE4617"/>
    <w:rsid w:val="00DE54B7"/>
    <w:rsid w:val="00DE7984"/>
    <w:rsid w:val="00DF2072"/>
    <w:rsid w:val="00DF2573"/>
    <w:rsid w:val="00DF2A37"/>
    <w:rsid w:val="00DF7A8D"/>
    <w:rsid w:val="00E027FF"/>
    <w:rsid w:val="00E04C40"/>
    <w:rsid w:val="00E06982"/>
    <w:rsid w:val="00E07B3D"/>
    <w:rsid w:val="00E10A8E"/>
    <w:rsid w:val="00E10F8F"/>
    <w:rsid w:val="00E11B13"/>
    <w:rsid w:val="00E21170"/>
    <w:rsid w:val="00E2260E"/>
    <w:rsid w:val="00E25578"/>
    <w:rsid w:val="00E25F55"/>
    <w:rsid w:val="00E27E1D"/>
    <w:rsid w:val="00E30096"/>
    <w:rsid w:val="00E30CAC"/>
    <w:rsid w:val="00E3181D"/>
    <w:rsid w:val="00E459BC"/>
    <w:rsid w:val="00E46B47"/>
    <w:rsid w:val="00E515D0"/>
    <w:rsid w:val="00E53DA3"/>
    <w:rsid w:val="00E56955"/>
    <w:rsid w:val="00E60531"/>
    <w:rsid w:val="00E65AF7"/>
    <w:rsid w:val="00E66422"/>
    <w:rsid w:val="00E725C3"/>
    <w:rsid w:val="00E761AD"/>
    <w:rsid w:val="00E86A11"/>
    <w:rsid w:val="00E87E2A"/>
    <w:rsid w:val="00E916A5"/>
    <w:rsid w:val="00E91B81"/>
    <w:rsid w:val="00E926BA"/>
    <w:rsid w:val="00E96C87"/>
    <w:rsid w:val="00E97B2C"/>
    <w:rsid w:val="00EA0DA7"/>
    <w:rsid w:val="00EA36B3"/>
    <w:rsid w:val="00EA5732"/>
    <w:rsid w:val="00EA661B"/>
    <w:rsid w:val="00EB70BD"/>
    <w:rsid w:val="00EC4819"/>
    <w:rsid w:val="00EC58B0"/>
    <w:rsid w:val="00EC5DA2"/>
    <w:rsid w:val="00EC625F"/>
    <w:rsid w:val="00ED0522"/>
    <w:rsid w:val="00ED1D62"/>
    <w:rsid w:val="00ED7A3E"/>
    <w:rsid w:val="00ED7AAC"/>
    <w:rsid w:val="00EE5A9B"/>
    <w:rsid w:val="00EE5AA4"/>
    <w:rsid w:val="00EE7D10"/>
    <w:rsid w:val="00EF0F60"/>
    <w:rsid w:val="00EF1AAA"/>
    <w:rsid w:val="00EF4569"/>
    <w:rsid w:val="00EF5006"/>
    <w:rsid w:val="00EF50B1"/>
    <w:rsid w:val="00EF78AF"/>
    <w:rsid w:val="00F02A0F"/>
    <w:rsid w:val="00F030A4"/>
    <w:rsid w:val="00F03D64"/>
    <w:rsid w:val="00F05263"/>
    <w:rsid w:val="00F054E1"/>
    <w:rsid w:val="00F0635F"/>
    <w:rsid w:val="00F063E5"/>
    <w:rsid w:val="00F100EE"/>
    <w:rsid w:val="00F11B17"/>
    <w:rsid w:val="00F121F9"/>
    <w:rsid w:val="00F12F8B"/>
    <w:rsid w:val="00F14B3C"/>
    <w:rsid w:val="00F152EC"/>
    <w:rsid w:val="00F24476"/>
    <w:rsid w:val="00F30A89"/>
    <w:rsid w:val="00F34C4D"/>
    <w:rsid w:val="00F37400"/>
    <w:rsid w:val="00F4189E"/>
    <w:rsid w:val="00F45297"/>
    <w:rsid w:val="00F4549D"/>
    <w:rsid w:val="00F6667C"/>
    <w:rsid w:val="00F7312D"/>
    <w:rsid w:val="00F80753"/>
    <w:rsid w:val="00F80EE5"/>
    <w:rsid w:val="00F815B4"/>
    <w:rsid w:val="00F837B7"/>
    <w:rsid w:val="00F83B69"/>
    <w:rsid w:val="00F90931"/>
    <w:rsid w:val="00F911AE"/>
    <w:rsid w:val="00F91CA8"/>
    <w:rsid w:val="00F92078"/>
    <w:rsid w:val="00F924F5"/>
    <w:rsid w:val="00F954A3"/>
    <w:rsid w:val="00F96DD9"/>
    <w:rsid w:val="00FA20ED"/>
    <w:rsid w:val="00FA2377"/>
    <w:rsid w:val="00FA4B67"/>
    <w:rsid w:val="00FA7D79"/>
    <w:rsid w:val="00FB3E95"/>
    <w:rsid w:val="00FB6738"/>
    <w:rsid w:val="00FC1A23"/>
    <w:rsid w:val="00FD053D"/>
    <w:rsid w:val="00FD4BD5"/>
    <w:rsid w:val="00FD639D"/>
    <w:rsid w:val="00FD743B"/>
    <w:rsid w:val="00FE3321"/>
    <w:rsid w:val="00FE5120"/>
    <w:rsid w:val="00FF3FB3"/>
    <w:rsid w:val="00FF74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2DFF9"/>
  <w15:chartTrackingRefBased/>
  <w15:docId w15:val="{5B8F8911-60D5-4CFF-AC87-E3A8281A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E30EA"/>
    <w:pPr>
      <w:spacing w:after="200" w:line="276" w:lineRule="auto"/>
    </w:pPr>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2A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2A37"/>
  </w:style>
  <w:style w:type="paragraph" w:styleId="Piedepgina">
    <w:name w:val="footer"/>
    <w:basedOn w:val="Normal"/>
    <w:link w:val="PiedepginaCar"/>
    <w:uiPriority w:val="99"/>
    <w:unhideWhenUsed/>
    <w:rsid w:val="00DF2A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2A37"/>
  </w:style>
  <w:style w:type="paragraph" w:styleId="Sinespaciado">
    <w:name w:val="No Spacing"/>
    <w:uiPriority w:val="1"/>
    <w:qFormat/>
    <w:rsid w:val="006E30EA"/>
    <w:pPr>
      <w:spacing w:after="0" w:line="240" w:lineRule="auto"/>
    </w:pPr>
  </w:style>
  <w:style w:type="paragraph" w:styleId="Prrafodelista">
    <w:name w:val="List Paragraph"/>
    <w:basedOn w:val="Normal"/>
    <w:uiPriority w:val="34"/>
    <w:qFormat/>
    <w:rsid w:val="00463CD9"/>
    <w:pPr>
      <w:ind w:left="720"/>
      <w:contextualSpacing/>
    </w:pPr>
  </w:style>
  <w:style w:type="paragraph" w:styleId="Textonotapie">
    <w:name w:val="footnote text"/>
    <w:basedOn w:val="Normal"/>
    <w:link w:val="TextonotapieCar"/>
    <w:uiPriority w:val="99"/>
    <w:semiHidden/>
    <w:unhideWhenUsed/>
    <w:rsid w:val="007008B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008B0"/>
    <w:rPr>
      <w:rFonts w:ascii="Calibri" w:eastAsia="Calibri" w:hAnsi="Calibri" w:cs="Calibri"/>
      <w:sz w:val="20"/>
      <w:szCs w:val="20"/>
      <w:lang w:eastAsia="es-MX"/>
    </w:rPr>
  </w:style>
  <w:style w:type="character" w:styleId="Refdenotaalpie">
    <w:name w:val="footnote reference"/>
    <w:basedOn w:val="Fuentedeprrafopredeter"/>
    <w:uiPriority w:val="99"/>
    <w:semiHidden/>
    <w:unhideWhenUsed/>
    <w:rsid w:val="007008B0"/>
    <w:rPr>
      <w:vertAlign w:val="superscript"/>
    </w:rPr>
  </w:style>
  <w:style w:type="character" w:styleId="Hipervnculo">
    <w:name w:val="Hyperlink"/>
    <w:basedOn w:val="Fuentedeprrafopredeter"/>
    <w:uiPriority w:val="99"/>
    <w:unhideWhenUsed/>
    <w:rsid w:val="00E30096"/>
    <w:rPr>
      <w:color w:val="0563C1" w:themeColor="hyperlink"/>
      <w:u w:val="single"/>
    </w:rPr>
  </w:style>
  <w:style w:type="character" w:customStyle="1" w:styleId="UnresolvedMention">
    <w:name w:val="Unresolved Mention"/>
    <w:basedOn w:val="Fuentedeprrafopredeter"/>
    <w:uiPriority w:val="99"/>
    <w:semiHidden/>
    <w:unhideWhenUsed/>
    <w:rsid w:val="00E30096"/>
    <w:rPr>
      <w:color w:val="605E5C"/>
      <w:shd w:val="clear" w:color="auto" w:fill="E1DFDD"/>
    </w:rPr>
  </w:style>
  <w:style w:type="paragraph" w:customStyle="1" w:styleId="centrar">
    <w:name w:val="centrar"/>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94C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gritas">
    <w:name w:val="negritas"/>
    <w:basedOn w:val="Fuentedeprrafopredeter"/>
    <w:rsid w:val="00D94C95"/>
  </w:style>
  <w:style w:type="character" w:customStyle="1" w:styleId="superscript">
    <w:name w:val="superscript"/>
    <w:basedOn w:val="Fuentedeprrafopredeter"/>
    <w:rsid w:val="00D94C95"/>
  </w:style>
  <w:style w:type="paragraph" w:customStyle="1" w:styleId="sangria">
    <w:name w:val="sangri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mas">
    <w:name w:val="firmas"/>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recha">
    <w:name w:val="derech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ntamente">
    <w:name w:val="atentamente"/>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073400">
      <w:bodyDiv w:val="1"/>
      <w:marLeft w:val="0"/>
      <w:marRight w:val="0"/>
      <w:marTop w:val="0"/>
      <w:marBottom w:val="0"/>
      <w:divBdr>
        <w:top w:val="none" w:sz="0" w:space="0" w:color="auto"/>
        <w:left w:val="none" w:sz="0" w:space="0" w:color="auto"/>
        <w:bottom w:val="none" w:sz="0" w:space="0" w:color="auto"/>
        <w:right w:val="none" w:sz="0" w:space="0" w:color="auto"/>
      </w:divBdr>
    </w:div>
    <w:div w:id="943851865">
      <w:bodyDiv w:val="1"/>
      <w:marLeft w:val="0"/>
      <w:marRight w:val="0"/>
      <w:marTop w:val="0"/>
      <w:marBottom w:val="0"/>
      <w:divBdr>
        <w:top w:val="none" w:sz="0" w:space="0" w:color="auto"/>
        <w:left w:val="none" w:sz="0" w:space="0" w:color="auto"/>
        <w:bottom w:val="none" w:sz="0" w:space="0" w:color="auto"/>
        <w:right w:val="none" w:sz="0" w:space="0" w:color="auto"/>
      </w:divBdr>
    </w:div>
    <w:div w:id="1185170470">
      <w:bodyDiv w:val="1"/>
      <w:marLeft w:val="0"/>
      <w:marRight w:val="0"/>
      <w:marTop w:val="0"/>
      <w:marBottom w:val="0"/>
      <w:divBdr>
        <w:top w:val="none" w:sz="0" w:space="0" w:color="auto"/>
        <w:left w:val="none" w:sz="0" w:space="0" w:color="auto"/>
        <w:bottom w:val="none" w:sz="0" w:space="0" w:color="auto"/>
        <w:right w:val="none" w:sz="0" w:space="0" w:color="auto"/>
      </w:divBdr>
    </w:div>
    <w:div w:id="129416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egi.org.mx/programas/natalida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mm.org.mx/publicaciones/PAC/PAC_Neonato_4_L4_edite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news-room/fact-sheets/detail/preterm-birt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pps.who.int/iris/bitstream/handle/10665/44864/9789241503433_eng.pdf;jsessionid=5085011979AA3CD4B8D1FF60714F8865?sequence=1" TargetMode="External"/><Relationship Id="rId4" Type="http://schemas.openxmlformats.org/officeDocument/2006/relationships/settings" Target="settings.xml"/><Relationship Id="rId9" Type="http://schemas.openxmlformats.org/officeDocument/2006/relationships/hyperlink" Target="https://www.imss.gob.mx/sites/all/statics/guiasclinicas/645GER.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0F116-47CF-4251-9F8C-C8FCA9E9A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1735</Words>
  <Characters>9543</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LEGISLATURA</cp:lastModifiedBy>
  <cp:revision>8</cp:revision>
  <dcterms:created xsi:type="dcterms:W3CDTF">2024-09-18T06:13:00Z</dcterms:created>
  <dcterms:modified xsi:type="dcterms:W3CDTF">2024-10-22T20:21:00Z</dcterms:modified>
</cp:coreProperties>
</file>