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6E4" w:rsidRPr="00912DB2" w:rsidRDefault="00EA46E4" w:rsidP="00BC375E">
      <w:pPr>
        <w:pStyle w:val="Sinespaciado"/>
        <w:spacing w:line="360" w:lineRule="auto"/>
        <w:jc w:val="right"/>
        <w:rPr>
          <w:rFonts w:cs="Arial"/>
          <w:b/>
          <w:sz w:val="24"/>
          <w:szCs w:val="24"/>
        </w:rPr>
      </w:pPr>
      <w:bookmarkStart w:id="0" w:name="_GoBack"/>
      <w:bookmarkEnd w:id="0"/>
      <w:r w:rsidRPr="00912DB2">
        <w:rPr>
          <w:rFonts w:cs="Arial"/>
          <w:b/>
          <w:sz w:val="24"/>
          <w:szCs w:val="24"/>
        </w:rPr>
        <w:t>Toluca</w:t>
      </w:r>
      <w:r w:rsidR="00BC375E" w:rsidRPr="00912DB2">
        <w:rPr>
          <w:rFonts w:cs="Arial"/>
          <w:b/>
          <w:sz w:val="24"/>
          <w:szCs w:val="24"/>
        </w:rPr>
        <w:t xml:space="preserve"> de Lerdo</w:t>
      </w:r>
      <w:r w:rsidRPr="00912DB2">
        <w:rPr>
          <w:rFonts w:cs="Arial"/>
          <w:b/>
          <w:sz w:val="24"/>
          <w:szCs w:val="24"/>
        </w:rPr>
        <w:t>, México a</w:t>
      </w:r>
      <w:r w:rsidR="008A5602" w:rsidRPr="00912DB2">
        <w:rPr>
          <w:rFonts w:cs="Arial"/>
          <w:b/>
          <w:sz w:val="24"/>
          <w:szCs w:val="24"/>
        </w:rPr>
        <w:t xml:space="preserve"> _</w:t>
      </w:r>
      <w:r w:rsidR="00D9782C">
        <w:rPr>
          <w:rFonts w:cs="Arial"/>
          <w:b/>
          <w:sz w:val="24"/>
          <w:szCs w:val="24"/>
        </w:rPr>
        <w:t>_</w:t>
      </w:r>
      <w:r w:rsidR="008A5602" w:rsidRPr="00912DB2">
        <w:rPr>
          <w:rFonts w:cs="Arial"/>
          <w:b/>
          <w:sz w:val="24"/>
          <w:szCs w:val="24"/>
        </w:rPr>
        <w:t>_</w:t>
      </w:r>
      <w:r w:rsidRPr="00912DB2">
        <w:rPr>
          <w:rFonts w:cs="Arial"/>
          <w:b/>
          <w:sz w:val="24"/>
          <w:szCs w:val="24"/>
        </w:rPr>
        <w:t xml:space="preserve"> de</w:t>
      </w:r>
      <w:r w:rsidR="00BC375E" w:rsidRPr="00912DB2">
        <w:rPr>
          <w:rFonts w:cs="Arial"/>
          <w:b/>
          <w:sz w:val="24"/>
          <w:szCs w:val="24"/>
        </w:rPr>
        <w:t xml:space="preserve"> </w:t>
      </w:r>
      <w:r w:rsidR="00D9782C">
        <w:rPr>
          <w:rFonts w:cs="Arial"/>
          <w:b/>
          <w:sz w:val="24"/>
          <w:szCs w:val="24"/>
        </w:rPr>
        <w:t>S</w:t>
      </w:r>
      <w:r w:rsidR="00BC375E" w:rsidRPr="00912DB2">
        <w:rPr>
          <w:rFonts w:cs="Arial"/>
          <w:b/>
          <w:sz w:val="24"/>
          <w:szCs w:val="24"/>
        </w:rPr>
        <w:t xml:space="preserve">eptiembre </w:t>
      </w:r>
      <w:r w:rsidRPr="00912DB2">
        <w:rPr>
          <w:rFonts w:cs="Arial"/>
          <w:b/>
          <w:sz w:val="24"/>
          <w:szCs w:val="24"/>
        </w:rPr>
        <w:t xml:space="preserve"> de</w:t>
      </w:r>
      <w:r w:rsidR="00BC375E" w:rsidRPr="00912DB2">
        <w:rPr>
          <w:rFonts w:cs="Arial"/>
          <w:b/>
          <w:sz w:val="24"/>
          <w:szCs w:val="24"/>
        </w:rPr>
        <w:t xml:space="preserve"> 2020</w:t>
      </w:r>
      <w:r w:rsidRPr="00912DB2">
        <w:rPr>
          <w:rFonts w:cs="Arial"/>
          <w:b/>
          <w:sz w:val="24"/>
          <w:szCs w:val="24"/>
        </w:rPr>
        <w:t>.</w:t>
      </w:r>
    </w:p>
    <w:p w:rsidR="00BC375E" w:rsidRPr="00912DB2" w:rsidRDefault="00BC375E" w:rsidP="00BC375E">
      <w:pPr>
        <w:pStyle w:val="Sinespaciado"/>
        <w:spacing w:line="360" w:lineRule="auto"/>
        <w:jc w:val="both"/>
        <w:rPr>
          <w:rFonts w:cs="Arial"/>
          <w:b/>
          <w:sz w:val="24"/>
          <w:szCs w:val="24"/>
        </w:rPr>
      </w:pPr>
    </w:p>
    <w:p w:rsidR="00BC375E" w:rsidRPr="00912DB2" w:rsidRDefault="00BC375E" w:rsidP="00BC375E">
      <w:pPr>
        <w:pStyle w:val="Sinespaciado"/>
        <w:spacing w:line="360" w:lineRule="auto"/>
        <w:jc w:val="both"/>
        <w:rPr>
          <w:rFonts w:cs="Arial"/>
          <w:b/>
          <w:sz w:val="24"/>
          <w:szCs w:val="24"/>
        </w:rPr>
      </w:pPr>
    </w:p>
    <w:p w:rsidR="00EA46E4" w:rsidRPr="00912DB2" w:rsidRDefault="00EA46E4" w:rsidP="00BC375E">
      <w:pPr>
        <w:pStyle w:val="Sinespaciado"/>
        <w:spacing w:line="360" w:lineRule="auto"/>
        <w:jc w:val="both"/>
        <w:rPr>
          <w:rFonts w:cs="Arial"/>
          <w:b/>
          <w:sz w:val="24"/>
          <w:szCs w:val="24"/>
        </w:rPr>
      </w:pPr>
      <w:r w:rsidRPr="00912DB2">
        <w:rPr>
          <w:rFonts w:cs="Arial"/>
          <w:b/>
          <w:sz w:val="24"/>
          <w:szCs w:val="24"/>
        </w:rPr>
        <w:t>CC. DIPUTADOS SECRETARIOS DE LA MESA DIRECTIVA</w:t>
      </w:r>
    </w:p>
    <w:p w:rsidR="00EA46E4" w:rsidRPr="00912DB2" w:rsidRDefault="00EA46E4" w:rsidP="00BC375E">
      <w:pPr>
        <w:pStyle w:val="Sinespaciado"/>
        <w:spacing w:line="360" w:lineRule="auto"/>
        <w:jc w:val="both"/>
        <w:rPr>
          <w:rFonts w:cs="Arial"/>
          <w:b/>
          <w:sz w:val="24"/>
          <w:szCs w:val="24"/>
        </w:rPr>
      </w:pPr>
      <w:r w:rsidRPr="00912DB2">
        <w:rPr>
          <w:rFonts w:cs="Arial"/>
          <w:b/>
          <w:sz w:val="24"/>
          <w:szCs w:val="24"/>
        </w:rPr>
        <w:t>DE LA H. LX LEGISLATURA DEL ESTADO LIBRE</w:t>
      </w:r>
    </w:p>
    <w:p w:rsidR="00EA46E4" w:rsidRPr="00912DB2" w:rsidRDefault="00EA46E4" w:rsidP="00BC375E">
      <w:pPr>
        <w:pStyle w:val="Sinespaciado"/>
        <w:spacing w:line="360" w:lineRule="auto"/>
        <w:jc w:val="both"/>
        <w:rPr>
          <w:rFonts w:cs="Arial"/>
          <w:b/>
          <w:sz w:val="24"/>
          <w:szCs w:val="24"/>
        </w:rPr>
      </w:pPr>
      <w:r w:rsidRPr="00912DB2">
        <w:rPr>
          <w:rFonts w:cs="Arial"/>
          <w:b/>
          <w:sz w:val="24"/>
          <w:szCs w:val="24"/>
        </w:rPr>
        <w:t>Y SOBERANO DE MÉXICO.</w:t>
      </w:r>
    </w:p>
    <w:p w:rsidR="00EA46E4" w:rsidRPr="00912DB2" w:rsidRDefault="00EA46E4" w:rsidP="00BC375E">
      <w:pPr>
        <w:pStyle w:val="Sinespaciado"/>
        <w:spacing w:line="360" w:lineRule="auto"/>
        <w:jc w:val="both"/>
        <w:rPr>
          <w:rFonts w:cs="Arial"/>
          <w:b/>
          <w:sz w:val="24"/>
          <w:szCs w:val="24"/>
        </w:rPr>
      </w:pPr>
    </w:p>
    <w:p w:rsidR="00EA46E4" w:rsidRPr="00912DB2" w:rsidRDefault="00EA46E4" w:rsidP="00BC375E">
      <w:pPr>
        <w:pStyle w:val="Sinespaciado"/>
        <w:spacing w:line="360" w:lineRule="auto"/>
        <w:jc w:val="both"/>
        <w:rPr>
          <w:rFonts w:cs="Arial"/>
          <w:b/>
          <w:sz w:val="24"/>
          <w:szCs w:val="24"/>
        </w:rPr>
      </w:pPr>
      <w:r w:rsidRPr="00912DB2">
        <w:rPr>
          <w:rFonts w:cs="Arial"/>
          <w:b/>
          <w:sz w:val="24"/>
          <w:szCs w:val="24"/>
        </w:rPr>
        <w:t>P R E S E N T E S.</w:t>
      </w:r>
    </w:p>
    <w:p w:rsidR="00EA46E4" w:rsidRPr="00912DB2" w:rsidRDefault="00EA46E4" w:rsidP="00BC375E">
      <w:pPr>
        <w:pStyle w:val="Sinespaciado"/>
        <w:spacing w:line="360" w:lineRule="auto"/>
        <w:jc w:val="both"/>
        <w:rPr>
          <w:rFonts w:cs="Arial"/>
          <w:b/>
          <w:sz w:val="24"/>
          <w:szCs w:val="24"/>
        </w:rPr>
      </w:pPr>
    </w:p>
    <w:p w:rsidR="00EA46E4" w:rsidRPr="00912DB2" w:rsidRDefault="00BC375E" w:rsidP="00BC375E">
      <w:pPr>
        <w:pStyle w:val="Sinespaciado"/>
        <w:spacing w:line="360" w:lineRule="auto"/>
        <w:jc w:val="both"/>
        <w:rPr>
          <w:rFonts w:cs="Arial"/>
          <w:b/>
          <w:sz w:val="24"/>
          <w:szCs w:val="24"/>
        </w:rPr>
      </w:pPr>
      <w:r w:rsidRPr="00912DB2">
        <w:rPr>
          <w:rFonts w:cs="Arial"/>
          <w:sz w:val="24"/>
          <w:szCs w:val="24"/>
        </w:rPr>
        <w:t>En ejercicio que me confieren los numerales 51 y 61 fracción I de la Constitución Política del Estado Libre y Soberano de México, 38 fracción IV de la Ley Org</w:t>
      </w:r>
      <w:r w:rsidR="00AA2BE1" w:rsidRPr="00912DB2">
        <w:rPr>
          <w:rFonts w:cs="Arial"/>
          <w:sz w:val="24"/>
          <w:szCs w:val="24"/>
        </w:rPr>
        <w:t>ánica del Poder Legislativo y 70</w:t>
      </w:r>
      <w:r w:rsidRPr="00912DB2">
        <w:rPr>
          <w:rFonts w:cs="Arial"/>
          <w:sz w:val="24"/>
          <w:szCs w:val="24"/>
        </w:rPr>
        <w:t xml:space="preserve"> del Reglamento del Poder Legislativo del Estado de México</w:t>
      </w:r>
      <w:r w:rsidR="00EA46E4" w:rsidRPr="00912DB2">
        <w:rPr>
          <w:rFonts w:cs="Arial"/>
          <w:sz w:val="24"/>
          <w:szCs w:val="24"/>
        </w:rPr>
        <w:t xml:space="preserve">, los que suscriben </w:t>
      </w:r>
      <w:r w:rsidR="00EA46E4" w:rsidRPr="00912DB2">
        <w:rPr>
          <w:rFonts w:cs="Arial"/>
          <w:b/>
          <w:sz w:val="24"/>
          <w:szCs w:val="24"/>
        </w:rPr>
        <w:t>Diputado Omar Ortega Álvarez, Diputada</w:t>
      </w:r>
      <w:r w:rsidR="00EA46E4" w:rsidRPr="00912DB2">
        <w:rPr>
          <w:rFonts w:cs="Arial"/>
          <w:sz w:val="24"/>
          <w:szCs w:val="24"/>
        </w:rPr>
        <w:t xml:space="preserve"> </w:t>
      </w:r>
      <w:r w:rsidR="00EA46E4" w:rsidRPr="00912DB2">
        <w:rPr>
          <w:rFonts w:cs="Arial"/>
          <w:b/>
          <w:sz w:val="24"/>
          <w:szCs w:val="24"/>
        </w:rPr>
        <w:t>Araceli Casasola Salazar y Diputada</w:t>
      </w:r>
      <w:r w:rsidR="00EA46E4" w:rsidRPr="00912DB2">
        <w:rPr>
          <w:rFonts w:cs="Arial"/>
          <w:sz w:val="24"/>
          <w:szCs w:val="24"/>
        </w:rPr>
        <w:t xml:space="preserve"> </w:t>
      </w:r>
      <w:r w:rsidR="00EA46E4" w:rsidRPr="00912DB2">
        <w:rPr>
          <w:rFonts w:cs="Arial"/>
          <w:b/>
          <w:sz w:val="24"/>
          <w:szCs w:val="24"/>
        </w:rPr>
        <w:t>Claudia González Cerón</w:t>
      </w:r>
      <w:r w:rsidR="00EA46E4" w:rsidRPr="00912DB2">
        <w:rPr>
          <w:rFonts w:cs="Arial"/>
          <w:sz w:val="24"/>
          <w:szCs w:val="24"/>
        </w:rPr>
        <w:t>, integrantes del Grupo Parlamentario del Partido de la Revolución Democrática, nos permitimos someter a la consideración de esta H. Legislatura</w:t>
      </w:r>
      <w:r w:rsidRPr="00912DB2">
        <w:rPr>
          <w:rFonts w:cs="Arial"/>
          <w:sz w:val="24"/>
          <w:szCs w:val="24"/>
        </w:rPr>
        <w:t xml:space="preserve"> del Estado de México</w:t>
      </w:r>
      <w:r w:rsidR="00EA46E4" w:rsidRPr="00912DB2">
        <w:rPr>
          <w:rFonts w:cs="Arial"/>
          <w:sz w:val="24"/>
          <w:szCs w:val="24"/>
        </w:rPr>
        <w:t>, la</w:t>
      </w:r>
      <w:r w:rsidRPr="00912DB2">
        <w:rPr>
          <w:rFonts w:cs="Arial"/>
          <w:sz w:val="24"/>
          <w:szCs w:val="24"/>
        </w:rPr>
        <w:t xml:space="preserve"> presente</w:t>
      </w:r>
      <w:r w:rsidR="00EA46E4" w:rsidRPr="00912DB2">
        <w:rPr>
          <w:rFonts w:cs="Arial"/>
          <w:sz w:val="24"/>
          <w:szCs w:val="24"/>
        </w:rPr>
        <w:t xml:space="preserve"> </w:t>
      </w:r>
      <w:r w:rsidR="00EA46E4" w:rsidRPr="00912DB2">
        <w:rPr>
          <w:rFonts w:cs="Arial"/>
          <w:b/>
          <w:sz w:val="24"/>
          <w:szCs w:val="24"/>
        </w:rPr>
        <w:t>I</w:t>
      </w:r>
      <w:r w:rsidRPr="00912DB2">
        <w:rPr>
          <w:rFonts w:cs="Arial"/>
          <w:b/>
          <w:sz w:val="24"/>
          <w:szCs w:val="24"/>
        </w:rPr>
        <w:t>niciativa con Proyecto de Decreto</w:t>
      </w:r>
      <w:r w:rsidR="00912DB2" w:rsidRPr="00912DB2">
        <w:rPr>
          <w:rFonts w:cs="Arial"/>
          <w:b/>
          <w:sz w:val="24"/>
          <w:szCs w:val="24"/>
        </w:rPr>
        <w:t xml:space="preserve"> por el que se adiciona la</w:t>
      </w:r>
      <w:r w:rsidR="004C4A93" w:rsidRPr="00912DB2">
        <w:rPr>
          <w:rFonts w:cs="Arial"/>
          <w:b/>
          <w:sz w:val="24"/>
          <w:szCs w:val="24"/>
        </w:rPr>
        <w:t xml:space="preserve"> fracción </w:t>
      </w:r>
      <w:r w:rsidR="0019566C" w:rsidRPr="00912DB2">
        <w:rPr>
          <w:rFonts w:cs="Arial"/>
          <w:b/>
          <w:sz w:val="24"/>
          <w:szCs w:val="24"/>
        </w:rPr>
        <w:t xml:space="preserve">XX, </w:t>
      </w:r>
      <w:r w:rsidR="00912DB2" w:rsidRPr="00912DB2">
        <w:rPr>
          <w:rFonts w:eastAsia="Arial" w:cs="Arial"/>
          <w:b/>
          <w:color w:val="000000"/>
          <w:sz w:val="24"/>
          <w:szCs w:val="24"/>
        </w:rPr>
        <w:t xml:space="preserve">recorriéndose la </w:t>
      </w:r>
      <w:r w:rsidR="0019566C" w:rsidRPr="00912DB2">
        <w:rPr>
          <w:rFonts w:eastAsia="Arial" w:cs="Arial"/>
          <w:b/>
          <w:color w:val="000000"/>
          <w:sz w:val="24"/>
          <w:szCs w:val="24"/>
        </w:rPr>
        <w:t>subsecuente</w:t>
      </w:r>
      <w:r w:rsidR="0019566C" w:rsidRPr="00912DB2">
        <w:rPr>
          <w:rFonts w:cs="Arial"/>
          <w:b/>
          <w:sz w:val="24"/>
          <w:szCs w:val="24"/>
        </w:rPr>
        <w:t xml:space="preserve"> de</w:t>
      </w:r>
      <w:r w:rsidR="008312F8" w:rsidRPr="00912DB2">
        <w:rPr>
          <w:rFonts w:cs="Arial"/>
          <w:b/>
          <w:sz w:val="24"/>
          <w:szCs w:val="24"/>
        </w:rPr>
        <w:t>l</w:t>
      </w:r>
      <w:r w:rsidR="004C4A93" w:rsidRPr="00912DB2">
        <w:rPr>
          <w:rFonts w:cs="Arial"/>
          <w:b/>
          <w:sz w:val="24"/>
          <w:szCs w:val="24"/>
        </w:rPr>
        <w:t xml:space="preserve"> artículo 2.16</w:t>
      </w:r>
      <w:r w:rsidR="00DC019D" w:rsidRPr="00912DB2">
        <w:rPr>
          <w:rFonts w:cs="Arial"/>
          <w:b/>
          <w:sz w:val="24"/>
          <w:szCs w:val="24"/>
        </w:rPr>
        <w:t xml:space="preserve"> del Código Administrativo del Estado de México</w:t>
      </w:r>
      <w:r w:rsidR="00912DB2" w:rsidRPr="00912DB2">
        <w:rPr>
          <w:rFonts w:eastAsia="Arial" w:cs="Arial"/>
          <w:b/>
          <w:color w:val="000000"/>
          <w:sz w:val="24"/>
          <w:szCs w:val="24"/>
        </w:rPr>
        <w:t xml:space="preserve">, </w:t>
      </w:r>
      <w:r w:rsidR="00EA46E4" w:rsidRPr="00912DB2">
        <w:rPr>
          <w:rFonts w:cs="Arial"/>
          <w:sz w:val="24"/>
          <w:szCs w:val="24"/>
        </w:rPr>
        <w:t>al tenor de la siguiente:</w:t>
      </w:r>
    </w:p>
    <w:p w:rsidR="00AA2BE1" w:rsidRPr="00912DB2" w:rsidRDefault="00AA2BE1" w:rsidP="00BC375E">
      <w:pPr>
        <w:pStyle w:val="Sinespaciado"/>
        <w:spacing w:line="360" w:lineRule="auto"/>
        <w:jc w:val="both"/>
        <w:rPr>
          <w:rFonts w:cs="Arial"/>
          <w:b/>
          <w:sz w:val="24"/>
          <w:szCs w:val="24"/>
          <w:lang w:val="es-ES_tradnl"/>
        </w:rPr>
      </w:pPr>
    </w:p>
    <w:p w:rsidR="00BC375E" w:rsidRPr="00912DB2" w:rsidRDefault="00BC375E" w:rsidP="00BC375E">
      <w:pPr>
        <w:pStyle w:val="Sinespaciado"/>
        <w:spacing w:line="360" w:lineRule="auto"/>
        <w:jc w:val="both"/>
        <w:rPr>
          <w:rFonts w:cs="Arial"/>
          <w:b/>
          <w:sz w:val="24"/>
          <w:szCs w:val="24"/>
        </w:rPr>
      </w:pPr>
    </w:p>
    <w:p w:rsidR="00AA2BE1" w:rsidRPr="00912DB2" w:rsidRDefault="00AA2BE1" w:rsidP="00AA2BE1">
      <w:pPr>
        <w:spacing w:line="360" w:lineRule="auto"/>
        <w:jc w:val="center"/>
        <w:rPr>
          <w:rFonts w:cs="Arial"/>
          <w:b/>
        </w:rPr>
      </w:pPr>
      <w:r w:rsidRPr="00912DB2">
        <w:rPr>
          <w:rFonts w:cs="Arial"/>
          <w:b/>
        </w:rPr>
        <w:t>EXPOSICIÓN DE MOTIVOS</w:t>
      </w:r>
    </w:p>
    <w:p w:rsidR="00AA2BE1" w:rsidRPr="00912DB2" w:rsidRDefault="00AA2BE1" w:rsidP="00AA2BE1">
      <w:pPr>
        <w:spacing w:line="360" w:lineRule="auto"/>
        <w:jc w:val="center"/>
        <w:rPr>
          <w:rFonts w:cs="Arial"/>
          <w:b/>
        </w:rPr>
      </w:pPr>
    </w:p>
    <w:p w:rsidR="00AA2BE1" w:rsidRPr="00912DB2" w:rsidRDefault="00AA2BE1" w:rsidP="00AA2BE1">
      <w:pPr>
        <w:spacing w:line="360" w:lineRule="auto"/>
        <w:jc w:val="both"/>
        <w:rPr>
          <w:rFonts w:cs="Arial"/>
        </w:rPr>
      </w:pPr>
      <w:r w:rsidRPr="00912DB2">
        <w:rPr>
          <w:rFonts w:cs="Arial"/>
        </w:rPr>
        <w:t xml:space="preserve">El </w:t>
      </w:r>
      <w:r w:rsidR="00D9782C">
        <w:rPr>
          <w:rFonts w:cs="Arial"/>
        </w:rPr>
        <w:t>objeto de la presente Iniciativa e</w:t>
      </w:r>
      <w:r w:rsidRPr="00912DB2">
        <w:rPr>
          <w:rFonts w:cs="Arial"/>
        </w:rPr>
        <w:t>s resguardar e impulsar declaraciones que representan el ideal socia</w:t>
      </w:r>
      <w:r w:rsidR="00D9782C">
        <w:rPr>
          <w:rFonts w:cs="Arial"/>
        </w:rPr>
        <w:t>l, ético y político, basado fundamentalmente,</w:t>
      </w:r>
      <w:r w:rsidRPr="00912DB2">
        <w:rPr>
          <w:rFonts w:cs="Arial"/>
        </w:rPr>
        <w:t xml:space="preserve"> en la Declaración Universal de los Derechos Humanos, la Constitución Política de los Estados Unidos Mexicanos, la Constitución Política del Estado </w:t>
      </w:r>
      <w:r w:rsidR="00D9782C">
        <w:rPr>
          <w:rFonts w:cs="Arial"/>
        </w:rPr>
        <w:t xml:space="preserve">Libre y Soberano </w:t>
      </w:r>
      <w:r w:rsidRPr="00912DB2">
        <w:rPr>
          <w:rFonts w:cs="Arial"/>
        </w:rPr>
        <w:t>de México y el Código Administrativo, así como</w:t>
      </w:r>
      <w:r w:rsidR="00D9782C">
        <w:rPr>
          <w:rFonts w:cs="Arial"/>
        </w:rPr>
        <w:t>,</w:t>
      </w:r>
      <w:r w:rsidRPr="00912DB2">
        <w:rPr>
          <w:rFonts w:cs="Arial"/>
        </w:rPr>
        <w:t xml:space="preserve"> los tratados internacionales suscritos </w:t>
      </w:r>
      <w:r w:rsidR="00D9782C">
        <w:rPr>
          <w:rFonts w:cs="Arial"/>
        </w:rPr>
        <w:t>por el Gobierno Mexicano y el</w:t>
      </w:r>
      <w:r w:rsidRPr="00912DB2">
        <w:rPr>
          <w:rFonts w:cs="Arial"/>
        </w:rPr>
        <w:t xml:space="preserve"> </w:t>
      </w:r>
      <w:r w:rsidR="00D9782C">
        <w:rPr>
          <w:rFonts w:cs="Arial"/>
        </w:rPr>
        <w:t>reconocimiento de los</w:t>
      </w:r>
      <w:r w:rsidR="0054767F">
        <w:rPr>
          <w:rFonts w:cs="Arial"/>
        </w:rPr>
        <w:t xml:space="preserve"> derechos humanos en atención a la salud </w:t>
      </w:r>
      <w:r w:rsidRPr="00912DB2">
        <w:rPr>
          <w:rFonts w:cs="Arial"/>
        </w:rPr>
        <w:t>de la población.</w:t>
      </w:r>
    </w:p>
    <w:p w:rsidR="00AA2BE1" w:rsidRPr="00912DB2" w:rsidRDefault="00AA2BE1" w:rsidP="00AA2BE1">
      <w:pPr>
        <w:spacing w:line="360" w:lineRule="auto"/>
        <w:jc w:val="both"/>
        <w:rPr>
          <w:rFonts w:cs="Arial"/>
        </w:rPr>
      </w:pPr>
    </w:p>
    <w:p w:rsidR="0054767F" w:rsidRDefault="0054767F" w:rsidP="00AA2BE1">
      <w:pPr>
        <w:spacing w:line="360" w:lineRule="auto"/>
        <w:jc w:val="both"/>
        <w:rPr>
          <w:rFonts w:cs="Arial"/>
        </w:rPr>
      </w:pPr>
      <w:r>
        <w:rPr>
          <w:rFonts w:cs="Arial"/>
        </w:rPr>
        <w:t>A lo largo de la</w:t>
      </w:r>
      <w:r w:rsidRPr="00912DB2">
        <w:rPr>
          <w:rFonts w:cs="Arial"/>
        </w:rPr>
        <w:t xml:space="preserve"> historia</w:t>
      </w:r>
      <w:r>
        <w:rPr>
          <w:rFonts w:cs="Arial"/>
        </w:rPr>
        <w:t>, el</w:t>
      </w:r>
      <w:r w:rsidR="00AA2BE1" w:rsidRPr="00912DB2">
        <w:rPr>
          <w:rFonts w:cs="Arial"/>
        </w:rPr>
        <w:t xml:space="preserve"> ser humano ha</w:t>
      </w:r>
      <w:r>
        <w:rPr>
          <w:rFonts w:cs="Arial"/>
        </w:rPr>
        <w:t xml:space="preserve"> perseguido el ideal de </w:t>
      </w:r>
      <w:r w:rsidRPr="00912DB2">
        <w:rPr>
          <w:rFonts w:cs="Arial"/>
        </w:rPr>
        <w:t>una</w:t>
      </w:r>
      <w:r w:rsidR="00AA2BE1" w:rsidRPr="00912DB2">
        <w:rPr>
          <w:rFonts w:cs="Arial"/>
        </w:rPr>
        <w:t xml:space="preserve"> vida c</w:t>
      </w:r>
      <w:r>
        <w:rPr>
          <w:rFonts w:cs="Arial"/>
        </w:rPr>
        <w:t>ada vez más plena y placentera. En ese sentido, e</w:t>
      </w:r>
      <w:r w:rsidR="00AA2BE1" w:rsidRPr="00912DB2">
        <w:rPr>
          <w:rFonts w:cs="Arial"/>
        </w:rPr>
        <w:t>sta posibilidad de plenitud es palpable</w:t>
      </w:r>
      <w:r>
        <w:rPr>
          <w:rFonts w:cs="Arial"/>
        </w:rPr>
        <w:t>, entre otras cosas,</w:t>
      </w:r>
      <w:r w:rsidR="00AA2BE1" w:rsidRPr="00912DB2">
        <w:rPr>
          <w:rFonts w:cs="Arial"/>
        </w:rPr>
        <w:t xml:space="preserve"> gracias a los avances legislativos y a la aplicación del derecho positivo</w:t>
      </w:r>
      <w:r>
        <w:rPr>
          <w:rFonts w:cs="Arial"/>
        </w:rPr>
        <w:t xml:space="preserve">. </w:t>
      </w:r>
    </w:p>
    <w:p w:rsidR="0054767F" w:rsidRDefault="0054767F" w:rsidP="00AA2BE1">
      <w:pPr>
        <w:spacing w:line="360" w:lineRule="auto"/>
        <w:jc w:val="both"/>
        <w:rPr>
          <w:rFonts w:cs="Arial"/>
        </w:rPr>
      </w:pPr>
    </w:p>
    <w:p w:rsidR="0054767F" w:rsidRPr="00912DB2" w:rsidRDefault="0054767F" w:rsidP="00AA2BE1">
      <w:pPr>
        <w:spacing w:line="360" w:lineRule="auto"/>
        <w:jc w:val="both"/>
        <w:rPr>
          <w:rFonts w:cs="Arial"/>
        </w:rPr>
      </w:pPr>
      <w:r>
        <w:rPr>
          <w:rFonts w:cs="Arial"/>
        </w:rPr>
        <w:t xml:space="preserve">Al respecto, </w:t>
      </w:r>
      <w:r w:rsidR="00AA2BE1" w:rsidRPr="00912DB2">
        <w:rPr>
          <w:rFonts w:cs="Arial"/>
        </w:rPr>
        <w:t>el análisis que realizó el Sexólogo Guillermo Domínguez Barrón</w:t>
      </w:r>
      <w:r>
        <w:rPr>
          <w:rFonts w:cs="Arial"/>
        </w:rPr>
        <w:t>,</w:t>
      </w:r>
      <w:r w:rsidR="00AA2BE1" w:rsidRPr="00912DB2">
        <w:rPr>
          <w:rFonts w:cs="Arial"/>
        </w:rPr>
        <w:t xml:space="preserve"> ha servido como plataforma para la elaboración de la presente</w:t>
      </w:r>
      <w:r>
        <w:rPr>
          <w:rFonts w:cs="Arial"/>
        </w:rPr>
        <w:t xml:space="preserve"> Iniciativa de Ley, en el cual, destacan las </w:t>
      </w:r>
      <w:r w:rsidR="00AA2BE1" w:rsidRPr="00912DB2">
        <w:rPr>
          <w:rFonts w:cs="Arial"/>
        </w:rPr>
        <w:t>s</w:t>
      </w:r>
      <w:r>
        <w:rPr>
          <w:rFonts w:cs="Arial"/>
        </w:rPr>
        <w:t xml:space="preserve">iguientes premisas: </w:t>
      </w:r>
    </w:p>
    <w:p w:rsidR="00AA2BE1" w:rsidRPr="00912DB2" w:rsidRDefault="00AA2BE1" w:rsidP="00AA2BE1">
      <w:pPr>
        <w:spacing w:line="360" w:lineRule="auto"/>
        <w:jc w:val="both"/>
        <w:rPr>
          <w:rFonts w:cs="Arial"/>
        </w:rPr>
      </w:pPr>
    </w:p>
    <w:p w:rsidR="00AA2BE1" w:rsidRPr="00912DB2" w:rsidRDefault="00AA2BE1" w:rsidP="00AA2BE1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912DB2">
        <w:rPr>
          <w:rFonts w:asciiTheme="minorHAnsi" w:hAnsiTheme="minorHAnsi" w:cs="Arial"/>
          <w:sz w:val="24"/>
          <w:szCs w:val="24"/>
        </w:rPr>
        <w:t>El desarrollo de toda persona requiere de una vivencia de la sexualidad libre de conflicto y angustia, para posibilitar su crecimiento individual y su acceso al placer.</w:t>
      </w:r>
    </w:p>
    <w:p w:rsidR="00AA2BE1" w:rsidRPr="00912DB2" w:rsidRDefault="00AA2BE1" w:rsidP="00AA2BE1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912DB2">
        <w:rPr>
          <w:rFonts w:asciiTheme="minorHAnsi" w:hAnsiTheme="minorHAnsi" w:cs="Arial"/>
          <w:sz w:val="24"/>
          <w:szCs w:val="24"/>
        </w:rPr>
        <w:t>La sexualidad está presente en todas las épocas de la vida, es integradora de la identidad y contribuye a producir o fortalecer vínculos interpersonales.</w:t>
      </w:r>
    </w:p>
    <w:p w:rsidR="00AA2BE1" w:rsidRPr="00912DB2" w:rsidRDefault="00AA2BE1" w:rsidP="00AA2BE1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912DB2">
        <w:rPr>
          <w:rFonts w:asciiTheme="minorHAnsi" w:hAnsiTheme="minorHAnsi" w:cs="Arial"/>
          <w:sz w:val="24"/>
          <w:szCs w:val="24"/>
        </w:rPr>
        <w:t>Cada persona es sujeto activo en el proceso de construcción de su propia sexualidad. Tiene derecho a hacerse responsable de su propia vida y habrá de asumir el impacto que tengan sus actitudes, acciones u omisiones en otra u otras personas.</w:t>
      </w:r>
    </w:p>
    <w:p w:rsidR="00AA2BE1" w:rsidRPr="00912DB2" w:rsidRDefault="00AA2BE1" w:rsidP="00AA2BE1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912DB2">
        <w:rPr>
          <w:rFonts w:asciiTheme="minorHAnsi" w:hAnsiTheme="minorHAnsi" w:cs="Arial"/>
          <w:sz w:val="24"/>
          <w:szCs w:val="24"/>
        </w:rPr>
        <w:t>Cualquier forma de coerción que tienda a obligar a cualquier persona a realizar actos de índole erótico–sexual contra su voluntad es inaceptable.</w:t>
      </w:r>
    </w:p>
    <w:p w:rsidR="00AA2BE1" w:rsidRPr="00912DB2" w:rsidRDefault="00AA2BE1" w:rsidP="00AA2BE1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912DB2">
        <w:rPr>
          <w:rFonts w:asciiTheme="minorHAnsi" w:hAnsiTheme="minorHAnsi" w:cs="Arial"/>
          <w:sz w:val="24"/>
          <w:szCs w:val="24"/>
        </w:rPr>
        <w:t>La sexualidad humana es dinámica y cambiante, se construye continuamente por la interacción de la persona con las estructuras sociales, representadas por familias, escuela, vecindario, medios de comunicación, líderes morales, diversas instituciones religiosas y otras más.</w:t>
      </w:r>
    </w:p>
    <w:p w:rsidR="00AA2BE1" w:rsidRPr="00912DB2" w:rsidRDefault="00AA2BE1" w:rsidP="00AA2BE1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912DB2">
        <w:rPr>
          <w:rFonts w:asciiTheme="minorHAnsi" w:hAnsiTheme="minorHAnsi" w:cs="Arial"/>
          <w:sz w:val="24"/>
          <w:szCs w:val="24"/>
        </w:rPr>
        <w:t>La educación de la sexualidad es responsabilidad ineludible de todas las personas e instituciones sociales, incluidas las familias y los gobiernos.</w:t>
      </w:r>
    </w:p>
    <w:p w:rsidR="00AA2BE1" w:rsidRPr="00912DB2" w:rsidRDefault="00AA2BE1" w:rsidP="00AA2BE1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912DB2">
        <w:rPr>
          <w:rFonts w:asciiTheme="minorHAnsi" w:hAnsiTheme="minorHAnsi" w:cs="Arial"/>
          <w:sz w:val="24"/>
          <w:szCs w:val="24"/>
        </w:rPr>
        <w:t xml:space="preserve">En México coexisten distintos estilos de vida y diferentes formas de organización familiar. Las distintas propuestas de educación formal de la sexualidad deben respetar esta diversidad sin hacer omisiones ni promociones, sino estimulando un </w:t>
      </w:r>
      <w:r w:rsidRPr="00912DB2">
        <w:rPr>
          <w:rFonts w:asciiTheme="minorHAnsi" w:hAnsiTheme="minorHAnsi" w:cs="Arial"/>
          <w:sz w:val="24"/>
          <w:szCs w:val="24"/>
        </w:rPr>
        <w:lastRenderedPageBreak/>
        <w:t>proceso crítico donde las personas puedan obtener elementos para decidir con responsabilidad sobre su propia vida sexual, sabiendo que tienen derecho al respeto de quienes las rodean.</w:t>
      </w:r>
    </w:p>
    <w:p w:rsidR="00AA2BE1" w:rsidRPr="00912DB2" w:rsidRDefault="00AA2BE1" w:rsidP="00AA2BE1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912DB2">
        <w:rPr>
          <w:rFonts w:asciiTheme="minorHAnsi" w:hAnsiTheme="minorHAnsi" w:cs="Arial"/>
          <w:sz w:val="24"/>
          <w:szCs w:val="24"/>
        </w:rPr>
        <w:t>Toda persona tiene derecho a contraer o no matrimonio civil, a disolver dicha unión y a establecer otras formas de convivencia sexual.</w:t>
      </w:r>
    </w:p>
    <w:p w:rsidR="00AA2BE1" w:rsidRPr="00912DB2" w:rsidRDefault="00AA2BE1" w:rsidP="00AA2BE1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912DB2">
        <w:rPr>
          <w:rFonts w:asciiTheme="minorHAnsi" w:hAnsiTheme="minorHAnsi" w:cs="Arial"/>
          <w:sz w:val="24"/>
          <w:szCs w:val="24"/>
        </w:rPr>
        <w:t>La reproducción biológica es uno de los elementos que conforman la sexualidad humana, pero no es su único fin. Reconocemos el derecho al ejercicio de la sexualidad sin finalidad reproductiva.</w:t>
      </w:r>
    </w:p>
    <w:p w:rsidR="00AA2BE1" w:rsidRPr="00912DB2" w:rsidRDefault="00AA2BE1" w:rsidP="00AA2BE1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912DB2">
        <w:rPr>
          <w:rFonts w:asciiTheme="minorHAnsi" w:hAnsiTheme="minorHAnsi" w:cs="Arial"/>
          <w:sz w:val="24"/>
          <w:szCs w:val="24"/>
        </w:rPr>
        <w:t>En lo referente a las infecciones de transmisión sexual, el aborto y la anticoncepción, las autoridades han de orientar sus decisiones desde la perspectiva de la salud pública y no desde los conceptos morales y religiosos particulares de cualquiera de las asociaciones religiosas que existen en México.</w:t>
      </w:r>
    </w:p>
    <w:p w:rsidR="00AA2BE1" w:rsidRPr="00912DB2" w:rsidRDefault="00AA2BE1" w:rsidP="00AA2BE1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912DB2">
        <w:rPr>
          <w:rFonts w:asciiTheme="minorHAnsi" w:hAnsiTheme="minorHAnsi" w:cs="Arial"/>
          <w:sz w:val="24"/>
          <w:szCs w:val="24"/>
        </w:rPr>
        <w:t>Toda persona tiene derecho a información formal, científica, objetiva y verídica sobre la sexualidad humana que le permita tomar decisiones respecto a su propia vida sexual, le posibilite una vida sexual plena, con derecho al placer y el ejercicio de sus derechos sexuales y reproductivos.</w:t>
      </w:r>
    </w:p>
    <w:p w:rsidR="00AA2BE1" w:rsidRPr="00912DB2" w:rsidRDefault="00AA2BE1" w:rsidP="00AA2BE1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912DB2">
        <w:rPr>
          <w:rFonts w:asciiTheme="minorHAnsi" w:hAnsiTheme="minorHAnsi" w:cs="Arial"/>
          <w:sz w:val="24"/>
          <w:szCs w:val="24"/>
        </w:rPr>
        <w:t>La sexualidad humana ha tenido manifestaciones múltiples y diversas en diferentes grupos humanos y en diferentes épocas. El panorama contemporáneo requiere de la coexistencia y comunicación entre diferentes culturas con distintas escalas de valores sobre la sexualidad y variada normatividad en cuanto a sus expresiones.</w:t>
      </w:r>
    </w:p>
    <w:p w:rsidR="00AA2BE1" w:rsidRPr="00912DB2" w:rsidRDefault="00AA2BE1" w:rsidP="00AA2BE1">
      <w:pPr>
        <w:spacing w:line="360" w:lineRule="auto"/>
        <w:jc w:val="both"/>
        <w:rPr>
          <w:rFonts w:cs="Arial"/>
        </w:rPr>
      </w:pPr>
    </w:p>
    <w:p w:rsidR="00AA2BE1" w:rsidRPr="00912DB2" w:rsidRDefault="00AA2BE1" w:rsidP="00AA2BE1">
      <w:pPr>
        <w:spacing w:line="360" w:lineRule="auto"/>
        <w:jc w:val="both"/>
        <w:rPr>
          <w:rFonts w:cs="Arial"/>
        </w:rPr>
      </w:pPr>
      <w:r w:rsidRPr="00912DB2">
        <w:rPr>
          <w:rFonts w:cs="Arial"/>
        </w:rPr>
        <w:t>Por lo anteriormente expuesto,</w:t>
      </w:r>
      <w:r w:rsidR="0054767F">
        <w:rPr>
          <w:rFonts w:cs="Arial"/>
        </w:rPr>
        <w:t xml:space="preserve"> en el GPPRD</w:t>
      </w:r>
      <w:r w:rsidRPr="00912DB2">
        <w:rPr>
          <w:rFonts w:cs="Arial"/>
        </w:rPr>
        <w:t xml:space="preserve"> </w:t>
      </w:r>
      <w:r w:rsidR="0054767F">
        <w:rPr>
          <w:rFonts w:cs="Arial"/>
        </w:rPr>
        <w:t>nos manifestamos a propósito d</w:t>
      </w:r>
      <w:r w:rsidRPr="00912DB2">
        <w:rPr>
          <w:rFonts w:cs="Arial"/>
        </w:rPr>
        <w:t>el más amplio respeto a la multiplicidad de formas de expresión de la sexualidad humana, por lo</w:t>
      </w:r>
      <w:r w:rsidR="0054767F">
        <w:rPr>
          <w:rFonts w:cs="Arial"/>
        </w:rPr>
        <w:t xml:space="preserve"> que no admitimos ningún tipo </w:t>
      </w:r>
      <w:r w:rsidRPr="00912DB2">
        <w:rPr>
          <w:rFonts w:cs="Arial"/>
        </w:rPr>
        <w:t>de descalificación, discriminación, marginación o persecución por razones vinculadas con la sexualidad: sexo, edad, identidad, modo de vida, pertenencia a algún grupo étnico o religioso, forma de vestir, manera de r</w:t>
      </w:r>
      <w:r w:rsidR="00E32BD6">
        <w:rPr>
          <w:rFonts w:cs="Arial"/>
        </w:rPr>
        <w:t>elacionarse o hábitos sexuales. Asimismo, s</w:t>
      </w:r>
      <w:r w:rsidRPr="00912DB2">
        <w:rPr>
          <w:rFonts w:cs="Arial"/>
        </w:rPr>
        <w:t>e incluye</w:t>
      </w:r>
      <w:r w:rsidR="00E32BD6">
        <w:rPr>
          <w:rFonts w:cs="Arial"/>
        </w:rPr>
        <w:t xml:space="preserve"> </w:t>
      </w:r>
      <w:r w:rsidRPr="00912DB2">
        <w:rPr>
          <w:rFonts w:cs="Arial"/>
        </w:rPr>
        <w:t xml:space="preserve">el respeto absoluto por las personas </w:t>
      </w:r>
      <w:r w:rsidR="00E32BD6" w:rsidRPr="00912DB2">
        <w:rPr>
          <w:rFonts w:cs="Arial"/>
        </w:rPr>
        <w:t>que,</w:t>
      </w:r>
      <w:r w:rsidRPr="00912DB2">
        <w:rPr>
          <w:rFonts w:cs="Arial"/>
        </w:rPr>
        <w:t xml:space="preserve"> de manera voluntaria, libre e informada</w:t>
      </w:r>
      <w:r w:rsidR="00E32BD6">
        <w:rPr>
          <w:rFonts w:cs="Arial"/>
        </w:rPr>
        <w:t>,</w:t>
      </w:r>
      <w:r w:rsidRPr="00912DB2">
        <w:rPr>
          <w:rFonts w:cs="Arial"/>
        </w:rPr>
        <w:t xml:space="preserve"> deciden limitar su propia actividad sexual. </w:t>
      </w:r>
    </w:p>
    <w:p w:rsidR="00E32BD6" w:rsidRDefault="00E32BD6" w:rsidP="00AA2BE1">
      <w:pPr>
        <w:spacing w:line="360" w:lineRule="auto"/>
        <w:jc w:val="both"/>
        <w:rPr>
          <w:rFonts w:cs="Arial"/>
        </w:rPr>
      </w:pPr>
      <w:r>
        <w:rPr>
          <w:rFonts w:cs="Arial"/>
        </w:rPr>
        <w:t xml:space="preserve">Asimismo, el 28 de agosto de 1993 se celebra </w:t>
      </w:r>
      <w:r w:rsidRPr="00912DB2">
        <w:rPr>
          <w:rFonts w:cs="Arial"/>
        </w:rPr>
        <w:t>la Declaración de los Derechos de Género, redactada por los asistentes a la Segunda Conferencia Internacional sobre Legislación de Transgénero y Política de Empleo celebrada en el Hotel Southwes</w:t>
      </w:r>
      <w:r>
        <w:rPr>
          <w:rFonts w:cs="Arial"/>
        </w:rPr>
        <w:t xml:space="preserve">t Hilton de Houston, Texas, EUA, en donde se establece los siguientes derechos: </w:t>
      </w:r>
    </w:p>
    <w:p w:rsidR="00E32BD6" w:rsidRPr="00E32BD6" w:rsidRDefault="00E32BD6" w:rsidP="00AA2BE1">
      <w:pPr>
        <w:spacing w:line="360" w:lineRule="auto"/>
        <w:jc w:val="both"/>
        <w:rPr>
          <w:rFonts w:cs="Arial"/>
        </w:rPr>
      </w:pPr>
    </w:p>
    <w:p w:rsidR="00AA2BE1" w:rsidRPr="00E32BD6" w:rsidRDefault="00AA2BE1" w:rsidP="00E32BD6">
      <w:pPr>
        <w:pStyle w:val="Prrafodelista"/>
        <w:numPr>
          <w:ilvl w:val="0"/>
          <w:numId w:val="3"/>
        </w:numPr>
        <w:spacing w:line="360" w:lineRule="auto"/>
        <w:jc w:val="both"/>
        <w:rPr>
          <w:rFonts w:cs="Arial"/>
          <w:b/>
        </w:rPr>
      </w:pPr>
      <w:r w:rsidRPr="00E32BD6">
        <w:rPr>
          <w:rFonts w:cs="Arial"/>
          <w:b/>
        </w:rPr>
        <w:t>Derecho de los individuos a reivindicar su identidad de género.</w:t>
      </w:r>
    </w:p>
    <w:p w:rsidR="00AA2BE1" w:rsidRPr="00912DB2" w:rsidRDefault="00AA2BE1" w:rsidP="00AA2BE1">
      <w:pPr>
        <w:spacing w:line="360" w:lineRule="auto"/>
        <w:jc w:val="both"/>
        <w:rPr>
          <w:rFonts w:cs="Arial"/>
        </w:rPr>
      </w:pPr>
    </w:p>
    <w:p w:rsidR="00AA2BE1" w:rsidRPr="00912DB2" w:rsidRDefault="00AA2BE1" w:rsidP="00AA2BE1">
      <w:pPr>
        <w:spacing w:line="360" w:lineRule="auto"/>
        <w:jc w:val="both"/>
        <w:rPr>
          <w:rFonts w:cs="Arial"/>
        </w:rPr>
      </w:pPr>
      <w:r w:rsidRPr="00912DB2">
        <w:rPr>
          <w:rFonts w:cs="Arial"/>
        </w:rPr>
        <w:t>Todos los seres humanos tienen una idea en permanente construcción acerca de sí mismos y de lo que son capaces de lograr. El sentido del yo de las personas no lo determinan el sexo cromosómico, los órganos sexuales, el sexo asignado en el nacimiento o el rol de género inicial, por lo que ni su identidad ni sus capacidades están restringidas a lo que la sociedad juzga que debe ser una conducta masculina o femenina. Es fundamental que los individuos ejerzan su derecho a la identidad de género propia a lo largo de sus vidas sin tomar en consideración, necesariamente, los aspectos biológicos de origen y el papel inicial de género.</w:t>
      </w:r>
    </w:p>
    <w:p w:rsidR="00AA2BE1" w:rsidRPr="00912DB2" w:rsidRDefault="00AA2BE1" w:rsidP="00AA2BE1">
      <w:pPr>
        <w:spacing w:line="360" w:lineRule="auto"/>
        <w:jc w:val="both"/>
        <w:rPr>
          <w:rFonts w:cs="Arial"/>
        </w:rPr>
      </w:pPr>
    </w:p>
    <w:p w:rsidR="00AA2BE1" w:rsidRPr="00E32BD6" w:rsidRDefault="00AA2BE1" w:rsidP="00E32BD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cs="Arial"/>
          <w:b/>
          <w:bCs/>
        </w:rPr>
      </w:pPr>
      <w:r w:rsidRPr="00E32BD6">
        <w:rPr>
          <w:rFonts w:cs="Arial"/>
          <w:b/>
          <w:bCs/>
        </w:rPr>
        <w:t>Derecho a la libre expresión de la identidad y el papel de género.</w:t>
      </w:r>
    </w:p>
    <w:p w:rsidR="00AA2BE1" w:rsidRPr="00912DB2" w:rsidRDefault="00AA2BE1" w:rsidP="00AA2BE1">
      <w:pPr>
        <w:autoSpaceDE w:val="0"/>
        <w:autoSpaceDN w:val="0"/>
        <w:adjustRightInd w:val="0"/>
        <w:spacing w:line="360" w:lineRule="auto"/>
        <w:rPr>
          <w:rFonts w:cs="Arial"/>
        </w:rPr>
      </w:pPr>
    </w:p>
    <w:p w:rsidR="00AA2BE1" w:rsidRDefault="00AA2BE1" w:rsidP="00AA2BE1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912DB2">
        <w:rPr>
          <w:rFonts w:cs="Arial"/>
        </w:rPr>
        <w:t>Todos los seres humanos tienen el derecho a expresar libremente la identidad y rol de género que desean vivir.</w:t>
      </w:r>
    </w:p>
    <w:p w:rsidR="00E32BD6" w:rsidRPr="00912DB2" w:rsidRDefault="00E32BD6" w:rsidP="00AA2BE1">
      <w:pPr>
        <w:autoSpaceDE w:val="0"/>
        <w:autoSpaceDN w:val="0"/>
        <w:adjustRightInd w:val="0"/>
        <w:spacing w:line="360" w:lineRule="auto"/>
        <w:rPr>
          <w:rFonts w:cs="Arial"/>
        </w:rPr>
      </w:pPr>
    </w:p>
    <w:p w:rsidR="00AA2BE1" w:rsidRPr="00E32BD6" w:rsidRDefault="00AA2BE1" w:rsidP="00E32BD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cs="Arial"/>
          <w:b/>
        </w:rPr>
      </w:pPr>
      <w:r w:rsidRPr="00E32BD6">
        <w:rPr>
          <w:rFonts w:cs="Arial"/>
          <w:b/>
        </w:rPr>
        <w:t>Derecho a determinar y modificar el propio cuerpo.</w:t>
      </w:r>
    </w:p>
    <w:p w:rsidR="00AA2BE1" w:rsidRPr="00912DB2" w:rsidRDefault="00AA2BE1" w:rsidP="00AA2BE1">
      <w:pPr>
        <w:autoSpaceDE w:val="0"/>
        <w:autoSpaceDN w:val="0"/>
        <w:adjustRightInd w:val="0"/>
        <w:spacing w:line="360" w:lineRule="auto"/>
        <w:rPr>
          <w:rFonts w:cs="Arial"/>
        </w:rPr>
      </w:pPr>
    </w:p>
    <w:p w:rsidR="00AA2BE1" w:rsidRPr="00912DB2" w:rsidRDefault="00AA2BE1" w:rsidP="00AA2BE1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 w:rsidRPr="00912DB2">
        <w:rPr>
          <w:rFonts w:cs="Arial"/>
        </w:rPr>
        <w:t>Todos los seres humanos tienen el inalienable derecho de determinación sobre sus propios cuerpos, lo cual incluye el derecho a cambiarlos cosmética, química o quirúrgicamente para expresar el sexo/género con el que se identifican.</w:t>
      </w:r>
    </w:p>
    <w:p w:rsidR="00AA2BE1" w:rsidRPr="00912DB2" w:rsidRDefault="00AA2BE1" w:rsidP="00AA2BE1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</w:rPr>
      </w:pPr>
    </w:p>
    <w:p w:rsidR="00AA2BE1" w:rsidRPr="00E32BD6" w:rsidRDefault="00AA2BE1" w:rsidP="00E32BD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cs="Arial"/>
          <w:b/>
        </w:rPr>
      </w:pPr>
      <w:r w:rsidRPr="00E32BD6">
        <w:rPr>
          <w:rFonts w:cs="Arial"/>
          <w:b/>
        </w:rPr>
        <w:t>Derecho a un servicio médico competente y profesional.</w:t>
      </w:r>
    </w:p>
    <w:p w:rsidR="00AA2BE1" w:rsidRPr="00912DB2" w:rsidRDefault="00AA2BE1" w:rsidP="00AA2BE1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:rsidR="00AA2BE1" w:rsidRPr="00912DB2" w:rsidRDefault="00AA2BE1" w:rsidP="00AA2BE1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 w:rsidRPr="00912DB2">
        <w:rPr>
          <w:rFonts w:cs="Arial"/>
        </w:rPr>
        <w:t>De los derechos a expresar su propia identidad de género y a cambiar el propio cuerpo para expresar un rol de género decidido por la propia persona se desprende otro derecho: el libre acceso a los servicios médicos o de otra índole para recibir la atención a la salud que se requiera.</w:t>
      </w:r>
    </w:p>
    <w:p w:rsidR="00AA2BE1" w:rsidRPr="00912DB2" w:rsidRDefault="00AA2BE1" w:rsidP="00AA2BE1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:rsidR="00AA2BE1" w:rsidRPr="00912DB2" w:rsidRDefault="00AA2BE1" w:rsidP="00AA2BE1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 w:rsidRPr="00912DB2">
        <w:rPr>
          <w:rFonts w:cs="Arial"/>
        </w:rPr>
        <w:t>No se debe negar este acceso con base en las características biológicas iniciales o el rol de género que se exprese.</w:t>
      </w:r>
    </w:p>
    <w:p w:rsidR="00AA2BE1" w:rsidRPr="00912DB2" w:rsidRDefault="00AA2BE1" w:rsidP="00AA2BE1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</w:rPr>
      </w:pPr>
    </w:p>
    <w:p w:rsidR="00AA2BE1" w:rsidRPr="00E32BD6" w:rsidRDefault="00AA2BE1" w:rsidP="00E32BD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cs="Arial"/>
          <w:b/>
        </w:rPr>
      </w:pPr>
      <w:r w:rsidRPr="00E32BD6">
        <w:rPr>
          <w:rFonts w:cs="Arial"/>
          <w:b/>
        </w:rPr>
        <w:t>Derecho a exención de diagnóstico o tratamiento psiquiátrico.</w:t>
      </w:r>
    </w:p>
    <w:p w:rsidR="00AA2BE1" w:rsidRPr="00912DB2" w:rsidRDefault="00AA2BE1" w:rsidP="00AA2BE1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 w:rsidRPr="00912DB2">
        <w:rPr>
          <w:rFonts w:cs="Arial"/>
        </w:rPr>
        <w:t>Dado el derecho a vivir la propia identidad de género con independencia del sexo biológico, nadie debe ser sometido a diagnóstico o tratamiento psiquiátrico por el solo motivo de su identidad y rol de género.</w:t>
      </w:r>
    </w:p>
    <w:p w:rsidR="00AA2BE1" w:rsidRPr="00912DB2" w:rsidRDefault="00AA2BE1" w:rsidP="00AA2BE1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:rsidR="00AA2BE1" w:rsidRPr="00E32BD6" w:rsidRDefault="00AA2BE1" w:rsidP="00E32BD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cs="Arial"/>
          <w:b/>
        </w:rPr>
      </w:pPr>
      <w:r w:rsidRPr="00E32BD6">
        <w:rPr>
          <w:rFonts w:cs="Arial"/>
          <w:b/>
        </w:rPr>
        <w:t>Derecho a la expresión sexual.</w:t>
      </w:r>
    </w:p>
    <w:p w:rsidR="00AA2BE1" w:rsidRPr="00912DB2" w:rsidRDefault="00AA2BE1" w:rsidP="00AA2BE1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 w:rsidRPr="00912DB2">
        <w:rPr>
          <w:rFonts w:cs="Arial"/>
        </w:rPr>
        <w:t>Todo adulto tiene derecho a un ejercicio sexual libre, responsable y respetuoso.</w:t>
      </w:r>
    </w:p>
    <w:p w:rsidR="00AA2BE1" w:rsidRPr="00912DB2" w:rsidRDefault="00AA2BE1" w:rsidP="00AA2BE1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:rsidR="00AA2BE1" w:rsidRPr="00E32BD6" w:rsidRDefault="00AA2BE1" w:rsidP="00E32BD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cs="Arial"/>
          <w:b/>
        </w:rPr>
      </w:pPr>
      <w:r w:rsidRPr="00E32BD6">
        <w:rPr>
          <w:rFonts w:cs="Arial"/>
          <w:b/>
        </w:rPr>
        <w:t>Derecho a establecer relaciones amorosas y comprometidas y a suscribir contratos matrimoniales cuando se desee.</w:t>
      </w:r>
    </w:p>
    <w:p w:rsidR="00AA2BE1" w:rsidRPr="00912DB2" w:rsidRDefault="00AA2BE1" w:rsidP="00AA2BE1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:rsidR="00AA2BE1" w:rsidRPr="00912DB2" w:rsidRDefault="00AA2BE1" w:rsidP="00AA2BE1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 w:rsidRPr="00912DB2">
        <w:rPr>
          <w:rFonts w:cs="Arial"/>
        </w:rPr>
        <w:t>Dado que todos los seres humanos tienen derecho a la libre expresión de lo que ellos han estructurado como su identidad de género y derecho a la libre expresión sexual y de género, tienen también, por lo tanto, derecho a establecer relaciones amorosas y comprometidas con otra persona, así como a suscribir contratos matrimoniales sin consideración del sexo cromosómico, los genitales y caracteres sexuales secundarios, el sexo asignado al nacer o el papel de género inicial de cualquier integrante de la pareja.</w:t>
      </w:r>
    </w:p>
    <w:p w:rsidR="00AA2BE1" w:rsidRPr="00E32BD6" w:rsidRDefault="00AA2BE1" w:rsidP="00E32BD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cs="Arial"/>
          <w:b/>
        </w:rPr>
      </w:pPr>
      <w:r w:rsidRPr="00E32BD6">
        <w:rPr>
          <w:rFonts w:cs="Arial"/>
          <w:b/>
        </w:rPr>
        <w:t>Derecho a concebir o adoptar hijos e hijas; a criarlos y custodiarlos; a ejercer las potestades parentales.</w:t>
      </w:r>
    </w:p>
    <w:p w:rsidR="00AA2BE1" w:rsidRPr="00912DB2" w:rsidRDefault="00AA2BE1" w:rsidP="00AA2BE1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:rsidR="00AA2BE1" w:rsidRPr="00912DB2" w:rsidRDefault="00AA2BE1" w:rsidP="00AA2BE1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 w:rsidRPr="00912DB2">
        <w:rPr>
          <w:rFonts w:cs="Arial"/>
        </w:rPr>
        <w:t>Dado el derecho de las personas a contraer relaciones comprometidas y amorosas con otras personas y a suscribir contratos matrimoniales, así como a expresar la propia identidad y rol genéricos, existe el derecho correspondiente a concebir o adoptar hijas e hijos, a criarlos y custodiarlos y a ejercer los derechos parentales sin distinción alguna por su sexo cromosómico, caracteres sexuales primarios y secundarios, sexo de asignación al nacimiento o rol de género inicial.</w:t>
      </w:r>
    </w:p>
    <w:p w:rsidR="00AA2BE1" w:rsidRPr="00912DB2" w:rsidRDefault="00AA2BE1" w:rsidP="00AA2BE1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:rsidR="00AA2BE1" w:rsidRPr="00912DB2" w:rsidRDefault="00E32BD6" w:rsidP="00AA2BE1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>
        <w:rPr>
          <w:rFonts w:cs="Arial"/>
        </w:rPr>
        <w:t xml:space="preserve">Con base en ello, </w:t>
      </w:r>
      <w:r w:rsidR="00D84E64">
        <w:rPr>
          <w:rFonts w:cs="Arial"/>
        </w:rPr>
        <w:t>se pretende generar una</w:t>
      </w:r>
      <w:r w:rsidR="00AA2BE1" w:rsidRPr="00912DB2">
        <w:rPr>
          <w:rFonts w:cs="Arial"/>
        </w:rPr>
        <w:t xml:space="preserve"> ruta</w:t>
      </w:r>
      <w:r>
        <w:rPr>
          <w:rFonts w:cs="Arial"/>
        </w:rPr>
        <w:t xml:space="preserve"> legal que permita garantizar dichos derechos</w:t>
      </w:r>
      <w:r w:rsidR="00AA2BE1" w:rsidRPr="00912DB2">
        <w:rPr>
          <w:rFonts w:cs="Arial"/>
        </w:rPr>
        <w:t xml:space="preserve"> y</w:t>
      </w:r>
      <w:r>
        <w:rPr>
          <w:rFonts w:cs="Arial"/>
        </w:rPr>
        <w:t>, adem</w:t>
      </w:r>
      <w:r w:rsidR="00D84E64">
        <w:rPr>
          <w:rFonts w:cs="Arial"/>
        </w:rPr>
        <w:t>ás, una</w:t>
      </w:r>
      <w:r w:rsidR="00AA2BE1" w:rsidRPr="00912DB2">
        <w:rPr>
          <w:rFonts w:cs="Arial"/>
        </w:rPr>
        <w:t xml:space="preserve"> atención integral a través de la aplicación de políticas públicas diseñadas para es</w:t>
      </w:r>
      <w:r w:rsidR="00D84E64">
        <w:rPr>
          <w:rFonts w:cs="Arial"/>
        </w:rPr>
        <w:t>te fin, traduciéndolo</w:t>
      </w:r>
      <w:r w:rsidR="00AA2BE1" w:rsidRPr="00912DB2">
        <w:rPr>
          <w:rFonts w:cs="Arial"/>
        </w:rPr>
        <w:t xml:space="preserve"> no s</w:t>
      </w:r>
      <w:r w:rsidR="00D84E64">
        <w:rPr>
          <w:rFonts w:cs="Arial"/>
        </w:rPr>
        <w:t>olo en la materialización de los derechos en plenitud, si no también, disminuyendo la</w:t>
      </w:r>
      <w:r w:rsidR="00AA2BE1" w:rsidRPr="00912DB2">
        <w:rPr>
          <w:rFonts w:cs="Arial"/>
        </w:rPr>
        <w:t xml:space="preserve"> violencia.</w:t>
      </w:r>
    </w:p>
    <w:p w:rsidR="00AA2BE1" w:rsidRPr="00912DB2" w:rsidRDefault="00AA2BE1" w:rsidP="00AA2BE1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:rsidR="00AA2BE1" w:rsidRPr="00912DB2" w:rsidRDefault="00D84E64" w:rsidP="00AA2BE1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>
        <w:rPr>
          <w:rFonts w:cs="Arial"/>
        </w:rPr>
        <w:t xml:space="preserve">Al respecto, resulta necesario </w:t>
      </w:r>
      <w:r w:rsidR="00AA2BE1" w:rsidRPr="00912DB2">
        <w:rPr>
          <w:rFonts w:cs="Arial"/>
        </w:rPr>
        <w:t>conceptualizar la transexualidad como la condición humana caracterizada por la discordancia entre el sexo y la identidad de género.</w:t>
      </w:r>
      <w:r>
        <w:rPr>
          <w:rFonts w:cs="Arial"/>
        </w:rPr>
        <w:t xml:space="preserve"> Asimismo, que, algunos</w:t>
      </w:r>
      <w:r w:rsidR="00AA2BE1" w:rsidRPr="00912DB2">
        <w:rPr>
          <w:rFonts w:cs="Arial"/>
        </w:rPr>
        <w:t xml:space="preserve"> elementos del sexo son modificab</w:t>
      </w:r>
      <w:r>
        <w:rPr>
          <w:rFonts w:cs="Arial"/>
        </w:rPr>
        <w:t>les hormonal y quirúrgicamente. A</w:t>
      </w:r>
      <w:r w:rsidR="00AA2BE1" w:rsidRPr="00912DB2">
        <w:rPr>
          <w:rFonts w:cs="Arial"/>
        </w:rPr>
        <w:t xml:space="preserve"> diferencia del sexo, que es orgánico y fisiológico, el género es una invención cultural que ha privado casi sin excepciones en los sistemas de ideas y creencias sociales dominantes.</w:t>
      </w:r>
    </w:p>
    <w:p w:rsidR="00AA2BE1" w:rsidRPr="00912DB2" w:rsidRDefault="00AA2BE1" w:rsidP="00AA2BE1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:rsidR="00AA2BE1" w:rsidRPr="00912DB2" w:rsidRDefault="00D84E64" w:rsidP="00AA2BE1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>
        <w:rPr>
          <w:rFonts w:cs="Arial"/>
        </w:rPr>
        <w:t xml:space="preserve">Además, </w:t>
      </w:r>
      <w:r w:rsidR="00AA2BE1" w:rsidRPr="00912DB2">
        <w:rPr>
          <w:rFonts w:cs="Arial"/>
        </w:rPr>
        <w:t>aunque a menudo son coincidentes, sexo y género pueden diferir: hay personas con sexo masculino que viven y se representan como femeninas, independientemente de sus órganos sexuales o sus caracteres secundarios. De igual manera, hay seres humanos que son hombres en la coti</w:t>
      </w:r>
      <w:r>
        <w:rPr>
          <w:rFonts w:cs="Arial"/>
        </w:rPr>
        <w:t>dianidad, aunque su anatomía corresponda a la</w:t>
      </w:r>
      <w:r w:rsidR="00AA2BE1" w:rsidRPr="00912DB2">
        <w:rPr>
          <w:rFonts w:cs="Arial"/>
        </w:rPr>
        <w:t xml:space="preserve"> de</w:t>
      </w:r>
      <w:r>
        <w:rPr>
          <w:rFonts w:cs="Arial"/>
        </w:rPr>
        <w:t xml:space="preserve"> una</w:t>
      </w:r>
      <w:r w:rsidR="00AA2BE1" w:rsidRPr="00912DB2">
        <w:rPr>
          <w:rFonts w:cs="Arial"/>
        </w:rPr>
        <w:t xml:space="preserve"> mujer.</w:t>
      </w:r>
    </w:p>
    <w:p w:rsidR="00AA2BE1" w:rsidRPr="00912DB2" w:rsidRDefault="00AA2BE1" w:rsidP="00AA2BE1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:rsidR="00AA2BE1" w:rsidRPr="00912DB2" w:rsidRDefault="00AA2BE1" w:rsidP="00AA2BE1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 w:rsidRPr="00912DB2">
        <w:rPr>
          <w:rFonts w:cs="Arial"/>
        </w:rPr>
        <w:t>Es una condición humana caracterizada por una discordancia entre el sexo y la identidad de género. La persona Transexual (TSX) no elige su discordancia sexogenérica (como nadie escoge su identidad de género), tiene pleno derecho al reconocimiento de su identidad y a la expresión social de di</w:t>
      </w:r>
      <w:r w:rsidR="00D84E64">
        <w:rPr>
          <w:rFonts w:cs="Arial"/>
        </w:rPr>
        <w:t>cha condición;</w:t>
      </w:r>
      <w:r w:rsidRPr="00912DB2">
        <w:rPr>
          <w:rFonts w:cs="Arial"/>
        </w:rPr>
        <w:t xml:space="preserve"> transexual </w:t>
      </w:r>
      <w:r w:rsidR="00D84E64">
        <w:rPr>
          <w:rFonts w:cs="Arial"/>
        </w:rPr>
        <w:t xml:space="preserve">es </w:t>
      </w:r>
      <w:r w:rsidRPr="00912DB2">
        <w:rPr>
          <w:rFonts w:cs="Arial"/>
        </w:rPr>
        <w:t xml:space="preserve">una persona con cuerpo biológico masculino </w:t>
      </w:r>
      <w:r w:rsidR="00D84E64">
        <w:rPr>
          <w:rFonts w:cs="Arial"/>
        </w:rPr>
        <w:t xml:space="preserve">y que </w:t>
      </w:r>
      <w:r w:rsidRPr="00912DB2">
        <w:rPr>
          <w:rFonts w:cs="Arial"/>
        </w:rPr>
        <w:t>tiene la percepción íntima, subjetiva, de ser mujer. O bien, una persona con cuerpo de mujer se sabe internamente hombre.</w:t>
      </w:r>
    </w:p>
    <w:p w:rsidR="00AA2BE1" w:rsidRPr="00912DB2" w:rsidRDefault="00AA2BE1" w:rsidP="00AA2BE1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:rsidR="00AA2BE1" w:rsidRDefault="00AA2BE1" w:rsidP="00AA2BE1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 w:rsidRPr="00912DB2">
        <w:rPr>
          <w:rFonts w:cs="Arial"/>
        </w:rPr>
        <w:t>Por lo tan</w:t>
      </w:r>
      <w:r w:rsidR="00D84E64">
        <w:rPr>
          <w:rFonts w:cs="Arial"/>
        </w:rPr>
        <w:t xml:space="preserve">to, resulta más que explicable y </w:t>
      </w:r>
      <w:r w:rsidRPr="00912DB2">
        <w:rPr>
          <w:rFonts w:cs="Arial"/>
        </w:rPr>
        <w:t>totalmente comprensible, que la persona transexual busque afanosamente la plena concordancia entre su identidad de género y su sexo.</w:t>
      </w:r>
    </w:p>
    <w:p w:rsidR="00D84E64" w:rsidRPr="00912DB2" w:rsidRDefault="00D84E64" w:rsidP="00AA2BE1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:rsidR="00AA2BE1" w:rsidRPr="00912DB2" w:rsidRDefault="00AA2BE1" w:rsidP="00AA2BE1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 w:rsidRPr="00912DB2">
        <w:rPr>
          <w:rFonts w:cs="Arial"/>
        </w:rPr>
        <w:t>La resignificación de</w:t>
      </w:r>
      <w:r w:rsidR="00D84E64">
        <w:rPr>
          <w:rFonts w:cs="Arial"/>
        </w:rPr>
        <w:t>l</w:t>
      </w:r>
      <w:r w:rsidRPr="00912DB2">
        <w:rPr>
          <w:rFonts w:cs="Arial"/>
        </w:rPr>
        <w:t xml:space="preserve"> género involucra transformar significativament</w:t>
      </w:r>
      <w:r w:rsidR="00D84E64">
        <w:rPr>
          <w:rFonts w:cs="Arial"/>
        </w:rPr>
        <w:t xml:space="preserve">e algunos aspectos fenotípicos, tales como, los </w:t>
      </w:r>
      <w:r w:rsidRPr="00912DB2">
        <w:rPr>
          <w:rFonts w:cs="Arial"/>
        </w:rPr>
        <w:t>niveles hormonales, caracteres sexuales secundarios, órganos internos y externos pélvicos, y variados aspectos fisonómicos característicos de uno y otro sex</w:t>
      </w:r>
      <w:r w:rsidR="003F711B">
        <w:rPr>
          <w:rFonts w:cs="Arial"/>
        </w:rPr>
        <w:t>o. La reasignación integral, entonces, es</w:t>
      </w:r>
      <w:r w:rsidRPr="00912DB2">
        <w:rPr>
          <w:rFonts w:cs="Arial"/>
        </w:rPr>
        <w:t xml:space="preserve"> la concordancia sexogenérica como el proceso de intervención profesional por medio del cual se obtiene la mayor concordancia posible entre el sexo y la identidad de género, tiene como base una psicoterapia de acompañamiento e incluye, o puede incluir, socialización y entrenamiento de rol de género, administración de hormonas e intervenciones quirúrgicas.</w:t>
      </w:r>
    </w:p>
    <w:p w:rsidR="00AA2BE1" w:rsidRPr="00912DB2" w:rsidRDefault="00AA2BE1" w:rsidP="00AA2BE1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:rsidR="003F711B" w:rsidRDefault="00AA2BE1" w:rsidP="00AA2BE1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 w:rsidRPr="00912DB2">
        <w:rPr>
          <w:rFonts w:cs="Arial"/>
        </w:rPr>
        <w:t>En los eventos quirúrgicos, popularmente se piensa que la culminación del proceso de reasignación de</w:t>
      </w:r>
      <w:r w:rsidR="003F711B">
        <w:rPr>
          <w:rFonts w:cs="Arial"/>
        </w:rPr>
        <w:t xml:space="preserve"> la persona transexual consiste, </w:t>
      </w:r>
      <w:r w:rsidRPr="00912DB2">
        <w:rPr>
          <w:rFonts w:cs="Arial"/>
        </w:rPr>
        <w:t>precisamente</w:t>
      </w:r>
      <w:r w:rsidR="003F711B">
        <w:rPr>
          <w:rFonts w:cs="Arial"/>
        </w:rPr>
        <w:t>,</w:t>
      </w:r>
      <w:r w:rsidRPr="00912DB2">
        <w:rPr>
          <w:rFonts w:cs="Arial"/>
        </w:rPr>
        <w:t xml:space="preserve"> en la parte c</w:t>
      </w:r>
      <w:r w:rsidR="003F711B">
        <w:rPr>
          <w:rFonts w:cs="Arial"/>
        </w:rPr>
        <w:t>oncerniente a la o las cirugías y</w:t>
      </w:r>
      <w:r w:rsidRPr="00912DB2">
        <w:rPr>
          <w:rFonts w:cs="Arial"/>
        </w:rPr>
        <w:t xml:space="preserve"> no es así, lo único que hace la intervención quirúrgica es ratificar lo preexistente, esto es, confirmar quirúrgicamente lo que la “naturaleza psicológica” de la persona había determinado desde siempre. </w:t>
      </w:r>
    </w:p>
    <w:p w:rsidR="003F711B" w:rsidRDefault="003F711B" w:rsidP="00AA2BE1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:rsidR="00AA2BE1" w:rsidRPr="003F711B" w:rsidRDefault="003F711B" w:rsidP="00AA2BE1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>
        <w:rPr>
          <w:rFonts w:cs="Arial"/>
        </w:rPr>
        <w:t xml:space="preserve">Es por ello que, resulta necesario </w:t>
      </w:r>
      <w:r w:rsidR="00AA2BE1" w:rsidRPr="00912DB2">
        <w:rPr>
          <w:rFonts w:cs="Arial"/>
        </w:rPr>
        <w:t xml:space="preserve">integrar los equipos de trabajo de atención integral de las personas TSX que ingresan a los protocolos de reasignación para la concordancia sexogenérica con profesionales actualizados, sin prejuicios y sin los atavismos conservadores tradicionales frecuentes en algunas disciplinas de la salud física y emocional, </w:t>
      </w:r>
      <w:r>
        <w:rPr>
          <w:rFonts w:cs="Arial"/>
        </w:rPr>
        <w:t xml:space="preserve">cumpliendo así con el </w:t>
      </w:r>
      <w:r w:rsidRPr="00912DB2">
        <w:rPr>
          <w:rFonts w:cs="Arial"/>
          <w:b/>
        </w:rPr>
        <w:t xml:space="preserve">Decálogo del profesional responsable de la reasignación de personas </w:t>
      </w:r>
      <w:r w:rsidRPr="003F711B">
        <w:rPr>
          <w:rFonts w:cs="Arial"/>
          <w:b/>
        </w:rPr>
        <w:t>TSX</w:t>
      </w:r>
      <w:r>
        <w:rPr>
          <w:rFonts w:cs="Arial"/>
        </w:rPr>
        <w:t xml:space="preserve">, mismo que </w:t>
      </w:r>
      <w:r w:rsidRPr="003F711B">
        <w:rPr>
          <w:rFonts w:cs="Arial"/>
        </w:rPr>
        <w:t>consta</w:t>
      </w:r>
      <w:r>
        <w:rPr>
          <w:rFonts w:cs="Arial"/>
        </w:rPr>
        <w:t xml:space="preserve"> de los siguientes numerales: </w:t>
      </w:r>
    </w:p>
    <w:p w:rsidR="00AA2BE1" w:rsidRPr="00912DB2" w:rsidRDefault="00AA2BE1" w:rsidP="003F711B">
      <w:pPr>
        <w:tabs>
          <w:tab w:val="left" w:pos="4395"/>
        </w:tabs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:rsidR="00AA2BE1" w:rsidRPr="003F711B" w:rsidRDefault="00AA2BE1" w:rsidP="003F711B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 w:rsidRPr="003F711B">
        <w:rPr>
          <w:rFonts w:cs="Arial"/>
        </w:rPr>
        <w:t>Diagnosticar con precisión la condición.</w:t>
      </w:r>
    </w:p>
    <w:p w:rsidR="00AA2BE1" w:rsidRPr="003F711B" w:rsidRDefault="00AA2BE1" w:rsidP="003F711B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 w:rsidRPr="003F711B">
        <w:rPr>
          <w:rFonts w:cs="Arial"/>
        </w:rPr>
        <w:t>Diagnosticar cualquier afección mental concomitante y considerar su atención.</w:t>
      </w:r>
    </w:p>
    <w:p w:rsidR="00AA2BE1" w:rsidRPr="003F711B" w:rsidRDefault="00AA2BE1" w:rsidP="003F711B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 w:rsidRPr="003F711B">
        <w:rPr>
          <w:rFonts w:cs="Arial"/>
        </w:rPr>
        <w:t>Esclarecer expectativas y corregir aquellas que sean erróneas.</w:t>
      </w:r>
    </w:p>
    <w:p w:rsidR="00AA2BE1" w:rsidRPr="003F711B" w:rsidRDefault="00AA2BE1" w:rsidP="003F711B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 w:rsidRPr="003F711B">
        <w:rPr>
          <w:rFonts w:cs="Arial"/>
        </w:rPr>
        <w:t>Ofrecer opciones y explicar consecuencias.</w:t>
      </w:r>
    </w:p>
    <w:p w:rsidR="00AA2BE1" w:rsidRPr="003F711B" w:rsidRDefault="00AA2BE1" w:rsidP="003F711B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 w:rsidRPr="003F711B">
        <w:rPr>
          <w:rFonts w:cs="Arial"/>
        </w:rPr>
        <w:t>Dar la psicoterapia requerida.</w:t>
      </w:r>
    </w:p>
    <w:p w:rsidR="00AA2BE1" w:rsidRPr="003F711B" w:rsidRDefault="00AA2BE1" w:rsidP="003F711B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 w:rsidRPr="003F711B">
        <w:rPr>
          <w:rFonts w:cs="Arial"/>
        </w:rPr>
        <w:t>Decidir acerca de los criterios de elegibilidad e idoneidad de hormonación y cirugía.</w:t>
      </w:r>
    </w:p>
    <w:p w:rsidR="00AA2BE1" w:rsidRPr="003F711B" w:rsidRDefault="00AA2BE1" w:rsidP="003F711B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 w:rsidRPr="003F711B">
        <w:rPr>
          <w:rFonts w:cs="Arial"/>
        </w:rPr>
        <w:t>Efectuar recomendaciones a otros profesionales y a los cirujanos.</w:t>
      </w:r>
    </w:p>
    <w:p w:rsidR="00AA2BE1" w:rsidRPr="003F711B" w:rsidRDefault="00AA2BE1" w:rsidP="003F711B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 w:rsidRPr="003F711B">
        <w:rPr>
          <w:rFonts w:cs="Arial"/>
        </w:rPr>
        <w:t>Pertenecer a un equipo de profesionales con interés en el tema de la discordancia</w:t>
      </w:r>
      <w:r w:rsidR="003F711B">
        <w:rPr>
          <w:rFonts w:cs="Arial"/>
        </w:rPr>
        <w:t xml:space="preserve"> </w:t>
      </w:r>
      <w:r w:rsidRPr="003F711B">
        <w:rPr>
          <w:rFonts w:cs="Arial"/>
        </w:rPr>
        <w:t>sexogenérica.</w:t>
      </w:r>
    </w:p>
    <w:p w:rsidR="00AA2BE1" w:rsidRPr="003F711B" w:rsidRDefault="00AA2BE1" w:rsidP="003F711B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 w:rsidRPr="003F711B">
        <w:rPr>
          <w:rFonts w:cs="Arial"/>
        </w:rPr>
        <w:t>Educar a instituciones y a familiares sobre las condiciones TSG y TSX.</w:t>
      </w:r>
    </w:p>
    <w:p w:rsidR="00AA2BE1" w:rsidRPr="003F711B" w:rsidRDefault="00AA2BE1" w:rsidP="003F711B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 w:rsidRPr="003F711B">
        <w:rPr>
          <w:rFonts w:cs="Arial"/>
        </w:rPr>
        <w:t>Tener total disponibilidad para el seguimiento de los consultantes o pacientes.</w:t>
      </w:r>
    </w:p>
    <w:p w:rsidR="00AA2BE1" w:rsidRPr="00912DB2" w:rsidRDefault="00AA2BE1" w:rsidP="00AA2BE1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:rsidR="00AA2BE1" w:rsidRPr="00912DB2" w:rsidRDefault="00AA2BE1" w:rsidP="00AA2BE1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 w:rsidRPr="00912DB2">
        <w:rPr>
          <w:rFonts w:cs="Arial"/>
        </w:rPr>
        <w:t>A fin de realizar las acciones necesarias dentro de las que se podría comprender:</w:t>
      </w:r>
    </w:p>
    <w:p w:rsidR="00AA2BE1" w:rsidRPr="00912DB2" w:rsidRDefault="00AA2BE1" w:rsidP="00AA2BE1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:rsidR="00AA2BE1" w:rsidRPr="00912DB2" w:rsidRDefault="00AA2BE1" w:rsidP="00AA2BE1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Theme="minorHAnsi" w:hAnsiTheme="minorHAnsi" w:cs="Arial"/>
          <w:sz w:val="24"/>
          <w:szCs w:val="24"/>
        </w:rPr>
      </w:pPr>
      <w:r w:rsidRPr="00912DB2">
        <w:rPr>
          <w:rFonts w:asciiTheme="minorHAnsi" w:hAnsiTheme="minorHAnsi" w:cs="Arial"/>
          <w:sz w:val="24"/>
          <w:szCs w:val="24"/>
        </w:rPr>
        <w:t>Remoción quirúrgica de mamas (mastectomía bilateral).</w:t>
      </w:r>
    </w:p>
    <w:p w:rsidR="00AA2BE1" w:rsidRPr="00912DB2" w:rsidRDefault="00AA2BE1" w:rsidP="00AA2BE1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Theme="minorHAnsi" w:hAnsiTheme="minorHAnsi" w:cs="Arial"/>
          <w:sz w:val="24"/>
          <w:szCs w:val="24"/>
        </w:rPr>
      </w:pPr>
      <w:r w:rsidRPr="00912DB2">
        <w:rPr>
          <w:rFonts w:asciiTheme="minorHAnsi" w:hAnsiTheme="minorHAnsi" w:cs="Arial"/>
          <w:sz w:val="24"/>
          <w:szCs w:val="24"/>
        </w:rPr>
        <w:t>Remoción quirúrgica de la vagina (vaginectomía).</w:t>
      </w:r>
    </w:p>
    <w:p w:rsidR="00AA2BE1" w:rsidRPr="00912DB2" w:rsidRDefault="00AA2BE1" w:rsidP="00AA2BE1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Theme="minorHAnsi" w:hAnsiTheme="minorHAnsi" w:cs="Arial"/>
          <w:sz w:val="24"/>
          <w:szCs w:val="24"/>
        </w:rPr>
      </w:pPr>
      <w:r w:rsidRPr="00912DB2">
        <w:rPr>
          <w:rFonts w:asciiTheme="minorHAnsi" w:hAnsiTheme="minorHAnsi" w:cs="Arial"/>
          <w:sz w:val="24"/>
          <w:szCs w:val="24"/>
        </w:rPr>
        <w:t>Extirpación quirúrgica de útero, tubas uterinas y ovarios (histerosalpingooforectomía).</w:t>
      </w:r>
    </w:p>
    <w:p w:rsidR="00AA2BE1" w:rsidRPr="00912DB2" w:rsidRDefault="00AA2BE1" w:rsidP="00AA2BE1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Theme="minorHAnsi" w:hAnsiTheme="minorHAnsi" w:cs="Arial"/>
          <w:sz w:val="24"/>
          <w:szCs w:val="24"/>
        </w:rPr>
      </w:pPr>
      <w:r w:rsidRPr="00912DB2">
        <w:rPr>
          <w:rFonts w:asciiTheme="minorHAnsi" w:hAnsiTheme="minorHAnsi" w:cs="Arial"/>
          <w:sz w:val="24"/>
          <w:szCs w:val="24"/>
        </w:rPr>
        <w:t>Formación quirúrgica de un órgano fálico o símil peniano (faloplastia).</w:t>
      </w:r>
    </w:p>
    <w:p w:rsidR="00AA2BE1" w:rsidRPr="00912DB2" w:rsidRDefault="00AA2BE1" w:rsidP="00AA2BE1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Theme="minorHAnsi" w:hAnsiTheme="minorHAnsi" w:cs="Arial"/>
          <w:sz w:val="24"/>
          <w:szCs w:val="24"/>
        </w:rPr>
      </w:pPr>
      <w:r w:rsidRPr="00912DB2">
        <w:rPr>
          <w:rFonts w:asciiTheme="minorHAnsi" w:hAnsiTheme="minorHAnsi" w:cs="Arial"/>
          <w:sz w:val="24"/>
          <w:szCs w:val="24"/>
        </w:rPr>
        <w:t>Formación quirúrgica de bolsas o sacos escrotales (escrotoplastia).</w:t>
      </w:r>
    </w:p>
    <w:p w:rsidR="00AA2BE1" w:rsidRPr="00912DB2" w:rsidRDefault="00AA2BE1" w:rsidP="00AA2BE1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Theme="minorHAnsi" w:hAnsiTheme="minorHAnsi" w:cs="Arial"/>
          <w:sz w:val="24"/>
          <w:szCs w:val="24"/>
        </w:rPr>
      </w:pPr>
      <w:r w:rsidRPr="00912DB2">
        <w:rPr>
          <w:rFonts w:asciiTheme="minorHAnsi" w:hAnsiTheme="minorHAnsi" w:cs="Arial"/>
          <w:sz w:val="24"/>
          <w:szCs w:val="24"/>
        </w:rPr>
        <w:t>Implantación de prótesis testiculares.</w:t>
      </w:r>
    </w:p>
    <w:p w:rsidR="00AA2BE1" w:rsidRPr="00912DB2" w:rsidRDefault="00AA2BE1" w:rsidP="00AA2BE1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Theme="minorHAnsi" w:hAnsiTheme="minorHAnsi" w:cs="Arial"/>
          <w:sz w:val="24"/>
          <w:szCs w:val="24"/>
        </w:rPr>
      </w:pPr>
      <w:r w:rsidRPr="00912DB2">
        <w:rPr>
          <w:rFonts w:asciiTheme="minorHAnsi" w:hAnsiTheme="minorHAnsi" w:cs="Arial"/>
          <w:sz w:val="24"/>
          <w:szCs w:val="24"/>
        </w:rPr>
        <w:t>Construcción quirúrgica de un microfalo, generalmente a partir del clítoris.</w:t>
      </w:r>
    </w:p>
    <w:p w:rsidR="00EA32F6" w:rsidRPr="00912DB2" w:rsidRDefault="00EA32F6" w:rsidP="001F2C79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:rsidR="003F711B" w:rsidRPr="003F711B" w:rsidRDefault="00EA46E4" w:rsidP="003F711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912DB2">
        <w:rPr>
          <w:rFonts w:asciiTheme="minorHAnsi" w:hAnsiTheme="minorHAnsi"/>
        </w:rPr>
        <w:t>Por lo anterior</w:t>
      </w:r>
      <w:r w:rsidR="001F2C79" w:rsidRPr="00912DB2">
        <w:rPr>
          <w:rFonts w:asciiTheme="minorHAnsi" w:hAnsiTheme="minorHAnsi"/>
        </w:rPr>
        <w:t>mente expuesto</w:t>
      </w:r>
      <w:r w:rsidRPr="00912DB2">
        <w:rPr>
          <w:rFonts w:asciiTheme="minorHAnsi" w:hAnsiTheme="minorHAnsi"/>
        </w:rPr>
        <w:t>, el GPPRD somete a consideración</w:t>
      </w:r>
      <w:r w:rsidR="003F711B">
        <w:rPr>
          <w:rFonts w:asciiTheme="minorHAnsi" w:hAnsiTheme="minorHAnsi"/>
        </w:rPr>
        <w:t xml:space="preserve"> de esta soberanía la presente Iniciativa a efecto de que el Estado brinde atención </w:t>
      </w:r>
      <w:r w:rsidR="003F711B" w:rsidRPr="003F711B">
        <w:rPr>
          <w:rFonts w:asciiTheme="minorHAnsi" w:hAnsiTheme="minorHAnsi"/>
        </w:rPr>
        <w:t xml:space="preserve">especializada a la salud de las personas transgénero y transexual, mediante el suministro de hormonas y acompañamiento psicológico, así como tratamiento médico e intervenciones quirúrgicas o cirugías para la reasignación de sexo. </w:t>
      </w:r>
    </w:p>
    <w:p w:rsidR="00EA46E4" w:rsidRPr="00912DB2" w:rsidRDefault="00EA46E4" w:rsidP="00BC375E">
      <w:pPr>
        <w:pStyle w:val="Default"/>
        <w:spacing w:line="360" w:lineRule="auto"/>
        <w:jc w:val="both"/>
        <w:rPr>
          <w:rFonts w:asciiTheme="minorHAnsi" w:hAnsiTheme="minorHAnsi"/>
        </w:rPr>
      </w:pPr>
    </w:p>
    <w:p w:rsidR="00EA46E4" w:rsidRPr="00912DB2" w:rsidRDefault="00EA46E4" w:rsidP="00BC375E">
      <w:pPr>
        <w:pStyle w:val="Sinespaciado"/>
        <w:spacing w:line="360" w:lineRule="auto"/>
        <w:jc w:val="both"/>
        <w:rPr>
          <w:rFonts w:cs="Arial"/>
          <w:b/>
          <w:sz w:val="24"/>
          <w:szCs w:val="24"/>
        </w:rPr>
      </w:pPr>
    </w:p>
    <w:p w:rsidR="00EA46E4" w:rsidRPr="00912DB2" w:rsidRDefault="00EA46E4" w:rsidP="001F2C79">
      <w:pPr>
        <w:pStyle w:val="Sinespaciado"/>
        <w:spacing w:line="360" w:lineRule="auto"/>
        <w:jc w:val="center"/>
        <w:rPr>
          <w:rFonts w:cs="Arial"/>
          <w:b/>
          <w:sz w:val="24"/>
          <w:szCs w:val="24"/>
        </w:rPr>
      </w:pPr>
      <w:r w:rsidRPr="00912DB2">
        <w:rPr>
          <w:rFonts w:cs="Arial"/>
          <w:b/>
          <w:sz w:val="24"/>
          <w:szCs w:val="24"/>
        </w:rPr>
        <w:t>A</w:t>
      </w:r>
      <w:r w:rsidR="001F2C79" w:rsidRPr="00912DB2">
        <w:rPr>
          <w:rFonts w:cs="Arial"/>
          <w:b/>
          <w:sz w:val="24"/>
          <w:szCs w:val="24"/>
        </w:rPr>
        <w:t xml:space="preserve"> </w:t>
      </w:r>
      <w:r w:rsidRPr="00912DB2">
        <w:rPr>
          <w:rFonts w:cs="Arial"/>
          <w:b/>
          <w:sz w:val="24"/>
          <w:szCs w:val="24"/>
        </w:rPr>
        <w:t>T</w:t>
      </w:r>
      <w:r w:rsidR="001F2C79" w:rsidRPr="00912DB2">
        <w:rPr>
          <w:rFonts w:cs="Arial"/>
          <w:b/>
          <w:sz w:val="24"/>
          <w:szCs w:val="24"/>
        </w:rPr>
        <w:t xml:space="preserve"> </w:t>
      </w:r>
      <w:r w:rsidRPr="00912DB2">
        <w:rPr>
          <w:rFonts w:cs="Arial"/>
          <w:b/>
          <w:sz w:val="24"/>
          <w:szCs w:val="24"/>
        </w:rPr>
        <w:t>E</w:t>
      </w:r>
      <w:r w:rsidR="001F2C79" w:rsidRPr="00912DB2">
        <w:rPr>
          <w:rFonts w:cs="Arial"/>
          <w:b/>
          <w:sz w:val="24"/>
          <w:szCs w:val="24"/>
        </w:rPr>
        <w:t xml:space="preserve"> </w:t>
      </w:r>
      <w:r w:rsidRPr="00912DB2">
        <w:rPr>
          <w:rFonts w:cs="Arial"/>
          <w:b/>
          <w:sz w:val="24"/>
          <w:szCs w:val="24"/>
        </w:rPr>
        <w:t>N</w:t>
      </w:r>
      <w:r w:rsidR="001F2C79" w:rsidRPr="00912DB2">
        <w:rPr>
          <w:rFonts w:cs="Arial"/>
          <w:b/>
          <w:sz w:val="24"/>
          <w:szCs w:val="24"/>
        </w:rPr>
        <w:t xml:space="preserve"> </w:t>
      </w:r>
      <w:r w:rsidRPr="00912DB2">
        <w:rPr>
          <w:rFonts w:cs="Arial"/>
          <w:b/>
          <w:sz w:val="24"/>
          <w:szCs w:val="24"/>
        </w:rPr>
        <w:t>T</w:t>
      </w:r>
      <w:r w:rsidR="001F2C79" w:rsidRPr="00912DB2">
        <w:rPr>
          <w:rFonts w:cs="Arial"/>
          <w:b/>
          <w:sz w:val="24"/>
          <w:szCs w:val="24"/>
        </w:rPr>
        <w:t xml:space="preserve"> </w:t>
      </w:r>
      <w:r w:rsidRPr="00912DB2">
        <w:rPr>
          <w:rFonts w:cs="Arial"/>
          <w:b/>
          <w:sz w:val="24"/>
          <w:szCs w:val="24"/>
        </w:rPr>
        <w:t>A</w:t>
      </w:r>
      <w:r w:rsidR="001F2C79" w:rsidRPr="00912DB2">
        <w:rPr>
          <w:rFonts w:cs="Arial"/>
          <w:b/>
          <w:sz w:val="24"/>
          <w:szCs w:val="24"/>
        </w:rPr>
        <w:t xml:space="preserve"> </w:t>
      </w:r>
      <w:r w:rsidRPr="00912DB2">
        <w:rPr>
          <w:rFonts w:cs="Arial"/>
          <w:b/>
          <w:sz w:val="24"/>
          <w:szCs w:val="24"/>
        </w:rPr>
        <w:t>M</w:t>
      </w:r>
      <w:r w:rsidR="001F2C79" w:rsidRPr="00912DB2">
        <w:rPr>
          <w:rFonts w:cs="Arial"/>
          <w:b/>
          <w:sz w:val="24"/>
          <w:szCs w:val="24"/>
        </w:rPr>
        <w:t xml:space="preserve"> </w:t>
      </w:r>
      <w:r w:rsidRPr="00912DB2">
        <w:rPr>
          <w:rFonts w:cs="Arial"/>
          <w:b/>
          <w:sz w:val="24"/>
          <w:szCs w:val="24"/>
        </w:rPr>
        <w:t>E</w:t>
      </w:r>
      <w:r w:rsidR="001F2C79" w:rsidRPr="00912DB2">
        <w:rPr>
          <w:rFonts w:cs="Arial"/>
          <w:b/>
          <w:sz w:val="24"/>
          <w:szCs w:val="24"/>
        </w:rPr>
        <w:t xml:space="preserve"> </w:t>
      </w:r>
      <w:r w:rsidRPr="00912DB2">
        <w:rPr>
          <w:rFonts w:cs="Arial"/>
          <w:b/>
          <w:sz w:val="24"/>
          <w:szCs w:val="24"/>
        </w:rPr>
        <w:t>N</w:t>
      </w:r>
      <w:r w:rsidR="001F2C79" w:rsidRPr="00912DB2">
        <w:rPr>
          <w:rFonts w:cs="Arial"/>
          <w:b/>
          <w:sz w:val="24"/>
          <w:szCs w:val="24"/>
        </w:rPr>
        <w:t xml:space="preserve"> </w:t>
      </w:r>
      <w:r w:rsidRPr="00912DB2">
        <w:rPr>
          <w:rFonts w:cs="Arial"/>
          <w:b/>
          <w:sz w:val="24"/>
          <w:szCs w:val="24"/>
        </w:rPr>
        <w:t>T</w:t>
      </w:r>
      <w:r w:rsidR="001F2C79" w:rsidRPr="00912DB2">
        <w:rPr>
          <w:rFonts w:cs="Arial"/>
          <w:b/>
          <w:sz w:val="24"/>
          <w:szCs w:val="24"/>
        </w:rPr>
        <w:t xml:space="preserve"> </w:t>
      </w:r>
      <w:r w:rsidRPr="00912DB2">
        <w:rPr>
          <w:rFonts w:cs="Arial"/>
          <w:b/>
          <w:sz w:val="24"/>
          <w:szCs w:val="24"/>
        </w:rPr>
        <w:t>E</w:t>
      </w:r>
    </w:p>
    <w:p w:rsidR="00EA46E4" w:rsidRPr="00912DB2" w:rsidRDefault="00EA46E4" w:rsidP="00BC375E">
      <w:pPr>
        <w:pStyle w:val="Sinespaciado"/>
        <w:spacing w:line="360" w:lineRule="auto"/>
        <w:jc w:val="both"/>
        <w:rPr>
          <w:rFonts w:cs="Arial"/>
          <w:b/>
          <w:sz w:val="24"/>
          <w:szCs w:val="24"/>
        </w:rPr>
      </w:pPr>
    </w:p>
    <w:p w:rsidR="00EA46E4" w:rsidRPr="00912DB2" w:rsidRDefault="00EA46E4" w:rsidP="001F2C79">
      <w:pPr>
        <w:pStyle w:val="Sinespaciado"/>
        <w:spacing w:line="360" w:lineRule="auto"/>
        <w:jc w:val="center"/>
        <w:rPr>
          <w:rFonts w:cs="Arial"/>
          <w:b/>
          <w:sz w:val="24"/>
          <w:szCs w:val="24"/>
        </w:rPr>
      </w:pPr>
      <w:r w:rsidRPr="00912DB2">
        <w:rPr>
          <w:rFonts w:cs="Arial"/>
          <w:b/>
          <w:sz w:val="24"/>
          <w:szCs w:val="24"/>
        </w:rPr>
        <w:t>GRUPO PARLAMENTARIO DEL PARTIDO DE LA REVOLUCIÓN DEMOCRÁTICA</w:t>
      </w:r>
    </w:p>
    <w:p w:rsidR="00EA46E4" w:rsidRPr="00912DB2" w:rsidRDefault="00EA46E4" w:rsidP="00BC375E">
      <w:pPr>
        <w:pStyle w:val="Sinespaciado"/>
        <w:spacing w:line="360" w:lineRule="auto"/>
        <w:jc w:val="both"/>
        <w:rPr>
          <w:rFonts w:cs="Arial"/>
          <w:b/>
          <w:sz w:val="24"/>
          <w:szCs w:val="24"/>
        </w:rPr>
      </w:pPr>
    </w:p>
    <w:p w:rsidR="00EA46E4" w:rsidRPr="00912DB2" w:rsidRDefault="00EA46E4" w:rsidP="00BC375E">
      <w:pPr>
        <w:pStyle w:val="Sinespaciado"/>
        <w:spacing w:line="360" w:lineRule="auto"/>
        <w:jc w:val="both"/>
        <w:rPr>
          <w:rFonts w:cs="Arial"/>
          <w:b/>
          <w:sz w:val="24"/>
          <w:szCs w:val="24"/>
        </w:rPr>
      </w:pPr>
    </w:p>
    <w:p w:rsidR="00EA46E4" w:rsidRPr="00912DB2" w:rsidRDefault="003F711B" w:rsidP="00D9782C">
      <w:pPr>
        <w:pStyle w:val="Sinespaciado"/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DIP. OMAR ORTEGA Á</w:t>
      </w:r>
      <w:r w:rsidR="00EA46E4" w:rsidRPr="00912DB2">
        <w:rPr>
          <w:rFonts w:cs="Arial"/>
          <w:b/>
          <w:sz w:val="24"/>
          <w:szCs w:val="24"/>
        </w:rPr>
        <w:t>LVAREZ</w:t>
      </w:r>
    </w:p>
    <w:p w:rsidR="00EA46E4" w:rsidRPr="00912DB2" w:rsidRDefault="00EA46E4" w:rsidP="00D9782C">
      <w:pPr>
        <w:pStyle w:val="Sinespaciado"/>
        <w:spacing w:line="360" w:lineRule="auto"/>
        <w:jc w:val="center"/>
        <w:rPr>
          <w:rFonts w:cs="Arial"/>
          <w:b/>
          <w:sz w:val="24"/>
          <w:szCs w:val="24"/>
        </w:rPr>
      </w:pPr>
    </w:p>
    <w:p w:rsidR="00EA46E4" w:rsidRPr="00912DB2" w:rsidRDefault="00EA46E4" w:rsidP="00D9782C">
      <w:pPr>
        <w:pStyle w:val="Sinespaciado"/>
        <w:spacing w:line="360" w:lineRule="auto"/>
        <w:jc w:val="center"/>
        <w:rPr>
          <w:rFonts w:cs="Arial"/>
          <w:b/>
          <w:sz w:val="24"/>
          <w:szCs w:val="24"/>
        </w:rPr>
      </w:pPr>
    </w:p>
    <w:p w:rsidR="00EA46E4" w:rsidRPr="00912DB2" w:rsidRDefault="00EA46E4" w:rsidP="00D9782C">
      <w:pPr>
        <w:pStyle w:val="Sinespaciado"/>
        <w:spacing w:line="360" w:lineRule="auto"/>
        <w:jc w:val="center"/>
        <w:rPr>
          <w:rFonts w:cs="Arial"/>
          <w:b/>
          <w:sz w:val="24"/>
          <w:szCs w:val="24"/>
        </w:rPr>
      </w:pPr>
    </w:p>
    <w:p w:rsidR="00EA46E4" w:rsidRPr="00912DB2" w:rsidRDefault="00EA46E4" w:rsidP="00D9782C">
      <w:pPr>
        <w:pStyle w:val="Sinespaciado"/>
        <w:spacing w:line="360" w:lineRule="auto"/>
        <w:jc w:val="center"/>
        <w:rPr>
          <w:rFonts w:cs="Arial"/>
          <w:b/>
          <w:sz w:val="24"/>
          <w:szCs w:val="24"/>
        </w:rPr>
      </w:pPr>
      <w:r w:rsidRPr="00912DB2">
        <w:rPr>
          <w:rFonts w:cs="Arial"/>
          <w:b/>
          <w:sz w:val="24"/>
          <w:szCs w:val="24"/>
        </w:rPr>
        <w:t>DIP. ARACELÍ CASASOLA SALAZAR</w:t>
      </w:r>
      <w:r w:rsidR="001F2C79" w:rsidRPr="00912DB2">
        <w:rPr>
          <w:rFonts w:cs="Arial"/>
          <w:b/>
          <w:sz w:val="24"/>
          <w:szCs w:val="24"/>
        </w:rPr>
        <w:t xml:space="preserve">          </w:t>
      </w:r>
      <w:r w:rsidR="00D9782C">
        <w:rPr>
          <w:rFonts w:cs="Arial"/>
          <w:b/>
          <w:sz w:val="24"/>
          <w:szCs w:val="24"/>
        </w:rPr>
        <w:t xml:space="preserve">  </w:t>
      </w:r>
      <w:r w:rsidR="003F711B">
        <w:rPr>
          <w:rFonts w:cs="Arial"/>
          <w:b/>
          <w:sz w:val="24"/>
          <w:szCs w:val="24"/>
        </w:rPr>
        <w:t>DIP. CLAUDIA GONZÁLEZ CERÓ</w:t>
      </w:r>
      <w:r w:rsidRPr="00912DB2">
        <w:rPr>
          <w:rFonts w:cs="Arial"/>
          <w:b/>
          <w:sz w:val="24"/>
          <w:szCs w:val="24"/>
        </w:rPr>
        <w:t>N</w:t>
      </w:r>
      <w:r w:rsidRPr="00912DB2">
        <w:rPr>
          <w:rFonts w:cs="Arial"/>
          <w:sz w:val="24"/>
          <w:szCs w:val="24"/>
        </w:rPr>
        <w:br w:type="page"/>
      </w:r>
    </w:p>
    <w:p w:rsidR="00EA46E4" w:rsidRPr="00912DB2" w:rsidRDefault="00EA46E4" w:rsidP="00BC375E">
      <w:pPr>
        <w:pStyle w:val="Sinespaciado"/>
        <w:spacing w:line="360" w:lineRule="auto"/>
        <w:jc w:val="both"/>
        <w:rPr>
          <w:rFonts w:cs="Arial"/>
          <w:b/>
          <w:sz w:val="24"/>
          <w:szCs w:val="24"/>
        </w:rPr>
      </w:pPr>
      <w:r w:rsidRPr="00912DB2">
        <w:rPr>
          <w:rFonts w:cs="Arial"/>
          <w:b/>
          <w:sz w:val="24"/>
          <w:szCs w:val="24"/>
        </w:rPr>
        <w:t>DECRETO NÚMERO _______</w:t>
      </w:r>
    </w:p>
    <w:p w:rsidR="00EA46E4" w:rsidRPr="00912DB2" w:rsidRDefault="00EA46E4" w:rsidP="00BC375E">
      <w:pPr>
        <w:pStyle w:val="Sinespaciado"/>
        <w:spacing w:line="360" w:lineRule="auto"/>
        <w:jc w:val="both"/>
        <w:rPr>
          <w:rFonts w:cs="Arial"/>
          <w:b/>
          <w:sz w:val="24"/>
          <w:szCs w:val="24"/>
        </w:rPr>
      </w:pPr>
    </w:p>
    <w:p w:rsidR="00EA46E4" w:rsidRPr="00912DB2" w:rsidRDefault="00EA46E4" w:rsidP="00BC375E">
      <w:pPr>
        <w:pStyle w:val="Sinespaciado"/>
        <w:spacing w:line="360" w:lineRule="auto"/>
        <w:jc w:val="both"/>
        <w:rPr>
          <w:rFonts w:cs="Arial"/>
          <w:b/>
          <w:sz w:val="24"/>
          <w:szCs w:val="24"/>
        </w:rPr>
      </w:pPr>
      <w:r w:rsidRPr="00912DB2">
        <w:rPr>
          <w:rFonts w:cs="Arial"/>
          <w:b/>
          <w:sz w:val="24"/>
          <w:szCs w:val="24"/>
        </w:rPr>
        <w:t xml:space="preserve">LA H. </w:t>
      </w:r>
      <w:r w:rsidR="001F2C79" w:rsidRPr="00912DB2">
        <w:rPr>
          <w:rFonts w:cs="Arial"/>
          <w:b/>
          <w:sz w:val="24"/>
          <w:szCs w:val="24"/>
        </w:rPr>
        <w:t>“</w:t>
      </w:r>
      <w:r w:rsidRPr="00912DB2">
        <w:rPr>
          <w:rFonts w:cs="Arial"/>
          <w:b/>
          <w:sz w:val="24"/>
          <w:szCs w:val="24"/>
        </w:rPr>
        <w:t>LX</w:t>
      </w:r>
      <w:r w:rsidR="001F2C79" w:rsidRPr="00912DB2">
        <w:rPr>
          <w:rFonts w:cs="Arial"/>
          <w:b/>
          <w:sz w:val="24"/>
          <w:szCs w:val="24"/>
        </w:rPr>
        <w:t>”</w:t>
      </w:r>
      <w:r w:rsidRPr="00912DB2">
        <w:rPr>
          <w:rFonts w:cs="Arial"/>
          <w:b/>
          <w:sz w:val="24"/>
          <w:szCs w:val="24"/>
        </w:rPr>
        <w:t xml:space="preserve"> LEGISLATURA DEL ESTADO LIBRE Y SOBERANO DE MÉXICO</w:t>
      </w:r>
    </w:p>
    <w:p w:rsidR="00EA46E4" w:rsidRPr="00912DB2" w:rsidRDefault="00EA46E4" w:rsidP="00BC375E">
      <w:pPr>
        <w:pStyle w:val="Sinespaciado"/>
        <w:spacing w:line="360" w:lineRule="auto"/>
        <w:jc w:val="both"/>
        <w:rPr>
          <w:rFonts w:cs="Arial"/>
          <w:b/>
          <w:sz w:val="24"/>
          <w:szCs w:val="24"/>
        </w:rPr>
      </w:pPr>
      <w:r w:rsidRPr="00912DB2">
        <w:rPr>
          <w:rFonts w:cs="Arial"/>
          <w:b/>
          <w:sz w:val="24"/>
          <w:szCs w:val="24"/>
        </w:rPr>
        <w:t>DECRETA:</w:t>
      </w:r>
    </w:p>
    <w:p w:rsidR="00EA46E4" w:rsidRPr="00912DB2" w:rsidRDefault="00EA46E4" w:rsidP="00BC375E">
      <w:pPr>
        <w:pStyle w:val="Sinespaciado"/>
        <w:spacing w:line="360" w:lineRule="auto"/>
        <w:jc w:val="both"/>
        <w:rPr>
          <w:rFonts w:cs="Arial"/>
          <w:b/>
          <w:sz w:val="24"/>
          <w:szCs w:val="24"/>
        </w:rPr>
      </w:pPr>
    </w:p>
    <w:p w:rsidR="0019566C" w:rsidRDefault="00EA46E4" w:rsidP="00BC375E">
      <w:pPr>
        <w:pStyle w:val="Default"/>
        <w:spacing w:line="360" w:lineRule="auto"/>
        <w:jc w:val="both"/>
        <w:rPr>
          <w:rFonts w:asciiTheme="minorHAnsi" w:hAnsiTheme="minorHAnsi"/>
          <w:b/>
        </w:rPr>
      </w:pPr>
      <w:r w:rsidRPr="00912DB2">
        <w:rPr>
          <w:rFonts w:asciiTheme="minorHAnsi" w:hAnsiTheme="minorHAnsi"/>
          <w:b/>
        </w:rPr>
        <w:t>ÚNICO.</w:t>
      </w:r>
      <w:r w:rsidRPr="00912DB2">
        <w:rPr>
          <w:rFonts w:asciiTheme="minorHAnsi" w:hAnsiTheme="minorHAnsi"/>
        </w:rPr>
        <w:t xml:space="preserve"> - </w:t>
      </w:r>
      <w:r w:rsidR="003E0A16" w:rsidRPr="00912DB2">
        <w:rPr>
          <w:rFonts w:asciiTheme="minorHAnsi" w:hAnsiTheme="minorHAnsi"/>
          <w:b/>
        </w:rPr>
        <w:t>Proyecto de Decreto por el que</w:t>
      </w:r>
      <w:r w:rsidR="00C64CF9" w:rsidRPr="00912DB2">
        <w:rPr>
          <w:rFonts w:asciiTheme="minorHAnsi" w:hAnsiTheme="minorHAnsi"/>
          <w:b/>
        </w:rPr>
        <w:t xml:space="preserve"> se </w:t>
      </w:r>
      <w:r w:rsidR="00912DB2" w:rsidRPr="00912DB2">
        <w:rPr>
          <w:rFonts w:asciiTheme="minorHAnsi" w:hAnsiTheme="minorHAnsi"/>
          <w:b/>
        </w:rPr>
        <w:t xml:space="preserve">adiciona la fracción XX, </w:t>
      </w:r>
      <w:r w:rsidR="00912DB2" w:rsidRPr="00912DB2">
        <w:rPr>
          <w:rFonts w:asciiTheme="minorHAnsi" w:eastAsia="Arial" w:hAnsiTheme="minorHAnsi"/>
          <w:b/>
        </w:rPr>
        <w:t>recorriéndose la subsecuente</w:t>
      </w:r>
      <w:r w:rsidR="00912DB2" w:rsidRPr="00912DB2">
        <w:rPr>
          <w:rFonts w:asciiTheme="minorHAnsi" w:hAnsiTheme="minorHAnsi"/>
          <w:b/>
        </w:rPr>
        <w:t xml:space="preserve"> del artículo 2.16 del Código Administrativo del Estado de México</w:t>
      </w:r>
      <w:r w:rsidR="00B97949">
        <w:rPr>
          <w:rFonts w:asciiTheme="minorHAnsi" w:hAnsiTheme="minorHAnsi"/>
          <w:b/>
        </w:rPr>
        <w:t>.</w:t>
      </w:r>
    </w:p>
    <w:p w:rsidR="0019566C" w:rsidRPr="00912DB2" w:rsidRDefault="0019566C" w:rsidP="00BC375E">
      <w:pPr>
        <w:pStyle w:val="Default"/>
        <w:spacing w:line="360" w:lineRule="auto"/>
        <w:jc w:val="both"/>
        <w:rPr>
          <w:rFonts w:asciiTheme="minorHAnsi" w:hAnsiTheme="minorHAnsi"/>
          <w:b/>
        </w:rPr>
      </w:pPr>
    </w:p>
    <w:p w:rsidR="00C64CF9" w:rsidRDefault="00C64CF9" w:rsidP="00BC375E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3F711B">
        <w:rPr>
          <w:rFonts w:asciiTheme="minorHAnsi" w:hAnsiTheme="minorHAnsi"/>
          <w:b/>
        </w:rPr>
        <w:t>Artículo 2.16.-</w:t>
      </w:r>
      <w:r w:rsidRPr="00912DB2">
        <w:rPr>
          <w:rFonts w:asciiTheme="minorHAnsi" w:hAnsiTheme="minorHAnsi"/>
        </w:rPr>
        <w:t xml:space="preserve"> Los servicios de salud que presta el Estado en materia de salubridad general son:</w:t>
      </w:r>
    </w:p>
    <w:p w:rsidR="003F711B" w:rsidRPr="00912DB2" w:rsidRDefault="003F711B" w:rsidP="00BC375E">
      <w:pPr>
        <w:pStyle w:val="Default"/>
        <w:spacing w:line="360" w:lineRule="auto"/>
        <w:jc w:val="both"/>
        <w:rPr>
          <w:rFonts w:asciiTheme="minorHAnsi" w:hAnsiTheme="minorHAnsi"/>
        </w:rPr>
      </w:pPr>
    </w:p>
    <w:p w:rsidR="00C64CF9" w:rsidRDefault="00C64CF9" w:rsidP="00BC375E">
      <w:pPr>
        <w:pStyle w:val="Default"/>
        <w:spacing w:line="360" w:lineRule="auto"/>
        <w:jc w:val="both"/>
        <w:rPr>
          <w:rFonts w:asciiTheme="minorHAnsi" w:hAnsiTheme="minorHAnsi"/>
          <w:b/>
        </w:rPr>
      </w:pPr>
      <w:r w:rsidRPr="00912DB2">
        <w:rPr>
          <w:rFonts w:asciiTheme="minorHAnsi" w:hAnsiTheme="minorHAnsi"/>
          <w:b/>
        </w:rPr>
        <w:t>XX.</w:t>
      </w:r>
      <w:r w:rsidRPr="00912DB2">
        <w:rPr>
          <w:rFonts w:asciiTheme="minorHAnsi" w:hAnsiTheme="minorHAnsi"/>
        </w:rPr>
        <w:t xml:space="preserve"> </w:t>
      </w:r>
      <w:r w:rsidRPr="00912DB2">
        <w:rPr>
          <w:rFonts w:asciiTheme="minorHAnsi" w:hAnsiTheme="minorHAnsi"/>
          <w:b/>
        </w:rPr>
        <w:t>Atención espe</w:t>
      </w:r>
      <w:r w:rsidR="00912DB2" w:rsidRPr="00912DB2">
        <w:rPr>
          <w:rFonts w:asciiTheme="minorHAnsi" w:hAnsiTheme="minorHAnsi"/>
          <w:b/>
        </w:rPr>
        <w:t>cializada a la salud de las</w:t>
      </w:r>
      <w:r w:rsidRPr="00912DB2">
        <w:rPr>
          <w:rFonts w:asciiTheme="minorHAnsi" w:hAnsiTheme="minorHAnsi"/>
          <w:b/>
        </w:rPr>
        <w:t xml:space="preserve"> personas transgénero y transexual</w:t>
      </w:r>
      <w:r w:rsidR="005C6D5B" w:rsidRPr="00912DB2">
        <w:rPr>
          <w:rFonts w:asciiTheme="minorHAnsi" w:hAnsiTheme="minorHAnsi"/>
          <w:b/>
        </w:rPr>
        <w:t xml:space="preserve">, mediante </w:t>
      </w:r>
      <w:r w:rsidR="00912DB2" w:rsidRPr="00912DB2">
        <w:rPr>
          <w:rFonts w:asciiTheme="minorHAnsi" w:hAnsiTheme="minorHAnsi"/>
          <w:b/>
        </w:rPr>
        <w:t xml:space="preserve">el suministro de hormonas y acompañamiento psicológico, así como tratamiento médico e intervenciones quirúrgicas o cirugías para la reasignación de sexo. </w:t>
      </w:r>
    </w:p>
    <w:p w:rsidR="00B97949" w:rsidRPr="00B97949" w:rsidRDefault="00B97949" w:rsidP="00BC375E">
      <w:pPr>
        <w:pStyle w:val="Default"/>
        <w:spacing w:line="360" w:lineRule="auto"/>
        <w:jc w:val="both"/>
        <w:rPr>
          <w:rFonts w:asciiTheme="minorHAnsi" w:hAnsiTheme="minorHAnsi"/>
          <w:b/>
        </w:rPr>
      </w:pPr>
    </w:p>
    <w:p w:rsidR="00EA46E4" w:rsidRPr="00912DB2" w:rsidRDefault="00C64CF9" w:rsidP="00BC375E">
      <w:pPr>
        <w:pStyle w:val="Default"/>
        <w:spacing w:line="360" w:lineRule="auto"/>
        <w:jc w:val="both"/>
        <w:rPr>
          <w:rFonts w:asciiTheme="minorHAnsi" w:hAnsiTheme="minorHAnsi"/>
          <w:b/>
        </w:rPr>
      </w:pPr>
      <w:r w:rsidRPr="00912DB2">
        <w:rPr>
          <w:rFonts w:asciiTheme="minorHAnsi" w:hAnsiTheme="minorHAnsi"/>
          <w:b/>
        </w:rPr>
        <w:t xml:space="preserve">XXI. </w:t>
      </w:r>
      <w:r w:rsidRPr="003F711B">
        <w:rPr>
          <w:rFonts w:asciiTheme="minorHAnsi" w:hAnsiTheme="minorHAnsi"/>
        </w:rPr>
        <w:t>Los demás que se establezcan en la Ley General de Salud y otras disposiciones aplicables.</w:t>
      </w:r>
    </w:p>
    <w:p w:rsidR="00EA46E4" w:rsidRPr="00912DB2" w:rsidRDefault="00EA46E4" w:rsidP="002B3072">
      <w:pPr>
        <w:pStyle w:val="Sinespaciado"/>
        <w:spacing w:line="360" w:lineRule="auto"/>
        <w:jc w:val="center"/>
        <w:rPr>
          <w:rFonts w:cs="Arial"/>
          <w:b/>
          <w:sz w:val="24"/>
          <w:szCs w:val="24"/>
          <w:lang w:val="en-US"/>
        </w:rPr>
      </w:pPr>
      <w:r w:rsidRPr="00912DB2">
        <w:rPr>
          <w:rFonts w:cs="Arial"/>
          <w:b/>
          <w:sz w:val="24"/>
          <w:szCs w:val="24"/>
          <w:lang w:val="en-US"/>
        </w:rPr>
        <w:t>T R A N S I T O R I O S</w:t>
      </w:r>
    </w:p>
    <w:p w:rsidR="00EA46E4" w:rsidRPr="00912DB2" w:rsidRDefault="00EA46E4" w:rsidP="00BC375E">
      <w:pPr>
        <w:pStyle w:val="Sinespaciado"/>
        <w:spacing w:line="360" w:lineRule="auto"/>
        <w:jc w:val="both"/>
        <w:rPr>
          <w:rFonts w:cs="Arial"/>
          <w:sz w:val="24"/>
          <w:szCs w:val="24"/>
          <w:lang w:val="en-US"/>
        </w:rPr>
      </w:pPr>
    </w:p>
    <w:p w:rsidR="00EA46E4" w:rsidRPr="00912DB2" w:rsidRDefault="00EA46E4" w:rsidP="00BC375E">
      <w:pPr>
        <w:pStyle w:val="Sinespaciado"/>
        <w:spacing w:line="360" w:lineRule="auto"/>
        <w:jc w:val="both"/>
        <w:rPr>
          <w:rFonts w:cs="Arial"/>
          <w:sz w:val="24"/>
          <w:szCs w:val="24"/>
        </w:rPr>
      </w:pPr>
      <w:r w:rsidRPr="00912DB2">
        <w:rPr>
          <w:rFonts w:cs="Arial"/>
          <w:b/>
          <w:sz w:val="24"/>
          <w:szCs w:val="24"/>
        </w:rPr>
        <w:t>PRIMERO.</w:t>
      </w:r>
      <w:r w:rsidRPr="00912DB2">
        <w:rPr>
          <w:rFonts w:cs="Arial"/>
          <w:sz w:val="24"/>
          <w:szCs w:val="24"/>
        </w:rPr>
        <w:t xml:space="preserve"> Publíquese el presente Decreto en el periódico oficial "Gaceta del Gobierno".</w:t>
      </w:r>
    </w:p>
    <w:p w:rsidR="00EA46E4" w:rsidRPr="00912DB2" w:rsidRDefault="00EA46E4" w:rsidP="00BC375E">
      <w:pPr>
        <w:pStyle w:val="Sinespaciado"/>
        <w:spacing w:line="360" w:lineRule="auto"/>
        <w:jc w:val="both"/>
        <w:rPr>
          <w:rFonts w:cs="Arial"/>
          <w:sz w:val="24"/>
          <w:szCs w:val="24"/>
        </w:rPr>
      </w:pPr>
    </w:p>
    <w:p w:rsidR="00EA46E4" w:rsidRPr="00912DB2" w:rsidRDefault="00EA46E4" w:rsidP="00BC375E">
      <w:pPr>
        <w:pStyle w:val="Sinespaciado"/>
        <w:spacing w:line="360" w:lineRule="auto"/>
        <w:jc w:val="both"/>
        <w:rPr>
          <w:rFonts w:cs="Arial"/>
          <w:sz w:val="24"/>
          <w:szCs w:val="24"/>
        </w:rPr>
      </w:pPr>
      <w:r w:rsidRPr="00912DB2">
        <w:rPr>
          <w:rFonts w:cs="Arial"/>
          <w:b/>
          <w:sz w:val="24"/>
          <w:szCs w:val="24"/>
        </w:rPr>
        <w:t>SEGUNDO.</w:t>
      </w:r>
      <w:r w:rsidRPr="00912DB2">
        <w:rPr>
          <w:rFonts w:cs="Arial"/>
          <w:sz w:val="24"/>
          <w:szCs w:val="24"/>
        </w:rPr>
        <w:t xml:space="preserve"> El presente Decreto entrará en vigor al día siguiente de su publicación en el periódico oficial "Gaceta del Gobierno".</w:t>
      </w:r>
    </w:p>
    <w:p w:rsidR="00457A93" w:rsidRPr="00912DB2" w:rsidRDefault="00457A93" w:rsidP="002B3072">
      <w:pPr>
        <w:pStyle w:val="Sinespaciado"/>
        <w:spacing w:line="360" w:lineRule="auto"/>
        <w:jc w:val="both"/>
        <w:rPr>
          <w:rFonts w:cs="Arial"/>
          <w:sz w:val="24"/>
          <w:szCs w:val="24"/>
        </w:rPr>
      </w:pPr>
    </w:p>
    <w:p w:rsidR="002B3072" w:rsidRPr="00912DB2" w:rsidRDefault="002B3072" w:rsidP="002B3072">
      <w:pPr>
        <w:pStyle w:val="Sinespaciado"/>
        <w:spacing w:line="360" w:lineRule="auto"/>
        <w:jc w:val="both"/>
        <w:rPr>
          <w:rFonts w:cs="Arial"/>
          <w:sz w:val="24"/>
          <w:szCs w:val="24"/>
          <w:lang w:val="es-ES_tradnl"/>
        </w:rPr>
      </w:pPr>
      <w:r w:rsidRPr="00912DB2">
        <w:rPr>
          <w:rFonts w:cs="Arial"/>
          <w:sz w:val="24"/>
          <w:szCs w:val="24"/>
          <w:lang w:val="es-ES_tradnl"/>
        </w:rPr>
        <w:t>Lo tendrá por entendido el Gobernador del Estado, haciendo que se publique y se cumpla.</w:t>
      </w:r>
    </w:p>
    <w:p w:rsidR="00EA46E4" w:rsidRPr="00912DB2" w:rsidRDefault="00EA46E4" w:rsidP="00BC375E">
      <w:pPr>
        <w:pStyle w:val="Sinespaciado"/>
        <w:spacing w:line="360" w:lineRule="auto"/>
        <w:jc w:val="both"/>
        <w:rPr>
          <w:rFonts w:cs="Arial"/>
          <w:sz w:val="24"/>
          <w:szCs w:val="24"/>
          <w:lang w:val="es-ES_tradnl"/>
        </w:rPr>
      </w:pPr>
    </w:p>
    <w:p w:rsidR="00D26703" w:rsidRPr="00912DB2" w:rsidRDefault="00EA46E4" w:rsidP="00B97949">
      <w:pPr>
        <w:pStyle w:val="Sinespaciado"/>
        <w:spacing w:line="360" w:lineRule="auto"/>
        <w:jc w:val="both"/>
        <w:rPr>
          <w:rFonts w:cs="Arial"/>
          <w:sz w:val="24"/>
          <w:szCs w:val="24"/>
        </w:rPr>
      </w:pPr>
      <w:r w:rsidRPr="00912DB2">
        <w:rPr>
          <w:rFonts w:cs="Arial"/>
          <w:sz w:val="24"/>
          <w:szCs w:val="24"/>
        </w:rPr>
        <w:t>Dado en e</w:t>
      </w:r>
      <w:r w:rsidR="002B3072" w:rsidRPr="00912DB2">
        <w:rPr>
          <w:rFonts w:cs="Arial"/>
          <w:sz w:val="24"/>
          <w:szCs w:val="24"/>
        </w:rPr>
        <w:t>l Palacio del Poder Legislativo</w:t>
      </w:r>
      <w:r w:rsidRPr="00912DB2">
        <w:rPr>
          <w:rFonts w:cs="Arial"/>
          <w:sz w:val="24"/>
          <w:szCs w:val="24"/>
        </w:rPr>
        <w:t xml:space="preserve"> en Toluca de Lerdo, Estado de México a los </w:t>
      </w:r>
      <w:r w:rsidR="008A5602" w:rsidRPr="00912DB2">
        <w:rPr>
          <w:rFonts w:cs="Arial"/>
          <w:sz w:val="24"/>
          <w:szCs w:val="24"/>
        </w:rPr>
        <w:t>__</w:t>
      </w:r>
      <w:r w:rsidRPr="00912DB2">
        <w:rPr>
          <w:rFonts w:cs="Arial"/>
          <w:sz w:val="24"/>
          <w:szCs w:val="24"/>
        </w:rPr>
        <w:t xml:space="preserve"> días del mes de </w:t>
      </w:r>
      <w:r w:rsidR="002B3072" w:rsidRPr="00912DB2">
        <w:rPr>
          <w:rFonts w:cs="Arial"/>
          <w:sz w:val="24"/>
          <w:szCs w:val="24"/>
        </w:rPr>
        <w:t xml:space="preserve">septiembre </w:t>
      </w:r>
      <w:r w:rsidRPr="00912DB2">
        <w:rPr>
          <w:rFonts w:cs="Arial"/>
          <w:sz w:val="24"/>
          <w:szCs w:val="24"/>
        </w:rPr>
        <w:t>del año dos mil</w:t>
      </w:r>
      <w:r w:rsidR="002B3072" w:rsidRPr="00912DB2">
        <w:rPr>
          <w:rFonts w:cs="Arial"/>
          <w:sz w:val="24"/>
          <w:szCs w:val="24"/>
        </w:rPr>
        <w:t xml:space="preserve"> veinte.</w:t>
      </w:r>
    </w:p>
    <w:sectPr w:rsidR="00D26703" w:rsidRPr="00912DB2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D92" w:rsidRDefault="00ED6D92">
      <w:r>
        <w:separator/>
      </w:r>
    </w:p>
  </w:endnote>
  <w:endnote w:type="continuationSeparator" w:id="0">
    <w:p w:rsidR="00ED6D92" w:rsidRDefault="00ED6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Calibri"/>
    <w:charset w:val="00"/>
    <w:family w:val="swiss"/>
    <w:pitch w:val="variable"/>
    <w:sig w:usb0="00000001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1354622"/>
      <w:docPartObj>
        <w:docPartGallery w:val="Page Numbers (Bottom of Page)"/>
        <w:docPartUnique/>
      </w:docPartObj>
    </w:sdtPr>
    <w:sdtEndPr/>
    <w:sdtContent>
      <w:p w:rsidR="00B90425" w:rsidRDefault="00B90425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4957" w:rsidRPr="00A84957">
          <w:rPr>
            <w:noProof/>
            <w:lang w:val="es-ES"/>
          </w:rPr>
          <w:t>1</w:t>
        </w:r>
        <w:r>
          <w:fldChar w:fldCharType="end"/>
        </w:r>
      </w:p>
    </w:sdtContent>
  </w:sdt>
  <w:p w:rsidR="00B90425" w:rsidRDefault="00B9042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D92" w:rsidRDefault="00ED6D92">
      <w:r>
        <w:separator/>
      </w:r>
    </w:p>
  </w:footnote>
  <w:footnote w:type="continuationSeparator" w:id="0">
    <w:p w:rsidR="00ED6D92" w:rsidRDefault="00ED6D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75E" w:rsidRDefault="00BC375E" w:rsidP="00BC375E">
    <w:pPr>
      <w:pStyle w:val="Encabezado"/>
      <w:tabs>
        <w:tab w:val="left" w:pos="3705"/>
      </w:tabs>
      <w:rPr>
        <w:b/>
      </w:rPr>
    </w:pPr>
    <w:r>
      <w:rPr>
        <w:noProof/>
        <w:lang w:val="es-MX" w:eastAsia="es-MX"/>
      </w:rPr>
      <w:drawing>
        <wp:anchor distT="0" distB="0" distL="114300" distR="114300" simplePos="0" relativeHeight="251661312" behindDoc="0" locked="0" layoutInCell="1" allowOverlap="1" wp14:anchorId="36027496" wp14:editId="173F6082">
          <wp:simplePos x="0" y="0"/>
          <wp:positionH relativeFrom="column">
            <wp:posOffset>5285105</wp:posOffset>
          </wp:positionH>
          <wp:positionV relativeFrom="paragraph">
            <wp:posOffset>-159385</wp:posOffset>
          </wp:positionV>
          <wp:extent cx="476885" cy="50165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1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MX" w:eastAsia="es-MX"/>
      </w:rPr>
      <w:drawing>
        <wp:anchor distT="0" distB="0" distL="114300" distR="114300" simplePos="0" relativeHeight="251660288" behindDoc="0" locked="0" layoutInCell="1" allowOverlap="1" wp14:anchorId="75660FAC" wp14:editId="67743F61">
          <wp:simplePos x="0" y="0"/>
          <wp:positionH relativeFrom="column">
            <wp:posOffset>-779145</wp:posOffset>
          </wp:positionH>
          <wp:positionV relativeFrom="paragraph">
            <wp:posOffset>-167005</wp:posOffset>
          </wp:positionV>
          <wp:extent cx="1752600" cy="613410"/>
          <wp:effectExtent l="0" t="0" r="0" b="0"/>
          <wp:wrapNone/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_LX_Legislatura_identidad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613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ab/>
    </w:r>
  </w:p>
  <w:p w:rsidR="00BC375E" w:rsidRPr="00B57ECA" w:rsidRDefault="00BC375E" w:rsidP="00BC375E">
    <w:pPr>
      <w:pStyle w:val="Encabezado"/>
      <w:jc w:val="center"/>
      <w:rPr>
        <w:b/>
      </w:rPr>
    </w:pPr>
    <w:r>
      <w:rPr>
        <w:b/>
      </w:rPr>
      <w:t xml:space="preserve"> </w:t>
    </w:r>
  </w:p>
  <w:p w:rsidR="00BC375E" w:rsidRDefault="00BC375E" w:rsidP="00BC375E">
    <w:pPr>
      <w:pStyle w:val="Encabezado"/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B05CDA" wp14:editId="15E717A0">
              <wp:simplePos x="0" y="0"/>
              <wp:positionH relativeFrom="column">
                <wp:posOffset>-690245</wp:posOffset>
              </wp:positionH>
              <wp:positionV relativeFrom="paragraph">
                <wp:posOffset>99060</wp:posOffset>
              </wp:positionV>
              <wp:extent cx="6857365" cy="318770"/>
              <wp:effectExtent l="0" t="0" r="0" b="508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7365" cy="3187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C375E" w:rsidRPr="009345FC" w:rsidRDefault="00BC375E" w:rsidP="00BC375E">
                          <w:pPr>
                            <w:jc w:val="center"/>
                            <w:rPr>
                              <w:rFonts w:ascii="Lato" w:hAnsi="Lato"/>
                              <w:b/>
                              <w:color w:val="97184B"/>
                              <w:spacing w:val="20"/>
                              <w:sz w:val="16"/>
                              <w:szCs w:val="16"/>
                            </w:rPr>
                          </w:pPr>
                          <w:r w:rsidRPr="009345FC">
                            <w:rPr>
                              <w:rFonts w:ascii="Lato" w:hAnsi="Lato"/>
                              <w:b/>
                              <w:color w:val="97184B"/>
                              <w:spacing w:val="20"/>
                              <w:sz w:val="16"/>
                              <w:szCs w:val="16"/>
                            </w:rPr>
                            <w:t>“20</w:t>
                          </w:r>
                          <w:r>
                            <w:rPr>
                              <w:rFonts w:ascii="Lato" w:hAnsi="Lato"/>
                              <w:b/>
                              <w:color w:val="97184B"/>
                              <w:spacing w:val="20"/>
                              <w:sz w:val="16"/>
                              <w:szCs w:val="16"/>
                            </w:rPr>
                            <w:t>20</w:t>
                          </w:r>
                          <w:r w:rsidRPr="009345FC">
                            <w:rPr>
                              <w:rFonts w:ascii="Lato" w:hAnsi="Lato"/>
                              <w:b/>
                              <w:color w:val="97184B"/>
                              <w:spacing w:val="20"/>
                              <w:sz w:val="16"/>
                              <w:szCs w:val="16"/>
                            </w:rPr>
                            <w:t>. Año de</w:t>
                          </w:r>
                          <w:r>
                            <w:rPr>
                              <w:rFonts w:ascii="Lato" w:hAnsi="Lato"/>
                              <w:b/>
                              <w:color w:val="97184B"/>
                              <w:spacing w:val="20"/>
                              <w:sz w:val="16"/>
                              <w:szCs w:val="16"/>
                            </w:rPr>
                            <w:t xml:space="preserve"> Laura Méndez de Cuenca; emblema de la mujer Mexiquense.</w:t>
                          </w:r>
                          <w:r w:rsidRPr="009345FC">
                            <w:rPr>
                              <w:rFonts w:ascii="Lato" w:hAnsi="Lato"/>
                              <w:b/>
                              <w:color w:val="97184B"/>
                              <w:spacing w:val="20"/>
                              <w:sz w:val="16"/>
                              <w:szCs w:val="16"/>
                            </w:rPr>
                            <w:t>”</w:t>
                          </w:r>
                        </w:p>
                        <w:p w:rsidR="00BC375E" w:rsidRPr="00194C92" w:rsidRDefault="00BC375E" w:rsidP="00BC375E">
                          <w:pPr>
                            <w:jc w:val="center"/>
                            <w:rPr>
                              <w:rFonts w:ascii="Lato" w:hAnsi="Lato"/>
                              <w:b/>
                              <w:color w:val="692044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71B05CD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54.35pt;margin-top:7.8pt;width:539.95pt;height:2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" filled="f" stroked="f">
              <v:textbox>
                <w:txbxContent>
                  <w:p w:rsidR="00BC375E" w:rsidRPr="009345FC" w:rsidRDefault="00BC375E" w:rsidP="00BC375E">
                    <w:pPr>
                      <w:jc w:val="center"/>
                      <w:rPr>
                        <w:rFonts w:ascii="Lato" w:hAnsi="Lato"/>
                        <w:b/>
                        <w:color w:val="97184B"/>
                        <w:spacing w:val="20"/>
                        <w:sz w:val="16"/>
                        <w:szCs w:val="16"/>
                      </w:rPr>
                    </w:pPr>
                    <w:r w:rsidRPr="009345FC">
                      <w:rPr>
                        <w:rFonts w:ascii="Lato" w:hAnsi="Lato"/>
                        <w:b/>
                        <w:color w:val="97184B"/>
                        <w:spacing w:val="20"/>
                        <w:sz w:val="16"/>
                        <w:szCs w:val="16"/>
                      </w:rPr>
                      <w:t>“20</w:t>
                    </w:r>
                    <w:r>
                      <w:rPr>
                        <w:rFonts w:ascii="Lato" w:hAnsi="Lato"/>
                        <w:b/>
                        <w:color w:val="97184B"/>
                        <w:spacing w:val="20"/>
                        <w:sz w:val="16"/>
                        <w:szCs w:val="16"/>
                      </w:rPr>
                      <w:t>20</w:t>
                    </w:r>
                    <w:r w:rsidRPr="009345FC">
                      <w:rPr>
                        <w:rFonts w:ascii="Lato" w:hAnsi="Lato"/>
                        <w:b/>
                        <w:color w:val="97184B"/>
                        <w:spacing w:val="20"/>
                        <w:sz w:val="16"/>
                        <w:szCs w:val="16"/>
                      </w:rPr>
                      <w:t>. Año de</w:t>
                    </w:r>
                    <w:r>
                      <w:rPr>
                        <w:rFonts w:ascii="Lato" w:hAnsi="Lato"/>
                        <w:b/>
                        <w:color w:val="97184B"/>
                        <w:spacing w:val="20"/>
                        <w:sz w:val="16"/>
                        <w:szCs w:val="16"/>
                      </w:rPr>
                      <w:t xml:space="preserve"> Laura Méndez de Cuenca; emblema de la mujer Mexiquense.</w:t>
                    </w:r>
                    <w:r w:rsidRPr="009345FC">
                      <w:rPr>
                        <w:rFonts w:ascii="Lato" w:hAnsi="Lato"/>
                        <w:b/>
                        <w:color w:val="97184B"/>
                        <w:spacing w:val="20"/>
                        <w:sz w:val="16"/>
                        <w:szCs w:val="16"/>
                      </w:rPr>
                      <w:t>”</w:t>
                    </w:r>
                  </w:p>
                  <w:p w:rsidR="00BC375E" w:rsidRPr="00194C92" w:rsidRDefault="00BC375E" w:rsidP="00BC375E">
                    <w:pPr>
                      <w:jc w:val="center"/>
                      <w:rPr>
                        <w:rFonts w:ascii="Lato" w:hAnsi="Lato"/>
                        <w:b/>
                        <w:color w:val="692044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BC375E" w:rsidRPr="00BC375E" w:rsidRDefault="00BC375E" w:rsidP="00BC375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66755"/>
    <w:multiLevelType w:val="hybridMultilevel"/>
    <w:tmpl w:val="FDD0A9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B22F69"/>
    <w:multiLevelType w:val="hybridMultilevel"/>
    <w:tmpl w:val="F728721E"/>
    <w:lvl w:ilvl="0" w:tplc="DFB0FDE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3813D4"/>
    <w:multiLevelType w:val="hybridMultilevel"/>
    <w:tmpl w:val="DED2BF6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391386"/>
    <w:multiLevelType w:val="hybridMultilevel"/>
    <w:tmpl w:val="58260F8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286002"/>
    <w:multiLevelType w:val="hybridMultilevel"/>
    <w:tmpl w:val="8E083D8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6E4"/>
    <w:rsid w:val="00024E38"/>
    <w:rsid w:val="000543F9"/>
    <w:rsid w:val="00054BE2"/>
    <w:rsid w:val="00065B36"/>
    <w:rsid w:val="0009133E"/>
    <w:rsid w:val="001429AE"/>
    <w:rsid w:val="0016449E"/>
    <w:rsid w:val="0017114C"/>
    <w:rsid w:val="00175E7C"/>
    <w:rsid w:val="00175F52"/>
    <w:rsid w:val="0019566C"/>
    <w:rsid w:val="001A561E"/>
    <w:rsid w:val="001A79F0"/>
    <w:rsid w:val="001D4E81"/>
    <w:rsid w:val="001F2C79"/>
    <w:rsid w:val="001F3FC5"/>
    <w:rsid w:val="00294059"/>
    <w:rsid w:val="002B3072"/>
    <w:rsid w:val="002E2561"/>
    <w:rsid w:val="002E4D39"/>
    <w:rsid w:val="003E0A16"/>
    <w:rsid w:val="003F711B"/>
    <w:rsid w:val="0040055C"/>
    <w:rsid w:val="0041171B"/>
    <w:rsid w:val="004310B3"/>
    <w:rsid w:val="004548B1"/>
    <w:rsid w:val="00457A93"/>
    <w:rsid w:val="0046576C"/>
    <w:rsid w:val="00490B18"/>
    <w:rsid w:val="004C4A93"/>
    <w:rsid w:val="0054767F"/>
    <w:rsid w:val="00595946"/>
    <w:rsid w:val="005C6D5B"/>
    <w:rsid w:val="005E2F60"/>
    <w:rsid w:val="0063155E"/>
    <w:rsid w:val="0065077C"/>
    <w:rsid w:val="00662569"/>
    <w:rsid w:val="006D6E6E"/>
    <w:rsid w:val="00784BF6"/>
    <w:rsid w:val="0078657D"/>
    <w:rsid w:val="00787927"/>
    <w:rsid w:val="0079618F"/>
    <w:rsid w:val="00825C80"/>
    <w:rsid w:val="008312F8"/>
    <w:rsid w:val="00881844"/>
    <w:rsid w:val="008A5602"/>
    <w:rsid w:val="008B34D2"/>
    <w:rsid w:val="00912DB2"/>
    <w:rsid w:val="009264F7"/>
    <w:rsid w:val="00994EB6"/>
    <w:rsid w:val="009B1944"/>
    <w:rsid w:val="009B25D7"/>
    <w:rsid w:val="00A84957"/>
    <w:rsid w:val="00AA2BE1"/>
    <w:rsid w:val="00AD0C4C"/>
    <w:rsid w:val="00B30579"/>
    <w:rsid w:val="00B6717C"/>
    <w:rsid w:val="00B8149A"/>
    <w:rsid w:val="00B826D3"/>
    <w:rsid w:val="00B90425"/>
    <w:rsid w:val="00B97949"/>
    <w:rsid w:val="00BC375E"/>
    <w:rsid w:val="00C05BE3"/>
    <w:rsid w:val="00C64CF9"/>
    <w:rsid w:val="00CA6BF0"/>
    <w:rsid w:val="00CE5FE4"/>
    <w:rsid w:val="00D220CE"/>
    <w:rsid w:val="00D26703"/>
    <w:rsid w:val="00D73717"/>
    <w:rsid w:val="00D84E64"/>
    <w:rsid w:val="00D9782C"/>
    <w:rsid w:val="00DC019D"/>
    <w:rsid w:val="00E32BD6"/>
    <w:rsid w:val="00E36912"/>
    <w:rsid w:val="00E611AD"/>
    <w:rsid w:val="00E629FD"/>
    <w:rsid w:val="00EA32F6"/>
    <w:rsid w:val="00EA46E4"/>
    <w:rsid w:val="00ED6D92"/>
    <w:rsid w:val="00EF6917"/>
    <w:rsid w:val="00F460BC"/>
    <w:rsid w:val="00F949A1"/>
    <w:rsid w:val="00FD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6E4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EA46E4"/>
    <w:pPr>
      <w:spacing w:after="0" w:line="240" w:lineRule="auto"/>
    </w:pPr>
  </w:style>
  <w:style w:type="character" w:styleId="Textoennegrita">
    <w:name w:val="Strong"/>
    <w:basedOn w:val="Fuentedeprrafopredeter"/>
    <w:uiPriority w:val="22"/>
    <w:qFormat/>
    <w:rsid w:val="00EA46E4"/>
    <w:rPr>
      <w:b/>
      <w:bCs/>
    </w:rPr>
  </w:style>
  <w:style w:type="paragraph" w:customStyle="1" w:styleId="Default">
    <w:name w:val="Default"/>
    <w:rsid w:val="00EA46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EA46E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EA46E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A46E4"/>
    <w:rPr>
      <w:rFonts w:eastAsiaTheme="minorEastAsia"/>
      <w:sz w:val="24"/>
      <w:szCs w:val="24"/>
      <w:lang w:val="es-ES_tradnl" w:eastAsia="es-ES"/>
    </w:rPr>
  </w:style>
  <w:style w:type="character" w:styleId="Hipervnculo">
    <w:name w:val="Hyperlink"/>
    <w:basedOn w:val="Fuentedeprrafopredeter"/>
    <w:uiPriority w:val="99"/>
    <w:unhideWhenUsed/>
    <w:rsid w:val="00EA46E4"/>
    <w:rPr>
      <w:color w:val="0000FF"/>
      <w:u w:val="single"/>
    </w:rPr>
  </w:style>
  <w:style w:type="paragraph" w:customStyle="1" w:styleId="francesa">
    <w:name w:val="francesa"/>
    <w:basedOn w:val="Normal"/>
    <w:rsid w:val="00EA46E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 w:eastAsia="es-MX"/>
    </w:rPr>
  </w:style>
  <w:style w:type="paragraph" w:customStyle="1" w:styleId="nota">
    <w:name w:val="nota"/>
    <w:basedOn w:val="Normal"/>
    <w:rsid w:val="00EA46E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 w:eastAsia="es-MX"/>
    </w:rPr>
  </w:style>
  <w:style w:type="character" w:styleId="nfasis">
    <w:name w:val="Emphasis"/>
    <w:basedOn w:val="Fuentedeprrafopredeter"/>
    <w:uiPriority w:val="20"/>
    <w:qFormat/>
    <w:rsid w:val="00EA46E4"/>
    <w:rPr>
      <w:i/>
      <w:iCs/>
    </w:rPr>
  </w:style>
  <w:style w:type="character" w:customStyle="1" w:styleId="lbl-encabezado-negro">
    <w:name w:val="lbl-encabezado-negro"/>
    <w:basedOn w:val="Fuentedeprrafopredeter"/>
    <w:rsid w:val="00CA6BF0"/>
  </w:style>
  <w:style w:type="paragraph" w:styleId="Piedepgina">
    <w:name w:val="footer"/>
    <w:basedOn w:val="Normal"/>
    <w:link w:val="PiedepginaCar"/>
    <w:uiPriority w:val="99"/>
    <w:unhideWhenUsed/>
    <w:rsid w:val="00B9042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90425"/>
    <w:rPr>
      <w:rFonts w:eastAsiaTheme="minorEastAsia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375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375E"/>
    <w:rPr>
      <w:rFonts w:ascii="Tahoma" w:eastAsiaTheme="minorEastAsia" w:hAnsi="Tahoma" w:cs="Tahoma"/>
      <w:sz w:val="16"/>
      <w:szCs w:val="16"/>
      <w:lang w:val="es-ES_tradnl"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9133E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9133E"/>
    <w:rPr>
      <w:rFonts w:eastAsiaTheme="minorEastAsia"/>
      <w:sz w:val="20"/>
      <w:szCs w:val="20"/>
      <w:lang w:val="es-ES_tradnl"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09133E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9133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9133E"/>
    <w:rPr>
      <w:rFonts w:eastAsiaTheme="minorEastAsia"/>
      <w:sz w:val="20"/>
      <w:szCs w:val="20"/>
      <w:lang w:val="es-ES_tradnl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09133E"/>
    <w:rPr>
      <w:vertAlign w:val="superscript"/>
    </w:rPr>
  </w:style>
  <w:style w:type="paragraph" w:styleId="Prrafodelista">
    <w:name w:val="List Paragraph"/>
    <w:basedOn w:val="Normal"/>
    <w:uiPriority w:val="34"/>
    <w:qFormat/>
    <w:rsid w:val="00AA2BE1"/>
    <w:pPr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6E4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EA46E4"/>
    <w:pPr>
      <w:spacing w:after="0" w:line="240" w:lineRule="auto"/>
    </w:pPr>
  </w:style>
  <w:style w:type="character" w:styleId="Textoennegrita">
    <w:name w:val="Strong"/>
    <w:basedOn w:val="Fuentedeprrafopredeter"/>
    <w:uiPriority w:val="22"/>
    <w:qFormat/>
    <w:rsid w:val="00EA46E4"/>
    <w:rPr>
      <w:b/>
      <w:bCs/>
    </w:rPr>
  </w:style>
  <w:style w:type="paragraph" w:customStyle="1" w:styleId="Default">
    <w:name w:val="Default"/>
    <w:rsid w:val="00EA46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EA46E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EA46E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A46E4"/>
    <w:rPr>
      <w:rFonts w:eastAsiaTheme="minorEastAsia"/>
      <w:sz w:val="24"/>
      <w:szCs w:val="24"/>
      <w:lang w:val="es-ES_tradnl" w:eastAsia="es-ES"/>
    </w:rPr>
  </w:style>
  <w:style w:type="character" w:styleId="Hipervnculo">
    <w:name w:val="Hyperlink"/>
    <w:basedOn w:val="Fuentedeprrafopredeter"/>
    <w:uiPriority w:val="99"/>
    <w:unhideWhenUsed/>
    <w:rsid w:val="00EA46E4"/>
    <w:rPr>
      <w:color w:val="0000FF"/>
      <w:u w:val="single"/>
    </w:rPr>
  </w:style>
  <w:style w:type="paragraph" w:customStyle="1" w:styleId="francesa">
    <w:name w:val="francesa"/>
    <w:basedOn w:val="Normal"/>
    <w:rsid w:val="00EA46E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 w:eastAsia="es-MX"/>
    </w:rPr>
  </w:style>
  <w:style w:type="paragraph" w:customStyle="1" w:styleId="nota">
    <w:name w:val="nota"/>
    <w:basedOn w:val="Normal"/>
    <w:rsid w:val="00EA46E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 w:eastAsia="es-MX"/>
    </w:rPr>
  </w:style>
  <w:style w:type="character" w:styleId="nfasis">
    <w:name w:val="Emphasis"/>
    <w:basedOn w:val="Fuentedeprrafopredeter"/>
    <w:uiPriority w:val="20"/>
    <w:qFormat/>
    <w:rsid w:val="00EA46E4"/>
    <w:rPr>
      <w:i/>
      <w:iCs/>
    </w:rPr>
  </w:style>
  <w:style w:type="character" w:customStyle="1" w:styleId="lbl-encabezado-negro">
    <w:name w:val="lbl-encabezado-negro"/>
    <w:basedOn w:val="Fuentedeprrafopredeter"/>
    <w:rsid w:val="00CA6BF0"/>
  </w:style>
  <w:style w:type="paragraph" w:styleId="Piedepgina">
    <w:name w:val="footer"/>
    <w:basedOn w:val="Normal"/>
    <w:link w:val="PiedepginaCar"/>
    <w:uiPriority w:val="99"/>
    <w:unhideWhenUsed/>
    <w:rsid w:val="00B9042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90425"/>
    <w:rPr>
      <w:rFonts w:eastAsiaTheme="minorEastAsia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375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375E"/>
    <w:rPr>
      <w:rFonts w:ascii="Tahoma" w:eastAsiaTheme="minorEastAsia" w:hAnsi="Tahoma" w:cs="Tahoma"/>
      <w:sz w:val="16"/>
      <w:szCs w:val="16"/>
      <w:lang w:val="es-ES_tradnl"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9133E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9133E"/>
    <w:rPr>
      <w:rFonts w:eastAsiaTheme="minorEastAsia"/>
      <w:sz w:val="20"/>
      <w:szCs w:val="20"/>
      <w:lang w:val="es-ES_tradnl"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09133E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9133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9133E"/>
    <w:rPr>
      <w:rFonts w:eastAsiaTheme="minorEastAsia"/>
      <w:sz w:val="20"/>
      <w:szCs w:val="20"/>
      <w:lang w:val="es-ES_tradnl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09133E"/>
    <w:rPr>
      <w:vertAlign w:val="superscript"/>
    </w:rPr>
  </w:style>
  <w:style w:type="paragraph" w:styleId="Prrafodelista">
    <w:name w:val="List Paragraph"/>
    <w:basedOn w:val="Normal"/>
    <w:uiPriority w:val="34"/>
    <w:qFormat/>
    <w:rsid w:val="00AA2BE1"/>
    <w:pPr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7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2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26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74363">
                      <w:marLeft w:val="30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510121">
                      <w:marLeft w:val="30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821961">
                      <w:marLeft w:val="30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090866">
                      <w:marLeft w:val="30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716543">
                      <w:marLeft w:val="30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090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1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4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13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6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46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7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9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71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52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C0C44-C306-42BF-8D8F-2F8CB5437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2324</Words>
  <Characters>12785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HPTOUCH</cp:lastModifiedBy>
  <cp:revision>2</cp:revision>
  <cp:lastPrinted>2020-09-18T20:41:00Z</cp:lastPrinted>
  <dcterms:created xsi:type="dcterms:W3CDTF">2020-09-21T13:56:00Z</dcterms:created>
  <dcterms:modified xsi:type="dcterms:W3CDTF">2020-09-21T13:56:00Z</dcterms:modified>
</cp:coreProperties>
</file>