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5DEB" w:rsidRPr="00CB38AA" w:rsidRDefault="00085DEB" w:rsidP="00DF6EEA">
      <w:pPr>
        <w:pStyle w:val="Sinespaciado"/>
        <w:ind w:left="2832"/>
        <w:jc w:val="both"/>
        <w:rPr>
          <w:rFonts w:ascii="Times New Roman" w:hAnsi="Times New Roman" w:cs="Times New Roman"/>
          <w:sz w:val="24"/>
          <w:szCs w:val="24"/>
        </w:rPr>
      </w:pPr>
      <w:r w:rsidRPr="00CB38AA">
        <w:rPr>
          <w:rFonts w:ascii="Times New Roman" w:hAnsi="Times New Roman" w:cs="Times New Roman"/>
          <w:sz w:val="24"/>
          <w:szCs w:val="24"/>
        </w:rPr>
        <w:t>SESIÓN DELIBERANTE DE LA H. LXII LEGISLATURA DEL ESTADO DE MÉXICO</w:t>
      </w:r>
    </w:p>
    <w:p w:rsidR="00085DEB" w:rsidRPr="00CB38AA" w:rsidRDefault="00085DEB" w:rsidP="00DF6EEA">
      <w:pPr>
        <w:pStyle w:val="Sinespaciado"/>
        <w:jc w:val="center"/>
        <w:rPr>
          <w:rFonts w:ascii="Times New Roman" w:hAnsi="Times New Roman" w:cs="Times New Roman"/>
          <w:sz w:val="24"/>
          <w:szCs w:val="24"/>
        </w:rPr>
      </w:pPr>
    </w:p>
    <w:p w:rsidR="00085DEB" w:rsidRPr="00CB38AA" w:rsidRDefault="00085DEB" w:rsidP="00DF6EEA">
      <w:pPr>
        <w:pStyle w:val="Sinespaciado"/>
        <w:jc w:val="center"/>
        <w:rPr>
          <w:rFonts w:ascii="Times New Roman" w:hAnsi="Times New Roman" w:cs="Times New Roman"/>
          <w:sz w:val="24"/>
          <w:szCs w:val="24"/>
        </w:rPr>
      </w:pPr>
      <w:r w:rsidRPr="00CB38AA">
        <w:rPr>
          <w:rFonts w:ascii="Times New Roman" w:hAnsi="Times New Roman" w:cs="Times New Roman"/>
          <w:sz w:val="24"/>
          <w:szCs w:val="24"/>
        </w:rPr>
        <w:t>Celebrada el día 11de febrero de 2026.</w:t>
      </w:r>
    </w:p>
    <w:p w:rsidR="00085DEB" w:rsidRPr="00CB38AA" w:rsidRDefault="00085DEB" w:rsidP="00DF6EEA">
      <w:pPr>
        <w:pStyle w:val="Sinespaciado"/>
        <w:jc w:val="center"/>
        <w:rPr>
          <w:rFonts w:ascii="Times New Roman" w:hAnsi="Times New Roman" w:cs="Times New Roman"/>
          <w:sz w:val="24"/>
          <w:szCs w:val="24"/>
        </w:rPr>
      </w:pPr>
    </w:p>
    <w:p w:rsidR="00085DEB" w:rsidRPr="00CB38AA" w:rsidRDefault="00085DEB" w:rsidP="00DF6EEA">
      <w:pPr>
        <w:spacing w:after="0" w:line="240" w:lineRule="auto"/>
        <w:jc w:val="center"/>
        <w:rPr>
          <w:rFonts w:ascii="Times New Roman" w:hAnsi="Times New Roman" w:cs="Times New Roman"/>
          <w:sz w:val="24"/>
          <w:szCs w:val="24"/>
        </w:rPr>
      </w:pPr>
      <w:r w:rsidRPr="00CB38AA">
        <w:rPr>
          <w:rFonts w:ascii="Times New Roman" w:hAnsi="Times New Roman" w:cs="Times New Roman"/>
          <w:sz w:val="24"/>
          <w:szCs w:val="24"/>
        </w:rPr>
        <w:t>Presidencia de la diputada Martha Azucena Camacho Reynoso</w:t>
      </w:r>
    </w:p>
    <w:p w:rsidR="00085DEB" w:rsidRPr="00CB38AA" w:rsidRDefault="00085DEB" w:rsidP="00DF6EEA">
      <w:pPr>
        <w:spacing w:after="0" w:line="240" w:lineRule="auto"/>
        <w:jc w:val="both"/>
        <w:rPr>
          <w:rFonts w:ascii="Times New Roman" w:hAnsi="Times New Roman" w:cs="Times New Roman"/>
          <w:sz w:val="24"/>
          <w:szCs w:val="24"/>
        </w:rPr>
      </w:pPr>
    </w:p>
    <w:p w:rsidR="00085DEB" w:rsidRPr="00CB38AA" w:rsidRDefault="00085DEB"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 xml:space="preserve">PRESIDENTA DIP. MARTHA AZUCENA CAMACHO REYNOSO. </w:t>
      </w:r>
      <w:r w:rsidR="000425FD" w:rsidRPr="00CB38AA">
        <w:rPr>
          <w:rFonts w:ascii="Times New Roman" w:hAnsi="Times New Roman" w:cs="Times New Roman"/>
          <w:sz w:val="24"/>
          <w:szCs w:val="24"/>
        </w:rPr>
        <w:t xml:space="preserve">Agradezco la asistencia de las diputadas y los diputados que forman la LXII </w:t>
      </w:r>
      <w:r w:rsidRPr="00CB38AA">
        <w:rPr>
          <w:rFonts w:ascii="Times New Roman" w:hAnsi="Times New Roman" w:cs="Times New Roman"/>
          <w:sz w:val="24"/>
          <w:szCs w:val="24"/>
        </w:rPr>
        <w:t>Legislatura y reconozco su permanente disposición para desarrollar oportunamente las sesiones de esta representación popular.</w:t>
      </w:r>
    </w:p>
    <w:p w:rsidR="00085DEB" w:rsidRPr="00CB38AA" w:rsidRDefault="00085DEB"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Agradezco la presencia de los representantes de los medios de comunicación y de quienes se encuentran en el </w:t>
      </w:r>
      <w:r w:rsidR="0002763E" w:rsidRPr="00CB38AA">
        <w:rPr>
          <w:rFonts w:ascii="Times New Roman" w:hAnsi="Times New Roman" w:cs="Times New Roman"/>
          <w:sz w:val="24"/>
          <w:szCs w:val="24"/>
        </w:rPr>
        <w:t xml:space="preserve">Recinto </w:t>
      </w:r>
      <w:r w:rsidRPr="00CB38AA">
        <w:rPr>
          <w:rFonts w:ascii="Times New Roman" w:hAnsi="Times New Roman" w:cs="Times New Roman"/>
          <w:sz w:val="24"/>
          <w:szCs w:val="24"/>
        </w:rPr>
        <w:t xml:space="preserve">y en las redes sociales “La Casa del Pueblo” es su casa. </w:t>
      </w:r>
    </w:p>
    <w:p w:rsidR="00085DEB" w:rsidRPr="00CB38AA" w:rsidRDefault="00085DEB"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Para la valides de los trabajos pido a la Secretaría verifique el quórum abriendo el sistema electrónico de asistencia hasta por cinco minutos.</w:t>
      </w:r>
    </w:p>
    <w:p w:rsidR="00085DEB" w:rsidRPr="00CB38AA" w:rsidRDefault="00085DEB"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Al constituirse el quórum será abierta la sesión.</w:t>
      </w:r>
    </w:p>
    <w:p w:rsidR="00085DEB" w:rsidRPr="00CB38AA" w:rsidRDefault="00085DEB" w:rsidP="00DF6EEA">
      <w:pPr>
        <w:pStyle w:val="Sinespaciado"/>
        <w:jc w:val="both"/>
        <w:rPr>
          <w:rFonts w:ascii="Times New Roman" w:eastAsia="Times New Roman" w:hAnsi="Times New Roman" w:cs="Times New Roman"/>
          <w:sz w:val="24"/>
          <w:szCs w:val="24"/>
          <w:lang w:eastAsia="es-MX"/>
        </w:rPr>
      </w:pPr>
      <w:r w:rsidRPr="00CB38AA">
        <w:rPr>
          <w:rFonts w:ascii="Times New Roman" w:eastAsia="Times New Roman" w:hAnsi="Times New Roman" w:cs="Times New Roman"/>
          <w:sz w:val="24"/>
          <w:szCs w:val="24"/>
          <w:lang w:eastAsia="es-MX"/>
        </w:rPr>
        <w:t xml:space="preserve">SECRETARIO DIP. EDGAR SAMUEL RÍOS MORENO. </w:t>
      </w:r>
      <w:r w:rsidR="0002763E" w:rsidRPr="00CB38AA">
        <w:rPr>
          <w:rFonts w:ascii="Times New Roman" w:eastAsia="Times New Roman" w:hAnsi="Times New Roman" w:cs="Times New Roman"/>
          <w:sz w:val="24"/>
          <w:szCs w:val="24"/>
          <w:lang w:eastAsia="es-MX"/>
        </w:rPr>
        <w:t>Á</w:t>
      </w:r>
      <w:r w:rsidRPr="00CB38AA">
        <w:rPr>
          <w:rFonts w:ascii="Times New Roman" w:eastAsia="Times New Roman" w:hAnsi="Times New Roman" w:cs="Times New Roman"/>
          <w:sz w:val="24"/>
          <w:szCs w:val="24"/>
          <w:lang w:eastAsia="es-MX"/>
        </w:rPr>
        <w:t>bra</w:t>
      </w:r>
      <w:r w:rsidR="0002763E" w:rsidRPr="00CB38AA">
        <w:rPr>
          <w:rFonts w:ascii="Times New Roman" w:eastAsia="Times New Roman" w:hAnsi="Times New Roman" w:cs="Times New Roman"/>
          <w:sz w:val="24"/>
          <w:szCs w:val="24"/>
          <w:lang w:eastAsia="es-MX"/>
        </w:rPr>
        <w:t>se</w:t>
      </w:r>
      <w:r w:rsidRPr="00CB38AA">
        <w:rPr>
          <w:rFonts w:ascii="Times New Roman" w:eastAsia="Times New Roman" w:hAnsi="Times New Roman" w:cs="Times New Roman"/>
          <w:sz w:val="24"/>
          <w:szCs w:val="24"/>
          <w:lang w:eastAsia="es-MX"/>
        </w:rPr>
        <w:t xml:space="preserve"> </w:t>
      </w:r>
      <w:r w:rsidR="0002763E" w:rsidRPr="00CB38AA">
        <w:rPr>
          <w:rFonts w:ascii="Times New Roman" w:eastAsia="Times New Roman" w:hAnsi="Times New Roman" w:cs="Times New Roman"/>
          <w:sz w:val="24"/>
          <w:szCs w:val="24"/>
          <w:lang w:eastAsia="es-MX"/>
        </w:rPr>
        <w:t xml:space="preserve">el </w:t>
      </w:r>
      <w:r w:rsidRPr="00CB38AA">
        <w:rPr>
          <w:rFonts w:ascii="Times New Roman" w:eastAsia="Times New Roman" w:hAnsi="Times New Roman" w:cs="Times New Roman"/>
          <w:sz w:val="24"/>
          <w:szCs w:val="24"/>
          <w:lang w:eastAsia="es-MX"/>
        </w:rPr>
        <w:t>sistema electrónico de asistencia hasta por cinco minutos.</w:t>
      </w:r>
    </w:p>
    <w:p w:rsidR="00085DEB" w:rsidRPr="00CB38AA" w:rsidRDefault="00085DEB" w:rsidP="00DF6EEA">
      <w:pPr>
        <w:pStyle w:val="Sinespaciado"/>
        <w:jc w:val="center"/>
        <w:rPr>
          <w:rFonts w:ascii="Times New Roman" w:eastAsia="Times New Roman" w:hAnsi="Times New Roman" w:cs="Times New Roman"/>
          <w:i/>
          <w:sz w:val="24"/>
          <w:szCs w:val="24"/>
          <w:lang w:eastAsia="es-MX"/>
        </w:rPr>
      </w:pPr>
      <w:r w:rsidRPr="00CB38AA">
        <w:rPr>
          <w:rFonts w:ascii="Times New Roman" w:eastAsia="Times New Roman" w:hAnsi="Times New Roman" w:cs="Times New Roman"/>
          <w:i/>
          <w:sz w:val="24"/>
          <w:szCs w:val="24"/>
          <w:lang w:eastAsia="es-MX"/>
        </w:rPr>
        <w:t xml:space="preserve">(Registro de </w:t>
      </w:r>
      <w:r w:rsidR="00E95C60" w:rsidRPr="00CB38AA">
        <w:rPr>
          <w:rFonts w:ascii="Times New Roman" w:eastAsia="Times New Roman" w:hAnsi="Times New Roman" w:cs="Times New Roman"/>
          <w:i/>
          <w:sz w:val="24"/>
          <w:szCs w:val="24"/>
          <w:lang w:eastAsia="es-MX"/>
        </w:rPr>
        <w:t>asistencia</w:t>
      </w:r>
      <w:r w:rsidRPr="00CB38AA">
        <w:rPr>
          <w:rFonts w:ascii="Times New Roman" w:eastAsia="Times New Roman" w:hAnsi="Times New Roman" w:cs="Times New Roman"/>
          <w:i/>
          <w:sz w:val="24"/>
          <w:szCs w:val="24"/>
          <w:lang w:eastAsia="es-MX"/>
        </w:rPr>
        <w:t>)</w:t>
      </w:r>
    </w:p>
    <w:p w:rsidR="00085DEB" w:rsidRPr="00CB38AA" w:rsidRDefault="00085DEB" w:rsidP="00DF6EEA">
      <w:pPr>
        <w:pStyle w:val="Sinespaciado"/>
        <w:jc w:val="both"/>
        <w:rPr>
          <w:rFonts w:ascii="Times New Roman" w:eastAsia="Times New Roman" w:hAnsi="Times New Roman" w:cs="Times New Roman"/>
          <w:sz w:val="24"/>
          <w:szCs w:val="24"/>
          <w:lang w:eastAsia="es-MX"/>
        </w:rPr>
      </w:pPr>
      <w:r w:rsidRPr="00CB38AA">
        <w:rPr>
          <w:rFonts w:ascii="Times New Roman" w:eastAsia="Times New Roman" w:hAnsi="Times New Roman" w:cs="Times New Roman"/>
          <w:sz w:val="24"/>
          <w:szCs w:val="24"/>
          <w:lang w:eastAsia="es-MX"/>
        </w:rPr>
        <w:t xml:space="preserve">SECRETARIO DIP. EDGAR SAMUEL RÍOS MORENO. Si alguien falta por registrarse. </w:t>
      </w:r>
    </w:p>
    <w:p w:rsidR="00085DEB" w:rsidRPr="00CB38AA" w:rsidRDefault="00085DEB" w:rsidP="00DF6EEA">
      <w:pPr>
        <w:pStyle w:val="Sinespaciado"/>
        <w:ind w:firstLine="708"/>
        <w:jc w:val="both"/>
        <w:rPr>
          <w:rFonts w:ascii="Times New Roman" w:eastAsia="Times New Roman" w:hAnsi="Times New Roman" w:cs="Times New Roman"/>
          <w:sz w:val="24"/>
          <w:szCs w:val="24"/>
          <w:lang w:eastAsia="es-MX"/>
        </w:rPr>
      </w:pPr>
      <w:r w:rsidRPr="00CB38AA">
        <w:rPr>
          <w:rFonts w:ascii="Times New Roman" w:eastAsia="Times New Roman" w:hAnsi="Times New Roman" w:cs="Times New Roman"/>
          <w:sz w:val="24"/>
          <w:szCs w:val="24"/>
          <w:lang w:eastAsia="es-MX"/>
        </w:rPr>
        <w:t>Existe quórum, procede a abrir la sesión.</w:t>
      </w:r>
    </w:p>
    <w:p w:rsidR="00085DEB" w:rsidRPr="00CB38AA" w:rsidRDefault="00085DEB" w:rsidP="00DF6EEA">
      <w:pPr>
        <w:pStyle w:val="Sinespaciado"/>
        <w:jc w:val="both"/>
        <w:rPr>
          <w:rFonts w:ascii="Times New Roman" w:eastAsia="Times New Roman" w:hAnsi="Times New Roman" w:cs="Times New Roman"/>
          <w:sz w:val="24"/>
          <w:szCs w:val="24"/>
          <w:lang w:eastAsia="es-MX"/>
        </w:rPr>
      </w:pPr>
      <w:r w:rsidRPr="00CB38AA">
        <w:rPr>
          <w:rFonts w:ascii="Times New Roman" w:hAnsi="Times New Roman" w:cs="Times New Roman"/>
          <w:sz w:val="24"/>
          <w:szCs w:val="24"/>
        </w:rPr>
        <w:t>PRESIDENTA DIP. MARTHA AZUCENA CAMACHO REYNOSO</w:t>
      </w:r>
      <w:r w:rsidRPr="00CB38AA">
        <w:rPr>
          <w:rFonts w:ascii="Times New Roman" w:eastAsia="Times New Roman" w:hAnsi="Times New Roman" w:cs="Times New Roman"/>
          <w:sz w:val="24"/>
          <w:szCs w:val="24"/>
          <w:lang w:eastAsia="es-MX"/>
        </w:rPr>
        <w:t>. Se declara la existencia del quórum y se abre la sesión, siendo las dos horas con cincuenta y dos minutos del día miércoles once de febrero del año dos mil veintiséis.</w:t>
      </w:r>
    </w:p>
    <w:p w:rsidR="00085DEB" w:rsidRPr="00CB38AA" w:rsidRDefault="00085DEB" w:rsidP="00DF6EEA">
      <w:pPr>
        <w:pStyle w:val="Sinespaciado"/>
        <w:ind w:firstLine="708"/>
        <w:jc w:val="both"/>
        <w:rPr>
          <w:rFonts w:ascii="Times New Roman" w:eastAsia="Times New Roman" w:hAnsi="Times New Roman" w:cs="Times New Roman"/>
          <w:sz w:val="24"/>
          <w:szCs w:val="24"/>
          <w:lang w:eastAsia="es-MX"/>
        </w:rPr>
      </w:pPr>
      <w:r w:rsidRPr="00CB38AA">
        <w:rPr>
          <w:rFonts w:ascii="Times New Roman" w:eastAsia="Times New Roman" w:hAnsi="Times New Roman" w:cs="Times New Roman"/>
          <w:sz w:val="24"/>
          <w:szCs w:val="24"/>
          <w:lang w:eastAsia="es-MX"/>
        </w:rPr>
        <w:t>Comunique la Secretaría la propuesta del orden del día.</w:t>
      </w:r>
    </w:p>
    <w:p w:rsidR="00085DEB" w:rsidRPr="00CB38AA" w:rsidRDefault="006E1407" w:rsidP="00DF6EEA">
      <w:pPr>
        <w:pStyle w:val="Sinespaciado"/>
        <w:jc w:val="both"/>
        <w:rPr>
          <w:rFonts w:ascii="Times New Roman" w:eastAsia="Times New Roman" w:hAnsi="Times New Roman" w:cs="Times New Roman"/>
          <w:sz w:val="24"/>
          <w:szCs w:val="24"/>
          <w:lang w:eastAsia="es-MX"/>
        </w:rPr>
      </w:pPr>
      <w:r w:rsidRPr="00CB38AA">
        <w:rPr>
          <w:rFonts w:ascii="Times New Roman" w:hAnsi="Times New Roman" w:cs="Times New Roman"/>
          <w:sz w:val="24"/>
          <w:szCs w:val="24"/>
        </w:rPr>
        <w:t xml:space="preserve">SECRETARIO DIP. EDUARDO ZARZOSA SÁNCHEZ. </w:t>
      </w:r>
      <w:r w:rsidR="00085DEB" w:rsidRPr="00CB38AA">
        <w:rPr>
          <w:rFonts w:ascii="Times New Roman" w:eastAsia="Times New Roman" w:hAnsi="Times New Roman" w:cs="Times New Roman"/>
          <w:sz w:val="24"/>
          <w:szCs w:val="24"/>
          <w:lang w:eastAsia="es-MX"/>
        </w:rPr>
        <w:t xml:space="preserve">Con todo gusto Presidenta. </w:t>
      </w:r>
    </w:p>
    <w:p w:rsidR="00085DEB" w:rsidRPr="00CB38AA" w:rsidRDefault="00085DEB" w:rsidP="00DF6EEA">
      <w:pPr>
        <w:pStyle w:val="Sinespaciado"/>
        <w:ind w:firstLine="708"/>
        <w:jc w:val="both"/>
        <w:rPr>
          <w:rFonts w:ascii="Times New Roman" w:eastAsia="Times New Roman" w:hAnsi="Times New Roman" w:cs="Times New Roman"/>
          <w:sz w:val="24"/>
          <w:szCs w:val="24"/>
          <w:lang w:eastAsia="es-MX"/>
        </w:rPr>
      </w:pPr>
      <w:r w:rsidRPr="00CB38AA">
        <w:rPr>
          <w:rFonts w:ascii="Times New Roman" w:eastAsia="Times New Roman" w:hAnsi="Times New Roman" w:cs="Times New Roman"/>
          <w:sz w:val="24"/>
          <w:szCs w:val="24"/>
          <w:lang w:eastAsia="es-MX"/>
        </w:rPr>
        <w:t>La propuesta del orden del día es el siguiente:</w:t>
      </w:r>
    </w:p>
    <w:p w:rsidR="00085DEB" w:rsidRPr="00CB38AA" w:rsidRDefault="00085DEB" w:rsidP="00DF6EEA">
      <w:pPr>
        <w:pStyle w:val="Sinespaciado"/>
        <w:jc w:val="both"/>
        <w:rPr>
          <w:rFonts w:ascii="Times New Roman" w:eastAsia="Times New Roman" w:hAnsi="Times New Roman" w:cs="Times New Roman"/>
          <w:sz w:val="24"/>
          <w:szCs w:val="24"/>
          <w:lang w:eastAsia="es-MX"/>
        </w:rPr>
      </w:pPr>
      <w:r w:rsidRPr="00CB38AA">
        <w:rPr>
          <w:rFonts w:ascii="Times New Roman" w:eastAsia="Times New Roman" w:hAnsi="Times New Roman" w:cs="Times New Roman"/>
          <w:sz w:val="24"/>
          <w:szCs w:val="24"/>
          <w:lang w:eastAsia="es-MX"/>
        </w:rPr>
        <w:t>1. Actas de la Junta y de la sesión anterior.</w:t>
      </w:r>
    </w:p>
    <w:p w:rsidR="00085DEB" w:rsidRPr="00CB38AA" w:rsidRDefault="00085DEB" w:rsidP="00DF6EEA">
      <w:pPr>
        <w:pStyle w:val="Sinespaciado"/>
        <w:jc w:val="both"/>
        <w:rPr>
          <w:rFonts w:ascii="Times New Roman" w:eastAsia="Times New Roman" w:hAnsi="Times New Roman" w:cs="Times New Roman"/>
          <w:sz w:val="24"/>
          <w:szCs w:val="24"/>
          <w:lang w:eastAsia="es-MX"/>
        </w:rPr>
      </w:pPr>
      <w:r w:rsidRPr="00CB38AA">
        <w:rPr>
          <w:rFonts w:ascii="Times New Roman" w:eastAsia="Times New Roman" w:hAnsi="Times New Roman" w:cs="Times New Roman"/>
          <w:sz w:val="24"/>
          <w:szCs w:val="24"/>
          <w:lang w:eastAsia="es-MX"/>
        </w:rPr>
        <w:t>2. Informe de actividades realizadas por la Diputación Permanente de la LXII Legislatura.</w:t>
      </w:r>
    </w:p>
    <w:p w:rsidR="00085DEB" w:rsidRPr="00CB38AA" w:rsidRDefault="00085DEB" w:rsidP="00DF6EEA">
      <w:pPr>
        <w:pStyle w:val="Sinespaciado"/>
        <w:jc w:val="both"/>
        <w:rPr>
          <w:rFonts w:ascii="Times New Roman" w:eastAsia="Times New Roman" w:hAnsi="Times New Roman" w:cs="Times New Roman"/>
          <w:sz w:val="24"/>
          <w:szCs w:val="24"/>
          <w:lang w:eastAsia="es-MX"/>
        </w:rPr>
      </w:pPr>
      <w:r w:rsidRPr="00CB38AA">
        <w:rPr>
          <w:rFonts w:ascii="Times New Roman" w:eastAsia="Times New Roman" w:hAnsi="Times New Roman" w:cs="Times New Roman"/>
          <w:sz w:val="24"/>
          <w:szCs w:val="24"/>
          <w:lang w:eastAsia="es-MX"/>
        </w:rPr>
        <w:t>3. Discusión y resolución del dictamen de la solicitud del inicio del procedimiento de diferendo limítrofe intermunicipal entre los municipios de Acolman y Ecatepec de Morelos y como terceros interesados a los municipios de Tecámac y Atenco, Estado de México. Formulado por la Comisión Legislativa de Límites Territoriales del Estado de México y sus municipios.</w:t>
      </w:r>
    </w:p>
    <w:p w:rsidR="00635F30" w:rsidRPr="00CB38AA" w:rsidRDefault="00085DEB" w:rsidP="00DF6EEA">
      <w:pPr>
        <w:pStyle w:val="Sinespaciado"/>
        <w:jc w:val="both"/>
        <w:rPr>
          <w:rFonts w:ascii="Times New Roman" w:hAnsi="Times New Roman" w:cs="Times New Roman"/>
          <w:sz w:val="24"/>
          <w:szCs w:val="24"/>
        </w:rPr>
      </w:pPr>
      <w:r w:rsidRPr="00CB38AA">
        <w:rPr>
          <w:rFonts w:ascii="Times New Roman" w:eastAsia="Times New Roman" w:hAnsi="Times New Roman" w:cs="Times New Roman"/>
          <w:sz w:val="24"/>
          <w:szCs w:val="24"/>
          <w:lang w:eastAsia="es-MX"/>
        </w:rPr>
        <w:t xml:space="preserve">4. Lectura y </w:t>
      </w:r>
      <w:r w:rsidR="002A5F1F" w:rsidRPr="00CB38AA">
        <w:rPr>
          <w:rFonts w:ascii="Times New Roman" w:eastAsia="Times New Roman" w:hAnsi="Times New Roman" w:cs="Times New Roman"/>
          <w:sz w:val="24"/>
          <w:szCs w:val="24"/>
          <w:lang w:eastAsia="es-MX"/>
        </w:rPr>
        <w:t xml:space="preserve">acuerdo conducente </w:t>
      </w:r>
      <w:r w:rsidR="00635F30" w:rsidRPr="00CB38AA">
        <w:rPr>
          <w:rFonts w:ascii="Times New Roman" w:hAnsi="Times New Roman" w:cs="Times New Roman"/>
          <w:sz w:val="24"/>
          <w:szCs w:val="24"/>
        </w:rPr>
        <w:t xml:space="preserve">de la </w:t>
      </w:r>
      <w:r w:rsidR="00E13CB1" w:rsidRPr="00CB38AA">
        <w:rPr>
          <w:rFonts w:ascii="Times New Roman" w:hAnsi="Times New Roman" w:cs="Times New Roman"/>
          <w:sz w:val="24"/>
          <w:szCs w:val="24"/>
        </w:rPr>
        <w:t xml:space="preserve">Iniciativa </w:t>
      </w:r>
      <w:r w:rsidR="00635F30" w:rsidRPr="00CB38AA">
        <w:rPr>
          <w:rFonts w:ascii="Times New Roman" w:hAnsi="Times New Roman" w:cs="Times New Roman"/>
          <w:sz w:val="24"/>
          <w:szCs w:val="24"/>
        </w:rPr>
        <w:t xml:space="preserve">de </w:t>
      </w:r>
      <w:r w:rsidR="00E13CB1" w:rsidRPr="00CB38AA">
        <w:rPr>
          <w:rFonts w:ascii="Times New Roman" w:hAnsi="Times New Roman" w:cs="Times New Roman"/>
          <w:sz w:val="24"/>
          <w:szCs w:val="24"/>
        </w:rPr>
        <w:t xml:space="preserve">Decreto </w:t>
      </w:r>
      <w:r w:rsidR="00635F30" w:rsidRPr="00CB38AA">
        <w:rPr>
          <w:rFonts w:ascii="Times New Roman" w:hAnsi="Times New Roman" w:cs="Times New Roman"/>
          <w:sz w:val="24"/>
          <w:szCs w:val="24"/>
        </w:rPr>
        <w:t>por la que se autoriza al Ayuntamiento de Otumba, Estado de México a desincorporar del Patrimonio del Municipio un Inmueble para que sea donado a título gratuito a favor del Gobierno del Estado de México con destino a la Secretaría de Educación, Ciencia, Tecnología e Innovación para realizar las acciones necesarias destinadas a la construcción de una escuela normal, presentada por la Titular del Ejecutivo Estatal de urgente y obvia resolución.</w:t>
      </w:r>
    </w:p>
    <w:p w:rsidR="00635F30" w:rsidRPr="00CB38AA" w:rsidRDefault="00635F30"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 xml:space="preserve">5. Resolución y acuerdo conducente de la </w:t>
      </w:r>
      <w:r w:rsidR="00CA450C" w:rsidRPr="00CB38AA">
        <w:rPr>
          <w:rFonts w:ascii="Times New Roman" w:hAnsi="Times New Roman" w:cs="Times New Roman"/>
          <w:sz w:val="24"/>
          <w:szCs w:val="24"/>
        </w:rPr>
        <w:t xml:space="preserve">Iniciativa </w:t>
      </w:r>
      <w:r w:rsidRPr="00CB38AA">
        <w:rPr>
          <w:rFonts w:ascii="Times New Roman" w:hAnsi="Times New Roman" w:cs="Times New Roman"/>
          <w:sz w:val="24"/>
          <w:szCs w:val="24"/>
        </w:rPr>
        <w:t xml:space="preserve">con </w:t>
      </w:r>
      <w:r w:rsidR="00CA450C" w:rsidRPr="00CB38AA">
        <w:rPr>
          <w:rFonts w:ascii="Times New Roman" w:hAnsi="Times New Roman" w:cs="Times New Roman"/>
          <w:sz w:val="24"/>
          <w:szCs w:val="24"/>
        </w:rPr>
        <w:t xml:space="preserve">Proyecto </w:t>
      </w:r>
      <w:r w:rsidRPr="00CB38AA">
        <w:rPr>
          <w:rFonts w:ascii="Times New Roman" w:hAnsi="Times New Roman" w:cs="Times New Roman"/>
          <w:sz w:val="24"/>
          <w:szCs w:val="24"/>
        </w:rPr>
        <w:t xml:space="preserve">de </w:t>
      </w:r>
      <w:r w:rsidR="00CA450C" w:rsidRPr="00CB38AA">
        <w:rPr>
          <w:rFonts w:ascii="Times New Roman" w:hAnsi="Times New Roman" w:cs="Times New Roman"/>
          <w:sz w:val="24"/>
          <w:szCs w:val="24"/>
        </w:rPr>
        <w:t xml:space="preserve">Decreto </w:t>
      </w:r>
      <w:r w:rsidRPr="00CB38AA">
        <w:rPr>
          <w:rFonts w:ascii="Times New Roman" w:hAnsi="Times New Roman" w:cs="Times New Roman"/>
          <w:sz w:val="24"/>
          <w:szCs w:val="24"/>
        </w:rPr>
        <w:t>que adiciona los artículos 1.5 Bis al 1.5 Quater del Código Civil del Estado de México para regular la nulidad de juicio concluido, presentada por el Presidente del Tribunal Superior de Justicia del Estado de México.</w:t>
      </w:r>
    </w:p>
    <w:p w:rsidR="00635F30" w:rsidRPr="00CB38AA" w:rsidRDefault="00635F30"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 xml:space="preserve">6. Lectura y acuerdo conducente de la Iniciativa con Proyecto de Decreto que reforma el artículo 47 de la Ley Orgánica del Poder Judicial del Estado de México, relacionada con la integración de los Tribunales de Alzada, presentada por el Presidente del Tribunal Superior de Justicia del Estado de México. </w:t>
      </w:r>
    </w:p>
    <w:p w:rsidR="00635F30" w:rsidRPr="00CB38AA" w:rsidRDefault="00635F30"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 xml:space="preserve">7. Lectura y acuerdo conducente de la Iniciativa con Proyecto de Decreto por el cual se adiciona el artículo 130 Ter a la Constitución Política del Estado Libre y Soberano de México, en relación con </w:t>
      </w:r>
      <w:r w:rsidRPr="00CB38AA">
        <w:rPr>
          <w:rFonts w:ascii="Times New Roman" w:hAnsi="Times New Roman" w:cs="Times New Roman"/>
          <w:sz w:val="24"/>
          <w:szCs w:val="24"/>
        </w:rPr>
        <w:lastRenderedPageBreak/>
        <w:t>la Agencia Estatal Anticorrupción, presentada por el Diputado Gerardo Pliego Santana, en nombre del Grupo Parlamentario del Partido morena.</w:t>
      </w:r>
    </w:p>
    <w:p w:rsidR="00635F30" w:rsidRPr="00CB38AA" w:rsidRDefault="00635F30"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8. Lectura y acuerdo conducente de la Iniciativa con Proyecto de Decreto, por el que se reforma el artículo 228, con adición de la fracción XI del Código Penal del Estado de México, para garantizar una protección más eficaz del medio ambiente, presentada por el Diputado Javier Cruz Jaramillo, en nombre del Grupo Parlamentario del Partido morena.</w:t>
      </w:r>
    </w:p>
    <w:p w:rsidR="00635F30" w:rsidRPr="00CB38AA" w:rsidRDefault="00635F30"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9. Lectura y acuerdo conducente de la Iniciativa con Proyecto de Decreto por el que se reforman diversas disposiciones de la Ley Orgánica Municipal del Estado de México, con el fin de fortalecer el trabajo de las Comisiones Edilicias Permanentes y transparentar su actuar como Órganos Auxiliares del gobierno municipal, presentada por el Diputado Valentín Martínez Castillo, en nombre del Grupo Parlamentario del Partido morena.</w:t>
      </w:r>
    </w:p>
    <w:p w:rsidR="00635F30" w:rsidRPr="00CB38AA" w:rsidRDefault="00635F30"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10. Lectura y acuerdo conducente de la Iniciativa con Proyecto de Decreto por el que se expide la Ley de Protección e Impulso Productivo y Patrimonial del Mezcal del Estado de México, presentada por el Diputado Israel Espíndola López, en nombre del Grupo Parlamentario del Partido morena.</w:t>
      </w:r>
    </w:p>
    <w:p w:rsidR="00635F30" w:rsidRPr="00CB38AA" w:rsidRDefault="00635F30"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 xml:space="preserve">11. Lectura y acuerdo conducente de la Iniciativa con </w:t>
      </w:r>
      <w:r w:rsidR="004A13BA" w:rsidRPr="00CB38AA">
        <w:rPr>
          <w:rFonts w:ascii="Times New Roman" w:hAnsi="Times New Roman" w:cs="Times New Roman"/>
          <w:sz w:val="24"/>
          <w:szCs w:val="24"/>
        </w:rPr>
        <w:t xml:space="preserve">Proyecto </w:t>
      </w:r>
      <w:r w:rsidRPr="00CB38AA">
        <w:rPr>
          <w:rFonts w:ascii="Times New Roman" w:hAnsi="Times New Roman" w:cs="Times New Roman"/>
          <w:sz w:val="24"/>
          <w:szCs w:val="24"/>
        </w:rPr>
        <w:t xml:space="preserve">de </w:t>
      </w:r>
      <w:r w:rsidR="004A13BA" w:rsidRPr="00CB38AA">
        <w:rPr>
          <w:rFonts w:ascii="Times New Roman" w:hAnsi="Times New Roman" w:cs="Times New Roman"/>
          <w:sz w:val="24"/>
          <w:szCs w:val="24"/>
        </w:rPr>
        <w:t xml:space="preserve">Decreto </w:t>
      </w:r>
      <w:r w:rsidRPr="00CB38AA">
        <w:rPr>
          <w:rFonts w:ascii="Times New Roman" w:hAnsi="Times New Roman" w:cs="Times New Roman"/>
          <w:sz w:val="24"/>
          <w:szCs w:val="24"/>
        </w:rPr>
        <w:t xml:space="preserve">por el que se </w:t>
      </w:r>
      <w:r w:rsidR="00431D1D" w:rsidRPr="00CB38AA">
        <w:rPr>
          <w:rFonts w:ascii="Times New Roman" w:hAnsi="Times New Roman" w:cs="Times New Roman"/>
          <w:sz w:val="24"/>
          <w:szCs w:val="24"/>
        </w:rPr>
        <w:t xml:space="preserve">Reforma </w:t>
      </w:r>
      <w:r w:rsidRPr="00CB38AA">
        <w:rPr>
          <w:rFonts w:ascii="Times New Roman" w:hAnsi="Times New Roman" w:cs="Times New Roman"/>
          <w:sz w:val="24"/>
          <w:szCs w:val="24"/>
        </w:rPr>
        <w:t>y adicionan diversos artículos del Código Penal del Estado de México, a fin de equiparar el delito de estupro con el delito de violación, presentada por la Diputada Zaira Cedillo Silva, en nombre del Grupo Parlamentario del Partido morena.</w:t>
      </w:r>
    </w:p>
    <w:p w:rsidR="00635F30" w:rsidRPr="00CB38AA" w:rsidRDefault="00635F30"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 xml:space="preserve">12. Lectura y acuerdo conducente de la Iniciativa con Proyecto de Decreto por el que se adiciona un </w:t>
      </w:r>
      <w:r w:rsidR="00431D1D" w:rsidRPr="00CB38AA">
        <w:rPr>
          <w:rFonts w:ascii="Times New Roman" w:hAnsi="Times New Roman" w:cs="Times New Roman"/>
          <w:sz w:val="24"/>
          <w:szCs w:val="24"/>
        </w:rPr>
        <w:t xml:space="preserve">Párrafo Vigésimo Sexto </w:t>
      </w:r>
      <w:r w:rsidRPr="00CB38AA">
        <w:rPr>
          <w:rFonts w:ascii="Times New Roman" w:hAnsi="Times New Roman" w:cs="Times New Roman"/>
          <w:sz w:val="24"/>
          <w:szCs w:val="24"/>
        </w:rPr>
        <w:t xml:space="preserve">al </w:t>
      </w:r>
      <w:r w:rsidR="00431D1D" w:rsidRPr="00CB38AA">
        <w:rPr>
          <w:rFonts w:ascii="Times New Roman" w:hAnsi="Times New Roman" w:cs="Times New Roman"/>
          <w:sz w:val="24"/>
          <w:szCs w:val="24"/>
        </w:rPr>
        <w:t xml:space="preserve">Artículo Quinto </w:t>
      </w:r>
      <w:r w:rsidRPr="00CB38AA">
        <w:rPr>
          <w:rFonts w:ascii="Times New Roman" w:hAnsi="Times New Roman" w:cs="Times New Roman"/>
          <w:sz w:val="24"/>
          <w:szCs w:val="24"/>
        </w:rPr>
        <w:t>de la Constitución Política del Estado Libre y Soberano de México; se adiciona el artículo 4 Bis de la Ley Orgánica de la Administración Pública del Estado de México y se adiciona la fracción XXXIII Bis al artículo 31 de la Ley Orgánica Municipal del Estado de México, en materia de rehúso de materiales, la utilización de papel reciclado y la digitalización progresiva de documentos y trámites, presentada por la Diputada Paola Jiménez Hernández, en nombre del Grupo Parlamentario del Partido morena.</w:t>
      </w:r>
    </w:p>
    <w:p w:rsidR="00635F30" w:rsidRPr="00CB38AA" w:rsidRDefault="00635F30"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 xml:space="preserve">13. Lectura y acuerdo conducente de la Iniciativa con </w:t>
      </w:r>
      <w:r w:rsidR="00C57A0C" w:rsidRPr="00CB38AA">
        <w:rPr>
          <w:rFonts w:ascii="Times New Roman" w:hAnsi="Times New Roman" w:cs="Times New Roman"/>
          <w:sz w:val="24"/>
          <w:szCs w:val="24"/>
        </w:rPr>
        <w:t xml:space="preserve">Proyecto </w:t>
      </w:r>
      <w:r w:rsidRPr="00CB38AA">
        <w:rPr>
          <w:rFonts w:ascii="Times New Roman" w:hAnsi="Times New Roman" w:cs="Times New Roman"/>
          <w:sz w:val="24"/>
          <w:szCs w:val="24"/>
        </w:rPr>
        <w:t xml:space="preserve">de </w:t>
      </w:r>
      <w:r w:rsidR="00C57A0C" w:rsidRPr="00CB38AA">
        <w:rPr>
          <w:rFonts w:ascii="Times New Roman" w:hAnsi="Times New Roman" w:cs="Times New Roman"/>
          <w:sz w:val="24"/>
          <w:szCs w:val="24"/>
        </w:rPr>
        <w:t>Decreto</w:t>
      </w:r>
      <w:r w:rsidRPr="00CB38AA">
        <w:rPr>
          <w:rFonts w:ascii="Times New Roman" w:hAnsi="Times New Roman" w:cs="Times New Roman"/>
          <w:sz w:val="24"/>
          <w:szCs w:val="24"/>
        </w:rPr>
        <w:t>, mediante la cual se adiciona un artículo 138 Bis a la Ley del Trabajo de los Servidores Públicos del Estado de México y se adiciona una fracción XIV al artículo 52; una Sección Décima Cuarta denominada de La Injerencia Sindical al Capítulo Segundo De Las Faltas Administrativas Graves de los Servidores Públicos; y un artículo 67 Bis, todos a la Ley de Responsabilidades Administrativas del Estado de México y Municipios, presentada por el Diputado Rigoberto Vargas Cervantes, en nombre del Grupo Parlamentario del Partido morena.</w:t>
      </w:r>
    </w:p>
    <w:p w:rsidR="00635F30" w:rsidRPr="00CB38AA" w:rsidRDefault="00635F30"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14. Lectura y acuerdo conducente de la Iniciativa de Decreto por el que se expide la Ley Estatal de Acceso a la Promoción de la Paz, presentada por la Diputada Itzel Guadalupe Pérez Correa, en materia del Grupo Parlamentario del Partido Verde Ecologista de México.</w:t>
      </w:r>
    </w:p>
    <w:p w:rsidR="00635F30" w:rsidRPr="00CB38AA" w:rsidRDefault="00635F30"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15. Lectura y acuerdo conducente de la Iniciativa con Proyecto de Decreto por el que se reforma el artículo 60 de la Ley de Educación del Estado de México, en materia de protección de datos personales de las niñas y niños, presentada por la Diputada Alejandra Figueroa Adame, en nombre del Grupo Parlamentario del Partido Verde Ecologista de México.</w:t>
      </w:r>
    </w:p>
    <w:p w:rsidR="002A5F1F" w:rsidRPr="00CB38AA" w:rsidRDefault="00635F30"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 xml:space="preserve">16. Lectura y acuerdo conducente de la Iniciativa con Proyecto de Decreto por el que se adiciona un párrafo al artículo 5 de la Constitución </w:t>
      </w:r>
      <w:r w:rsidR="00F8351D" w:rsidRPr="00CB38AA">
        <w:rPr>
          <w:rFonts w:ascii="Times New Roman" w:hAnsi="Times New Roman" w:cs="Times New Roman"/>
          <w:sz w:val="24"/>
          <w:szCs w:val="24"/>
        </w:rPr>
        <w:t xml:space="preserve">Política </w:t>
      </w:r>
      <w:r w:rsidR="002A5F1F" w:rsidRPr="00CB38AA">
        <w:rPr>
          <w:rFonts w:ascii="Times New Roman" w:hAnsi="Times New Roman" w:cs="Times New Roman"/>
          <w:sz w:val="24"/>
          <w:szCs w:val="24"/>
        </w:rPr>
        <w:t xml:space="preserve">del Estado Libre y Soberano del Estado de México, y se incorporan el artículo 289 </w:t>
      </w:r>
      <w:r w:rsidR="00CB4D5A" w:rsidRPr="00CB38AA">
        <w:rPr>
          <w:rFonts w:ascii="Times New Roman" w:hAnsi="Times New Roman" w:cs="Times New Roman"/>
          <w:sz w:val="24"/>
          <w:szCs w:val="24"/>
        </w:rPr>
        <w:t>Quater</w:t>
      </w:r>
      <w:r w:rsidR="002A5F1F" w:rsidRPr="00CB38AA">
        <w:rPr>
          <w:rFonts w:ascii="Times New Roman" w:hAnsi="Times New Roman" w:cs="Times New Roman"/>
          <w:sz w:val="24"/>
          <w:szCs w:val="24"/>
        </w:rPr>
        <w:t xml:space="preserve"> del Código Financiero del Estado de México y Municipios y el artículo 28 Bis de la Ley Orgánica Municipal del Estado de México, en materia de presupuesto participativo, presentada por la Diputada Sofía Martínez Molina, en nombre del Grupo Parlamentario del Partido del Trabajo.</w:t>
      </w:r>
    </w:p>
    <w:p w:rsidR="002A5F1F" w:rsidRPr="00CB38AA" w:rsidRDefault="002A5F1F"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 xml:space="preserve">17.- Lectura y acuerdo conducente de la Iniciativa con proyecto de decreto por el que se adicionan diversas disposiciones a la Ley de Turismo Sostenible y Desarrollo Artesanal del Estado de México, para crear una Defensoría Estatal del Turista que oriente y proteja los derechos de </w:t>
      </w:r>
      <w:r w:rsidRPr="00CB38AA">
        <w:rPr>
          <w:rFonts w:ascii="Times New Roman" w:hAnsi="Times New Roman" w:cs="Times New Roman"/>
          <w:sz w:val="24"/>
          <w:szCs w:val="24"/>
        </w:rPr>
        <w:lastRenderedPageBreak/>
        <w:t>excursionistas, visitantes y turistas, presentada por la Diputada Lilia Urbina Salazar, en nombre del Grupo Parlamentario del Partido Revolucionario Institucional.</w:t>
      </w:r>
    </w:p>
    <w:p w:rsidR="002A5F1F" w:rsidRPr="00CB38AA" w:rsidRDefault="002A5F1F"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 xml:space="preserve">18.- Lectura y acuerdo conducente de la Iniciativa con </w:t>
      </w:r>
      <w:r w:rsidR="00246B33" w:rsidRPr="00CB38AA">
        <w:rPr>
          <w:rFonts w:ascii="Times New Roman" w:hAnsi="Times New Roman" w:cs="Times New Roman"/>
          <w:sz w:val="24"/>
          <w:szCs w:val="24"/>
        </w:rPr>
        <w:t xml:space="preserve">Proyecto </w:t>
      </w:r>
      <w:r w:rsidRPr="00CB38AA">
        <w:rPr>
          <w:rFonts w:ascii="Times New Roman" w:hAnsi="Times New Roman" w:cs="Times New Roman"/>
          <w:sz w:val="24"/>
          <w:szCs w:val="24"/>
        </w:rPr>
        <w:t xml:space="preserve">de Decreto por el que se adiciona la fracción VI recorriendo la subsecuente del artículo 29; y se adiciona el artículo 29 </w:t>
      </w:r>
      <w:r w:rsidR="00246B33" w:rsidRPr="00CB38AA">
        <w:rPr>
          <w:rFonts w:ascii="Times New Roman" w:hAnsi="Times New Roman" w:cs="Times New Roman"/>
          <w:sz w:val="24"/>
          <w:szCs w:val="24"/>
        </w:rPr>
        <w:t>Quater</w:t>
      </w:r>
      <w:r w:rsidRPr="00CB38AA">
        <w:rPr>
          <w:rFonts w:ascii="Times New Roman" w:hAnsi="Times New Roman" w:cs="Times New Roman"/>
          <w:sz w:val="24"/>
          <w:szCs w:val="24"/>
        </w:rPr>
        <w:t>, todos de la Ley de la Fiscalía General de Justicia del Estado de México, con el objeto de crear La Fiscalía Especializada en Atención a los Delitos cometidos contra personas Adultas Mayores, presentada por la Diputada Joanna Alejandra Felipe Torres y el Diputado Pablo Fernández de Cevallos González, en nombre del Grupo Parlamentario del Partido Acción Nacional.</w:t>
      </w:r>
    </w:p>
    <w:p w:rsidR="002A5F1F" w:rsidRPr="00CB38AA" w:rsidRDefault="002A5F1F"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19.- Lectura y acuerdo conducente de la Iniciativa con Proyecto de Decreto por el que se reforma el artículo 6.67 del Código para la Biodiversidad del Estado de México, en materia de venta de animales, presentada por el Diputado Anuar Roberto Azar Figueroa y el Diputado Pablo Fernández de Cevallos González, en nombre del Grupo Parlamentario del Partido Acción Nacional.</w:t>
      </w:r>
    </w:p>
    <w:p w:rsidR="002A5F1F" w:rsidRPr="00CB38AA" w:rsidRDefault="002A5F1F"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20.- Lectura y acuerdo conducente de la Iniciativa con Proyecto de Decreto que reforma el primer párrafo y reforma el numeral 4 del inciso a) del artículo 2.199 del Código para la Biodiversidad del Estado de México, en materia de reglas claras en el Hoy No Circula y No al Corralón, presentada por las y los integrantes del Grupo Parlamentario del Partido Movimiento Ciudadano.</w:t>
      </w:r>
    </w:p>
    <w:p w:rsidR="002A5F1F" w:rsidRPr="00CB38AA" w:rsidRDefault="002A5F1F"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21.- Lectura y acuerdo conducente de Iniciativa con Proyecto de Decreto por el que se reforma la Ley de Educación del Estado de México, en materia de educación sexual, presentado por el Diputado Omar Ortega Álvarez y la Diputada Araceli Casasola Salazar, en nombre del Grupo Parlamentario del Partido de la Revolución Democrática.</w:t>
      </w:r>
    </w:p>
    <w:p w:rsidR="002A5F1F" w:rsidRPr="00CB38AA" w:rsidRDefault="002A5F1F"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 xml:space="preserve">22.- Lectura y acuerdo conducente del Punto de Acuerdo por el que se exhorta respetuosamente a los 125 ayuntamientos del Estado de México, a la Secretaría de Salud del Estado de México y al Sistema para el Desarrollo Integral de la Familia del Estado de México (DIFEM), para que, en el ámbito de sus atribuciones, instalen refugios o espacios de resguardo de manera permanente, destinados a familiares de pacientes hospitalizados, garantizando condiciones de seguridad, higiene, descanso y acceso a servicios básicos, presentado por el Diputado Isaías Peláez Soria, en nombre del Grupo Parlamentario del Partido Verde Ecologista de México. </w:t>
      </w:r>
    </w:p>
    <w:p w:rsidR="002A5F1F" w:rsidRPr="00CB38AA" w:rsidRDefault="002A5F1F"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23.- Lectura y acuerdo conducente del Punto de Acuerdo por el que se exhorta a la Secretaría de Movilidad del Gobierno del Estado de México y al Sistema de Autopistas, Aeropuertos, Servicios Conexos y Auxiliares del Estado de México, a realizar las acciones necesarias para garantizar que las y los residentes de las comunidades colindantes a la autopista Atlacomulco-Polotitlán estén exentos del pago de peaje, una vez que dicha carretera de cuota sea concluida y entre en operación, presentado por el Diputado Eduardo Zarzosa Sánchez, en nombre del Grupo Parlamentario del Partido Revolucionario Institucional.</w:t>
      </w:r>
    </w:p>
    <w:p w:rsidR="002A5F1F" w:rsidRPr="00CB38AA" w:rsidRDefault="002A5F1F"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24.- Pronunciamiento de solidaridad con el pueblo de Cuba, ante la crisis humanitaria derivada de las sanciones energéticas y económicas impuestas por Estados Unidos y por la soberanía de México, presentada por la Diputada Sara Alicia Ramírez de la O, en nombre del Grupo Parlamentario del Partido del Trabajo.</w:t>
      </w:r>
    </w:p>
    <w:p w:rsidR="002A5F1F" w:rsidRPr="00CB38AA" w:rsidRDefault="002A5F1F"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25.- Informe Anual de Actividades, presentado por la C. María Teresa de Jesús Cruz Camarena, Titular del Órgano Interno de Control en la Universidad Autónoma del Estado de México.</w:t>
      </w:r>
    </w:p>
    <w:p w:rsidR="002A5F1F" w:rsidRPr="00CB38AA" w:rsidRDefault="002A5F1F"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26.- Informe del Presidente Municipal Constitucional de Metepec, en relación con salida de trabajo al extranjero. (46° edición de la Feria Internacional de Turismo, a celebrarse</w:t>
      </w:r>
      <w:r w:rsidR="000C3B98" w:rsidRPr="00CB38AA">
        <w:rPr>
          <w:rFonts w:ascii="Times New Roman" w:hAnsi="Times New Roman" w:cs="Times New Roman"/>
          <w:sz w:val="24"/>
          <w:szCs w:val="24"/>
        </w:rPr>
        <w:t xml:space="preserve"> </w:t>
      </w:r>
      <w:r w:rsidRPr="00CB38AA">
        <w:rPr>
          <w:rFonts w:ascii="Times New Roman" w:hAnsi="Times New Roman" w:cs="Times New Roman"/>
          <w:sz w:val="24"/>
          <w:szCs w:val="24"/>
        </w:rPr>
        <w:t>en IFEMA Madrid, España, del 19 al 23 de enero del 2026)</w:t>
      </w:r>
    </w:p>
    <w:p w:rsidR="002A5F1F" w:rsidRPr="00CB38AA" w:rsidRDefault="002A5F1F"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27.- Clausura de la sesión.</w:t>
      </w:r>
    </w:p>
    <w:p w:rsidR="00F8351D" w:rsidRPr="00CB38AA" w:rsidRDefault="002A5F1F"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PRESIDENTA DIP. MARTHA AZUCENA CAMACHO REYNOSO. Pido a quienes estén a favor de la propuesta que ha comunicado la Secretaría sea aprobada como orden del día se sirvan levantar la mano. ¿En contra?</w:t>
      </w:r>
      <w:r w:rsidR="00FE36FA" w:rsidRPr="00CB38AA">
        <w:rPr>
          <w:rFonts w:ascii="Times New Roman" w:hAnsi="Times New Roman" w:cs="Times New Roman"/>
          <w:sz w:val="24"/>
          <w:szCs w:val="24"/>
        </w:rPr>
        <w:t xml:space="preserve"> </w:t>
      </w:r>
      <w:r w:rsidR="00F8351D" w:rsidRPr="00CB38AA">
        <w:rPr>
          <w:rFonts w:ascii="Times New Roman" w:hAnsi="Times New Roman" w:cs="Times New Roman"/>
          <w:sz w:val="24"/>
          <w:szCs w:val="24"/>
        </w:rPr>
        <w:t>¿En abstención?</w:t>
      </w:r>
    </w:p>
    <w:p w:rsidR="00F8351D" w:rsidRPr="00CB38AA" w:rsidRDefault="00F8351D"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 xml:space="preserve">SECRETARIO DIP. EDUARDO ZARZOSA SÁNCHEZ. La propuesta de Orden del día ha sido aprobada por unanimidad de votos Presidenta. </w:t>
      </w:r>
    </w:p>
    <w:p w:rsidR="00F8351D" w:rsidRPr="00CB38AA" w:rsidRDefault="00F8351D"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lastRenderedPageBreak/>
        <w:t xml:space="preserve">PRESIDENTA DIP. MARTHA AZUCENA CAMACHO REYNOSO. Gracias señor Secretario. </w:t>
      </w:r>
    </w:p>
    <w:p w:rsidR="00F8351D" w:rsidRPr="00CB38AA" w:rsidRDefault="00F8351D"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 xml:space="preserve">En relación al punto número 1, diputado Martín Zepeda. ¿Con qué objeto? </w:t>
      </w:r>
    </w:p>
    <w:p w:rsidR="00F8351D" w:rsidRPr="00CB38AA" w:rsidRDefault="00F8351D"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 xml:space="preserve">DIP. MARTÍN ZEPEDA HERNÁNDEZ. Le solicito, a nombre de la </w:t>
      </w:r>
      <w:r w:rsidR="008F5C64" w:rsidRPr="00CB38AA">
        <w:rPr>
          <w:rFonts w:ascii="Times New Roman" w:hAnsi="Times New Roman" w:cs="Times New Roman"/>
          <w:sz w:val="24"/>
          <w:szCs w:val="24"/>
        </w:rPr>
        <w:t xml:space="preserve">Bancada </w:t>
      </w:r>
      <w:r w:rsidRPr="00CB38AA">
        <w:rPr>
          <w:rFonts w:ascii="Times New Roman" w:hAnsi="Times New Roman" w:cs="Times New Roman"/>
          <w:sz w:val="24"/>
          <w:szCs w:val="24"/>
        </w:rPr>
        <w:t>de Movimiento Ciudadano y de la más, más atenta manera, pudiera pedirles a los integrantes de este Pleno Legislativo guardar un minuto de silencio por el fallecimiento de la mamá de nuestra muy querida compañera y diputada Mari</w:t>
      </w:r>
      <w:r w:rsidR="0072260D" w:rsidRPr="00CB38AA">
        <w:rPr>
          <w:rFonts w:ascii="Times New Roman" w:hAnsi="Times New Roman" w:cs="Times New Roman"/>
          <w:sz w:val="24"/>
          <w:szCs w:val="24"/>
        </w:rPr>
        <w:t>c</w:t>
      </w:r>
      <w:r w:rsidRPr="00CB38AA">
        <w:rPr>
          <w:rFonts w:ascii="Times New Roman" w:hAnsi="Times New Roman" w:cs="Times New Roman"/>
          <w:sz w:val="24"/>
          <w:szCs w:val="24"/>
        </w:rPr>
        <w:t xml:space="preserve">ela Beltrán Sánchez. </w:t>
      </w:r>
    </w:p>
    <w:p w:rsidR="00F8351D" w:rsidRPr="00CB38AA" w:rsidRDefault="00F8351D"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PRESIDENTA DIP. MARTHA AZUCENA CAMACHO REYNOSO. Adelante.</w:t>
      </w:r>
    </w:p>
    <w:p w:rsidR="00F8351D" w:rsidRPr="00CB38AA" w:rsidRDefault="00F8351D" w:rsidP="00DF6EEA">
      <w:pPr>
        <w:spacing w:after="0" w:line="240" w:lineRule="auto"/>
        <w:rPr>
          <w:rFonts w:ascii="Times New Roman" w:hAnsi="Times New Roman" w:cs="Times New Roman"/>
          <w:sz w:val="24"/>
          <w:szCs w:val="24"/>
        </w:rPr>
      </w:pPr>
      <w:r w:rsidRPr="00CB38AA">
        <w:rPr>
          <w:rFonts w:ascii="Times New Roman" w:hAnsi="Times New Roman" w:cs="Times New Roman"/>
          <w:sz w:val="24"/>
          <w:szCs w:val="24"/>
        </w:rPr>
        <w:tab/>
        <w:t>Nos ponemos de pie, por favor.</w:t>
      </w:r>
    </w:p>
    <w:p w:rsidR="00F8351D" w:rsidRPr="00CB38AA" w:rsidRDefault="00F8351D" w:rsidP="00DF6EEA">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w:t>
      </w:r>
      <w:r w:rsidR="009F48AD" w:rsidRPr="00CB38AA">
        <w:rPr>
          <w:rFonts w:ascii="Times New Roman" w:hAnsi="Times New Roman" w:cs="Times New Roman"/>
          <w:i/>
          <w:sz w:val="24"/>
          <w:szCs w:val="24"/>
        </w:rPr>
        <w:t>Se</w:t>
      </w:r>
      <w:r w:rsidRPr="00CB38AA">
        <w:rPr>
          <w:rFonts w:ascii="Times New Roman" w:hAnsi="Times New Roman" w:cs="Times New Roman"/>
          <w:i/>
          <w:sz w:val="24"/>
          <w:szCs w:val="24"/>
        </w:rPr>
        <w:t xml:space="preserve"> guarda un minuto de silencio)</w:t>
      </w:r>
    </w:p>
    <w:p w:rsidR="00F8351D" w:rsidRPr="00CB38AA" w:rsidRDefault="00F8351D"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PRESIDENTA DIP. MARTHA AZUCENA CAMACHO REYNOSO. En relación con el punto número 1, informo a la Legislatura que las actas de la Junta de la sesión anterior fueron publicadas en la Gaceta Parlamentaria, en consecuencia, les consulto si tienen observaciones o comentarios y en su caso, pido la Secretaría se sirv</w:t>
      </w:r>
      <w:r w:rsidR="00073BC2" w:rsidRPr="00CB38AA">
        <w:rPr>
          <w:rFonts w:ascii="Times New Roman" w:hAnsi="Times New Roman" w:cs="Times New Roman"/>
          <w:sz w:val="24"/>
          <w:szCs w:val="24"/>
        </w:rPr>
        <w:t>a</w:t>
      </w:r>
      <w:r w:rsidRPr="00CB38AA">
        <w:rPr>
          <w:rFonts w:ascii="Times New Roman" w:hAnsi="Times New Roman" w:cs="Times New Roman"/>
          <w:sz w:val="24"/>
          <w:szCs w:val="24"/>
        </w:rPr>
        <w:t xml:space="preserve"> proceder a su atención al término de esta misma.</w:t>
      </w:r>
    </w:p>
    <w:p w:rsidR="00830326" w:rsidRPr="00CB38AA" w:rsidRDefault="00830326" w:rsidP="00DF6EEA">
      <w:pPr>
        <w:pStyle w:val="Sinespaciado"/>
        <w:jc w:val="both"/>
        <w:rPr>
          <w:rFonts w:ascii="Times New Roman" w:hAnsi="Times New Roman" w:cs="Times New Roman"/>
          <w:sz w:val="24"/>
          <w:szCs w:val="24"/>
        </w:rPr>
      </w:pPr>
    </w:p>
    <w:p w:rsidR="00830326" w:rsidRPr="00CB38AA" w:rsidRDefault="00830326" w:rsidP="00DF6EEA">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(Se inserta documento)</w:t>
      </w:r>
    </w:p>
    <w:p w:rsidR="00830326" w:rsidRPr="00CB38AA" w:rsidRDefault="00830326" w:rsidP="00DF6EEA">
      <w:pPr>
        <w:spacing w:after="0" w:line="240" w:lineRule="auto"/>
        <w:jc w:val="center"/>
        <w:rPr>
          <w:rFonts w:ascii="Times New Roman" w:hAnsi="Times New Roman" w:cs="Times New Roman"/>
          <w:sz w:val="24"/>
          <w:szCs w:val="24"/>
        </w:rPr>
      </w:pP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b/>
          <w:sz w:val="24"/>
          <w:szCs w:val="24"/>
        </w:rPr>
      </w:pPr>
      <w:r w:rsidRPr="00CB38AA">
        <w:rPr>
          <w:rFonts w:ascii="Times New Roman" w:eastAsia="Arial MT" w:hAnsi="Times New Roman" w:cs="Times New Roman"/>
          <w:b/>
          <w:sz w:val="24"/>
          <w:szCs w:val="24"/>
        </w:rPr>
        <w:t>ACTA DE LA SESIÓN DE LA DIPUTACIÓN PERMANENTE DE LA H. “LXII” LEGISLATURA DEL ESTADO DE MÉXICO, CELEBRADA EL DÍA VEINTIDÓS DE ENERO DE DOS MIL VEINTISÉIS.</w:t>
      </w:r>
    </w:p>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sz w:val="24"/>
          <w:szCs w:val="24"/>
        </w:rPr>
      </w:pPr>
    </w:p>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b/>
          <w:sz w:val="24"/>
          <w:szCs w:val="24"/>
        </w:rPr>
      </w:pPr>
      <w:r w:rsidRPr="00CB38AA">
        <w:rPr>
          <w:rFonts w:ascii="Times New Roman" w:eastAsia="Arial MT" w:hAnsi="Times New Roman" w:cs="Times New Roman"/>
          <w:b/>
          <w:sz w:val="24"/>
          <w:szCs w:val="24"/>
        </w:rPr>
        <w:t>Presidenta Diputada Martha Azucena Camacho Reynoso.</w:t>
      </w: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b/>
          <w:sz w:val="24"/>
          <w:szCs w:val="24"/>
        </w:rPr>
      </w:pP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r w:rsidRPr="00CB38AA">
        <w:rPr>
          <w:rFonts w:ascii="Times New Roman" w:eastAsia="Arial MT" w:hAnsi="Times New Roman" w:cs="Times New Roman"/>
          <w:sz w:val="24"/>
          <w:szCs w:val="24"/>
        </w:rPr>
        <w:t>En el Salón de Sesiones del H. Poder Legislativo, en la ciudad de Toluca de Lerdo, capital del Estado de México, la Presidencia abre la Sesión, siendo las doce horas con quince minutos del día veintidós de enero de dos mil veintiséis, una vez que la Secretaría verificó la existencia del quórum.</w:t>
      </w: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r w:rsidRPr="00CB38AA">
        <w:rPr>
          <w:rFonts w:ascii="Times New Roman" w:eastAsia="Arial MT" w:hAnsi="Times New Roman" w:cs="Times New Roman"/>
          <w:sz w:val="24"/>
          <w:szCs w:val="24"/>
        </w:rPr>
        <w:t xml:space="preserve">La Secretaría da lectura a la propuesta de Orden del Día. La propuesta de Orden del Día es aprobada por unanimidad de votos y se desarrolla conforme al tenor siguiente: </w:t>
      </w: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r w:rsidRPr="00CB38AA">
        <w:rPr>
          <w:rFonts w:ascii="Times New Roman" w:eastAsia="Arial MT" w:hAnsi="Times New Roman" w:cs="Times New Roman"/>
          <w:sz w:val="24"/>
          <w:szCs w:val="24"/>
        </w:rPr>
        <w:t>1.- La Presidencia informa que el Acta de la Sesión Anterior ha sido publicada en la Gaceta Parlamentaria y pregunta si existen observaciones o comentarios a la misma. El Acta es aprobada, por unanimidad de votos.</w:t>
      </w: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r w:rsidRPr="00CB38AA">
        <w:rPr>
          <w:rFonts w:ascii="Times New Roman" w:eastAsia="Arial MT" w:hAnsi="Times New Roman" w:cs="Times New Roman"/>
          <w:sz w:val="24"/>
          <w:szCs w:val="24"/>
        </w:rPr>
        <w:t>3.- La diputada Zaira Cedillo Silva hace uso de la palabra, para dar lectura a la Minuta Proyecto de Decreto por el que se reforman los artículos 5, párrafo doceavo; y 88, párrafo primero, inciso b) de la Constitución Política del Estado Libre y Soberano de México, en materia de creación de juzgados especializados en emitir órdenes y medidas de protección.</w:t>
      </w: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r w:rsidRPr="00CB38AA">
        <w:rPr>
          <w:rFonts w:ascii="Times New Roman" w:eastAsia="Arial MT" w:hAnsi="Times New Roman" w:cs="Times New Roman"/>
          <w:sz w:val="24"/>
          <w:szCs w:val="24"/>
        </w:rPr>
        <w:t xml:space="preserve">La Presidencia formula la Declaratoria de aprobación de la Minuta Proyecto de Decreto y solicita a la Secretaría comunicarla a la Titular del Ejecutivo Estatal, para los efectos necesarios. </w:t>
      </w: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r w:rsidRPr="00CB38AA">
        <w:rPr>
          <w:rFonts w:ascii="Times New Roman" w:eastAsia="Arial MT" w:hAnsi="Times New Roman" w:cs="Times New Roman"/>
          <w:sz w:val="24"/>
          <w:szCs w:val="24"/>
        </w:rPr>
        <w:t xml:space="preserve">4.- El diputado Edmundo Luis Valdeña Bastida hace uso de la palabra, para dar lectura a la Iniciativa de Decreto por el que se autoriza al H. Ayuntamiento de Chalco, Estado de México, a desincorporar del patrimonio del municipio un inmueble, para que sea donado a título gratuito, a favor del Gobierno Federal con destino a la Secretaría de Educación Pública, para realizar las acciones necesarias destinadas a la construcción de un plantel del Centro de Bachillerato Tecnológico y Agropecuario, presentada por la Titular del Ejecutivo Estatal. (De urgente y obvia resolución). La Presidencia solicita la dispensa del trámite de dictamen. </w:t>
      </w: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r w:rsidRPr="00CB38AA">
        <w:rPr>
          <w:rFonts w:ascii="Times New Roman" w:eastAsia="Arial MT" w:hAnsi="Times New Roman" w:cs="Times New Roman"/>
          <w:sz w:val="24"/>
          <w:szCs w:val="24"/>
        </w:rPr>
        <w:lastRenderedPageBreak/>
        <w:t xml:space="preserve">Es aprobada la dispensa del trámite de dictamen, por unanimidad de votos. </w:t>
      </w:r>
    </w:p>
    <w:p w:rsidR="00FA1656" w:rsidRPr="00CB38AA" w:rsidRDefault="00FA1656" w:rsidP="00DF6EEA">
      <w:pPr>
        <w:widowControl w:val="0"/>
        <w:autoSpaceDE w:val="0"/>
        <w:autoSpaceDN w:val="0"/>
        <w:spacing w:after="0" w:line="240" w:lineRule="auto"/>
        <w:jc w:val="both"/>
        <w:rPr>
          <w:rFonts w:ascii="Times New Roman" w:eastAsia="Times New Roman" w:hAnsi="Times New Roman" w:cs="Times New Roman"/>
          <w:sz w:val="24"/>
          <w:szCs w:val="24"/>
          <w:lang w:eastAsia="es-MX"/>
        </w:rPr>
      </w:pPr>
    </w:p>
    <w:p w:rsidR="00FA1656" w:rsidRPr="00CB38AA" w:rsidRDefault="00FA1656" w:rsidP="00DF6EEA">
      <w:pPr>
        <w:widowControl w:val="0"/>
        <w:autoSpaceDE w:val="0"/>
        <w:autoSpaceDN w:val="0"/>
        <w:spacing w:after="0" w:line="240" w:lineRule="auto"/>
        <w:jc w:val="both"/>
        <w:rPr>
          <w:rFonts w:ascii="Times New Roman" w:eastAsia="Times New Roman" w:hAnsi="Times New Roman" w:cs="Times New Roman"/>
          <w:sz w:val="24"/>
          <w:szCs w:val="24"/>
          <w:lang w:eastAsia="es-MX"/>
        </w:rPr>
      </w:pPr>
      <w:r w:rsidRPr="00CB38AA">
        <w:rPr>
          <w:rFonts w:ascii="Times New Roman" w:eastAsia="Times New Roman" w:hAnsi="Times New Roman" w:cs="Times New Roman"/>
          <w:sz w:val="24"/>
          <w:szCs w:val="24"/>
          <w:lang w:eastAsia="es-MX"/>
        </w:rPr>
        <w:t>Sin que motive debate la Iniciativa de Decreto, la Presidencia señala que, para emitir la resolución de la Legislatura, se realice la votación nominal, destacando que, si algún integrante de la Legislatura desea separar algún artículo para su discusión particular, se sirva manifestarlo de viva voz al registrar su voto. La Iniciativa de Decreto es aprobada en lo general por unanimidad de votos y considerando que no se separaron artículos para su discusión particular, se tiene también por aprobada en lo particular; y la Presidencia solicita a la Secretaría provea el cumplimiento de la resolución de la Legislatura para los efectos procedentes.</w:t>
      </w:r>
    </w:p>
    <w:p w:rsidR="00FA1656" w:rsidRPr="00CB38AA" w:rsidRDefault="00FA1656" w:rsidP="00DF6EEA">
      <w:pPr>
        <w:widowControl w:val="0"/>
        <w:autoSpaceDE w:val="0"/>
        <w:autoSpaceDN w:val="0"/>
        <w:spacing w:after="0" w:line="240" w:lineRule="auto"/>
        <w:jc w:val="both"/>
        <w:rPr>
          <w:rFonts w:ascii="Times New Roman" w:eastAsia="Times New Roman" w:hAnsi="Times New Roman" w:cs="Times New Roman"/>
          <w:sz w:val="24"/>
          <w:szCs w:val="24"/>
          <w:lang w:eastAsia="es-MX"/>
        </w:rPr>
      </w:pP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r w:rsidRPr="00CB38AA">
        <w:rPr>
          <w:rFonts w:ascii="Times New Roman" w:eastAsia="Arial MT" w:hAnsi="Times New Roman" w:cs="Times New Roman"/>
          <w:sz w:val="24"/>
          <w:szCs w:val="24"/>
        </w:rPr>
        <w:t xml:space="preserve">2.- La diputada Miriam Silva Mata hace uso de la palabra, para dar lectura a la Minuta Proyecto de Decreto por el que se reforma el párrafo quincuagésimo segundo del artículo 5 de la Constitución Política del Estado Libre y Soberano de México, en materia de deporte y activación física. </w:t>
      </w: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r w:rsidRPr="00CB38AA">
        <w:rPr>
          <w:rFonts w:ascii="Times New Roman" w:eastAsia="Arial MT" w:hAnsi="Times New Roman" w:cs="Times New Roman"/>
          <w:sz w:val="24"/>
          <w:szCs w:val="24"/>
        </w:rPr>
        <w:t xml:space="preserve">La Presidencia formula la Declaratoria de aprobación de la Minuta Proyecto de Decreto y solicita a la Secretaría comunicarla a la Titular del Ejecutivo Estatal, para los efectos necesarios. </w:t>
      </w: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r w:rsidRPr="00CB38AA">
        <w:rPr>
          <w:rFonts w:ascii="Times New Roman" w:eastAsia="Arial MT" w:hAnsi="Times New Roman" w:cs="Times New Roman"/>
          <w:sz w:val="24"/>
          <w:szCs w:val="24"/>
        </w:rPr>
        <w:t xml:space="preserve">5.- La diputada Maricela Beltrán Sánchez hace uso de la palabra, para dar lectura a la Iniciativa de Decreto por el que se aprueba la renuncia de la Maestra Denisse López Reyes, al cargo de jueza del Poder Judicial del Estado de México, presentada por el Magistrado Presidente del Tribunal Superior de Justicia del Estado de México. (De urgente y obvia resolución) La Presidencia solicita la dispensa del trámite de dictamen. </w:t>
      </w: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r w:rsidRPr="00CB38AA">
        <w:rPr>
          <w:rFonts w:ascii="Times New Roman" w:eastAsia="Arial MT" w:hAnsi="Times New Roman" w:cs="Times New Roman"/>
          <w:sz w:val="24"/>
          <w:szCs w:val="24"/>
        </w:rPr>
        <w:t xml:space="preserve">Es aprobada la dispensa del trámite de dictamen, por unanimidad de votos. </w:t>
      </w:r>
    </w:p>
    <w:p w:rsidR="00FA1656" w:rsidRPr="00CB38AA" w:rsidRDefault="00FA1656" w:rsidP="00DF6EEA">
      <w:pPr>
        <w:widowControl w:val="0"/>
        <w:autoSpaceDE w:val="0"/>
        <w:autoSpaceDN w:val="0"/>
        <w:spacing w:after="0" w:line="240" w:lineRule="auto"/>
        <w:jc w:val="both"/>
        <w:rPr>
          <w:rFonts w:ascii="Times New Roman" w:eastAsia="Times New Roman" w:hAnsi="Times New Roman" w:cs="Times New Roman"/>
          <w:sz w:val="24"/>
          <w:szCs w:val="24"/>
          <w:lang w:eastAsia="es-MX"/>
        </w:rPr>
      </w:pPr>
    </w:p>
    <w:p w:rsidR="00FA1656" w:rsidRPr="00CB38AA" w:rsidRDefault="00FA1656" w:rsidP="00DF6EEA">
      <w:pPr>
        <w:widowControl w:val="0"/>
        <w:autoSpaceDE w:val="0"/>
        <w:autoSpaceDN w:val="0"/>
        <w:spacing w:after="0" w:line="240" w:lineRule="auto"/>
        <w:jc w:val="both"/>
        <w:rPr>
          <w:rFonts w:ascii="Times New Roman" w:eastAsia="Times New Roman" w:hAnsi="Times New Roman" w:cs="Times New Roman"/>
          <w:sz w:val="24"/>
          <w:szCs w:val="24"/>
          <w:lang w:eastAsia="es-MX"/>
        </w:rPr>
      </w:pPr>
      <w:r w:rsidRPr="00CB38AA">
        <w:rPr>
          <w:rFonts w:ascii="Times New Roman" w:eastAsia="Times New Roman" w:hAnsi="Times New Roman" w:cs="Times New Roman"/>
          <w:sz w:val="24"/>
          <w:szCs w:val="24"/>
          <w:lang w:eastAsia="es-MX"/>
        </w:rPr>
        <w:t>Sin que motive debate la Iniciativa de Decreto, la Presidencia señala que, para emitir la resolución de la Legislatura, se realice la votación nominal, destacando que, si algún integrante de la Legislatura desea separar algún artículo para su discusión particular, se sirva manifestarlo de viva voz al registrar su voto. La Iniciativa de Decreto es aprobada en lo general por unanimidad de votos y considerando que no se separaron artículos para su discusión particular, se tiene también por aprobada en lo particular; y la Presidencia solicita a la Secretaría provea el cumplimiento de la resolución de la Legislatura para los efectos procedentes.</w:t>
      </w: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r w:rsidRPr="00CB38AA">
        <w:rPr>
          <w:rFonts w:ascii="Times New Roman" w:eastAsia="Arial MT" w:hAnsi="Times New Roman" w:cs="Times New Roman"/>
          <w:sz w:val="24"/>
          <w:szCs w:val="24"/>
        </w:rPr>
        <w:t>La Presidencia comisiona a las diputadas Zaira Cedillo Silva y Maricela Beltrán Sánchez, para que acompañen a la C. Cinthia Carmen Castaño Aramis al frente del estrado, para que rinda su protesta constitucional.</w:t>
      </w: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r w:rsidRPr="00CB38AA">
        <w:rPr>
          <w:rFonts w:ascii="Times New Roman" w:eastAsia="Arial MT" w:hAnsi="Times New Roman" w:cs="Times New Roman"/>
          <w:sz w:val="24"/>
          <w:szCs w:val="24"/>
        </w:rPr>
        <w:t>Protesta constitucional de la C. Cinthia Carmen Castaño Aramis, Jueza del Poder Judicial del Estado de México.</w:t>
      </w: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r w:rsidRPr="00CB38AA">
        <w:rPr>
          <w:rFonts w:ascii="Times New Roman" w:eastAsia="Arial MT" w:hAnsi="Times New Roman" w:cs="Times New Roman"/>
          <w:sz w:val="24"/>
          <w:szCs w:val="24"/>
        </w:rPr>
        <w:t xml:space="preserve">6.- La diputada Martha Azucena Camacho Reynoso hace uso de la palabra, para dar lectura a la Iniciativa de Decreto por la que se declara la técnica artesanal para la elaboración de la bebida del “Tecuí” del municipio de Calimaya, Estado de México, como Patrimonio Cultural Inmaterial del Estado de México, presentada por la propia diputada, en nombre del Grupo Parlamentario del Partido morena. (De urgente y obvia resolución). La Presidencia solicita la dispensa del trámite de dictamen. </w:t>
      </w: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r w:rsidRPr="00CB38AA">
        <w:rPr>
          <w:rFonts w:ascii="Times New Roman" w:eastAsia="Arial MT" w:hAnsi="Times New Roman" w:cs="Times New Roman"/>
          <w:sz w:val="24"/>
          <w:szCs w:val="24"/>
        </w:rPr>
        <w:t xml:space="preserve">Es aprobada la dispensa del trámite de dictamen, por unanimidad de votos. </w:t>
      </w:r>
    </w:p>
    <w:p w:rsidR="00FA1656" w:rsidRPr="00CB38AA" w:rsidRDefault="00FA1656" w:rsidP="00DF6EEA">
      <w:pPr>
        <w:widowControl w:val="0"/>
        <w:autoSpaceDE w:val="0"/>
        <w:autoSpaceDN w:val="0"/>
        <w:spacing w:after="0" w:line="240" w:lineRule="auto"/>
        <w:jc w:val="both"/>
        <w:rPr>
          <w:rFonts w:ascii="Times New Roman" w:eastAsia="Times New Roman" w:hAnsi="Times New Roman" w:cs="Times New Roman"/>
          <w:sz w:val="24"/>
          <w:szCs w:val="24"/>
          <w:lang w:eastAsia="es-MX"/>
        </w:rPr>
      </w:pPr>
    </w:p>
    <w:p w:rsidR="00FA1656" w:rsidRPr="00CB38AA" w:rsidRDefault="00FA1656" w:rsidP="00DF6EEA">
      <w:pPr>
        <w:widowControl w:val="0"/>
        <w:autoSpaceDE w:val="0"/>
        <w:autoSpaceDN w:val="0"/>
        <w:spacing w:after="0" w:line="240" w:lineRule="auto"/>
        <w:jc w:val="both"/>
        <w:rPr>
          <w:rFonts w:ascii="Times New Roman" w:eastAsia="Times New Roman" w:hAnsi="Times New Roman" w:cs="Times New Roman"/>
          <w:sz w:val="24"/>
          <w:szCs w:val="24"/>
          <w:lang w:eastAsia="es-MX"/>
        </w:rPr>
      </w:pPr>
      <w:r w:rsidRPr="00CB38AA">
        <w:rPr>
          <w:rFonts w:ascii="Times New Roman" w:eastAsia="Times New Roman" w:hAnsi="Times New Roman" w:cs="Times New Roman"/>
          <w:sz w:val="24"/>
          <w:szCs w:val="24"/>
          <w:lang w:eastAsia="es-MX"/>
        </w:rPr>
        <w:lastRenderedPageBreak/>
        <w:t>Sin que motive debate la Iniciativa de Decreto, la Presidencia señala que, para emitir la resolución de la Legislatura, se realice la votación nominal, destacando que, si algún integrante de la Legislatura desea separar algún artículo para su discusión particular, se sirva manifestarlo de viva voz al registrar su voto. La Iniciativa de Decreto es aprobada en lo general por unanimidad de votos y considerando que no se separaron artículos para su discusión particular, se tiene también por aprobada en lo particular; y la Presidencia solicita a la Secretaría provea el cumplimiento de la resolución de la Legislatura para los efectos procedentes.</w:t>
      </w: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r w:rsidRPr="00CB38AA">
        <w:rPr>
          <w:rFonts w:ascii="Times New Roman" w:eastAsia="Arial MT" w:hAnsi="Times New Roman" w:cs="Times New Roman"/>
          <w:sz w:val="24"/>
          <w:szCs w:val="24"/>
        </w:rPr>
        <w:t xml:space="preserve">7.- La diputada Jennifer Nathalie González López hace uso de la palabra, para dar lectura al Comunicado del Presidente Municipal Constitucional de Metepec, en relación con salida de trabajo al extranjero. (46° edición de la Feria Internacional de Turismo, a celebrarse en IFEMA Madrid, España, del 19 al 23 de enero del 2026). </w:t>
      </w: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r w:rsidRPr="00CB38AA">
        <w:rPr>
          <w:rFonts w:ascii="Times New Roman" w:eastAsia="Arial MT" w:hAnsi="Times New Roman" w:cs="Times New Roman"/>
          <w:sz w:val="24"/>
          <w:szCs w:val="24"/>
        </w:rPr>
        <w:t>La Presidencia señala que se tiene por enterada la Legislatura.</w:t>
      </w: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r w:rsidRPr="00CB38AA">
        <w:rPr>
          <w:rFonts w:ascii="Times New Roman" w:eastAsia="Arial MT" w:hAnsi="Times New Roman" w:cs="Times New Roman"/>
          <w:sz w:val="24"/>
          <w:szCs w:val="24"/>
        </w:rPr>
        <w:t xml:space="preserve">8.- La diputada Zaira Cedillo Silva hace uso de la palabra, para dar lectura al Comunicado sobre turno de Comisiones Legislativas siguientes: </w:t>
      </w:r>
    </w:p>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sz w:val="24"/>
          <w:szCs w:val="24"/>
        </w:rPr>
      </w:pPr>
    </w:p>
    <w:tbl>
      <w:tblPr>
        <w:tblW w:w="9411"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3114"/>
        <w:gridCol w:w="1984"/>
        <w:gridCol w:w="1347"/>
        <w:gridCol w:w="1677"/>
        <w:gridCol w:w="1289"/>
      </w:tblGrid>
      <w:tr w:rsidR="00FA1656" w:rsidRPr="00CB38AA" w:rsidTr="00FC6263">
        <w:trPr>
          <w:cantSplit/>
          <w:trHeight w:val="20"/>
          <w:tblHeader/>
        </w:trPr>
        <w:tc>
          <w:tcPr>
            <w:tcW w:w="3114" w:type="dxa"/>
            <w:shd w:val="clear" w:color="auto" w:fill="auto"/>
          </w:tcPr>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b/>
                <w:bCs/>
                <w:sz w:val="24"/>
                <w:szCs w:val="24"/>
              </w:rPr>
            </w:pPr>
            <w:r w:rsidRPr="00CB38AA">
              <w:rPr>
                <w:rFonts w:ascii="Times New Roman" w:eastAsia="Arial MT" w:hAnsi="Times New Roman" w:cs="Times New Roman"/>
                <w:b/>
                <w:bCs/>
                <w:sz w:val="24"/>
                <w:szCs w:val="24"/>
              </w:rPr>
              <w:t>Iniciativa</w:t>
            </w:r>
          </w:p>
        </w:tc>
        <w:tc>
          <w:tcPr>
            <w:tcW w:w="1984" w:type="dxa"/>
            <w:shd w:val="clear" w:color="auto" w:fill="auto"/>
          </w:tcPr>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b/>
                <w:bCs/>
                <w:sz w:val="24"/>
                <w:szCs w:val="24"/>
              </w:rPr>
            </w:pPr>
            <w:r w:rsidRPr="00CB38AA">
              <w:rPr>
                <w:rFonts w:ascii="Times New Roman" w:eastAsia="Arial MT" w:hAnsi="Times New Roman" w:cs="Times New Roman"/>
                <w:b/>
                <w:bCs/>
                <w:sz w:val="24"/>
                <w:szCs w:val="24"/>
              </w:rPr>
              <w:t>Resumen</w:t>
            </w:r>
          </w:p>
        </w:tc>
        <w:tc>
          <w:tcPr>
            <w:tcW w:w="1347" w:type="dxa"/>
            <w:shd w:val="clear" w:color="auto" w:fill="auto"/>
          </w:tcPr>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b/>
                <w:bCs/>
                <w:sz w:val="24"/>
                <w:szCs w:val="24"/>
              </w:rPr>
            </w:pPr>
            <w:r w:rsidRPr="00CB38AA">
              <w:rPr>
                <w:rFonts w:ascii="Times New Roman" w:eastAsia="Arial MT" w:hAnsi="Times New Roman" w:cs="Times New Roman"/>
                <w:b/>
                <w:bCs/>
                <w:sz w:val="24"/>
                <w:szCs w:val="24"/>
              </w:rPr>
              <w:t>Presentante</w:t>
            </w:r>
          </w:p>
        </w:tc>
        <w:tc>
          <w:tcPr>
            <w:tcW w:w="1677" w:type="dxa"/>
            <w:shd w:val="clear" w:color="auto" w:fill="auto"/>
          </w:tcPr>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b/>
                <w:bCs/>
                <w:sz w:val="24"/>
                <w:szCs w:val="24"/>
              </w:rPr>
            </w:pPr>
            <w:r w:rsidRPr="00CB38AA">
              <w:rPr>
                <w:rFonts w:ascii="Times New Roman" w:eastAsia="Arial MT" w:hAnsi="Times New Roman" w:cs="Times New Roman"/>
                <w:b/>
                <w:bCs/>
                <w:sz w:val="24"/>
                <w:szCs w:val="24"/>
              </w:rPr>
              <w:t>Turno Original</w:t>
            </w:r>
          </w:p>
        </w:tc>
        <w:tc>
          <w:tcPr>
            <w:tcW w:w="1289" w:type="dxa"/>
            <w:shd w:val="clear" w:color="auto" w:fill="auto"/>
          </w:tcPr>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b/>
                <w:bCs/>
                <w:sz w:val="24"/>
                <w:szCs w:val="24"/>
              </w:rPr>
            </w:pPr>
            <w:r w:rsidRPr="00CB38AA">
              <w:rPr>
                <w:rFonts w:ascii="Times New Roman" w:eastAsia="Arial MT" w:hAnsi="Times New Roman" w:cs="Times New Roman"/>
                <w:b/>
                <w:bCs/>
                <w:sz w:val="24"/>
                <w:szCs w:val="24"/>
              </w:rPr>
              <w:t>Turno Final</w:t>
            </w:r>
          </w:p>
        </w:tc>
      </w:tr>
      <w:tr w:rsidR="00FA1656" w:rsidRPr="00CB38AA" w:rsidTr="00FC6263">
        <w:trPr>
          <w:cantSplit/>
          <w:trHeight w:val="20"/>
        </w:trPr>
        <w:tc>
          <w:tcPr>
            <w:tcW w:w="3114" w:type="dxa"/>
            <w:shd w:val="clear" w:color="auto" w:fill="auto"/>
          </w:tcPr>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sz w:val="24"/>
                <w:szCs w:val="24"/>
              </w:rPr>
            </w:pPr>
            <w:r w:rsidRPr="00CB38AA">
              <w:rPr>
                <w:rFonts w:ascii="Times New Roman" w:eastAsia="Arial MT" w:hAnsi="Times New Roman" w:cs="Times New Roman"/>
                <w:sz w:val="24"/>
                <w:szCs w:val="24"/>
              </w:rPr>
              <w:t>Iniciativa con Proyecto de Decreto por el cual se reforman y adicionan diversas disposiciones del Código para Biodiversidad del Estado de México.</w:t>
            </w:r>
          </w:p>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sz w:val="24"/>
                <w:szCs w:val="24"/>
              </w:rPr>
            </w:pPr>
          </w:p>
        </w:tc>
        <w:tc>
          <w:tcPr>
            <w:tcW w:w="1984" w:type="dxa"/>
            <w:shd w:val="clear" w:color="auto" w:fill="auto"/>
          </w:tcPr>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sz w:val="24"/>
                <w:szCs w:val="24"/>
              </w:rPr>
            </w:pPr>
            <w:r w:rsidRPr="00CB38AA">
              <w:rPr>
                <w:rFonts w:ascii="Times New Roman" w:eastAsia="Arial MT" w:hAnsi="Times New Roman" w:cs="Times New Roman"/>
                <w:sz w:val="24"/>
                <w:szCs w:val="24"/>
              </w:rPr>
              <w:t>En materia de derechos, protección y tutela responsable del bienestar animal.</w:t>
            </w:r>
          </w:p>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sz w:val="24"/>
                <w:szCs w:val="24"/>
              </w:rPr>
            </w:pPr>
          </w:p>
        </w:tc>
        <w:tc>
          <w:tcPr>
            <w:tcW w:w="1347" w:type="dxa"/>
            <w:shd w:val="clear" w:color="auto" w:fill="auto"/>
            <w:vAlign w:val="center"/>
          </w:tcPr>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bCs/>
                <w:sz w:val="24"/>
                <w:szCs w:val="24"/>
              </w:rPr>
            </w:pPr>
            <w:r w:rsidRPr="00CB38AA">
              <w:rPr>
                <w:rFonts w:ascii="Times New Roman" w:eastAsia="Arial MT" w:hAnsi="Times New Roman" w:cs="Times New Roman"/>
                <w:bCs/>
                <w:sz w:val="24"/>
                <w:szCs w:val="24"/>
              </w:rPr>
              <w:t>Dip. Gerardo Pliego Santana</w:t>
            </w:r>
          </w:p>
        </w:tc>
        <w:tc>
          <w:tcPr>
            <w:tcW w:w="1677" w:type="dxa"/>
            <w:shd w:val="clear" w:color="auto" w:fill="auto"/>
            <w:vAlign w:val="center"/>
          </w:tcPr>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sz w:val="24"/>
                <w:szCs w:val="24"/>
              </w:rPr>
            </w:pPr>
            <w:r w:rsidRPr="00CB38AA">
              <w:rPr>
                <w:rFonts w:ascii="Times New Roman" w:eastAsia="Arial MT" w:hAnsi="Times New Roman" w:cs="Times New Roman"/>
                <w:sz w:val="24"/>
                <w:szCs w:val="24"/>
              </w:rPr>
              <w:t>Protección Ambiental y Cambio Climático</w:t>
            </w:r>
          </w:p>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sz w:val="24"/>
                <w:szCs w:val="24"/>
              </w:rPr>
            </w:pPr>
          </w:p>
        </w:tc>
        <w:tc>
          <w:tcPr>
            <w:tcW w:w="1289" w:type="dxa"/>
            <w:vMerge w:val="restart"/>
            <w:shd w:val="clear" w:color="auto" w:fill="auto"/>
            <w:vAlign w:val="center"/>
          </w:tcPr>
          <w:p w:rsidR="00FA1656" w:rsidRPr="00CB38AA" w:rsidRDefault="00FA1656" w:rsidP="003B0916">
            <w:pPr>
              <w:widowControl w:val="0"/>
              <w:autoSpaceDE w:val="0"/>
              <w:autoSpaceDN w:val="0"/>
              <w:spacing w:after="0" w:line="240" w:lineRule="auto"/>
              <w:jc w:val="center"/>
              <w:rPr>
                <w:rFonts w:ascii="Times New Roman" w:eastAsia="Arial MT" w:hAnsi="Times New Roman" w:cs="Times New Roman"/>
                <w:sz w:val="24"/>
                <w:szCs w:val="24"/>
              </w:rPr>
            </w:pPr>
            <w:r w:rsidRPr="00CB38AA">
              <w:rPr>
                <w:rFonts w:ascii="Times New Roman" w:eastAsia="Arial MT" w:hAnsi="Times New Roman" w:cs="Times New Roman"/>
                <w:sz w:val="24"/>
                <w:szCs w:val="24"/>
              </w:rPr>
              <w:t>Procuración y Administración de Justicia</w:t>
            </w:r>
          </w:p>
          <w:p w:rsidR="00FA1656" w:rsidRPr="00CB38AA" w:rsidRDefault="00FA1656" w:rsidP="003B0916">
            <w:pPr>
              <w:widowControl w:val="0"/>
              <w:autoSpaceDE w:val="0"/>
              <w:autoSpaceDN w:val="0"/>
              <w:spacing w:after="0" w:line="240" w:lineRule="auto"/>
              <w:jc w:val="center"/>
              <w:rPr>
                <w:rFonts w:ascii="Times New Roman" w:eastAsia="Arial MT" w:hAnsi="Times New Roman" w:cs="Times New Roman"/>
                <w:sz w:val="24"/>
                <w:szCs w:val="24"/>
              </w:rPr>
            </w:pPr>
          </w:p>
          <w:p w:rsidR="00FA1656" w:rsidRPr="00CB38AA" w:rsidRDefault="00FA1656" w:rsidP="003B0916">
            <w:pPr>
              <w:widowControl w:val="0"/>
              <w:autoSpaceDE w:val="0"/>
              <w:autoSpaceDN w:val="0"/>
              <w:spacing w:after="0" w:line="240" w:lineRule="auto"/>
              <w:jc w:val="center"/>
              <w:rPr>
                <w:rFonts w:ascii="Times New Roman" w:eastAsia="Arial MT" w:hAnsi="Times New Roman" w:cs="Times New Roman"/>
                <w:sz w:val="24"/>
                <w:szCs w:val="24"/>
              </w:rPr>
            </w:pPr>
            <w:r w:rsidRPr="00CB38AA">
              <w:rPr>
                <w:rFonts w:ascii="Times New Roman" w:eastAsia="Arial MT" w:hAnsi="Times New Roman" w:cs="Times New Roman"/>
                <w:sz w:val="24"/>
                <w:szCs w:val="24"/>
              </w:rPr>
              <w:t>Protección Ambiental y Cambio Climático</w:t>
            </w:r>
          </w:p>
        </w:tc>
      </w:tr>
      <w:tr w:rsidR="00FA1656" w:rsidRPr="00CB38AA" w:rsidTr="00FC6263">
        <w:trPr>
          <w:cantSplit/>
          <w:trHeight w:val="20"/>
        </w:trPr>
        <w:tc>
          <w:tcPr>
            <w:tcW w:w="3114" w:type="dxa"/>
            <w:shd w:val="clear" w:color="auto" w:fill="auto"/>
          </w:tcPr>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sz w:val="24"/>
                <w:szCs w:val="24"/>
              </w:rPr>
            </w:pPr>
            <w:r w:rsidRPr="00CB38AA">
              <w:rPr>
                <w:rFonts w:ascii="Times New Roman" w:eastAsia="Arial MT" w:hAnsi="Times New Roman" w:cs="Times New Roman"/>
                <w:sz w:val="24"/>
                <w:szCs w:val="24"/>
              </w:rPr>
              <w:t>Iniciativa con Proyecto de Decreto por la que se reforman y adicionan diversas disposiciones de la Ley Orgánica Municipal del Estado de México, así como se reforman y adicionan diversas disposiciones del Código para la Biodiversidad del Estado de México.</w:t>
            </w:r>
          </w:p>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sz w:val="24"/>
                <w:szCs w:val="24"/>
              </w:rPr>
            </w:pPr>
          </w:p>
        </w:tc>
        <w:tc>
          <w:tcPr>
            <w:tcW w:w="1984" w:type="dxa"/>
            <w:shd w:val="clear" w:color="auto" w:fill="auto"/>
          </w:tcPr>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sz w:val="24"/>
                <w:szCs w:val="24"/>
              </w:rPr>
            </w:pPr>
            <w:r w:rsidRPr="00CB38AA">
              <w:rPr>
                <w:rFonts w:ascii="Times New Roman" w:eastAsia="Arial MT" w:hAnsi="Times New Roman" w:cs="Times New Roman"/>
                <w:sz w:val="24"/>
                <w:szCs w:val="24"/>
              </w:rPr>
              <w:t>Con el objeto de incorporar el programa de esterilización de seres sintientes en situación de calle o en condición de abandono denominado “La mascota del barrio”.</w:t>
            </w:r>
          </w:p>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sz w:val="24"/>
                <w:szCs w:val="24"/>
              </w:rPr>
            </w:pPr>
          </w:p>
        </w:tc>
        <w:tc>
          <w:tcPr>
            <w:tcW w:w="1347" w:type="dxa"/>
            <w:shd w:val="clear" w:color="auto" w:fill="auto"/>
            <w:vAlign w:val="center"/>
          </w:tcPr>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bCs/>
                <w:sz w:val="24"/>
                <w:szCs w:val="24"/>
              </w:rPr>
            </w:pPr>
            <w:r w:rsidRPr="00CB38AA">
              <w:rPr>
                <w:rFonts w:ascii="Times New Roman" w:eastAsia="Arial MT" w:hAnsi="Times New Roman" w:cs="Times New Roman"/>
                <w:bCs/>
                <w:sz w:val="24"/>
                <w:szCs w:val="24"/>
              </w:rPr>
              <w:t>Dip. Arleth Stephanie Grimaldo Osorio</w:t>
            </w:r>
          </w:p>
        </w:tc>
        <w:tc>
          <w:tcPr>
            <w:tcW w:w="1677" w:type="dxa"/>
            <w:shd w:val="clear" w:color="auto" w:fill="auto"/>
            <w:vAlign w:val="center"/>
          </w:tcPr>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sz w:val="24"/>
                <w:szCs w:val="24"/>
              </w:rPr>
            </w:pPr>
            <w:r w:rsidRPr="00CB38AA">
              <w:rPr>
                <w:rFonts w:ascii="Times New Roman" w:eastAsia="Arial MT" w:hAnsi="Times New Roman" w:cs="Times New Roman"/>
                <w:sz w:val="24"/>
                <w:szCs w:val="24"/>
              </w:rPr>
              <w:t>Legislación y Administración Municipal</w:t>
            </w:r>
          </w:p>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sz w:val="24"/>
                <w:szCs w:val="24"/>
              </w:rPr>
            </w:pPr>
          </w:p>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sz w:val="24"/>
                <w:szCs w:val="24"/>
              </w:rPr>
            </w:pPr>
            <w:r w:rsidRPr="00CB38AA">
              <w:rPr>
                <w:rFonts w:ascii="Times New Roman" w:eastAsia="Arial MT" w:hAnsi="Times New Roman" w:cs="Times New Roman"/>
                <w:sz w:val="24"/>
                <w:szCs w:val="24"/>
              </w:rPr>
              <w:t>Protección Ambiental y Cambio Climático</w:t>
            </w:r>
          </w:p>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sz w:val="24"/>
                <w:szCs w:val="24"/>
              </w:rPr>
            </w:pPr>
          </w:p>
        </w:tc>
        <w:tc>
          <w:tcPr>
            <w:tcW w:w="1289" w:type="dxa"/>
            <w:vMerge/>
            <w:shd w:val="clear" w:color="auto" w:fill="auto"/>
            <w:vAlign w:val="center"/>
          </w:tcPr>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sz w:val="24"/>
                <w:szCs w:val="24"/>
              </w:rPr>
            </w:pPr>
          </w:p>
        </w:tc>
      </w:tr>
      <w:tr w:rsidR="00FA1656" w:rsidRPr="00CB38AA" w:rsidTr="00FC6263">
        <w:trPr>
          <w:cantSplit/>
          <w:trHeight w:val="20"/>
        </w:trPr>
        <w:tc>
          <w:tcPr>
            <w:tcW w:w="3114" w:type="dxa"/>
            <w:shd w:val="clear" w:color="auto" w:fill="auto"/>
          </w:tcPr>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sz w:val="24"/>
                <w:szCs w:val="24"/>
              </w:rPr>
            </w:pPr>
            <w:r w:rsidRPr="00CB38AA">
              <w:rPr>
                <w:rFonts w:ascii="Times New Roman" w:eastAsia="Arial MT" w:hAnsi="Times New Roman" w:cs="Times New Roman"/>
                <w:sz w:val="24"/>
                <w:szCs w:val="24"/>
              </w:rPr>
              <w:lastRenderedPageBreak/>
              <w:t>Iniciativa con Proyecto de Decreto por el que se adicionan diversas disposiciones al Código de la Biodiversidad y a la Ley de Seguridad del Estado de México.</w:t>
            </w:r>
          </w:p>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sz w:val="24"/>
                <w:szCs w:val="24"/>
              </w:rPr>
            </w:pPr>
          </w:p>
        </w:tc>
        <w:tc>
          <w:tcPr>
            <w:tcW w:w="1984" w:type="dxa"/>
            <w:shd w:val="clear" w:color="auto" w:fill="auto"/>
          </w:tcPr>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sz w:val="24"/>
                <w:szCs w:val="24"/>
              </w:rPr>
            </w:pPr>
            <w:r w:rsidRPr="00CB38AA">
              <w:rPr>
                <w:rFonts w:ascii="Times New Roman" w:eastAsia="Arial MT" w:hAnsi="Times New Roman" w:cs="Times New Roman"/>
                <w:sz w:val="24"/>
                <w:szCs w:val="24"/>
              </w:rPr>
              <w:t>Busca crear mecanismos que protejan y garanticen un marco jurídico de los binomios mexiquenses en el Estado y los municipios.</w:t>
            </w:r>
          </w:p>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sz w:val="24"/>
                <w:szCs w:val="24"/>
              </w:rPr>
            </w:pPr>
          </w:p>
        </w:tc>
        <w:tc>
          <w:tcPr>
            <w:tcW w:w="1347" w:type="dxa"/>
            <w:shd w:val="clear" w:color="auto" w:fill="auto"/>
            <w:vAlign w:val="center"/>
          </w:tcPr>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bCs/>
                <w:sz w:val="24"/>
                <w:szCs w:val="24"/>
              </w:rPr>
            </w:pPr>
            <w:r w:rsidRPr="00CB38AA">
              <w:rPr>
                <w:rFonts w:ascii="Times New Roman" w:eastAsia="Arial MT" w:hAnsi="Times New Roman" w:cs="Times New Roman"/>
                <w:bCs/>
                <w:sz w:val="24"/>
                <w:szCs w:val="24"/>
              </w:rPr>
              <w:t>Dip. Brenda Colette Miranda Vargas</w:t>
            </w:r>
          </w:p>
        </w:tc>
        <w:tc>
          <w:tcPr>
            <w:tcW w:w="1677" w:type="dxa"/>
            <w:shd w:val="clear" w:color="auto" w:fill="auto"/>
            <w:vAlign w:val="center"/>
          </w:tcPr>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sz w:val="24"/>
                <w:szCs w:val="24"/>
              </w:rPr>
            </w:pPr>
            <w:r w:rsidRPr="00CB38AA">
              <w:rPr>
                <w:rFonts w:ascii="Times New Roman" w:eastAsia="Arial MT" w:hAnsi="Times New Roman" w:cs="Times New Roman"/>
                <w:sz w:val="24"/>
                <w:szCs w:val="24"/>
              </w:rPr>
              <w:t>Protección Ambiental y Cambio Climático</w:t>
            </w:r>
          </w:p>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sz w:val="24"/>
                <w:szCs w:val="24"/>
              </w:rPr>
            </w:pPr>
          </w:p>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sz w:val="24"/>
                <w:szCs w:val="24"/>
              </w:rPr>
            </w:pPr>
            <w:r w:rsidRPr="00CB38AA">
              <w:rPr>
                <w:rFonts w:ascii="Times New Roman" w:eastAsia="Arial MT" w:hAnsi="Times New Roman" w:cs="Times New Roman"/>
                <w:sz w:val="24"/>
                <w:szCs w:val="24"/>
              </w:rPr>
              <w:t>Seguridad Pública y Tránsito</w:t>
            </w:r>
          </w:p>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sz w:val="24"/>
                <w:szCs w:val="24"/>
              </w:rPr>
            </w:pPr>
          </w:p>
        </w:tc>
        <w:tc>
          <w:tcPr>
            <w:tcW w:w="1289" w:type="dxa"/>
            <w:vMerge/>
            <w:shd w:val="clear" w:color="auto" w:fill="auto"/>
            <w:vAlign w:val="center"/>
          </w:tcPr>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sz w:val="24"/>
                <w:szCs w:val="24"/>
              </w:rPr>
            </w:pPr>
          </w:p>
        </w:tc>
      </w:tr>
      <w:tr w:rsidR="00FA1656" w:rsidRPr="00CB38AA" w:rsidTr="00FC6263">
        <w:trPr>
          <w:cantSplit/>
          <w:trHeight w:val="20"/>
        </w:trPr>
        <w:tc>
          <w:tcPr>
            <w:tcW w:w="3114" w:type="dxa"/>
            <w:shd w:val="clear" w:color="auto" w:fill="auto"/>
          </w:tcPr>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sz w:val="24"/>
                <w:szCs w:val="24"/>
              </w:rPr>
            </w:pPr>
            <w:r w:rsidRPr="00CB38AA">
              <w:rPr>
                <w:rFonts w:ascii="Times New Roman" w:eastAsia="Arial MT" w:hAnsi="Times New Roman" w:cs="Times New Roman"/>
                <w:sz w:val="24"/>
                <w:szCs w:val="24"/>
              </w:rPr>
              <w:t>Iniciativa que reforma el artículo 6.35 y se adiciona el CAPÍTULO IX BIS DE LOS ANIMALES DE ASISTENCIA Y TERAPÉUTICOS y los artículos 6.35 bis, 6.35 ter, 6.35 quáter, 6.35 quinquies y 6.35 sexties, al Código para la Biodiversidad del Estado de México y se reforma la fracción VIII del artículo 21 de la Ley de Competitividad y Ordenamiento Comercial del Estado de México.</w:t>
            </w:r>
          </w:p>
        </w:tc>
        <w:tc>
          <w:tcPr>
            <w:tcW w:w="1984" w:type="dxa"/>
            <w:shd w:val="clear" w:color="auto" w:fill="auto"/>
          </w:tcPr>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sz w:val="24"/>
                <w:szCs w:val="24"/>
              </w:rPr>
            </w:pPr>
            <w:r w:rsidRPr="00CB38AA">
              <w:rPr>
                <w:rFonts w:ascii="Times New Roman" w:eastAsia="Arial MT" w:hAnsi="Times New Roman" w:cs="Times New Roman"/>
                <w:sz w:val="24"/>
                <w:szCs w:val="24"/>
              </w:rPr>
              <w:t>En materia regular a los animales de terapia y de servicios para que puedan acceder a diferentes espacios en favor de sus poseedores que padezcan alguna discapacidad, enfermedad o condición de salud mental.</w:t>
            </w:r>
          </w:p>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sz w:val="24"/>
                <w:szCs w:val="24"/>
              </w:rPr>
            </w:pPr>
          </w:p>
        </w:tc>
        <w:tc>
          <w:tcPr>
            <w:tcW w:w="1347" w:type="dxa"/>
            <w:shd w:val="clear" w:color="auto" w:fill="auto"/>
            <w:vAlign w:val="center"/>
          </w:tcPr>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bCs/>
                <w:sz w:val="24"/>
                <w:szCs w:val="24"/>
              </w:rPr>
            </w:pPr>
            <w:r w:rsidRPr="00CB38AA">
              <w:rPr>
                <w:rFonts w:ascii="Times New Roman" w:eastAsia="Arial MT" w:hAnsi="Times New Roman" w:cs="Times New Roman"/>
                <w:bCs/>
                <w:sz w:val="24"/>
                <w:szCs w:val="24"/>
              </w:rPr>
              <w:t>GPMC</w:t>
            </w:r>
          </w:p>
        </w:tc>
        <w:tc>
          <w:tcPr>
            <w:tcW w:w="1677" w:type="dxa"/>
            <w:shd w:val="clear" w:color="auto" w:fill="auto"/>
            <w:vAlign w:val="center"/>
          </w:tcPr>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sz w:val="24"/>
                <w:szCs w:val="24"/>
              </w:rPr>
            </w:pPr>
            <w:r w:rsidRPr="00CB38AA">
              <w:rPr>
                <w:rFonts w:ascii="Times New Roman" w:eastAsia="Arial MT" w:hAnsi="Times New Roman" w:cs="Times New Roman"/>
                <w:sz w:val="24"/>
                <w:szCs w:val="24"/>
              </w:rPr>
              <w:t>Protección Ambiental y Cambio Climático</w:t>
            </w:r>
          </w:p>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sz w:val="24"/>
                <w:szCs w:val="24"/>
              </w:rPr>
            </w:pPr>
          </w:p>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sz w:val="24"/>
                <w:szCs w:val="24"/>
              </w:rPr>
            </w:pPr>
            <w:r w:rsidRPr="00CB38AA">
              <w:rPr>
                <w:rFonts w:ascii="Times New Roman" w:eastAsia="Arial MT" w:hAnsi="Times New Roman" w:cs="Times New Roman"/>
                <w:sz w:val="24"/>
                <w:szCs w:val="24"/>
              </w:rPr>
              <w:t>Desarrollo Económico, Industrial, Comercial y Minero</w:t>
            </w:r>
          </w:p>
        </w:tc>
        <w:tc>
          <w:tcPr>
            <w:tcW w:w="1289" w:type="dxa"/>
            <w:shd w:val="clear" w:color="auto" w:fill="auto"/>
            <w:vAlign w:val="center"/>
          </w:tcPr>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sz w:val="24"/>
                <w:szCs w:val="24"/>
              </w:rPr>
            </w:pPr>
            <w:r w:rsidRPr="00CB38AA">
              <w:rPr>
                <w:rFonts w:ascii="Times New Roman" w:eastAsia="Arial MT" w:hAnsi="Times New Roman" w:cs="Times New Roman"/>
                <w:sz w:val="24"/>
                <w:szCs w:val="24"/>
              </w:rPr>
              <w:t>Procuración y Administración de Justicia</w:t>
            </w:r>
          </w:p>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sz w:val="24"/>
                <w:szCs w:val="24"/>
              </w:rPr>
            </w:pPr>
          </w:p>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sz w:val="24"/>
                <w:szCs w:val="24"/>
              </w:rPr>
            </w:pPr>
            <w:r w:rsidRPr="00CB38AA">
              <w:rPr>
                <w:rFonts w:ascii="Times New Roman" w:eastAsia="Arial MT" w:hAnsi="Times New Roman" w:cs="Times New Roman"/>
                <w:sz w:val="24"/>
                <w:szCs w:val="24"/>
              </w:rPr>
              <w:t>Protección Ambiental y Cambio Climático</w:t>
            </w:r>
          </w:p>
        </w:tc>
      </w:tr>
    </w:tbl>
    <w:p w:rsidR="00FA1656" w:rsidRPr="00CB38AA" w:rsidRDefault="00FA1656" w:rsidP="00DF6EEA">
      <w:pPr>
        <w:widowControl w:val="0"/>
        <w:autoSpaceDE w:val="0"/>
        <w:autoSpaceDN w:val="0"/>
        <w:spacing w:after="0" w:line="240" w:lineRule="auto"/>
        <w:rPr>
          <w:rFonts w:ascii="Times New Roman" w:eastAsia="Arial MT" w:hAnsi="Times New Roman" w:cs="Times New Roman"/>
          <w:sz w:val="24"/>
          <w:szCs w:val="24"/>
        </w:rPr>
      </w:pPr>
    </w:p>
    <w:p w:rsidR="00FA1656" w:rsidRPr="00CB38AA" w:rsidRDefault="00FA1656"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 xml:space="preserve">La Presidencia acuerda el turno de Comisiones que se ha pedido y su ampliación en los casos que se estime conveniente. </w:t>
      </w: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r w:rsidRPr="00CB38AA">
        <w:rPr>
          <w:rFonts w:ascii="Times New Roman" w:eastAsia="Arial MT" w:hAnsi="Times New Roman" w:cs="Times New Roman"/>
          <w:sz w:val="24"/>
          <w:szCs w:val="24"/>
        </w:rPr>
        <w:t>La Presidencia solicita a la Secretaría, registre la asistencia a la Sesión, informando esta última, que ha quedado registrada la asistencia de las y los diputados.</w:t>
      </w: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r w:rsidRPr="00CB38AA">
        <w:rPr>
          <w:rFonts w:ascii="Times New Roman" w:eastAsia="Arial MT" w:hAnsi="Times New Roman" w:cs="Times New Roman"/>
          <w:sz w:val="24"/>
          <w:szCs w:val="24"/>
        </w:rPr>
        <w:t>9.- La Presidencia levanta la Sesión siendo las trece horas con treinta y ocho minutos del día de la fecha y solicita a las y los diputados permanecer atentos a la próxima convocatoria.</w:t>
      </w:r>
    </w:p>
    <w:p w:rsidR="00FA1656" w:rsidRPr="00CB38AA" w:rsidRDefault="00FA1656" w:rsidP="00DF6EEA">
      <w:pPr>
        <w:widowControl w:val="0"/>
        <w:autoSpaceDE w:val="0"/>
        <w:autoSpaceDN w:val="0"/>
        <w:spacing w:after="0" w:line="240" w:lineRule="auto"/>
        <w:jc w:val="both"/>
        <w:rPr>
          <w:rFonts w:ascii="Times New Roman" w:eastAsia="Arial MT" w:hAnsi="Times New Roman" w:cs="Times New Roman"/>
          <w:sz w:val="24"/>
          <w:szCs w:val="24"/>
        </w:rPr>
      </w:pPr>
    </w:p>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b/>
          <w:sz w:val="24"/>
          <w:szCs w:val="24"/>
        </w:rPr>
      </w:pPr>
      <w:r w:rsidRPr="00CB38AA">
        <w:rPr>
          <w:rFonts w:ascii="Times New Roman" w:eastAsia="Arial MT" w:hAnsi="Times New Roman" w:cs="Times New Roman"/>
          <w:b/>
          <w:sz w:val="24"/>
          <w:szCs w:val="24"/>
        </w:rPr>
        <w:t>EN FUNCIONES DE SECRETARIO</w:t>
      </w:r>
    </w:p>
    <w:p w:rsidR="00FA1656" w:rsidRPr="00CB38AA" w:rsidRDefault="00FA1656" w:rsidP="00DF6EEA">
      <w:pPr>
        <w:widowControl w:val="0"/>
        <w:autoSpaceDE w:val="0"/>
        <w:autoSpaceDN w:val="0"/>
        <w:spacing w:after="0" w:line="240" w:lineRule="auto"/>
        <w:jc w:val="center"/>
        <w:rPr>
          <w:rFonts w:ascii="Times New Roman" w:eastAsia="Arial MT" w:hAnsi="Times New Roman" w:cs="Times New Roman"/>
          <w:b/>
          <w:sz w:val="24"/>
          <w:szCs w:val="24"/>
        </w:rPr>
      </w:pPr>
      <w:r w:rsidRPr="00CB38AA">
        <w:rPr>
          <w:rFonts w:ascii="Times New Roman" w:eastAsia="Arial MT" w:hAnsi="Times New Roman" w:cs="Times New Roman"/>
          <w:b/>
          <w:sz w:val="24"/>
          <w:szCs w:val="24"/>
        </w:rPr>
        <w:t>DIP. ESTEBAN JUÁREZ HERNÁNDEZ</w:t>
      </w:r>
    </w:p>
    <w:p w:rsidR="00830326" w:rsidRPr="00CB38AA" w:rsidRDefault="00830326" w:rsidP="00DF6EEA">
      <w:pPr>
        <w:spacing w:after="0" w:line="240" w:lineRule="auto"/>
        <w:jc w:val="center"/>
        <w:rPr>
          <w:rFonts w:ascii="Times New Roman" w:hAnsi="Times New Roman" w:cs="Times New Roman"/>
          <w:sz w:val="24"/>
          <w:szCs w:val="24"/>
        </w:rPr>
      </w:pPr>
    </w:p>
    <w:p w:rsidR="00830326" w:rsidRPr="00CB38AA" w:rsidRDefault="00830326" w:rsidP="00DF6EEA">
      <w:pPr>
        <w:spacing w:after="0" w:line="240" w:lineRule="auto"/>
        <w:jc w:val="center"/>
        <w:rPr>
          <w:rFonts w:ascii="Times New Roman" w:hAnsi="Times New Roman" w:cs="Times New Roman"/>
          <w:sz w:val="24"/>
          <w:szCs w:val="24"/>
        </w:rPr>
      </w:pPr>
    </w:p>
    <w:p w:rsidR="00FA1656" w:rsidRPr="00CB38AA" w:rsidRDefault="00FA1656" w:rsidP="00DF6EEA">
      <w:pPr>
        <w:spacing w:after="0" w:line="240" w:lineRule="auto"/>
        <w:jc w:val="both"/>
        <w:textAlignment w:val="baseline"/>
        <w:rPr>
          <w:rFonts w:ascii="Times New Roman" w:eastAsia="Times New Roman" w:hAnsi="Times New Roman" w:cs="Times New Roman"/>
          <w:b/>
          <w:sz w:val="24"/>
          <w:szCs w:val="24"/>
          <w:lang w:eastAsia="es-MX"/>
        </w:rPr>
      </w:pPr>
      <w:r w:rsidRPr="00CB38AA">
        <w:rPr>
          <w:rFonts w:ascii="Times New Roman" w:eastAsia="Times New Roman" w:hAnsi="Times New Roman" w:cs="Times New Roman"/>
          <w:b/>
          <w:bCs/>
          <w:sz w:val="24"/>
          <w:szCs w:val="24"/>
          <w:lang w:eastAsia="es-MX"/>
        </w:rPr>
        <w:t xml:space="preserve">ACTA DE LA JUNTA DE ELECCIÓN DE LA “LXII” LEGISLATURA DEL ESTADO DE MÉXICO, </w:t>
      </w:r>
      <w:r w:rsidRPr="00CB38AA">
        <w:rPr>
          <w:rFonts w:ascii="Times New Roman" w:eastAsia="Times New Roman" w:hAnsi="Times New Roman" w:cs="Times New Roman"/>
          <w:b/>
          <w:sz w:val="24"/>
          <w:szCs w:val="24"/>
          <w:lang w:eastAsia="es-MX"/>
        </w:rPr>
        <w:t>CELEBRADA EL DÍA 31 DE ENERO DE 2026.</w:t>
      </w:r>
    </w:p>
    <w:p w:rsidR="00FA1656" w:rsidRPr="00CB38AA" w:rsidRDefault="00FA1656" w:rsidP="00DF6EEA">
      <w:pPr>
        <w:spacing w:after="0" w:line="240" w:lineRule="auto"/>
        <w:ind w:left="2832"/>
        <w:contextualSpacing/>
        <w:jc w:val="both"/>
        <w:rPr>
          <w:rFonts w:ascii="Times New Roman" w:eastAsia="Calibri" w:hAnsi="Times New Roman" w:cs="Times New Roman"/>
          <w:sz w:val="24"/>
          <w:szCs w:val="24"/>
          <w:u w:color="44546A"/>
        </w:rPr>
      </w:pPr>
    </w:p>
    <w:p w:rsidR="00FA1656" w:rsidRPr="00CB38AA" w:rsidRDefault="00FA1656" w:rsidP="00DF6EEA">
      <w:pPr>
        <w:spacing w:after="0" w:line="240" w:lineRule="auto"/>
        <w:contextualSpacing/>
        <w:jc w:val="center"/>
        <w:rPr>
          <w:rFonts w:ascii="Times New Roman" w:eastAsia="Calibri" w:hAnsi="Times New Roman" w:cs="Times New Roman"/>
          <w:b/>
          <w:sz w:val="24"/>
          <w:szCs w:val="24"/>
          <w:u w:color="44546A"/>
          <w:lang w:eastAsia="es-MX"/>
        </w:rPr>
      </w:pPr>
      <w:r w:rsidRPr="00CB38AA">
        <w:rPr>
          <w:rFonts w:ascii="Times New Roman" w:eastAsia="Calibri" w:hAnsi="Times New Roman" w:cs="Times New Roman"/>
          <w:b/>
          <w:sz w:val="24"/>
          <w:szCs w:val="24"/>
          <w:u w:color="44546A"/>
        </w:rPr>
        <w:t>Presidenta Diputada Martha Azucena Camacho Reynoso</w:t>
      </w:r>
      <w:r w:rsidRPr="00CB38AA">
        <w:rPr>
          <w:rFonts w:ascii="Times New Roman" w:eastAsia="Calibri" w:hAnsi="Times New Roman" w:cs="Times New Roman"/>
          <w:b/>
          <w:sz w:val="24"/>
          <w:szCs w:val="24"/>
          <w:u w:color="44546A"/>
          <w:lang w:eastAsia="es-MX"/>
        </w:rPr>
        <w:t>.</w:t>
      </w:r>
    </w:p>
    <w:p w:rsidR="00FA1656" w:rsidRPr="00CB38AA" w:rsidRDefault="00FA1656" w:rsidP="00DF6EEA">
      <w:pPr>
        <w:spacing w:after="0" w:line="240" w:lineRule="auto"/>
        <w:contextualSpacing/>
        <w:jc w:val="center"/>
        <w:rPr>
          <w:rFonts w:ascii="Times New Roman" w:eastAsia="Calibri" w:hAnsi="Times New Roman" w:cs="Times New Roman"/>
          <w:sz w:val="24"/>
          <w:szCs w:val="24"/>
          <w:u w:color="44546A"/>
        </w:rPr>
      </w:pPr>
    </w:p>
    <w:p w:rsidR="00FA1656" w:rsidRPr="00CB38AA" w:rsidRDefault="00FA1656" w:rsidP="00DF6EEA">
      <w:pPr>
        <w:spacing w:after="0" w:line="240" w:lineRule="auto"/>
        <w:jc w:val="both"/>
        <w:textAlignment w:val="baseline"/>
        <w:rPr>
          <w:rFonts w:ascii="Times New Roman" w:eastAsia="Times New Roman" w:hAnsi="Times New Roman" w:cs="Times New Roman"/>
          <w:sz w:val="24"/>
          <w:szCs w:val="24"/>
          <w:lang w:eastAsia="es-MX"/>
        </w:rPr>
      </w:pPr>
      <w:r w:rsidRPr="00CB38AA">
        <w:rPr>
          <w:rFonts w:ascii="Times New Roman" w:eastAsia="Times New Roman" w:hAnsi="Times New Roman" w:cs="Times New Roman"/>
          <w:sz w:val="24"/>
          <w:szCs w:val="24"/>
          <w:lang w:eastAsia="es-MX"/>
        </w:rPr>
        <w:t xml:space="preserve">En el Salón de Sesiones del H. Poder Legislativo, en la ciudad de Toluca de Lerdo, capital del Estado de México, la Presidencia abre la Sesión siendo las doce horas con cincuenta y dos minutos </w:t>
      </w:r>
      <w:r w:rsidRPr="00CB38AA">
        <w:rPr>
          <w:rFonts w:ascii="Times New Roman" w:eastAsia="Times New Roman" w:hAnsi="Times New Roman" w:cs="Times New Roman"/>
          <w:sz w:val="24"/>
          <w:szCs w:val="24"/>
          <w:lang w:eastAsia="es-MX"/>
        </w:rPr>
        <w:lastRenderedPageBreak/>
        <w:t>del día treinta y uno de enero de dos mil veintiséis, una vez que la Secretaría verificó la existencia del quórum, mediante el sistema electrónico.</w:t>
      </w:r>
    </w:p>
    <w:p w:rsidR="00FA1656" w:rsidRPr="00CB38AA" w:rsidRDefault="00FA1656" w:rsidP="00DF6EEA">
      <w:pPr>
        <w:spacing w:after="0" w:line="240" w:lineRule="auto"/>
        <w:jc w:val="both"/>
        <w:textAlignment w:val="baseline"/>
        <w:rPr>
          <w:rFonts w:ascii="Times New Roman" w:eastAsia="Times New Roman" w:hAnsi="Times New Roman" w:cs="Times New Roman"/>
          <w:sz w:val="24"/>
          <w:szCs w:val="24"/>
          <w:lang w:eastAsia="es-MX"/>
        </w:rPr>
      </w:pPr>
    </w:p>
    <w:p w:rsidR="00FA1656" w:rsidRPr="00CB38AA" w:rsidRDefault="00FA1656" w:rsidP="00DF6EEA">
      <w:pPr>
        <w:spacing w:after="0" w:line="240" w:lineRule="auto"/>
        <w:jc w:val="both"/>
        <w:textAlignment w:val="baseline"/>
        <w:rPr>
          <w:rFonts w:ascii="Times New Roman" w:eastAsia="Times New Roman" w:hAnsi="Times New Roman" w:cs="Times New Roman"/>
          <w:sz w:val="24"/>
          <w:szCs w:val="24"/>
          <w:lang w:eastAsia="es-MX"/>
        </w:rPr>
      </w:pPr>
      <w:r w:rsidRPr="00CB38AA">
        <w:rPr>
          <w:rFonts w:ascii="Times New Roman" w:eastAsia="Times New Roman" w:hAnsi="Times New Roman" w:cs="Times New Roman"/>
          <w:sz w:val="24"/>
          <w:szCs w:val="24"/>
          <w:lang w:eastAsia="es-MX"/>
        </w:rPr>
        <w:t>La Presidencia informa, que la presente Junta se lleva a cabo con el propósito de elegir la Directiva que habrá de fungir durante el primer mes del Segundo Período de Sesiones del Segundo Año de Ejercicio Constitucional.</w:t>
      </w:r>
    </w:p>
    <w:p w:rsidR="00FA1656" w:rsidRPr="00CB38AA" w:rsidRDefault="00FA1656" w:rsidP="00DF6EEA">
      <w:pPr>
        <w:spacing w:after="0" w:line="240" w:lineRule="auto"/>
        <w:jc w:val="both"/>
        <w:textAlignment w:val="baseline"/>
        <w:rPr>
          <w:rFonts w:ascii="Times New Roman" w:eastAsia="Times New Roman" w:hAnsi="Times New Roman" w:cs="Times New Roman"/>
          <w:sz w:val="24"/>
          <w:szCs w:val="24"/>
          <w:lang w:eastAsia="es-MX"/>
        </w:rPr>
      </w:pPr>
    </w:p>
    <w:p w:rsidR="00FA1656" w:rsidRPr="00CB38AA" w:rsidRDefault="00FA1656" w:rsidP="00DF6EEA">
      <w:pPr>
        <w:spacing w:after="0" w:line="240" w:lineRule="auto"/>
        <w:jc w:val="both"/>
        <w:textAlignment w:val="baseline"/>
        <w:rPr>
          <w:rFonts w:ascii="Times New Roman" w:eastAsia="Times New Roman" w:hAnsi="Times New Roman" w:cs="Times New Roman"/>
          <w:sz w:val="24"/>
          <w:szCs w:val="24"/>
          <w:lang w:eastAsia="es-MX"/>
        </w:rPr>
      </w:pPr>
      <w:r w:rsidRPr="00CB38AA">
        <w:rPr>
          <w:rFonts w:ascii="Times New Roman" w:eastAsia="Times New Roman" w:hAnsi="Times New Roman" w:cs="Times New Roman"/>
          <w:sz w:val="24"/>
          <w:szCs w:val="24"/>
          <w:lang w:eastAsia="es-MX"/>
        </w:rPr>
        <w:t>1.- La Presidencia solicita a la Secretaría distribuya las cédulas de votación, para llevar a cabo la elección de la Directiva que habrá de fungir durante el Primer Mes del Segundo Período de Sesiones del Segundo Año de Ejercicio Constitucional.</w:t>
      </w:r>
    </w:p>
    <w:p w:rsidR="00FA1656" w:rsidRPr="00CB38AA" w:rsidRDefault="00FA1656" w:rsidP="00DF6EEA">
      <w:pPr>
        <w:spacing w:after="0" w:line="240" w:lineRule="auto"/>
        <w:jc w:val="both"/>
        <w:textAlignment w:val="baseline"/>
        <w:rPr>
          <w:rFonts w:ascii="Times New Roman" w:eastAsia="Times New Roman" w:hAnsi="Times New Roman" w:cs="Times New Roman"/>
          <w:sz w:val="24"/>
          <w:szCs w:val="24"/>
          <w:lang w:eastAsia="es-MX"/>
        </w:rPr>
      </w:pPr>
    </w:p>
    <w:p w:rsidR="00FA1656" w:rsidRPr="00CB38AA" w:rsidRDefault="00FA1656" w:rsidP="00DF6EEA">
      <w:pPr>
        <w:spacing w:after="0" w:line="240" w:lineRule="auto"/>
        <w:jc w:val="both"/>
        <w:textAlignment w:val="baseline"/>
        <w:rPr>
          <w:rFonts w:ascii="Times New Roman" w:eastAsia="Times New Roman" w:hAnsi="Times New Roman" w:cs="Times New Roman"/>
          <w:sz w:val="24"/>
          <w:szCs w:val="24"/>
          <w:lang w:eastAsia="es-MX"/>
        </w:rPr>
      </w:pPr>
      <w:r w:rsidRPr="00CB38AA">
        <w:rPr>
          <w:rFonts w:ascii="Times New Roman" w:eastAsia="Times New Roman" w:hAnsi="Times New Roman" w:cs="Times New Roman"/>
          <w:sz w:val="24"/>
          <w:szCs w:val="24"/>
          <w:lang w:eastAsia="es-MX"/>
        </w:rPr>
        <w:t>Concluida la votación y realizado el cómputo, se declara como Presidenta, a la diputada Martha Azucena Camacho Reynoso; como Vicepresidentas, a las diputadas Itzel Guadalupe Pérez Correa y Sara Alicia Ramírez de la O; y como Secretarios y Secretaria a los diputados Edgar Samuel Ríos Moreno y Eduardo Zarzosa Sánchez y a la diputada Emma Laura Alvarez Villavicencio.</w:t>
      </w:r>
    </w:p>
    <w:p w:rsidR="00FA1656" w:rsidRPr="00CB38AA" w:rsidRDefault="00FA1656" w:rsidP="00DF6EEA">
      <w:pPr>
        <w:spacing w:after="0" w:line="240" w:lineRule="auto"/>
        <w:jc w:val="both"/>
        <w:textAlignment w:val="baseline"/>
        <w:rPr>
          <w:rFonts w:ascii="Times New Roman" w:eastAsia="Times New Roman" w:hAnsi="Times New Roman" w:cs="Times New Roman"/>
          <w:sz w:val="24"/>
          <w:szCs w:val="24"/>
          <w:lang w:eastAsia="es-MX"/>
        </w:rPr>
      </w:pPr>
    </w:p>
    <w:p w:rsidR="00FA1656" w:rsidRPr="00CB38AA" w:rsidRDefault="00FA1656" w:rsidP="00DF6EEA">
      <w:pPr>
        <w:spacing w:after="0" w:line="240" w:lineRule="auto"/>
        <w:jc w:val="both"/>
        <w:rPr>
          <w:rFonts w:ascii="Times New Roman" w:eastAsia="Calibri" w:hAnsi="Times New Roman" w:cs="Times New Roman"/>
          <w:sz w:val="24"/>
          <w:szCs w:val="24"/>
        </w:rPr>
      </w:pPr>
      <w:r w:rsidRPr="00CB38AA">
        <w:rPr>
          <w:rFonts w:ascii="Times New Roman" w:eastAsia="Calibri" w:hAnsi="Times New Roman" w:cs="Times New Roman"/>
          <w:sz w:val="24"/>
          <w:szCs w:val="24"/>
        </w:rPr>
        <w:t>La Presidencia solicita a la Secretaría registre la asistencia a la Junta, informando esta última, que ha quedado registrada.</w:t>
      </w:r>
    </w:p>
    <w:p w:rsidR="00FA1656" w:rsidRPr="00CB38AA" w:rsidRDefault="00FA1656" w:rsidP="00DF6EEA">
      <w:pPr>
        <w:spacing w:after="0" w:line="240" w:lineRule="auto"/>
        <w:contextualSpacing/>
        <w:jc w:val="both"/>
        <w:rPr>
          <w:rFonts w:ascii="Times New Roman" w:eastAsia="Calibri" w:hAnsi="Times New Roman" w:cs="Times New Roman"/>
          <w:sz w:val="24"/>
          <w:szCs w:val="24"/>
          <w:u w:color="44546A"/>
        </w:rPr>
      </w:pPr>
      <w:r w:rsidRPr="00CB38AA">
        <w:rPr>
          <w:rFonts w:ascii="Times New Roman" w:eastAsia="Calibri" w:hAnsi="Times New Roman" w:cs="Times New Roman"/>
          <w:sz w:val="24"/>
          <w:szCs w:val="24"/>
          <w:u w:color="44546A"/>
        </w:rPr>
        <w:t>2.- Agotado el asunto motivo de la Junta, la Presidencia la levanta siendo las trece horas con quince minutos, del día treinta y uno de enero del año dos mil veintiséis y solicita permanecer en su sitial, para llevar a cabo Sesión Solemne de Apertura.</w:t>
      </w:r>
    </w:p>
    <w:p w:rsidR="00FA1656" w:rsidRPr="00CB38AA" w:rsidRDefault="00FA1656" w:rsidP="00DF6EEA">
      <w:pPr>
        <w:spacing w:after="0" w:line="240" w:lineRule="auto"/>
        <w:jc w:val="both"/>
        <w:textAlignment w:val="baseline"/>
        <w:rPr>
          <w:rFonts w:ascii="Times New Roman" w:eastAsia="Times New Roman" w:hAnsi="Times New Roman" w:cs="Times New Roman"/>
          <w:sz w:val="24"/>
          <w:szCs w:val="24"/>
          <w:lang w:eastAsia="es-MX"/>
        </w:rPr>
      </w:pPr>
    </w:p>
    <w:p w:rsidR="00FA1656" w:rsidRPr="00CB38AA" w:rsidRDefault="00FA1656" w:rsidP="00DF6EEA">
      <w:pPr>
        <w:spacing w:after="0" w:line="240" w:lineRule="auto"/>
        <w:jc w:val="center"/>
        <w:textAlignment w:val="baseline"/>
        <w:rPr>
          <w:rFonts w:ascii="Times New Roman" w:eastAsia="Times New Roman" w:hAnsi="Times New Roman" w:cs="Times New Roman"/>
          <w:b/>
          <w:sz w:val="24"/>
          <w:szCs w:val="24"/>
          <w:lang w:eastAsia="es-MX"/>
        </w:rPr>
      </w:pPr>
      <w:r w:rsidRPr="00CB38AA">
        <w:rPr>
          <w:rFonts w:ascii="Times New Roman" w:eastAsia="Times New Roman" w:hAnsi="Times New Roman" w:cs="Times New Roman"/>
          <w:b/>
          <w:sz w:val="24"/>
          <w:szCs w:val="24"/>
          <w:lang w:eastAsia="es-MX"/>
        </w:rPr>
        <w:t>SECRETARIO EN FUNCIONES</w:t>
      </w:r>
    </w:p>
    <w:p w:rsidR="00FA1656" w:rsidRPr="00CB38AA" w:rsidRDefault="00FA1656" w:rsidP="00DF6EEA">
      <w:pPr>
        <w:spacing w:after="0" w:line="240" w:lineRule="auto"/>
        <w:jc w:val="center"/>
        <w:textAlignment w:val="baseline"/>
        <w:rPr>
          <w:rFonts w:ascii="Times New Roman" w:eastAsia="Times New Roman" w:hAnsi="Times New Roman" w:cs="Times New Roman"/>
          <w:b/>
          <w:sz w:val="24"/>
          <w:szCs w:val="24"/>
          <w:lang w:eastAsia="es-MX"/>
        </w:rPr>
      </w:pPr>
      <w:r w:rsidRPr="00CB38AA">
        <w:rPr>
          <w:rFonts w:ascii="Times New Roman" w:eastAsia="Times New Roman" w:hAnsi="Times New Roman" w:cs="Times New Roman"/>
          <w:b/>
          <w:sz w:val="24"/>
          <w:szCs w:val="24"/>
          <w:lang w:eastAsia="es-MX"/>
        </w:rPr>
        <w:t>DIP. EDMUNDO LUIS VALDEÑA BASTIDA</w:t>
      </w:r>
    </w:p>
    <w:p w:rsidR="00830326" w:rsidRPr="00CB38AA" w:rsidRDefault="00830326" w:rsidP="00DF6EEA">
      <w:pPr>
        <w:spacing w:after="0" w:line="240" w:lineRule="auto"/>
        <w:jc w:val="center"/>
        <w:rPr>
          <w:rFonts w:ascii="Times New Roman" w:hAnsi="Times New Roman" w:cs="Times New Roman"/>
          <w:sz w:val="24"/>
          <w:szCs w:val="24"/>
        </w:rPr>
      </w:pPr>
    </w:p>
    <w:p w:rsidR="00830326" w:rsidRPr="00CB38AA" w:rsidRDefault="00830326" w:rsidP="00DF6EEA">
      <w:pPr>
        <w:spacing w:after="0" w:line="240" w:lineRule="auto"/>
        <w:jc w:val="center"/>
        <w:rPr>
          <w:rFonts w:ascii="Times New Roman" w:hAnsi="Times New Roman" w:cs="Times New Roman"/>
          <w:sz w:val="24"/>
          <w:szCs w:val="24"/>
        </w:rPr>
      </w:pPr>
    </w:p>
    <w:p w:rsidR="00FA1656" w:rsidRPr="00CB38AA" w:rsidRDefault="00FA1656" w:rsidP="00DF6EEA">
      <w:pPr>
        <w:spacing w:after="0" w:line="240" w:lineRule="auto"/>
        <w:contextualSpacing/>
        <w:jc w:val="both"/>
        <w:rPr>
          <w:rFonts w:ascii="Times New Roman" w:eastAsia="Calibri" w:hAnsi="Times New Roman" w:cs="Times New Roman"/>
          <w:b/>
          <w:sz w:val="24"/>
          <w:szCs w:val="24"/>
          <w:u w:color="44546A"/>
        </w:rPr>
      </w:pPr>
      <w:r w:rsidRPr="00CB38AA">
        <w:rPr>
          <w:rFonts w:ascii="Times New Roman" w:eastAsia="Calibri" w:hAnsi="Times New Roman" w:cs="Times New Roman"/>
          <w:b/>
          <w:sz w:val="24"/>
          <w:szCs w:val="24"/>
          <w:u w:color="44546A"/>
        </w:rPr>
        <w:t xml:space="preserve">ACTA DE LA SESIÓN </w:t>
      </w:r>
      <w:r w:rsidRPr="00CB38AA">
        <w:rPr>
          <w:rFonts w:ascii="Times New Roman" w:eastAsia="Times New Roman" w:hAnsi="Times New Roman" w:cs="Times New Roman"/>
          <w:b/>
          <w:sz w:val="24"/>
          <w:szCs w:val="24"/>
          <w:u w:color="44546A"/>
          <w:lang w:eastAsia="es-MX"/>
        </w:rPr>
        <w:t xml:space="preserve">SOLEMNE DE APERTURA DEL SEGUNDO PERIODO ORDINARIO DE SESIONES DEL SEGUNDO AÑO DE EJERCICIO CONSTITUCIONAL DE LA “LXII” LEGISLATURA DEL ESTADO DE MÉXICO, </w:t>
      </w:r>
      <w:r w:rsidRPr="00CB38AA">
        <w:rPr>
          <w:rFonts w:ascii="Times New Roman" w:eastAsia="Calibri" w:hAnsi="Times New Roman" w:cs="Times New Roman"/>
          <w:b/>
          <w:sz w:val="24"/>
          <w:szCs w:val="24"/>
          <w:u w:color="44546A"/>
        </w:rPr>
        <w:t>CELEBRADA EL DÍA 31 DE ENERO DE 2026.</w:t>
      </w:r>
    </w:p>
    <w:p w:rsidR="00FA1656" w:rsidRPr="00CB38AA" w:rsidRDefault="00FA1656" w:rsidP="00DF6EEA">
      <w:pPr>
        <w:spacing w:after="0" w:line="240" w:lineRule="auto"/>
        <w:ind w:left="2832"/>
        <w:contextualSpacing/>
        <w:jc w:val="both"/>
        <w:rPr>
          <w:rFonts w:ascii="Times New Roman" w:eastAsia="Calibri" w:hAnsi="Times New Roman" w:cs="Times New Roman"/>
          <w:sz w:val="24"/>
          <w:szCs w:val="24"/>
          <w:u w:color="44546A"/>
        </w:rPr>
      </w:pPr>
    </w:p>
    <w:p w:rsidR="00FA1656" w:rsidRPr="00CB38AA" w:rsidRDefault="00FA1656" w:rsidP="00DF6EEA">
      <w:pPr>
        <w:spacing w:after="0" w:line="240" w:lineRule="auto"/>
        <w:contextualSpacing/>
        <w:jc w:val="center"/>
        <w:rPr>
          <w:rFonts w:ascii="Times New Roman" w:eastAsia="Calibri" w:hAnsi="Times New Roman" w:cs="Times New Roman"/>
          <w:b/>
          <w:sz w:val="24"/>
          <w:szCs w:val="24"/>
          <w:u w:color="44546A"/>
          <w:lang w:eastAsia="es-MX"/>
        </w:rPr>
      </w:pPr>
      <w:r w:rsidRPr="00CB38AA">
        <w:rPr>
          <w:rFonts w:ascii="Times New Roman" w:eastAsia="Calibri" w:hAnsi="Times New Roman" w:cs="Times New Roman"/>
          <w:b/>
          <w:sz w:val="24"/>
          <w:szCs w:val="24"/>
          <w:u w:color="44546A"/>
        </w:rPr>
        <w:t>Presidenta Diputada Martha Azucena Camacho Reynoso</w:t>
      </w:r>
      <w:r w:rsidRPr="00CB38AA">
        <w:rPr>
          <w:rFonts w:ascii="Times New Roman" w:eastAsia="Calibri" w:hAnsi="Times New Roman" w:cs="Times New Roman"/>
          <w:b/>
          <w:sz w:val="24"/>
          <w:szCs w:val="24"/>
          <w:u w:color="44546A"/>
          <w:lang w:eastAsia="es-MX"/>
        </w:rPr>
        <w:t>.</w:t>
      </w:r>
    </w:p>
    <w:p w:rsidR="00FA1656" w:rsidRPr="00CB38AA" w:rsidRDefault="00FA1656" w:rsidP="00DF6EEA">
      <w:pPr>
        <w:spacing w:after="0" w:line="240" w:lineRule="auto"/>
        <w:contextualSpacing/>
        <w:jc w:val="center"/>
        <w:rPr>
          <w:rFonts w:ascii="Times New Roman" w:eastAsia="Calibri" w:hAnsi="Times New Roman" w:cs="Times New Roman"/>
          <w:sz w:val="24"/>
          <w:szCs w:val="24"/>
          <w:u w:color="44546A"/>
        </w:rPr>
      </w:pPr>
    </w:p>
    <w:p w:rsidR="00FA1656" w:rsidRPr="00CB38AA" w:rsidRDefault="00FA1656" w:rsidP="00DF6EEA">
      <w:pPr>
        <w:spacing w:after="0" w:line="240" w:lineRule="auto"/>
        <w:jc w:val="both"/>
        <w:rPr>
          <w:rFonts w:ascii="Times New Roman" w:eastAsia="Times New Roman" w:hAnsi="Times New Roman" w:cs="Times New Roman"/>
          <w:sz w:val="24"/>
          <w:szCs w:val="24"/>
          <w:lang w:eastAsia="es-ES"/>
        </w:rPr>
      </w:pPr>
      <w:r w:rsidRPr="00CB38AA">
        <w:rPr>
          <w:rFonts w:ascii="Times New Roman" w:eastAsia="Times New Roman" w:hAnsi="Times New Roman" w:cs="Times New Roman"/>
          <w:sz w:val="24"/>
          <w:szCs w:val="24"/>
          <w:lang w:eastAsia="es-ES"/>
        </w:rPr>
        <w:t xml:space="preserve">En el Salón de Sesiones del H. Poder Legislativo, en la ciudad de Toluca de Lerdo, capital del Estado de México, siendo las trece horas con veintitrés minutos del día </w:t>
      </w:r>
      <w:r w:rsidRPr="00CB38AA">
        <w:rPr>
          <w:rFonts w:ascii="Times New Roman" w:eastAsia="Times New Roman" w:hAnsi="Times New Roman" w:cs="Times New Roman"/>
          <w:sz w:val="24"/>
          <w:szCs w:val="24"/>
          <w:lang w:eastAsia="es-MX"/>
        </w:rPr>
        <w:t xml:space="preserve">treinta y uno de enero </w:t>
      </w:r>
      <w:r w:rsidRPr="00CB38AA">
        <w:rPr>
          <w:rFonts w:ascii="Times New Roman" w:eastAsia="Times New Roman" w:hAnsi="Times New Roman" w:cs="Times New Roman"/>
          <w:sz w:val="24"/>
          <w:szCs w:val="24"/>
          <w:lang w:eastAsia="es-ES"/>
        </w:rPr>
        <w:t>de dos mil veintiséis, la Presidencia abre la sesión una vez que la Secretaría verificó la existencia del quórum, mediante el sistema electrónico de registro de asistencia.</w:t>
      </w:r>
    </w:p>
    <w:p w:rsidR="00FA1656" w:rsidRPr="00CB38AA" w:rsidRDefault="00FA1656" w:rsidP="00DF6EEA">
      <w:pPr>
        <w:spacing w:after="0" w:line="240" w:lineRule="auto"/>
        <w:jc w:val="both"/>
        <w:rPr>
          <w:rFonts w:ascii="Times New Roman" w:eastAsia="Times New Roman" w:hAnsi="Times New Roman" w:cs="Times New Roman"/>
          <w:sz w:val="24"/>
          <w:szCs w:val="24"/>
          <w:lang w:eastAsia="es-ES"/>
        </w:rPr>
      </w:pPr>
    </w:p>
    <w:p w:rsidR="00FA1656" w:rsidRPr="00CB38AA" w:rsidRDefault="00FA1656" w:rsidP="00DF6EEA">
      <w:pPr>
        <w:spacing w:after="0" w:line="240" w:lineRule="auto"/>
        <w:jc w:val="both"/>
        <w:rPr>
          <w:rFonts w:ascii="Times New Roman" w:eastAsia="Times New Roman" w:hAnsi="Times New Roman" w:cs="Times New Roman"/>
          <w:sz w:val="24"/>
          <w:szCs w:val="24"/>
          <w:lang w:eastAsia="es-ES"/>
        </w:rPr>
      </w:pPr>
      <w:r w:rsidRPr="00CB38AA">
        <w:rPr>
          <w:rFonts w:ascii="Times New Roman" w:eastAsia="Times New Roman" w:hAnsi="Times New Roman" w:cs="Times New Roman"/>
          <w:sz w:val="24"/>
          <w:szCs w:val="24"/>
          <w:lang w:eastAsia="es-ES"/>
        </w:rPr>
        <w:t>La Presidencia señala que la presente Sesión es de régimen Solemne y tiene como propósito, declarar la Apertura del Segundo Periodo Ordinario de Sesiones de la “LXII” Legislatura del Estado de México.</w:t>
      </w:r>
    </w:p>
    <w:p w:rsidR="00FA1656" w:rsidRPr="00CB38AA" w:rsidRDefault="00FA1656" w:rsidP="00DF6EEA">
      <w:pPr>
        <w:spacing w:after="0" w:line="240" w:lineRule="auto"/>
        <w:jc w:val="both"/>
        <w:rPr>
          <w:rFonts w:ascii="Times New Roman" w:eastAsia="Times New Roman" w:hAnsi="Times New Roman" w:cs="Times New Roman"/>
          <w:sz w:val="24"/>
          <w:szCs w:val="24"/>
          <w:lang w:eastAsia="es-ES"/>
        </w:rPr>
      </w:pPr>
    </w:p>
    <w:p w:rsidR="00FA1656" w:rsidRPr="00CB38AA" w:rsidRDefault="00FA1656" w:rsidP="00DF6EEA">
      <w:pPr>
        <w:spacing w:after="0" w:line="240" w:lineRule="auto"/>
        <w:jc w:val="both"/>
        <w:rPr>
          <w:rFonts w:ascii="Times New Roman" w:eastAsia="Times New Roman" w:hAnsi="Times New Roman" w:cs="Times New Roman"/>
          <w:sz w:val="24"/>
          <w:szCs w:val="24"/>
          <w:lang w:eastAsia="es-ES"/>
        </w:rPr>
      </w:pPr>
      <w:r w:rsidRPr="00CB38AA">
        <w:rPr>
          <w:rFonts w:ascii="Times New Roman" w:eastAsia="Times New Roman" w:hAnsi="Times New Roman" w:cs="Times New Roman"/>
          <w:sz w:val="24"/>
          <w:szCs w:val="24"/>
          <w:lang w:eastAsia="es-ES"/>
        </w:rPr>
        <w:t>La Presidencia solicita a los asistentes al Recinto del Poder Legislativo, ponerse de pie para entonar el Himno Nacional Mexicano.</w:t>
      </w:r>
    </w:p>
    <w:p w:rsidR="00FA1656" w:rsidRPr="00CB38AA" w:rsidRDefault="00FA1656" w:rsidP="00DF6EEA">
      <w:pPr>
        <w:spacing w:after="0" w:line="240" w:lineRule="auto"/>
        <w:jc w:val="both"/>
        <w:rPr>
          <w:rFonts w:ascii="Times New Roman" w:eastAsia="Times New Roman" w:hAnsi="Times New Roman" w:cs="Times New Roman"/>
          <w:sz w:val="24"/>
          <w:szCs w:val="24"/>
          <w:lang w:eastAsia="es-ES"/>
        </w:rPr>
      </w:pPr>
    </w:p>
    <w:p w:rsidR="00FA1656" w:rsidRPr="00CB38AA" w:rsidRDefault="00FA1656" w:rsidP="00DF6EEA">
      <w:pPr>
        <w:spacing w:after="0" w:line="240" w:lineRule="auto"/>
        <w:jc w:val="both"/>
        <w:rPr>
          <w:rFonts w:ascii="Times New Roman" w:eastAsia="Times New Roman" w:hAnsi="Times New Roman" w:cs="Times New Roman"/>
          <w:sz w:val="24"/>
          <w:szCs w:val="24"/>
          <w:lang w:eastAsia="es-ES"/>
        </w:rPr>
      </w:pPr>
      <w:r w:rsidRPr="00CB38AA">
        <w:rPr>
          <w:rFonts w:ascii="Times New Roman" w:eastAsia="Times New Roman" w:hAnsi="Times New Roman" w:cs="Times New Roman"/>
          <w:sz w:val="24"/>
          <w:szCs w:val="24"/>
          <w:lang w:eastAsia="es-ES"/>
        </w:rPr>
        <w:t>1.- Se entona el Himno Nacional Mexicano.</w:t>
      </w:r>
    </w:p>
    <w:p w:rsidR="00FA1656" w:rsidRPr="00CB38AA" w:rsidRDefault="00FA1656" w:rsidP="00DF6EEA">
      <w:pPr>
        <w:spacing w:after="0" w:line="240" w:lineRule="auto"/>
        <w:jc w:val="both"/>
        <w:rPr>
          <w:rFonts w:ascii="Times New Roman" w:eastAsia="Times New Roman" w:hAnsi="Times New Roman" w:cs="Times New Roman"/>
          <w:sz w:val="24"/>
          <w:szCs w:val="24"/>
          <w:lang w:eastAsia="es-ES"/>
        </w:rPr>
      </w:pPr>
    </w:p>
    <w:p w:rsidR="00FA1656" w:rsidRPr="00CB38AA" w:rsidRDefault="00FA1656" w:rsidP="00DF6EEA">
      <w:pPr>
        <w:spacing w:after="0" w:line="240" w:lineRule="auto"/>
        <w:jc w:val="both"/>
        <w:rPr>
          <w:rFonts w:ascii="Times New Roman" w:eastAsia="Times New Roman" w:hAnsi="Times New Roman" w:cs="Times New Roman"/>
          <w:sz w:val="24"/>
          <w:szCs w:val="24"/>
          <w:lang w:eastAsia="es-ES"/>
        </w:rPr>
      </w:pPr>
      <w:r w:rsidRPr="00CB38AA">
        <w:rPr>
          <w:rFonts w:ascii="Times New Roman" w:eastAsia="Times New Roman" w:hAnsi="Times New Roman" w:cs="Times New Roman"/>
          <w:sz w:val="24"/>
          <w:szCs w:val="24"/>
          <w:lang w:eastAsia="es-ES"/>
        </w:rPr>
        <w:t xml:space="preserve">2.- La Presidencia da un mensaje y formula la Declaratoria Solemne de Apertura del Segundo Período Ordinario de Sesiones del Segundo Año de Ejercicio Constitucional de la “LXII” </w:t>
      </w:r>
      <w:r w:rsidRPr="00CB38AA">
        <w:rPr>
          <w:rFonts w:ascii="Times New Roman" w:eastAsia="Times New Roman" w:hAnsi="Times New Roman" w:cs="Times New Roman"/>
          <w:sz w:val="24"/>
          <w:szCs w:val="24"/>
          <w:lang w:eastAsia="es-ES"/>
        </w:rPr>
        <w:lastRenderedPageBreak/>
        <w:t>Legislatura del Estado de México, siendo las trece horas con treinta y cinco minutos del día treinta y uno de enero de dos mil veintiséis.</w:t>
      </w:r>
    </w:p>
    <w:p w:rsidR="00FA1656" w:rsidRPr="00CB38AA" w:rsidRDefault="00FA1656" w:rsidP="00DF6EEA">
      <w:pPr>
        <w:spacing w:after="0" w:line="240" w:lineRule="auto"/>
        <w:jc w:val="both"/>
        <w:rPr>
          <w:rFonts w:ascii="Times New Roman" w:eastAsia="Times New Roman" w:hAnsi="Times New Roman" w:cs="Times New Roman"/>
          <w:sz w:val="24"/>
          <w:szCs w:val="24"/>
          <w:lang w:eastAsia="es-ES"/>
        </w:rPr>
      </w:pPr>
    </w:p>
    <w:p w:rsidR="00FA1656" w:rsidRPr="00CB38AA" w:rsidRDefault="00FA1656" w:rsidP="00DF6EEA">
      <w:pPr>
        <w:spacing w:after="0" w:line="240" w:lineRule="auto"/>
        <w:jc w:val="both"/>
        <w:rPr>
          <w:rFonts w:ascii="Times New Roman" w:eastAsia="Times New Roman" w:hAnsi="Times New Roman" w:cs="Times New Roman"/>
          <w:sz w:val="24"/>
          <w:szCs w:val="24"/>
          <w:lang w:eastAsia="es-ES"/>
        </w:rPr>
      </w:pPr>
      <w:r w:rsidRPr="00CB38AA">
        <w:rPr>
          <w:rFonts w:ascii="Times New Roman" w:eastAsia="Times New Roman" w:hAnsi="Times New Roman" w:cs="Times New Roman"/>
          <w:sz w:val="24"/>
          <w:szCs w:val="24"/>
          <w:lang w:eastAsia="es-ES"/>
        </w:rPr>
        <w:t>La Presidencia solicita a la Secretaría registre la asistencia a la Sesión, informando esta última, que ha sido registrada la asistencia a la Sesión.</w:t>
      </w:r>
    </w:p>
    <w:p w:rsidR="00FA1656" w:rsidRPr="00CB38AA" w:rsidRDefault="00FA1656" w:rsidP="00DF6EEA">
      <w:pPr>
        <w:spacing w:after="0" w:line="240" w:lineRule="auto"/>
        <w:jc w:val="both"/>
        <w:rPr>
          <w:rFonts w:ascii="Times New Roman" w:eastAsia="Times New Roman" w:hAnsi="Times New Roman" w:cs="Times New Roman"/>
          <w:sz w:val="24"/>
          <w:szCs w:val="24"/>
          <w:lang w:eastAsia="es-ES"/>
        </w:rPr>
      </w:pPr>
    </w:p>
    <w:p w:rsidR="00FA1656" w:rsidRPr="00CB38AA" w:rsidRDefault="00FA1656" w:rsidP="00DF6EEA">
      <w:pPr>
        <w:spacing w:after="0" w:line="240" w:lineRule="auto"/>
        <w:jc w:val="both"/>
        <w:rPr>
          <w:rFonts w:ascii="Times New Roman" w:eastAsia="Times New Roman" w:hAnsi="Times New Roman" w:cs="Times New Roman"/>
          <w:sz w:val="24"/>
          <w:szCs w:val="24"/>
          <w:lang w:eastAsia="es-ES"/>
        </w:rPr>
      </w:pPr>
      <w:r w:rsidRPr="00CB38AA">
        <w:rPr>
          <w:rFonts w:ascii="Times New Roman" w:eastAsia="Times New Roman" w:hAnsi="Times New Roman" w:cs="Times New Roman"/>
          <w:sz w:val="24"/>
          <w:szCs w:val="24"/>
          <w:lang w:eastAsia="es-ES"/>
        </w:rPr>
        <w:t>La Vicepresidencia solicita a los asistentes al Recinto del Poder Legislativo, ponerse de pie para entonar el Himno del Estado de México.</w:t>
      </w:r>
    </w:p>
    <w:p w:rsidR="00FA1656" w:rsidRPr="00CB38AA" w:rsidRDefault="00FA1656" w:rsidP="00DF6EEA">
      <w:pPr>
        <w:spacing w:after="0" w:line="240" w:lineRule="auto"/>
        <w:jc w:val="both"/>
        <w:rPr>
          <w:rFonts w:ascii="Times New Roman" w:eastAsia="Times New Roman" w:hAnsi="Times New Roman" w:cs="Times New Roman"/>
          <w:sz w:val="24"/>
          <w:szCs w:val="24"/>
          <w:lang w:eastAsia="es-ES"/>
        </w:rPr>
      </w:pPr>
    </w:p>
    <w:p w:rsidR="00FA1656" w:rsidRPr="00CB38AA" w:rsidRDefault="00FA1656" w:rsidP="00DF6EEA">
      <w:pPr>
        <w:spacing w:after="0" w:line="240" w:lineRule="auto"/>
        <w:jc w:val="both"/>
        <w:rPr>
          <w:rFonts w:ascii="Times New Roman" w:eastAsia="Times New Roman" w:hAnsi="Times New Roman" w:cs="Times New Roman"/>
          <w:sz w:val="24"/>
          <w:szCs w:val="24"/>
          <w:lang w:eastAsia="es-ES"/>
        </w:rPr>
      </w:pPr>
      <w:r w:rsidRPr="00CB38AA">
        <w:rPr>
          <w:rFonts w:ascii="Times New Roman" w:eastAsia="Times New Roman" w:hAnsi="Times New Roman" w:cs="Times New Roman"/>
          <w:sz w:val="24"/>
          <w:szCs w:val="24"/>
          <w:lang w:eastAsia="es-ES"/>
        </w:rPr>
        <w:t>3.- Se entona el Himno del Estado de México.</w:t>
      </w:r>
    </w:p>
    <w:p w:rsidR="00FA1656" w:rsidRPr="00CB38AA" w:rsidRDefault="00FA1656" w:rsidP="00DF6EEA">
      <w:pPr>
        <w:spacing w:after="0" w:line="240" w:lineRule="auto"/>
        <w:jc w:val="both"/>
        <w:rPr>
          <w:rFonts w:ascii="Times New Roman" w:eastAsia="Times New Roman" w:hAnsi="Times New Roman" w:cs="Times New Roman"/>
          <w:sz w:val="24"/>
          <w:szCs w:val="24"/>
          <w:lang w:eastAsia="es-ES"/>
        </w:rPr>
      </w:pPr>
    </w:p>
    <w:p w:rsidR="00FA1656" w:rsidRPr="00CB38AA" w:rsidRDefault="00FA1656" w:rsidP="00DF6EEA">
      <w:pPr>
        <w:spacing w:after="0" w:line="240" w:lineRule="auto"/>
        <w:jc w:val="both"/>
        <w:rPr>
          <w:rFonts w:ascii="Times New Roman" w:eastAsia="Calibri" w:hAnsi="Times New Roman" w:cs="Times New Roman"/>
          <w:sz w:val="24"/>
          <w:szCs w:val="24"/>
          <w:u w:color="44546A"/>
        </w:rPr>
      </w:pPr>
      <w:r w:rsidRPr="00CB38AA">
        <w:rPr>
          <w:rFonts w:ascii="Times New Roman" w:eastAsia="Calibri" w:hAnsi="Times New Roman" w:cs="Times New Roman"/>
          <w:sz w:val="24"/>
          <w:szCs w:val="24"/>
          <w:u w:color="44546A"/>
        </w:rPr>
        <w:t>4.- Agotados los asuntos en cartera, la Presidencia levanta la Sesión siendo las trece horas con treinta y ocho minutos del día de la fecha y solicita a las, le y los diputados estén atentos a la convocatoria de la próxima sesión.</w:t>
      </w:r>
    </w:p>
    <w:p w:rsidR="00FA1656" w:rsidRPr="00CB38AA" w:rsidRDefault="00FA1656" w:rsidP="00DF6EEA">
      <w:pPr>
        <w:spacing w:after="0" w:line="240" w:lineRule="auto"/>
        <w:jc w:val="both"/>
        <w:rPr>
          <w:rFonts w:ascii="Times New Roman" w:eastAsia="Times New Roman" w:hAnsi="Times New Roman" w:cs="Times New Roman"/>
          <w:sz w:val="24"/>
          <w:szCs w:val="24"/>
          <w:shd w:val="clear" w:color="auto" w:fill="FFFFFF"/>
          <w:lang w:eastAsia="es-ES"/>
        </w:rPr>
      </w:pPr>
    </w:p>
    <w:tbl>
      <w:tblPr>
        <w:tblW w:w="0" w:type="auto"/>
        <w:tblLook w:val="04A0" w:firstRow="1" w:lastRow="0" w:firstColumn="1" w:lastColumn="0" w:noHBand="0" w:noVBand="1"/>
      </w:tblPr>
      <w:tblGrid>
        <w:gridCol w:w="4822"/>
        <w:gridCol w:w="4583"/>
      </w:tblGrid>
      <w:tr w:rsidR="00FA1656" w:rsidRPr="00CB38AA" w:rsidTr="00015124">
        <w:tc>
          <w:tcPr>
            <w:tcW w:w="5387" w:type="dxa"/>
            <w:shd w:val="clear" w:color="auto" w:fill="auto"/>
          </w:tcPr>
          <w:p w:rsidR="00FA1656" w:rsidRPr="00CB38AA" w:rsidRDefault="00FA1656" w:rsidP="00DF6EEA">
            <w:pPr>
              <w:spacing w:after="0" w:line="240" w:lineRule="auto"/>
              <w:jc w:val="center"/>
              <w:rPr>
                <w:rFonts w:ascii="Times New Roman" w:eastAsia="Times New Roman" w:hAnsi="Times New Roman" w:cs="Times New Roman"/>
                <w:b/>
                <w:sz w:val="24"/>
                <w:szCs w:val="24"/>
                <w:lang w:eastAsia="es-ES"/>
              </w:rPr>
            </w:pPr>
            <w:r w:rsidRPr="00CB38AA">
              <w:rPr>
                <w:rFonts w:ascii="Times New Roman" w:eastAsia="Times New Roman" w:hAnsi="Times New Roman" w:cs="Times New Roman"/>
                <w:b/>
                <w:sz w:val="24"/>
                <w:szCs w:val="24"/>
                <w:lang w:eastAsia="es-ES"/>
              </w:rPr>
              <w:t>SECRETARIO</w:t>
            </w:r>
          </w:p>
          <w:p w:rsidR="00FA1656" w:rsidRPr="00CB38AA" w:rsidRDefault="00FA1656" w:rsidP="00DF6EEA">
            <w:pPr>
              <w:spacing w:after="0" w:line="240" w:lineRule="auto"/>
              <w:jc w:val="center"/>
              <w:rPr>
                <w:rFonts w:ascii="Times New Roman" w:eastAsia="Times New Roman" w:hAnsi="Times New Roman" w:cs="Times New Roman"/>
                <w:b/>
                <w:sz w:val="24"/>
                <w:szCs w:val="24"/>
                <w:lang w:eastAsia="es-ES"/>
              </w:rPr>
            </w:pPr>
            <w:r w:rsidRPr="00CB38AA">
              <w:rPr>
                <w:rFonts w:ascii="Times New Roman" w:eastAsia="Times New Roman" w:hAnsi="Times New Roman" w:cs="Times New Roman"/>
                <w:b/>
                <w:sz w:val="24"/>
                <w:szCs w:val="24"/>
                <w:lang w:eastAsia="es-ES"/>
              </w:rPr>
              <w:t>DIP. EDGAR SAMUEL RÍOS MORENO</w:t>
            </w:r>
          </w:p>
        </w:tc>
        <w:tc>
          <w:tcPr>
            <w:tcW w:w="5103" w:type="dxa"/>
            <w:shd w:val="clear" w:color="auto" w:fill="auto"/>
          </w:tcPr>
          <w:p w:rsidR="00FA1656" w:rsidRPr="00CB38AA" w:rsidRDefault="00FA1656" w:rsidP="00DF6EEA">
            <w:pPr>
              <w:spacing w:after="0" w:line="240" w:lineRule="auto"/>
              <w:jc w:val="center"/>
              <w:rPr>
                <w:rFonts w:ascii="Times New Roman" w:eastAsia="Times New Roman" w:hAnsi="Times New Roman" w:cs="Times New Roman"/>
                <w:b/>
                <w:sz w:val="24"/>
                <w:szCs w:val="24"/>
                <w:lang w:eastAsia="es-ES"/>
              </w:rPr>
            </w:pPr>
            <w:r w:rsidRPr="00CB38AA">
              <w:rPr>
                <w:rFonts w:ascii="Times New Roman" w:eastAsia="Times New Roman" w:hAnsi="Times New Roman" w:cs="Times New Roman"/>
                <w:b/>
                <w:sz w:val="24"/>
                <w:szCs w:val="24"/>
                <w:lang w:eastAsia="es-ES"/>
              </w:rPr>
              <w:t>SECRETARIO</w:t>
            </w:r>
          </w:p>
          <w:p w:rsidR="00FA1656" w:rsidRPr="00CB38AA" w:rsidRDefault="00FA1656" w:rsidP="00DF6EEA">
            <w:pPr>
              <w:spacing w:after="0" w:line="240" w:lineRule="auto"/>
              <w:jc w:val="center"/>
              <w:rPr>
                <w:rFonts w:ascii="Times New Roman" w:eastAsia="Times New Roman" w:hAnsi="Times New Roman" w:cs="Times New Roman"/>
                <w:b/>
                <w:sz w:val="24"/>
                <w:szCs w:val="24"/>
                <w:lang w:eastAsia="es-ES"/>
              </w:rPr>
            </w:pPr>
            <w:r w:rsidRPr="00CB38AA">
              <w:rPr>
                <w:rFonts w:ascii="Times New Roman" w:eastAsia="Times New Roman" w:hAnsi="Times New Roman" w:cs="Times New Roman"/>
                <w:b/>
                <w:sz w:val="24"/>
                <w:szCs w:val="24"/>
                <w:lang w:eastAsia="es-ES"/>
              </w:rPr>
              <w:t>DIP. EDUARDO ZARZOSA SÁNCHEZ</w:t>
            </w:r>
          </w:p>
        </w:tc>
      </w:tr>
    </w:tbl>
    <w:p w:rsidR="00FA1656" w:rsidRPr="00CB38AA" w:rsidRDefault="00FA1656" w:rsidP="00DF6EEA">
      <w:pPr>
        <w:spacing w:after="0" w:line="240" w:lineRule="auto"/>
        <w:jc w:val="center"/>
        <w:rPr>
          <w:rFonts w:ascii="Times New Roman" w:eastAsia="Times New Roman" w:hAnsi="Times New Roman" w:cs="Times New Roman"/>
          <w:b/>
          <w:sz w:val="24"/>
          <w:szCs w:val="24"/>
          <w:lang w:eastAsia="es-ES"/>
        </w:rPr>
      </w:pPr>
    </w:p>
    <w:p w:rsidR="00FA1656" w:rsidRPr="00CB38AA" w:rsidRDefault="00FA1656" w:rsidP="00DF6EEA">
      <w:pPr>
        <w:spacing w:after="0" w:line="240" w:lineRule="auto"/>
        <w:jc w:val="center"/>
        <w:rPr>
          <w:rFonts w:ascii="Times New Roman" w:eastAsia="Times New Roman" w:hAnsi="Times New Roman" w:cs="Times New Roman"/>
          <w:b/>
          <w:sz w:val="24"/>
          <w:szCs w:val="24"/>
          <w:lang w:eastAsia="es-ES"/>
        </w:rPr>
      </w:pPr>
      <w:r w:rsidRPr="00CB38AA">
        <w:rPr>
          <w:rFonts w:ascii="Times New Roman" w:eastAsia="Times New Roman" w:hAnsi="Times New Roman" w:cs="Times New Roman"/>
          <w:b/>
          <w:sz w:val="24"/>
          <w:szCs w:val="24"/>
          <w:lang w:eastAsia="es-ES"/>
        </w:rPr>
        <w:t>SECRETARIA</w:t>
      </w:r>
    </w:p>
    <w:p w:rsidR="00FA1656" w:rsidRPr="00CB38AA" w:rsidRDefault="00FA1656" w:rsidP="00DF6EEA">
      <w:pPr>
        <w:spacing w:after="0" w:line="240" w:lineRule="auto"/>
        <w:jc w:val="center"/>
        <w:rPr>
          <w:rFonts w:ascii="Times New Roman" w:eastAsia="Times New Roman" w:hAnsi="Times New Roman" w:cs="Times New Roman"/>
          <w:sz w:val="24"/>
          <w:szCs w:val="24"/>
          <w:lang w:eastAsia="es-ES"/>
        </w:rPr>
      </w:pPr>
      <w:r w:rsidRPr="00CB38AA">
        <w:rPr>
          <w:rFonts w:ascii="Times New Roman" w:eastAsia="Times New Roman" w:hAnsi="Times New Roman" w:cs="Times New Roman"/>
          <w:b/>
          <w:sz w:val="24"/>
          <w:szCs w:val="24"/>
          <w:lang w:eastAsia="es-ES"/>
        </w:rPr>
        <w:t>DIP. EMMA LAURA ALVAREZ VILLAVICENCIO</w:t>
      </w:r>
    </w:p>
    <w:p w:rsidR="00830326" w:rsidRPr="00CB38AA" w:rsidRDefault="00830326" w:rsidP="00DF6EEA">
      <w:pPr>
        <w:spacing w:after="0" w:line="240" w:lineRule="auto"/>
        <w:jc w:val="center"/>
        <w:rPr>
          <w:rFonts w:ascii="Times New Roman" w:hAnsi="Times New Roman" w:cs="Times New Roman"/>
          <w:sz w:val="24"/>
          <w:szCs w:val="24"/>
        </w:rPr>
      </w:pPr>
    </w:p>
    <w:p w:rsidR="00830326" w:rsidRPr="00CB38AA" w:rsidRDefault="00830326" w:rsidP="00DF6EEA">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(Fin del documento)</w:t>
      </w:r>
    </w:p>
    <w:p w:rsidR="00830326" w:rsidRPr="00CB38AA" w:rsidRDefault="00830326" w:rsidP="00DF6EEA">
      <w:pPr>
        <w:spacing w:after="0" w:line="240" w:lineRule="auto"/>
        <w:jc w:val="center"/>
        <w:rPr>
          <w:rFonts w:ascii="Times New Roman" w:hAnsi="Times New Roman" w:cs="Times New Roman"/>
          <w:sz w:val="24"/>
          <w:szCs w:val="24"/>
        </w:rPr>
      </w:pPr>
    </w:p>
    <w:p w:rsidR="00F8351D" w:rsidRPr="00CB38AA" w:rsidRDefault="0071666A"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 xml:space="preserve">PRESIDENTA DIP. MARTHA AZUCENA CAMACHO REYNOSO. </w:t>
      </w:r>
      <w:r w:rsidR="00F8351D" w:rsidRPr="00CB38AA">
        <w:rPr>
          <w:rFonts w:ascii="Times New Roman" w:hAnsi="Times New Roman" w:cs="Times New Roman"/>
          <w:sz w:val="24"/>
          <w:szCs w:val="24"/>
        </w:rPr>
        <w:t xml:space="preserve">Quienes estén por la </w:t>
      </w:r>
      <w:r w:rsidR="00E37A42" w:rsidRPr="00CB38AA">
        <w:rPr>
          <w:rFonts w:ascii="Times New Roman" w:hAnsi="Times New Roman" w:cs="Times New Roman"/>
          <w:sz w:val="24"/>
          <w:szCs w:val="24"/>
        </w:rPr>
        <w:t>a</w:t>
      </w:r>
      <w:r w:rsidR="00F8351D" w:rsidRPr="00CB38AA">
        <w:rPr>
          <w:rFonts w:ascii="Times New Roman" w:hAnsi="Times New Roman" w:cs="Times New Roman"/>
          <w:sz w:val="24"/>
          <w:szCs w:val="24"/>
        </w:rPr>
        <w:t>probatoria de las actas, se sirvan levantar la mano. ¿En contra? ¿</w:t>
      </w:r>
      <w:r w:rsidR="002D1F6A" w:rsidRPr="00CB38AA">
        <w:rPr>
          <w:rFonts w:ascii="Times New Roman" w:hAnsi="Times New Roman" w:cs="Times New Roman"/>
          <w:sz w:val="24"/>
          <w:szCs w:val="24"/>
        </w:rPr>
        <w:t xml:space="preserve">En </w:t>
      </w:r>
      <w:r w:rsidR="00F8351D" w:rsidRPr="00CB38AA">
        <w:rPr>
          <w:rFonts w:ascii="Times New Roman" w:hAnsi="Times New Roman" w:cs="Times New Roman"/>
          <w:sz w:val="24"/>
          <w:szCs w:val="24"/>
        </w:rPr>
        <w:t>abstención?</w:t>
      </w:r>
    </w:p>
    <w:p w:rsidR="00F8351D" w:rsidRPr="00CB38AA" w:rsidRDefault="00F8351D"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 xml:space="preserve">SECRETARIO DIP. EDUARDO ZARZOSA SÁNCHEZ. Las actas han sido aprobadas por unanimidad de votos. </w:t>
      </w:r>
    </w:p>
    <w:p w:rsidR="00F8351D" w:rsidRPr="00CB38AA" w:rsidRDefault="00F8351D"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 xml:space="preserve">VICEPRESIDENTA DIP. ITZEL GUADALUPE PÉREZ CORREA. Considerando el punto 2, cedo la palabra a la diputada Martha Azucena Camacho Reynoso, para dar cuenta del informe de las actividades realizadas por la Diputación Permanente. </w:t>
      </w:r>
    </w:p>
    <w:p w:rsidR="00F8351D" w:rsidRPr="00CB38AA" w:rsidRDefault="00F8351D"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PRESIDENTA DIP. MARTHA AZUCENA CAMACHO REYNOSO.</w:t>
      </w:r>
      <w:r w:rsidR="004824D1" w:rsidRPr="00CB38AA">
        <w:rPr>
          <w:rFonts w:ascii="Times New Roman" w:hAnsi="Times New Roman" w:cs="Times New Roman"/>
          <w:sz w:val="24"/>
          <w:szCs w:val="24"/>
        </w:rPr>
        <w:t xml:space="preserve"> </w:t>
      </w:r>
      <w:r w:rsidRPr="00CB38AA">
        <w:rPr>
          <w:rFonts w:ascii="Times New Roman" w:hAnsi="Times New Roman" w:cs="Times New Roman"/>
          <w:sz w:val="24"/>
          <w:szCs w:val="24"/>
        </w:rPr>
        <w:t>Compañeras, compañere y compañeros diputados, Pueblo del Estado de México que hoy nos acompaña y que sigue con atención los trabajos de este Congreso.</w:t>
      </w:r>
    </w:p>
    <w:p w:rsidR="00F8351D" w:rsidRPr="00CB38AA" w:rsidRDefault="00F8351D"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 xml:space="preserve">Comparezco ante este Pleno en mi carácter de Presidenta de la Diputación Permanente y en cumplimiento de lo dispuesto por el artículo 58 de la Ley Orgánica del Poder Legislativo del Estado Libre y Soberano de México, para rendir el </w:t>
      </w:r>
      <w:r w:rsidR="000266D4" w:rsidRPr="00CB38AA">
        <w:rPr>
          <w:rFonts w:ascii="Times New Roman" w:hAnsi="Times New Roman" w:cs="Times New Roman"/>
          <w:sz w:val="24"/>
          <w:szCs w:val="24"/>
        </w:rPr>
        <w:t xml:space="preserve">Informe </w:t>
      </w:r>
      <w:r w:rsidRPr="00CB38AA">
        <w:rPr>
          <w:rFonts w:ascii="Times New Roman" w:hAnsi="Times New Roman" w:cs="Times New Roman"/>
          <w:sz w:val="24"/>
          <w:szCs w:val="24"/>
        </w:rPr>
        <w:t xml:space="preserve">de </w:t>
      </w:r>
      <w:r w:rsidR="000266D4" w:rsidRPr="00CB38AA">
        <w:rPr>
          <w:rFonts w:ascii="Times New Roman" w:hAnsi="Times New Roman" w:cs="Times New Roman"/>
          <w:sz w:val="24"/>
          <w:szCs w:val="24"/>
        </w:rPr>
        <w:t xml:space="preserve">Actividades </w:t>
      </w:r>
      <w:r w:rsidRPr="00CB38AA">
        <w:rPr>
          <w:rFonts w:ascii="Times New Roman" w:hAnsi="Times New Roman" w:cs="Times New Roman"/>
          <w:sz w:val="24"/>
          <w:szCs w:val="24"/>
        </w:rPr>
        <w:t xml:space="preserve">correspondiente al </w:t>
      </w:r>
      <w:r w:rsidR="000266D4" w:rsidRPr="00CB38AA">
        <w:rPr>
          <w:rFonts w:ascii="Times New Roman" w:hAnsi="Times New Roman" w:cs="Times New Roman"/>
          <w:sz w:val="24"/>
          <w:szCs w:val="24"/>
        </w:rPr>
        <w:t xml:space="preserve">Primer Periodo </w:t>
      </w:r>
      <w:r w:rsidRPr="00CB38AA">
        <w:rPr>
          <w:rFonts w:ascii="Times New Roman" w:hAnsi="Times New Roman" w:cs="Times New Roman"/>
          <w:sz w:val="24"/>
          <w:szCs w:val="24"/>
        </w:rPr>
        <w:t xml:space="preserve">de </w:t>
      </w:r>
      <w:r w:rsidR="000266D4" w:rsidRPr="00CB38AA">
        <w:rPr>
          <w:rFonts w:ascii="Times New Roman" w:hAnsi="Times New Roman" w:cs="Times New Roman"/>
          <w:sz w:val="24"/>
          <w:szCs w:val="24"/>
        </w:rPr>
        <w:t xml:space="preserve">Receso </w:t>
      </w:r>
      <w:r w:rsidRPr="00CB38AA">
        <w:rPr>
          <w:rFonts w:ascii="Times New Roman" w:hAnsi="Times New Roman" w:cs="Times New Roman"/>
          <w:sz w:val="24"/>
          <w:szCs w:val="24"/>
        </w:rPr>
        <w:t xml:space="preserve">del </w:t>
      </w:r>
      <w:r w:rsidR="000266D4" w:rsidRPr="00CB38AA">
        <w:rPr>
          <w:rFonts w:ascii="Times New Roman" w:hAnsi="Times New Roman" w:cs="Times New Roman"/>
          <w:sz w:val="24"/>
          <w:szCs w:val="24"/>
        </w:rPr>
        <w:t xml:space="preserve">Segundo Año </w:t>
      </w:r>
      <w:r w:rsidRPr="00CB38AA">
        <w:rPr>
          <w:rFonts w:ascii="Times New Roman" w:hAnsi="Times New Roman" w:cs="Times New Roman"/>
          <w:sz w:val="24"/>
          <w:szCs w:val="24"/>
        </w:rPr>
        <w:t xml:space="preserve">de </w:t>
      </w:r>
      <w:r w:rsidR="000266D4" w:rsidRPr="00CB38AA">
        <w:rPr>
          <w:rFonts w:ascii="Times New Roman" w:hAnsi="Times New Roman" w:cs="Times New Roman"/>
          <w:sz w:val="24"/>
          <w:szCs w:val="24"/>
        </w:rPr>
        <w:t>Ejercicio Constitucional</w:t>
      </w:r>
      <w:r w:rsidRPr="00CB38AA">
        <w:rPr>
          <w:rFonts w:ascii="Times New Roman" w:hAnsi="Times New Roman" w:cs="Times New Roman"/>
          <w:sz w:val="24"/>
          <w:szCs w:val="24"/>
        </w:rPr>
        <w:t xml:space="preserve">, comprendido del 10 de diciembre de 2025 al 31 de enero de 2026. </w:t>
      </w:r>
    </w:p>
    <w:p w:rsidR="00F8351D" w:rsidRPr="00CB38AA" w:rsidRDefault="00F8351D"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 xml:space="preserve">Lo hago con pleno respeto a esta </w:t>
      </w:r>
      <w:r w:rsidR="00762705" w:rsidRPr="00CB38AA">
        <w:rPr>
          <w:rFonts w:ascii="Times New Roman" w:hAnsi="Times New Roman" w:cs="Times New Roman"/>
          <w:sz w:val="24"/>
          <w:szCs w:val="24"/>
        </w:rPr>
        <w:t>Soberanía</w:t>
      </w:r>
      <w:r w:rsidRPr="00CB38AA">
        <w:rPr>
          <w:rFonts w:ascii="Times New Roman" w:hAnsi="Times New Roman" w:cs="Times New Roman"/>
          <w:sz w:val="24"/>
          <w:szCs w:val="24"/>
        </w:rPr>
        <w:t>, pero también con una convicción profunda, que los periodos de receso no son silencios institucionales, no son pausas en la responsabilidad pública y mucho menos ausencias del mandato popular</w:t>
      </w:r>
      <w:r w:rsidR="00762705" w:rsidRPr="00CB38AA">
        <w:rPr>
          <w:rFonts w:ascii="Times New Roman" w:hAnsi="Times New Roman" w:cs="Times New Roman"/>
          <w:sz w:val="24"/>
          <w:szCs w:val="24"/>
        </w:rPr>
        <w:t>;</w:t>
      </w:r>
      <w:r w:rsidRPr="00CB38AA">
        <w:rPr>
          <w:rFonts w:ascii="Times New Roman" w:hAnsi="Times New Roman" w:cs="Times New Roman"/>
          <w:sz w:val="24"/>
          <w:szCs w:val="24"/>
        </w:rPr>
        <w:t xml:space="preserve"> </w:t>
      </w:r>
      <w:r w:rsidR="00762705" w:rsidRPr="00CB38AA">
        <w:rPr>
          <w:rFonts w:ascii="Times New Roman" w:hAnsi="Times New Roman" w:cs="Times New Roman"/>
          <w:sz w:val="24"/>
          <w:szCs w:val="24"/>
        </w:rPr>
        <w:t>s</w:t>
      </w:r>
      <w:r w:rsidRPr="00CB38AA">
        <w:rPr>
          <w:rFonts w:ascii="Times New Roman" w:hAnsi="Times New Roman" w:cs="Times New Roman"/>
          <w:sz w:val="24"/>
          <w:szCs w:val="24"/>
        </w:rPr>
        <w:t xml:space="preserve">on por el contrario, la prueba más clara de que el Congreso del Estado de México trabaja todos los días, que la representación popular es permanente y que este Poder del Estado no se detiene, no se ausenta y no le da la espalda al pueblo mexiquense. </w:t>
      </w:r>
    </w:p>
    <w:p w:rsidR="002B59A2" w:rsidRPr="00CB38AA" w:rsidRDefault="00F8351D"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Concluido el primer periodo ordinario de sesiones del segundo año de ejercicio constitucional, la Diputación</w:t>
      </w:r>
      <w:r w:rsidR="000D2E92" w:rsidRPr="00CB38AA">
        <w:rPr>
          <w:rFonts w:ascii="Times New Roman" w:hAnsi="Times New Roman" w:cs="Times New Roman"/>
          <w:sz w:val="24"/>
          <w:szCs w:val="24"/>
        </w:rPr>
        <w:t xml:space="preserve"> Permanente s</w:t>
      </w:r>
      <w:r w:rsidR="00D5665C" w:rsidRPr="00CB38AA">
        <w:rPr>
          <w:rFonts w:ascii="Times New Roman" w:hAnsi="Times New Roman" w:cs="Times New Roman"/>
          <w:sz w:val="24"/>
          <w:szCs w:val="24"/>
        </w:rPr>
        <w:t>e instaló de manera inmediata en estricto apego a nuestra Ley Orgánica, garantizando la continuidad del trabajo legislativo, la estabilidad institucional y la vigencia plena del Estado de Derecho. Durante este periodo de receso se celebraron 5 sesiones plenarias el 10 de diciembre de 2025, fecha de instalación y segunda sesión</w:t>
      </w:r>
      <w:r w:rsidR="002B59A2" w:rsidRPr="00CB38AA">
        <w:rPr>
          <w:rFonts w:ascii="Times New Roman" w:hAnsi="Times New Roman" w:cs="Times New Roman"/>
          <w:sz w:val="24"/>
          <w:szCs w:val="24"/>
        </w:rPr>
        <w:t>;</w:t>
      </w:r>
      <w:r w:rsidR="00D5665C" w:rsidRPr="00CB38AA">
        <w:rPr>
          <w:rFonts w:ascii="Times New Roman" w:hAnsi="Times New Roman" w:cs="Times New Roman"/>
          <w:sz w:val="24"/>
          <w:szCs w:val="24"/>
        </w:rPr>
        <w:t xml:space="preserve"> el 16 de diciembre de </w:t>
      </w:r>
      <w:r w:rsidR="00D5665C" w:rsidRPr="00CB38AA">
        <w:rPr>
          <w:rFonts w:ascii="Times New Roman" w:hAnsi="Times New Roman" w:cs="Times New Roman"/>
          <w:sz w:val="24"/>
          <w:szCs w:val="24"/>
        </w:rPr>
        <w:lastRenderedPageBreak/>
        <w:t>2025</w:t>
      </w:r>
      <w:r w:rsidR="002B59A2" w:rsidRPr="00CB38AA">
        <w:rPr>
          <w:rFonts w:ascii="Times New Roman" w:hAnsi="Times New Roman" w:cs="Times New Roman"/>
          <w:sz w:val="24"/>
          <w:szCs w:val="24"/>
        </w:rPr>
        <w:t>;</w:t>
      </w:r>
      <w:r w:rsidR="00D5665C" w:rsidRPr="00CB38AA">
        <w:rPr>
          <w:rFonts w:ascii="Times New Roman" w:hAnsi="Times New Roman" w:cs="Times New Roman"/>
          <w:sz w:val="24"/>
          <w:szCs w:val="24"/>
        </w:rPr>
        <w:t xml:space="preserve"> </w:t>
      </w:r>
      <w:r w:rsidR="002B59A2" w:rsidRPr="00CB38AA">
        <w:rPr>
          <w:rFonts w:ascii="Times New Roman" w:hAnsi="Times New Roman" w:cs="Times New Roman"/>
          <w:sz w:val="24"/>
          <w:szCs w:val="24"/>
        </w:rPr>
        <w:t>e</w:t>
      </w:r>
      <w:r w:rsidR="00D5665C" w:rsidRPr="00CB38AA">
        <w:rPr>
          <w:rFonts w:ascii="Times New Roman" w:hAnsi="Times New Roman" w:cs="Times New Roman"/>
          <w:sz w:val="24"/>
          <w:szCs w:val="24"/>
        </w:rPr>
        <w:t>l 12 de enero de 2026 y el 22 de enero de 2026</w:t>
      </w:r>
      <w:r w:rsidR="002B59A2" w:rsidRPr="00CB38AA">
        <w:rPr>
          <w:rFonts w:ascii="Times New Roman" w:hAnsi="Times New Roman" w:cs="Times New Roman"/>
          <w:sz w:val="24"/>
          <w:szCs w:val="24"/>
        </w:rPr>
        <w:t>,</w:t>
      </w:r>
      <w:r w:rsidR="00D5665C" w:rsidRPr="00CB38AA">
        <w:rPr>
          <w:rFonts w:ascii="Times New Roman" w:hAnsi="Times New Roman" w:cs="Times New Roman"/>
          <w:sz w:val="24"/>
          <w:szCs w:val="24"/>
        </w:rPr>
        <w:t xml:space="preserve"> </w:t>
      </w:r>
      <w:r w:rsidR="002B59A2" w:rsidRPr="00CB38AA">
        <w:rPr>
          <w:rFonts w:ascii="Times New Roman" w:hAnsi="Times New Roman" w:cs="Times New Roman"/>
          <w:sz w:val="24"/>
          <w:szCs w:val="24"/>
        </w:rPr>
        <w:t>e</w:t>
      </w:r>
      <w:r w:rsidR="00D5665C" w:rsidRPr="00CB38AA">
        <w:rPr>
          <w:rFonts w:ascii="Times New Roman" w:hAnsi="Times New Roman" w:cs="Times New Roman"/>
          <w:sz w:val="24"/>
          <w:szCs w:val="24"/>
        </w:rPr>
        <w:t>n cada una de ellas la Diputación Permanente ejerció con responsabilidad y firmeza sus atribuciones constitucionales, atendiendo los asuntos que no admitían demora y asegurando que el Congreso del Estado de México continuar</w:t>
      </w:r>
      <w:r w:rsidR="002B59A2" w:rsidRPr="00CB38AA">
        <w:rPr>
          <w:rFonts w:ascii="Times New Roman" w:hAnsi="Times New Roman" w:cs="Times New Roman"/>
          <w:sz w:val="24"/>
          <w:szCs w:val="24"/>
        </w:rPr>
        <w:t>á</w:t>
      </w:r>
      <w:r w:rsidR="00D5665C" w:rsidRPr="00CB38AA">
        <w:rPr>
          <w:rFonts w:ascii="Times New Roman" w:hAnsi="Times New Roman" w:cs="Times New Roman"/>
          <w:sz w:val="24"/>
          <w:szCs w:val="24"/>
        </w:rPr>
        <w:t xml:space="preserve"> cumpliendo su función esencial vigilar y representar.</w:t>
      </w:r>
    </w:p>
    <w:p w:rsidR="00C05EF3" w:rsidRPr="00CB38AA" w:rsidRDefault="00D5665C" w:rsidP="00DF6EEA">
      <w:pPr>
        <w:spacing w:after="0" w:line="240" w:lineRule="auto"/>
        <w:ind w:firstLine="709"/>
        <w:jc w:val="both"/>
        <w:rPr>
          <w:rFonts w:ascii="Times New Roman" w:hAnsi="Times New Roman" w:cs="Times New Roman"/>
          <w:sz w:val="24"/>
          <w:szCs w:val="24"/>
        </w:rPr>
      </w:pPr>
      <w:r w:rsidRPr="00CB38AA">
        <w:rPr>
          <w:rFonts w:ascii="Times New Roman" w:hAnsi="Times New Roman" w:cs="Times New Roman"/>
          <w:sz w:val="24"/>
          <w:szCs w:val="24"/>
        </w:rPr>
        <w:t xml:space="preserve">Este periodo de trabajo estuvo guiado por una decisión histórica de esta Legislatura declarar al </w:t>
      </w:r>
      <w:r w:rsidRPr="00CB38AA">
        <w:rPr>
          <w:rFonts w:ascii="Times New Roman" w:hAnsi="Times New Roman" w:cs="Times New Roman"/>
          <w:sz w:val="24"/>
          <w:szCs w:val="24"/>
          <w:shd w:val="clear" w:color="auto" w:fill="FFFFFF"/>
        </w:rPr>
        <w:t>“2026. Como el Año del Humanismo Mexicano en el Estado de México”</w:t>
      </w:r>
      <w:r w:rsidR="00C05EF3" w:rsidRPr="00CB38AA">
        <w:rPr>
          <w:rFonts w:ascii="Times New Roman" w:hAnsi="Times New Roman" w:cs="Times New Roman"/>
          <w:sz w:val="24"/>
          <w:szCs w:val="24"/>
          <w:shd w:val="clear" w:color="auto" w:fill="FFFFFF"/>
        </w:rPr>
        <w:t>, n</w:t>
      </w:r>
      <w:r w:rsidRPr="00CB38AA">
        <w:rPr>
          <w:rFonts w:ascii="Times New Roman" w:hAnsi="Times New Roman" w:cs="Times New Roman"/>
          <w:sz w:val="24"/>
          <w:szCs w:val="24"/>
        </w:rPr>
        <w:t>o fue una consigna retórica</w:t>
      </w:r>
      <w:r w:rsidR="00C05EF3" w:rsidRPr="00CB38AA">
        <w:rPr>
          <w:rFonts w:ascii="Times New Roman" w:hAnsi="Times New Roman" w:cs="Times New Roman"/>
          <w:sz w:val="24"/>
          <w:szCs w:val="24"/>
        </w:rPr>
        <w:t>,</w:t>
      </w:r>
      <w:r w:rsidRPr="00CB38AA">
        <w:rPr>
          <w:rFonts w:ascii="Times New Roman" w:hAnsi="Times New Roman" w:cs="Times New Roman"/>
          <w:sz w:val="24"/>
          <w:szCs w:val="24"/>
        </w:rPr>
        <w:t xml:space="preserve"> </w:t>
      </w:r>
      <w:r w:rsidR="00C05EF3" w:rsidRPr="00CB38AA">
        <w:rPr>
          <w:rFonts w:ascii="Times New Roman" w:hAnsi="Times New Roman" w:cs="Times New Roman"/>
          <w:sz w:val="24"/>
          <w:szCs w:val="24"/>
        </w:rPr>
        <w:t>f</w:t>
      </w:r>
      <w:r w:rsidRPr="00CB38AA">
        <w:rPr>
          <w:rFonts w:ascii="Times New Roman" w:hAnsi="Times New Roman" w:cs="Times New Roman"/>
          <w:sz w:val="24"/>
          <w:szCs w:val="24"/>
        </w:rPr>
        <w:t xml:space="preserve">ue y es un compromiso ético, un compromiso que nos recordó que las leyes no son fines en sí mismas, que las instituciones existen para servir y que el periodo público y el poder público cobra sentido cuando mejora la vida de todas y cada una de las personas. </w:t>
      </w:r>
    </w:p>
    <w:p w:rsidR="00D5665C" w:rsidRPr="00CB38AA" w:rsidRDefault="00D5665C" w:rsidP="00DF6EEA">
      <w:pPr>
        <w:spacing w:after="0" w:line="240" w:lineRule="auto"/>
        <w:ind w:firstLine="709"/>
        <w:jc w:val="both"/>
        <w:rPr>
          <w:rFonts w:ascii="Times New Roman" w:hAnsi="Times New Roman" w:cs="Times New Roman"/>
          <w:sz w:val="24"/>
          <w:szCs w:val="24"/>
        </w:rPr>
      </w:pPr>
      <w:r w:rsidRPr="00CB38AA">
        <w:rPr>
          <w:rFonts w:ascii="Times New Roman" w:hAnsi="Times New Roman" w:cs="Times New Roman"/>
          <w:sz w:val="24"/>
          <w:szCs w:val="24"/>
        </w:rPr>
        <w:t xml:space="preserve">Bajo esta visión humanista, la Diputación Permanente aprobó autorizaciones de alto impacto social, entre las que destacan la autorización al Ayuntamiento de Nicolás Romero para </w:t>
      </w:r>
      <w:r w:rsidR="00783853" w:rsidRPr="00CB38AA">
        <w:rPr>
          <w:rFonts w:ascii="Times New Roman" w:hAnsi="Times New Roman" w:cs="Times New Roman"/>
          <w:sz w:val="24"/>
          <w:szCs w:val="24"/>
        </w:rPr>
        <w:t>des</w:t>
      </w:r>
      <w:r w:rsidRPr="00CB38AA">
        <w:rPr>
          <w:rFonts w:ascii="Times New Roman" w:hAnsi="Times New Roman" w:cs="Times New Roman"/>
          <w:sz w:val="24"/>
          <w:szCs w:val="24"/>
        </w:rPr>
        <w:t>incorporar un inmueble de su patrimonio y donarlo al Instituto Mexicano de Seguro Social, con el propósito de construir un hospital regional de 260 camas, una obra estratégica que fortalece el derecho a la salud, amplía la capacidad médica y atiende una demanda histórica de miles de familias</w:t>
      </w:r>
      <w:r w:rsidR="00783853" w:rsidRPr="00CB38AA">
        <w:rPr>
          <w:rFonts w:ascii="Times New Roman" w:hAnsi="Times New Roman" w:cs="Times New Roman"/>
          <w:sz w:val="24"/>
          <w:szCs w:val="24"/>
        </w:rPr>
        <w:t>;</w:t>
      </w:r>
      <w:r w:rsidRPr="00CB38AA">
        <w:rPr>
          <w:rFonts w:ascii="Times New Roman" w:hAnsi="Times New Roman" w:cs="Times New Roman"/>
          <w:sz w:val="24"/>
          <w:szCs w:val="24"/>
        </w:rPr>
        <w:t xml:space="preserve"> </w:t>
      </w:r>
      <w:r w:rsidR="00783853" w:rsidRPr="00CB38AA">
        <w:rPr>
          <w:rFonts w:ascii="Times New Roman" w:hAnsi="Times New Roman" w:cs="Times New Roman"/>
          <w:sz w:val="24"/>
          <w:szCs w:val="24"/>
        </w:rPr>
        <w:t>a</w:t>
      </w:r>
      <w:r w:rsidRPr="00CB38AA">
        <w:rPr>
          <w:rFonts w:ascii="Times New Roman" w:hAnsi="Times New Roman" w:cs="Times New Roman"/>
          <w:sz w:val="24"/>
          <w:szCs w:val="24"/>
        </w:rPr>
        <w:t xml:space="preserve">simismo, se autorizó al Ayuntamiento de Chalco la desincorporación y donación de inmuebles para la construcción de una unidad médica del IMSS y para la edificación de un plantel del Centro de Bachillerato Tecnológico y Agropecuario, ampliando de manera concreta las oportunidades de salud y educación. </w:t>
      </w:r>
    </w:p>
    <w:p w:rsidR="00D5665C" w:rsidRPr="00CB38AA" w:rsidRDefault="00D5665C"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Estas decisiones reflejan a un Congreso que sabe priorizar, que atiende y que legislar también es tomar decisiones que transforman territorios y que gobernar implique construir bienestar real, no discursos vacíos. Las iniciativas discutidas y aprobadas durante este periodo se encuentran alineados con la visión humanista impulsada por nuestra querida gobernadora, la Maestra Delfina Gómez Álvarez, fortaleciendo la congruencia entre el marco legal y las legítimas demandas sociales. </w:t>
      </w:r>
    </w:p>
    <w:p w:rsidR="00D5665C" w:rsidRPr="00CB38AA" w:rsidRDefault="00D5665C"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En este contexto, se declaró el 4 de octubre de cada año como Día de los Seres Sintientes del Estado de México, avanzando hacia una cultura institucional basada en el respeto, la empatía y el trato digno. De igual forma</w:t>
      </w:r>
      <w:r w:rsidR="00C51838" w:rsidRPr="00CB38AA">
        <w:rPr>
          <w:rFonts w:ascii="Times New Roman" w:hAnsi="Times New Roman" w:cs="Times New Roman"/>
          <w:sz w:val="24"/>
          <w:szCs w:val="24"/>
        </w:rPr>
        <w:t>,</w:t>
      </w:r>
      <w:r w:rsidRPr="00CB38AA">
        <w:rPr>
          <w:rFonts w:ascii="Times New Roman" w:hAnsi="Times New Roman" w:cs="Times New Roman"/>
          <w:sz w:val="24"/>
          <w:szCs w:val="24"/>
        </w:rPr>
        <w:t xml:space="preserve"> se declaró la técnica artesanal para la elaboración de la bebida tradicional “Tecuí”</w:t>
      </w:r>
      <w:r w:rsidR="00C51838" w:rsidRPr="00CB38AA">
        <w:rPr>
          <w:rFonts w:ascii="Times New Roman" w:hAnsi="Times New Roman" w:cs="Times New Roman"/>
          <w:sz w:val="24"/>
          <w:szCs w:val="24"/>
        </w:rPr>
        <w:t xml:space="preserve"> </w:t>
      </w:r>
      <w:r w:rsidRPr="00CB38AA">
        <w:rPr>
          <w:rFonts w:ascii="Times New Roman" w:hAnsi="Times New Roman" w:cs="Times New Roman"/>
          <w:sz w:val="24"/>
          <w:szCs w:val="24"/>
        </w:rPr>
        <w:t xml:space="preserve">del </w:t>
      </w:r>
      <w:r w:rsidR="00C51838" w:rsidRPr="00CB38AA">
        <w:rPr>
          <w:rFonts w:ascii="Times New Roman" w:hAnsi="Times New Roman" w:cs="Times New Roman"/>
          <w:sz w:val="24"/>
          <w:szCs w:val="24"/>
        </w:rPr>
        <w:t xml:space="preserve">Municipio </w:t>
      </w:r>
      <w:r w:rsidRPr="00CB38AA">
        <w:rPr>
          <w:rFonts w:ascii="Times New Roman" w:hAnsi="Times New Roman" w:cs="Times New Roman"/>
          <w:sz w:val="24"/>
          <w:szCs w:val="24"/>
        </w:rPr>
        <w:t>de Calimaya como Patrimonio Cultural Inmaterial del Estado de México</w:t>
      </w:r>
      <w:r w:rsidR="00C51838" w:rsidRPr="00CB38AA">
        <w:rPr>
          <w:rFonts w:ascii="Times New Roman" w:hAnsi="Times New Roman" w:cs="Times New Roman"/>
          <w:sz w:val="24"/>
          <w:szCs w:val="24"/>
        </w:rPr>
        <w:t>,</w:t>
      </w:r>
      <w:r w:rsidRPr="00CB38AA">
        <w:rPr>
          <w:rFonts w:ascii="Times New Roman" w:hAnsi="Times New Roman" w:cs="Times New Roman"/>
          <w:sz w:val="24"/>
          <w:szCs w:val="24"/>
        </w:rPr>
        <w:t xml:space="preserve"> </w:t>
      </w:r>
      <w:r w:rsidR="00C51838" w:rsidRPr="00CB38AA">
        <w:rPr>
          <w:rFonts w:ascii="Times New Roman" w:hAnsi="Times New Roman" w:cs="Times New Roman"/>
          <w:sz w:val="24"/>
          <w:szCs w:val="24"/>
        </w:rPr>
        <w:t>r</w:t>
      </w:r>
      <w:r w:rsidRPr="00CB38AA">
        <w:rPr>
          <w:rFonts w:ascii="Times New Roman" w:hAnsi="Times New Roman" w:cs="Times New Roman"/>
          <w:sz w:val="24"/>
          <w:szCs w:val="24"/>
        </w:rPr>
        <w:t xml:space="preserve">econociendo que la identidad no se decreta, se protege, se honra y se transmite. </w:t>
      </w:r>
    </w:p>
    <w:p w:rsidR="001862DE" w:rsidRPr="00CB38AA" w:rsidRDefault="00D5665C"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En ejercicio de nuestras atribuciones constitucionales</w:t>
      </w:r>
      <w:r w:rsidR="00C51838" w:rsidRPr="00CB38AA">
        <w:rPr>
          <w:rFonts w:ascii="Times New Roman" w:hAnsi="Times New Roman" w:cs="Times New Roman"/>
          <w:sz w:val="24"/>
          <w:szCs w:val="24"/>
        </w:rPr>
        <w:t>,</w:t>
      </w:r>
      <w:r w:rsidRPr="00CB38AA">
        <w:rPr>
          <w:rFonts w:ascii="Times New Roman" w:hAnsi="Times New Roman" w:cs="Times New Roman"/>
          <w:sz w:val="24"/>
          <w:szCs w:val="24"/>
        </w:rPr>
        <w:t xml:space="preserve"> </w:t>
      </w:r>
      <w:r w:rsidR="00C51838" w:rsidRPr="00CB38AA">
        <w:rPr>
          <w:rFonts w:ascii="Times New Roman" w:hAnsi="Times New Roman" w:cs="Times New Roman"/>
          <w:sz w:val="24"/>
          <w:szCs w:val="24"/>
        </w:rPr>
        <w:t>m</w:t>
      </w:r>
      <w:r w:rsidRPr="00CB38AA">
        <w:rPr>
          <w:rFonts w:ascii="Times New Roman" w:hAnsi="Times New Roman" w:cs="Times New Roman"/>
          <w:sz w:val="24"/>
          <w:szCs w:val="24"/>
        </w:rPr>
        <w:t>ediante el Decreto Número 260 la Diputación Permanente convocó a la LXII Legislatura al Quinto Periodo Extraordinario de Sesiones para atender materias de alta relevancia social</w:t>
      </w:r>
      <w:r w:rsidR="00C51838" w:rsidRPr="00CB38AA">
        <w:rPr>
          <w:rFonts w:ascii="Times New Roman" w:hAnsi="Times New Roman" w:cs="Times New Roman"/>
          <w:sz w:val="24"/>
          <w:szCs w:val="24"/>
        </w:rPr>
        <w:t>,</w:t>
      </w:r>
      <w:r w:rsidRPr="00CB38AA">
        <w:rPr>
          <w:rFonts w:ascii="Times New Roman" w:hAnsi="Times New Roman" w:cs="Times New Roman"/>
          <w:sz w:val="24"/>
          <w:szCs w:val="24"/>
        </w:rPr>
        <w:t xml:space="preserve"> </w:t>
      </w:r>
      <w:r w:rsidR="00C51838" w:rsidRPr="00CB38AA">
        <w:rPr>
          <w:rFonts w:ascii="Times New Roman" w:hAnsi="Times New Roman" w:cs="Times New Roman"/>
          <w:sz w:val="24"/>
          <w:szCs w:val="24"/>
        </w:rPr>
        <w:t>d</w:t>
      </w:r>
      <w:r w:rsidRPr="00CB38AA">
        <w:rPr>
          <w:rFonts w:ascii="Times New Roman" w:hAnsi="Times New Roman" w:cs="Times New Roman"/>
          <w:sz w:val="24"/>
          <w:szCs w:val="24"/>
        </w:rPr>
        <w:t xml:space="preserve">urante este periodo se armoniza la Constitución Política del Estado y la legislación local con el marco nacional y general, particularmente en materia de seguridad pública, búsqueda de personas y combate </w:t>
      </w:r>
      <w:r w:rsidR="00C51838" w:rsidRPr="00CB38AA">
        <w:rPr>
          <w:rFonts w:ascii="Times New Roman" w:hAnsi="Times New Roman" w:cs="Times New Roman"/>
          <w:sz w:val="24"/>
          <w:szCs w:val="24"/>
        </w:rPr>
        <w:t xml:space="preserve">a </w:t>
      </w:r>
      <w:r w:rsidRPr="00CB38AA">
        <w:rPr>
          <w:rFonts w:ascii="Times New Roman" w:hAnsi="Times New Roman" w:cs="Times New Roman"/>
          <w:sz w:val="24"/>
          <w:szCs w:val="24"/>
        </w:rPr>
        <w:t xml:space="preserve">la extorsión. </w:t>
      </w:r>
    </w:p>
    <w:p w:rsidR="00A6235C" w:rsidRPr="00CB38AA" w:rsidRDefault="00D5665C" w:rsidP="00DF6EEA">
      <w:pPr>
        <w:pStyle w:val="Sinespaciado"/>
        <w:ind w:firstLine="708"/>
        <w:jc w:val="both"/>
        <w:rPr>
          <w:rFonts w:ascii="Times New Roman" w:hAnsi="Times New Roman" w:cs="Times New Roman"/>
          <w:sz w:val="24"/>
          <w:szCs w:val="24"/>
          <w:shd w:val="clear" w:color="auto" w:fill="FFFFFF"/>
        </w:rPr>
      </w:pPr>
      <w:r w:rsidRPr="00CB38AA">
        <w:rPr>
          <w:rFonts w:ascii="Times New Roman" w:hAnsi="Times New Roman" w:cs="Times New Roman"/>
          <w:sz w:val="24"/>
          <w:szCs w:val="24"/>
        </w:rPr>
        <w:t xml:space="preserve">Fortaleciendo la coordinación institucional y el Estado de Derecho </w:t>
      </w:r>
      <w:r w:rsidRPr="00CB38AA">
        <w:rPr>
          <w:rFonts w:ascii="Times New Roman" w:hAnsi="Times New Roman" w:cs="Times New Roman"/>
          <w:sz w:val="24"/>
          <w:szCs w:val="24"/>
          <w:shd w:val="clear" w:color="auto" w:fill="FFFFFF"/>
        </w:rPr>
        <w:t>"Porque la seguridad no se improvisa</w:t>
      </w:r>
      <w:r w:rsidR="001862DE" w:rsidRPr="00CB38AA">
        <w:rPr>
          <w:rFonts w:ascii="Times New Roman" w:hAnsi="Times New Roman" w:cs="Times New Roman"/>
          <w:sz w:val="24"/>
          <w:szCs w:val="24"/>
          <w:shd w:val="clear" w:color="auto" w:fill="FFFFFF"/>
        </w:rPr>
        <w:t>;</w:t>
      </w:r>
      <w:r w:rsidRPr="00CB38AA">
        <w:rPr>
          <w:rFonts w:ascii="Times New Roman" w:hAnsi="Times New Roman" w:cs="Times New Roman"/>
          <w:sz w:val="24"/>
          <w:szCs w:val="24"/>
          <w:shd w:val="clear" w:color="auto" w:fill="FFFFFF"/>
        </w:rPr>
        <w:t xml:space="preserve"> </w:t>
      </w:r>
      <w:r w:rsidR="001862DE" w:rsidRPr="00CB38AA">
        <w:rPr>
          <w:rFonts w:ascii="Times New Roman" w:hAnsi="Times New Roman" w:cs="Times New Roman"/>
          <w:sz w:val="24"/>
          <w:szCs w:val="24"/>
          <w:shd w:val="clear" w:color="auto" w:fill="FFFFFF"/>
        </w:rPr>
        <w:t>l</w:t>
      </w:r>
      <w:r w:rsidRPr="00CB38AA">
        <w:rPr>
          <w:rFonts w:ascii="Times New Roman" w:hAnsi="Times New Roman" w:cs="Times New Roman"/>
          <w:sz w:val="24"/>
          <w:szCs w:val="24"/>
          <w:shd w:val="clear" w:color="auto" w:fill="FFFFFF"/>
        </w:rPr>
        <w:t>a justicia no se posterga y la paz se construye con leyes claras y con voluntad política”</w:t>
      </w:r>
    </w:p>
    <w:p w:rsidR="00C7203F" w:rsidRPr="00CB38AA" w:rsidRDefault="00D5665C"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shd w:val="clear" w:color="auto" w:fill="FFFFFF"/>
        </w:rPr>
        <w:t>En</w:t>
      </w:r>
      <w:r w:rsidRPr="00CB38AA">
        <w:rPr>
          <w:rFonts w:ascii="Times New Roman" w:hAnsi="Times New Roman" w:cs="Times New Roman"/>
          <w:sz w:val="24"/>
          <w:szCs w:val="24"/>
        </w:rPr>
        <w:t xml:space="preserve"> relación con el Poder Judicial se aprobó la renuncia de una jueza en materia familiar y conforme al procedimiento legal, se tomó protesta a quien hoy ocupa dicho cargo, garantizando la continuidad y la sensibilidad en la impartición de justicia familiar</w:t>
      </w:r>
      <w:r w:rsidR="00706A85" w:rsidRPr="00CB38AA">
        <w:rPr>
          <w:rFonts w:ascii="Times New Roman" w:hAnsi="Times New Roman" w:cs="Times New Roman"/>
          <w:sz w:val="24"/>
          <w:szCs w:val="24"/>
        </w:rPr>
        <w:t>;</w:t>
      </w:r>
      <w:r w:rsidRPr="00CB38AA">
        <w:rPr>
          <w:rFonts w:ascii="Times New Roman" w:hAnsi="Times New Roman" w:cs="Times New Roman"/>
          <w:sz w:val="24"/>
          <w:szCs w:val="24"/>
        </w:rPr>
        <w:t xml:space="preserve"> </w:t>
      </w:r>
      <w:r w:rsidR="00706A85" w:rsidRPr="00CB38AA">
        <w:rPr>
          <w:rFonts w:ascii="Times New Roman" w:hAnsi="Times New Roman" w:cs="Times New Roman"/>
          <w:sz w:val="24"/>
          <w:szCs w:val="24"/>
        </w:rPr>
        <w:t>a</w:t>
      </w:r>
      <w:r w:rsidRPr="00CB38AA">
        <w:rPr>
          <w:rFonts w:ascii="Times New Roman" w:hAnsi="Times New Roman" w:cs="Times New Roman"/>
          <w:sz w:val="24"/>
          <w:szCs w:val="24"/>
        </w:rPr>
        <w:t>simismo, con fundamento en el artículo 148 de nuestra Constitución, se realizaron declaratorias de aprobación de minutas constitucionales en materia de simplificación administrativa y digitalización</w:t>
      </w:r>
      <w:r w:rsidR="00A6235C" w:rsidRPr="00CB38AA">
        <w:rPr>
          <w:rFonts w:ascii="Times New Roman" w:hAnsi="Times New Roman" w:cs="Times New Roman"/>
          <w:sz w:val="24"/>
          <w:szCs w:val="24"/>
        </w:rPr>
        <w:t>,</w:t>
      </w:r>
      <w:r w:rsidRPr="00CB38AA">
        <w:rPr>
          <w:rFonts w:ascii="Times New Roman" w:hAnsi="Times New Roman" w:cs="Times New Roman"/>
          <w:sz w:val="24"/>
          <w:szCs w:val="24"/>
        </w:rPr>
        <w:t xml:space="preserve"> deporte y activación física</w:t>
      </w:r>
      <w:r w:rsidR="004269CA" w:rsidRPr="00CB38AA">
        <w:rPr>
          <w:rFonts w:ascii="Times New Roman" w:hAnsi="Times New Roman" w:cs="Times New Roman"/>
          <w:sz w:val="24"/>
          <w:szCs w:val="24"/>
        </w:rPr>
        <w:t>;</w:t>
      </w:r>
      <w:r w:rsidR="00A6235C" w:rsidRPr="00CB38AA">
        <w:rPr>
          <w:rFonts w:ascii="Times New Roman" w:hAnsi="Times New Roman" w:cs="Times New Roman"/>
          <w:sz w:val="24"/>
          <w:szCs w:val="24"/>
        </w:rPr>
        <w:t xml:space="preserve"> </w:t>
      </w:r>
      <w:r w:rsidR="00C7203F" w:rsidRPr="00CB38AA">
        <w:rPr>
          <w:rFonts w:ascii="Times New Roman" w:hAnsi="Times New Roman" w:cs="Times New Roman"/>
          <w:sz w:val="24"/>
          <w:szCs w:val="24"/>
        </w:rPr>
        <w:t xml:space="preserve">creación de juzgados especializados para emitir órdenes y medidas de protección, fortaleciendo la capacidad del Estado para responder a problemáticas complejas. </w:t>
      </w:r>
    </w:p>
    <w:p w:rsidR="00ED0CE6" w:rsidRPr="00CB38AA" w:rsidRDefault="00C7203F"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Durante el receso diversas </w:t>
      </w:r>
      <w:r w:rsidR="00ED0CE6" w:rsidRPr="00CB38AA">
        <w:rPr>
          <w:rFonts w:ascii="Times New Roman" w:hAnsi="Times New Roman" w:cs="Times New Roman"/>
          <w:sz w:val="24"/>
          <w:szCs w:val="24"/>
        </w:rPr>
        <w:t xml:space="preserve">comisiones </w:t>
      </w:r>
      <w:r w:rsidRPr="00CB38AA">
        <w:rPr>
          <w:rFonts w:ascii="Times New Roman" w:hAnsi="Times New Roman" w:cs="Times New Roman"/>
          <w:sz w:val="24"/>
          <w:szCs w:val="24"/>
        </w:rPr>
        <w:t>legislativas sesiona</w:t>
      </w:r>
      <w:r w:rsidR="004269CA" w:rsidRPr="00CB38AA">
        <w:rPr>
          <w:rFonts w:ascii="Times New Roman" w:hAnsi="Times New Roman" w:cs="Times New Roman"/>
          <w:sz w:val="24"/>
          <w:szCs w:val="24"/>
        </w:rPr>
        <w:t>ron</w:t>
      </w:r>
      <w:r w:rsidRPr="00CB38AA">
        <w:rPr>
          <w:rFonts w:ascii="Times New Roman" w:hAnsi="Times New Roman" w:cs="Times New Roman"/>
          <w:sz w:val="24"/>
          <w:szCs w:val="24"/>
        </w:rPr>
        <w:t xml:space="preserve"> de manera responsable, entre ellas Procuración y Administración de Justicia; Alerta de Violencia de Género; Seguridad Pública; Gobernación y Puntos Constitucionales; Límites Territoriales, cuyos trabajos permitieron incluso resolver un diferendo limítrofe entre municipios, brindando certeza jurídica y gobernabilidad</w:t>
      </w:r>
      <w:r w:rsidR="00ED0CE6" w:rsidRPr="00CB38AA">
        <w:rPr>
          <w:rFonts w:ascii="Times New Roman" w:hAnsi="Times New Roman" w:cs="Times New Roman"/>
          <w:sz w:val="24"/>
          <w:szCs w:val="24"/>
        </w:rPr>
        <w:t>.</w:t>
      </w:r>
    </w:p>
    <w:p w:rsidR="00C7203F" w:rsidRPr="00CB38AA" w:rsidRDefault="00ED0CE6"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lastRenderedPageBreak/>
        <w:t xml:space="preserve">En </w:t>
      </w:r>
      <w:r w:rsidR="00C7203F" w:rsidRPr="00CB38AA">
        <w:rPr>
          <w:rFonts w:ascii="Times New Roman" w:hAnsi="Times New Roman" w:cs="Times New Roman"/>
          <w:sz w:val="24"/>
          <w:szCs w:val="24"/>
        </w:rPr>
        <w:t>materia de control y fiscalización se recibi</w:t>
      </w:r>
      <w:r w:rsidRPr="00CB38AA">
        <w:rPr>
          <w:rFonts w:ascii="Times New Roman" w:hAnsi="Times New Roman" w:cs="Times New Roman"/>
          <w:sz w:val="24"/>
          <w:szCs w:val="24"/>
        </w:rPr>
        <w:t>eron</w:t>
      </w:r>
      <w:r w:rsidR="00C7203F" w:rsidRPr="00CB38AA">
        <w:rPr>
          <w:rFonts w:ascii="Times New Roman" w:hAnsi="Times New Roman" w:cs="Times New Roman"/>
          <w:sz w:val="24"/>
          <w:szCs w:val="24"/>
        </w:rPr>
        <w:t xml:space="preserve"> los informes anuales de los órganos de control y transparencia, como lo es el </w:t>
      </w:r>
      <w:r w:rsidR="00524474" w:rsidRPr="00CB38AA">
        <w:rPr>
          <w:rFonts w:ascii="Times New Roman" w:hAnsi="Times New Roman" w:cs="Times New Roman"/>
          <w:sz w:val="24"/>
          <w:szCs w:val="24"/>
        </w:rPr>
        <w:t xml:space="preserve">Contralor </w:t>
      </w:r>
      <w:r w:rsidR="00C7203F" w:rsidRPr="00CB38AA">
        <w:rPr>
          <w:rFonts w:ascii="Times New Roman" w:hAnsi="Times New Roman" w:cs="Times New Roman"/>
          <w:sz w:val="24"/>
          <w:szCs w:val="24"/>
        </w:rPr>
        <w:t xml:space="preserve">del Poder Legislativo; la Presidenta de la Junta de Asistencia Privada del Estado de México; el Comisionado Presidente del Instituto de Transparencia, Acceso a la Información Pública y Protección de Datos </w:t>
      </w:r>
      <w:r w:rsidR="00761FF8" w:rsidRPr="00CB38AA">
        <w:rPr>
          <w:rFonts w:ascii="Times New Roman" w:hAnsi="Times New Roman" w:cs="Times New Roman"/>
          <w:sz w:val="24"/>
          <w:szCs w:val="24"/>
        </w:rPr>
        <w:t xml:space="preserve">Personales </w:t>
      </w:r>
      <w:r w:rsidR="00C7203F" w:rsidRPr="00CB38AA">
        <w:rPr>
          <w:rFonts w:ascii="Times New Roman" w:hAnsi="Times New Roman" w:cs="Times New Roman"/>
          <w:sz w:val="24"/>
          <w:szCs w:val="24"/>
        </w:rPr>
        <w:t xml:space="preserve">del Estado de México y Municipios; </w:t>
      </w:r>
      <w:r w:rsidR="00761FF8" w:rsidRPr="00CB38AA">
        <w:rPr>
          <w:rFonts w:ascii="Times New Roman" w:hAnsi="Times New Roman" w:cs="Times New Roman"/>
          <w:sz w:val="24"/>
          <w:szCs w:val="24"/>
        </w:rPr>
        <w:t>l</w:t>
      </w:r>
      <w:r w:rsidR="00C7203F" w:rsidRPr="00CB38AA">
        <w:rPr>
          <w:rFonts w:ascii="Times New Roman" w:hAnsi="Times New Roman" w:cs="Times New Roman"/>
          <w:sz w:val="24"/>
          <w:szCs w:val="24"/>
        </w:rPr>
        <w:t xml:space="preserve">a Contraloría General del Instituto Electoral del Estado de México; </w:t>
      </w:r>
      <w:r w:rsidR="00761FF8" w:rsidRPr="00CB38AA">
        <w:rPr>
          <w:rFonts w:ascii="Times New Roman" w:hAnsi="Times New Roman" w:cs="Times New Roman"/>
          <w:sz w:val="24"/>
          <w:szCs w:val="24"/>
        </w:rPr>
        <w:t>e</w:t>
      </w:r>
      <w:r w:rsidR="00C7203F" w:rsidRPr="00CB38AA">
        <w:rPr>
          <w:rFonts w:ascii="Times New Roman" w:hAnsi="Times New Roman" w:cs="Times New Roman"/>
          <w:sz w:val="24"/>
          <w:szCs w:val="24"/>
        </w:rPr>
        <w:t xml:space="preserve">l Titular del Órgano Interno de Control del Instituto de Transparencia, Acceso a la Información Pública y Protección de Datos Personales del Estado de México y Municipios; </w:t>
      </w:r>
      <w:r w:rsidR="008578D2" w:rsidRPr="00CB38AA">
        <w:rPr>
          <w:rFonts w:ascii="Times New Roman" w:hAnsi="Times New Roman" w:cs="Times New Roman"/>
          <w:sz w:val="24"/>
          <w:szCs w:val="24"/>
        </w:rPr>
        <w:t>e</w:t>
      </w:r>
      <w:r w:rsidR="00C7203F" w:rsidRPr="00CB38AA">
        <w:rPr>
          <w:rFonts w:ascii="Times New Roman" w:hAnsi="Times New Roman" w:cs="Times New Roman"/>
          <w:sz w:val="24"/>
          <w:szCs w:val="24"/>
        </w:rPr>
        <w:t xml:space="preserve">l Titular del Órgano Interno de Control de la Fiscalía General de Justicia del Estado de México; </w:t>
      </w:r>
      <w:r w:rsidR="008578D2" w:rsidRPr="00CB38AA">
        <w:rPr>
          <w:rFonts w:ascii="Times New Roman" w:hAnsi="Times New Roman" w:cs="Times New Roman"/>
          <w:sz w:val="24"/>
          <w:szCs w:val="24"/>
        </w:rPr>
        <w:t>e</w:t>
      </w:r>
      <w:r w:rsidR="00C7203F" w:rsidRPr="00CB38AA">
        <w:rPr>
          <w:rFonts w:ascii="Times New Roman" w:hAnsi="Times New Roman" w:cs="Times New Roman"/>
          <w:sz w:val="24"/>
          <w:szCs w:val="24"/>
        </w:rPr>
        <w:t xml:space="preserve">l Titular del Órgano Interno de Control del Tribunal de Justicia Administrativa del Estado de México; </w:t>
      </w:r>
      <w:r w:rsidR="008578D2" w:rsidRPr="00CB38AA">
        <w:rPr>
          <w:rFonts w:ascii="Times New Roman" w:hAnsi="Times New Roman" w:cs="Times New Roman"/>
          <w:sz w:val="24"/>
          <w:szCs w:val="24"/>
        </w:rPr>
        <w:t>e</w:t>
      </w:r>
      <w:r w:rsidR="00C7203F" w:rsidRPr="00CB38AA">
        <w:rPr>
          <w:rFonts w:ascii="Times New Roman" w:hAnsi="Times New Roman" w:cs="Times New Roman"/>
          <w:sz w:val="24"/>
          <w:szCs w:val="24"/>
        </w:rPr>
        <w:t xml:space="preserve">l Titular del Órgano Interno de Control de la Comisión de Derechos Humanos del Estado de México; </w:t>
      </w:r>
      <w:r w:rsidR="00761FF8" w:rsidRPr="00CB38AA">
        <w:rPr>
          <w:rFonts w:ascii="Times New Roman" w:hAnsi="Times New Roman" w:cs="Times New Roman"/>
          <w:sz w:val="24"/>
          <w:szCs w:val="24"/>
        </w:rPr>
        <w:t>l</w:t>
      </w:r>
      <w:r w:rsidR="00C7203F" w:rsidRPr="00CB38AA">
        <w:rPr>
          <w:rFonts w:ascii="Times New Roman" w:hAnsi="Times New Roman" w:cs="Times New Roman"/>
          <w:sz w:val="24"/>
          <w:szCs w:val="24"/>
        </w:rPr>
        <w:t xml:space="preserve">a </w:t>
      </w:r>
      <w:r w:rsidR="008578D2" w:rsidRPr="00CB38AA">
        <w:rPr>
          <w:rFonts w:ascii="Times New Roman" w:hAnsi="Times New Roman" w:cs="Times New Roman"/>
          <w:sz w:val="24"/>
          <w:szCs w:val="24"/>
        </w:rPr>
        <w:t xml:space="preserve">Encargada </w:t>
      </w:r>
      <w:r w:rsidR="00C7203F" w:rsidRPr="00CB38AA">
        <w:rPr>
          <w:rFonts w:ascii="Times New Roman" w:hAnsi="Times New Roman" w:cs="Times New Roman"/>
          <w:sz w:val="24"/>
          <w:szCs w:val="24"/>
        </w:rPr>
        <w:t xml:space="preserve">del </w:t>
      </w:r>
      <w:r w:rsidR="008578D2" w:rsidRPr="00CB38AA">
        <w:rPr>
          <w:rFonts w:ascii="Times New Roman" w:hAnsi="Times New Roman" w:cs="Times New Roman"/>
          <w:sz w:val="24"/>
          <w:szCs w:val="24"/>
        </w:rPr>
        <w:t xml:space="preserve">Despacho </w:t>
      </w:r>
      <w:r w:rsidR="00C7203F" w:rsidRPr="00CB38AA">
        <w:rPr>
          <w:rFonts w:ascii="Times New Roman" w:hAnsi="Times New Roman" w:cs="Times New Roman"/>
          <w:sz w:val="24"/>
          <w:szCs w:val="24"/>
        </w:rPr>
        <w:t xml:space="preserve">de la Contraloría General del Tribunal Electoral del Estado de México; y en cumplimiento de la Ley, la Presidencia de la Diputación Permanente presentó jurídicamente y representó a esta Legislatura en 117 juicios de amparo, </w:t>
      </w:r>
      <w:r w:rsidR="008765CF" w:rsidRPr="00CB38AA">
        <w:rPr>
          <w:rFonts w:ascii="Times New Roman" w:hAnsi="Times New Roman" w:cs="Times New Roman"/>
          <w:sz w:val="24"/>
          <w:szCs w:val="24"/>
        </w:rPr>
        <w:t>3</w:t>
      </w:r>
      <w:r w:rsidR="00C7203F" w:rsidRPr="00CB38AA">
        <w:rPr>
          <w:rFonts w:ascii="Times New Roman" w:hAnsi="Times New Roman" w:cs="Times New Roman"/>
          <w:sz w:val="24"/>
          <w:szCs w:val="24"/>
        </w:rPr>
        <w:t xml:space="preserve"> controversias constitucionales, </w:t>
      </w:r>
      <w:r w:rsidR="008765CF" w:rsidRPr="00CB38AA">
        <w:rPr>
          <w:rFonts w:ascii="Times New Roman" w:hAnsi="Times New Roman" w:cs="Times New Roman"/>
          <w:sz w:val="24"/>
          <w:szCs w:val="24"/>
        </w:rPr>
        <w:t>2</w:t>
      </w:r>
      <w:r w:rsidR="00C7203F" w:rsidRPr="00CB38AA">
        <w:rPr>
          <w:rFonts w:ascii="Times New Roman" w:hAnsi="Times New Roman" w:cs="Times New Roman"/>
          <w:sz w:val="24"/>
          <w:szCs w:val="24"/>
        </w:rPr>
        <w:t xml:space="preserve"> acciones de inconstitucionalidad y </w:t>
      </w:r>
      <w:r w:rsidR="001D5D46" w:rsidRPr="00CB38AA">
        <w:rPr>
          <w:rFonts w:ascii="Times New Roman" w:hAnsi="Times New Roman" w:cs="Times New Roman"/>
          <w:sz w:val="24"/>
          <w:szCs w:val="24"/>
        </w:rPr>
        <w:t>2</w:t>
      </w:r>
      <w:r w:rsidR="00C7203F" w:rsidRPr="00CB38AA">
        <w:rPr>
          <w:rFonts w:ascii="Times New Roman" w:hAnsi="Times New Roman" w:cs="Times New Roman"/>
          <w:sz w:val="24"/>
          <w:szCs w:val="24"/>
        </w:rPr>
        <w:t xml:space="preserve"> juicios electorales, defendiendo con firmeza la autonomía y la dignidad del Poder Legislativo. </w:t>
      </w:r>
    </w:p>
    <w:p w:rsidR="005B5E3A" w:rsidRPr="00CB38AA" w:rsidRDefault="00C7203F"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La Diputación Permanente se condujo en todo momento como un espacio plural, democrático y de diálogo, privilegiando el consenso, el respeto entre las fuerzas políticas y, por encima de todo, el interés general del pueblo del Estado de México. </w:t>
      </w:r>
    </w:p>
    <w:p w:rsidR="00C7203F" w:rsidRPr="00CB38AA" w:rsidRDefault="00C7203F"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En un ejercicio de transparencia y rendición de cuentas el informe detallado de las actividades de la Diputación Permanente se ha remitido a cada diputada, diputade y diputado de esta LXII Legislatura, para su análisis, conocimiento y seguimiento institucional; quienes integramos este órgano legislativo asumimos esta responsabilidad con seriedad, con visión de Estado y con la convicción de que el Congreso debe estar a la altura de su tiempo, de sus desafíos y de su gente; quienes integramos la Diputación Permanente, la de la Voz, Diputada Martha Azucena Camacho Reynoso, diputada Miriam Silva Mata, diputada Sofía Martínez Molina, diputada Krishna Karina Romero Velázquez, diputada Maricela Beltrán Sánchez, diputado Edmundo Luis Valdeña Bastida, diputada Jennifer Nathalie González López, diputada Zaira Cedillo Silva, diputado Esteban Juárez Hernández, diputada Araceli Casasola Salazar, diputada Itzel Guadalupe Pérez Correa, diputada María del Consuelo Estrada Plata, diputado Gerardo Pliego Santana y diputada Paola Jiménez Hernández, agradecemos a quienes forman la LXII Legislatura, la oportunidad que nos dieron para servir al pueblo del Estado de México en esta encomienda. Muchas gracias.</w:t>
      </w:r>
    </w:p>
    <w:p w:rsidR="00560A6A" w:rsidRPr="00CB38AA" w:rsidRDefault="00560A6A" w:rsidP="00DF6EEA">
      <w:pPr>
        <w:pStyle w:val="Sinespaciado"/>
        <w:jc w:val="both"/>
        <w:rPr>
          <w:rFonts w:ascii="Times New Roman" w:hAnsi="Times New Roman" w:cs="Times New Roman"/>
          <w:sz w:val="24"/>
          <w:szCs w:val="24"/>
        </w:rPr>
      </w:pPr>
    </w:p>
    <w:p w:rsidR="00FD2F7E" w:rsidRPr="00CB38AA" w:rsidRDefault="00FD2F7E" w:rsidP="00FD2F7E">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(Se inserta documento)</w:t>
      </w:r>
    </w:p>
    <w:p w:rsidR="00FD2F7E" w:rsidRPr="00CB38AA" w:rsidRDefault="00FD2F7E" w:rsidP="00FD2F7E">
      <w:pPr>
        <w:spacing w:after="0" w:line="240" w:lineRule="auto"/>
        <w:jc w:val="center"/>
        <w:rPr>
          <w:rFonts w:ascii="Times New Roman" w:hAnsi="Times New Roman" w:cs="Times New Roman"/>
          <w:sz w:val="24"/>
          <w:szCs w:val="24"/>
        </w:rPr>
      </w:pPr>
    </w:p>
    <w:tbl>
      <w:tblPr>
        <w:tblStyle w:val="Tablaconcuadrcula5"/>
        <w:tblW w:w="499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36"/>
      </w:tblGrid>
      <w:tr w:rsidR="00FD2F7E" w:rsidRPr="00CB38AA" w:rsidTr="00B8026D">
        <w:trPr>
          <w:trHeight w:val="4708"/>
          <w:jc w:val="center"/>
        </w:trPr>
        <w:tc>
          <w:tcPr>
            <w:tcW w:w="4998" w:type="dxa"/>
          </w:tcPr>
          <w:p w:rsidR="00FD2F7E" w:rsidRPr="00CB38AA" w:rsidRDefault="00FD2F7E" w:rsidP="00FD2F7E">
            <w:pPr>
              <w:spacing w:line="240" w:lineRule="auto"/>
              <w:rPr>
                <w:rFonts w:ascii="Times New Roman" w:eastAsia="Arial MT" w:hAnsi="Times New Roman" w:cs="Times New Roman"/>
                <w:sz w:val="24"/>
                <w:szCs w:val="24"/>
                <w:lang w:val="es-ES"/>
              </w:rPr>
            </w:pPr>
            <w:r w:rsidRPr="00CB38AA">
              <w:rPr>
                <w:rFonts w:ascii="Times New Roman" w:eastAsia="Arial MT" w:hAnsi="Times New Roman" w:cs="Times New Roman"/>
                <w:noProof/>
                <w:sz w:val="24"/>
                <w:szCs w:val="24"/>
                <w:lang w:val="es-ES"/>
              </w:rPr>
              <w:lastRenderedPageBreak/>
              <w:drawing>
                <wp:anchor distT="0" distB="0" distL="0" distR="0" simplePos="0" relativeHeight="251684864" behindDoc="0" locked="0" layoutInCell="1" allowOverlap="1" wp14:anchorId="422E9759" wp14:editId="107102A2">
                  <wp:simplePos x="0" y="0"/>
                  <wp:positionH relativeFrom="page">
                    <wp:posOffset>95097</wp:posOffset>
                  </wp:positionH>
                  <wp:positionV relativeFrom="page">
                    <wp:posOffset>201422</wp:posOffset>
                  </wp:positionV>
                  <wp:extent cx="4454525" cy="3774440"/>
                  <wp:effectExtent l="0" t="0" r="3175"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4454525" cy="3774440"/>
                          </a:xfrm>
                          <a:prstGeom prst="rect">
                            <a:avLst/>
                          </a:prstGeom>
                        </pic:spPr>
                      </pic:pic>
                    </a:graphicData>
                  </a:graphic>
                  <wp14:sizeRelH relativeFrom="margin">
                    <wp14:pctWidth>0</wp14:pctWidth>
                  </wp14:sizeRelH>
                  <wp14:sizeRelV relativeFrom="margin">
                    <wp14:pctHeight>0</wp14:pctHeight>
                  </wp14:sizeRelV>
                </wp:anchor>
              </w:drawing>
            </w:r>
          </w:p>
          <w:p w:rsidR="00FD2F7E" w:rsidRPr="00CB38AA" w:rsidRDefault="00FD2F7E" w:rsidP="00FD2F7E">
            <w:pPr>
              <w:spacing w:line="240" w:lineRule="auto"/>
              <w:rPr>
                <w:rFonts w:ascii="Times New Roman" w:eastAsia="Arial MT" w:hAnsi="Times New Roman" w:cs="Times New Roman"/>
                <w:sz w:val="24"/>
                <w:szCs w:val="24"/>
                <w:lang w:val="es-ES"/>
              </w:rPr>
            </w:pPr>
          </w:p>
        </w:tc>
      </w:tr>
    </w:tbl>
    <w:p w:rsidR="00FD2F7E" w:rsidRPr="00CB38AA" w:rsidRDefault="00FD2F7E" w:rsidP="00FD2F7E">
      <w:pPr>
        <w:widowControl w:val="0"/>
        <w:autoSpaceDE w:val="0"/>
        <w:autoSpaceDN w:val="0"/>
        <w:spacing w:after="0" w:line="240" w:lineRule="auto"/>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center"/>
        <w:rPr>
          <w:rFonts w:ascii="Times New Roman" w:eastAsia="Arial" w:hAnsi="Times New Roman" w:cs="Times New Roman"/>
          <w:b/>
          <w:bCs/>
          <w:sz w:val="24"/>
          <w:szCs w:val="24"/>
          <w:lang w:val="es-ES"/>
        </w:rPr>
      </w:pPr>
      <w:r w:rsidRPr="00CB38AA">
        <w:rPr>
          <w:rFonts w:ascii="Times New Roman" w:eastAsia="Arial" w:hAnsi="Times New Roman" w:cs="Times New Roman"/>
          <w:b/>
          <w:bCs/>
          <w:sz w:val="24"/>
          <w:szCs w:val="24"/>
          <w:lang w:val="es-ES"/>
        </w:rPr>
        <w:t>INTEGRACIÓN DE LA DIPUTACIÓN PERMANENTE</w:t>
      </w:r>
    </w:p>
    <w:p w:rsidR="00FD2F7E" w:rsidRPr="00CB38AA" w:rsidRDefault="00FD2F7E" w:rsidP="00FD2F7E">
      <w:pPr>
        <w:widowControl w:val="0"/>
        <w:autoSpaceDE w:val="0"/>
        <w:autoSpaceDN w:val="0"/>
        <w:spacing w:after="0" w:line="240" w:lineRule="auto"/>
        <w:rPr>
          <w:rFonts w:ascii="Times New Roman" w:eastAsia="Arial MT" w:hAnsi="Times New Roman" w:cs="Times New Roman"/>
          <w:b/>
          <w:sz w:val="24"/>
          <w:szCs w:val="24"/>
          <w:lang w:val="es-ES"/>
        </w:rPr>
      </w:pPr>
    </w:p>
    <w:tbl>
      <w:tblPr>
        <w:tblStyle w:val="TableNormal2"/>
        <w:tblW w:w="0" w:type="auto"/>
        <w:jc w:val="center"/>
        <w:tblLayout w:type="fixed"/>
        <w:tblLook w:val="01E0" w:firstRow="1" w:lastRow="1" w:firstColumn="1" w:lastColumn="1" w:noHBand="0" w:noVBand="0"/>
      </w:tblPr>
      <w:tblGrid>
        <w:gridCol w:w="4683"/>
        <w:gridCol w:w="4533"/>
      </w:tblGrid>
      <w:tr w:rsidR="00FD2F7E" w:rsidRPr="00CB38AA" w:rsidTr="00760254">
        <w:trPr>
          <w:trHeight w:val="20"/>
          <w:jc w:val="center"/>
        </w:trPr>
        <w:tc>
          <w:tcPr>
            <w:tcW w:w="4683" w:type="dxa"/>
          </w:tcPr>
          <w:p w:rsidR="00FD2F7E" w:rsidRPr="00CB38AA" w:rsidRDefault="00FD2F7E" w:rsidP="00FD2F7E">
            <w:pPr>
              <w:spacing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Dip. Martha Azucena Camacho Reynoso</w:t>
            </w: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Presidenta Partido morena (Pm)</w:t>
            </w:r>
          </w:p>
        </w:tc>
        <w:tc>
          <w:tcPr>
            <w:tcW w:w="4533" w:type="dxa"/>
          </w:tcPr>
          <w:p w:rsidR="00FD2F7E" w:rsidRPr="00CB38AA" w:rsidRDefault="00FD2F7E" w:rsidP="00FD2F7E">
            <w:pPr>
              <w:spacing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Dip. Miriam Silva Mata</w:t>
            </w: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Vicepresidenta</w:t>
            </w: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Partido Verde Ecologista de México (PVEM)</w:t>
            </w:r>
          </w:p>
          <w:p w:rsidR="00FD2F7E" w:rsidRPr="00CB38AA" w:rsidRDefault="00FD2F7E" w:rsidP="00FD2F7E">
            <w:pPr>
              <w:spacing w:line="240" w:lineRule="auto"/>
              <w:jc w:val="center"/>
              <w:rPr>
                <w:rFonts w:ascii="Times New Roman" w:eastAsia="Arial MT" w:hAnsi="Times New Roman" w:cs="Times New Roman"/>
                <w:sz w:val="24"/>
                <w:szCs w:val="24"/>
                <w:lang w:val="es-ES"/>
              </w:rPr>
            </w:pPr>
          </w:p>
        </w:tc>
      </w:tr>
      <w:tr w:rsidR="00FD2F7E" w:rsidRPr="00CB38AA" w:rsidTr="00760254">
        <w:trPr>
          <w:trHeight w:val="20"/>
          <w:jc w:val="center"/>
        </w:trPr>
        <w:tc>
          <w:tcPr>
            <w:tcW w:w="4683" w:type="dxa"/>
          </w:tcPr>
          <w:p w:rsidR="00FD2F7E" w:rsidRPr="00CB38AA" w:rsidRDefault="00FD2F7E" w:rsidP="00FD2F7E">
            <w:pPr>
              <w:spacing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Dip. Sofía Martínez Molina</w:t>
            </w: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Secretaria Partido del Trabajo (PT)</w:t>
            </w:r>
          </w:p>
        </w:tc>
        <w:tc>
          <w:tcPr>
            <w:tcW w:w="4533" w:type="dxa"/>
          </w:tcPr>
          <w:p w:rsidR="00FD2F7E" w:rsidRPr="00CB38AA" w:rsidRDefault="00FD2F7E" w:rsidP="00FD2F7E">
            <w:pPr>
              <w:spacing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Dip. Krishna Karina Romero Velázquez</w:t>
            </w: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Miembro</w:t>
            </w: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Partido Acción Nacional (PAN)</w:t>
            </w:r>
          </w:p>
          <w:p w:rsidR="00FD2F7E" w:rsidRPr="00CB38AA" w:rsidRDefault="00FD2F7E" w:rsidP="00FD2F7E">
            <w:pPr>
              <w:spacing w:line="240" w:lineRule="auto"/>
              <w:jc w:val="center"/>
              <w:rPr>
                <w:rFonts w:ascii="Times New Roman" w:eastAsia="Arial MT" w:hAnsi="Times New Roman" w:cs="Times New Roman"/>
                <w:sz w:val="24"/>
                <w:szCs w:val="24"/>
                <w:lang w:val="es-ES"/>
              </w:rPr>
            </w:pPr>
          </w:p>
        </w:tc>
      </w:tr>
      <w:tr w:rsidR="00FD2F7E" w:rsidRPr="00CB38AA" w:rsidTr="00760254">
        <w:trPr>
          <w:trHeight w:val="20"/>
          <w:jc w:val="center"/>
        </w:trPr>
        <w:tc>
          <w:tcPr>
            <w:tcW w:w="4683" w:type="dxa"/>
          </w:tcPr>
          <w:p w:rsidR="00FD2F7E" w:rsidRPr="00CB38AA" w:rsidRDefault="00FD2F7E" w:rsidP="00FD2F7E">
            <w:pPr>
              <w:spacing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Dip. Maricela Beltrán Sánchez</w:t>
            </w: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Miembro</w:t>
            </w:r>
          </w:p>
          <w:p w:rsidR="00FD2F7E" w:rsidRPr="00CB38AA" w:rsidRDefault="00FD2F7E" w:rsidP="00760254">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Partido Movimiento Ciudadano (PMC)</w:t>
            </w:r>
          </w:p>
          <w:p w:rsidR="00760254" w:rsidRPr="00CB38AA" w:rsidRDefault="00760254" w:rsidP="00760254">
            <w:pPr>
              <w:spacing w:line="240" w:lineRule="auto"/>
              <w:jc w:val="center"/>
              <w:rPr>
                <w:rFonts w:ascii="Times New Roman" w:eastAsia="Arial MT" w:hAnsi="Times New Roman" w:cs="Times New Roman"/>
                <w:sz w:val="24"/>
                <w:szCs w:val="24"/>
                <w:lang w:val="es-ES"/>
              </w:rPr>
            </w:pPr>
          </w:p>
        </w:tc>
        <w:tc>
          <w:tcPr>
            <w:tcW w:w="4533" w:type="dxa"/>
          </w:tcPr>
          <w:p w:rsidR="00FD2F7E" w:rsidRPr="00CB38AA" w:rsidRDefault="00FD2F7E" w:rsidP="00FD2F7E">
            <w:pPr>
              <w:spacing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Dip. Edmundo Luis Valdeña Bastida</w:t>
            </w: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Miembro Partido morena (Pm)</w:t>
            </w:r>
          </w:p>
          <w:p w:rsidR="00FD2F7E" w:rsidRPr="00CB38AA" w:rsidRDefault="00FD2F7E" w:rsidP="00FD2F7E">
            <w:pPr>
              <w:spacing w:line="240" w:lineRule="auto"/>
              <w:jc w:val="center"/>
              <w:rPr>
                <w:rFonts w:ascii="Times New Roman" w:eastAsia="Arial MT" w:hAnsi="Times New Roman" w:cs="Times New Roman"/>
                <w:sz w:val="24"/>
                <w:szCs w:val="24"/>
                <w:lang w:val="es-ES"/>
              </w:rPr>
            </w:pPr>
          </w:p>
        </w:tc>
      </w:tr>
      <w:tr w:rsidR="00FD2F7E" w:rsidRPr="00CB38AA" w:rsidTr="00760254">
        <w:trPr>
          <w:trHeight w:val="20"/>
          <w:jc w:val="center"/>
        </w:trPr>
        <w:tc>
          <w:tcPr>
            <w:tcW w:w="4683" w:type="dxa"/>
          </w:tcPr>
          <w:p w:rsidR="00FD2F7E" w:rsidRPr="00CB38AA" w:rsidRDefault="00FD2F7E" w:rsidP="00FD2F7E">
            <w:pPr>
              <w:spacing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Dip. Jennifer Nathalie González López</w:t>
            </w: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Miembro Partido morena (Pm)</w:t>
            </w:r>
          </w:p>
          <w:p w:rsidR="00FD2F7E" w:rsidRPr="00CB38AA" w:rsidRDefault="00FD2F7E" w:rsidP="00FD2F7E">
            <w:pPr>
              <w:spacing w:line="240" w:lineRule="auto"/>
              <w:jc w:val="center"/>
              <w:rPr>
                <w:rFonts w:ascii="Times New Roman" w:eastAsia="Arial MT" w:hAnsi="Times New Roman" w:cs="Times New Roman"/>
                <w:sz w:val="24"/>
                <w:szCs w:val="24"/>
                <w:lang w:val="es-ES"/>
              </w:rPr>
            </w:pPr>
          </w:p>
        </w:tc>
        <w:tc>
          <w:tcPr>
            <w:tcW w:w="4533" w:type="dxa"/>
          </w:tcPr>
          <w:p w:rsidR="00FD2F7E" w:rsidRPr="00CB38AA" w:rsidRDefault="00FD2F7E" w:rsidP="00FD2F7E">
            <w:pPr>
              <w:spacing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Dip. Zaira Cedillo Silva</w:t>
            </w: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Miembro Partido morena (Pm)</w:t>
            </w:r>
          </w:p>
        </w:tc>
      </w:tr>
      <w:tr w:rsidR="00FD2F7E" w:rsidRPr="00CB38AA" w:rsidTr="00760254">
        <w:trPr>
          <w:trHeight w:val="20"/>
          <w:jc w:val="center"/>
        </w:trPr>
        <w:tc>
          <w:tcPr>
            <w:tcW w:w="4683" w:type="dxa"/>
          </w:tcPr>
          <w:p w:rsidR="00FD2F7E" w:rsidRPr="00CB38AA" w:rsidRDefault="00FD2F7E" w:rsidP="00FD2F7E">
            <w:pPr>
              <w:spacing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Dip. Esteban Juárez Hernández</w:t>
            </w: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Miembro Partido morena (Pm)</w:t>
            </w:r>
          </w:p>
        </w:tc>
        <w:tc>
          <w:tcPr>
            <w:tcW w:w="4533" w:type="dxa"/>
          </w:tcPr>
          <w:p w:rsidR="00FD2F7E" w:rsidRPr="00CB38AA" w:rsidRDefault="00FD2F7E" w:rsidP="00FD2F7E">
            <w:pPr>
              <w:spacing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Dip. Araceli Casasola Salazar</w:t>
            </w: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Suplente</w:t>
            </w: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Partido de la Revolución Democrática (PRD)</w:t>
            </w:r>
          </w:p>
          <w:p w:rsidR="00FD2F7E" w:rsidRPr="00CB38AA" w:rsidRDefault="00FD2F7E" w:rsidP="00FD2F7E">
            <w:pPr>
              <w:spacing w:line="240" w:lineRule="auto"/>
              <w:jc w:val="center"/>
              <w:rPr>
                <w:rFonts w:ascii="Times New Roman" w:eastAsia="Arial MT" w:hAnsi="Times New Roman" w:cs="Times New Roman"/>
                <w:sz w:val="24"/>
                <w:szCs w:val="24"/>
                <w:lang w:val="es-ES"/>
              </w:rPr>
            </w:pPr>
          </w:p>
        </w:tc>
      </w:tr>
      <w:tr w:rsidR="00FD2F7E" w:rsidRPr="00CB38AA" w:rsidTr="00760254">
        <w:trPr>
          <w:trHeight w:val="20"/>
          <w:jc w:val="center"/>
        </w:trPr>
        <w:tc>
          <w:tcPr>
            <w:tcW w:w="4683" w:type="dxa"/>
          </w:tcPr>
          <w:p w:rsidR="00FD2F7E" w:rsidRPr="00CB38AA" w:rsidRDefault="00FD2F7E" w:rsidP="00FD2F7E">
            <w:pPr>
              <w:spacing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Dip. Itzel Guadalupe Pérez Correa</w:t>
            </w: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Suplente</w:t>
            </w: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lastRenderedPageBreak/>
              <w:t>Partido Verde Ecologista de México (PVEM)</w:t>
            </w:r>
          </w:p>
          <w:p w:rsidR="00FD2F7E" w:rsidRPr="00CB38AA" w:rsidRDefault="00FD2F7E" w:rsidP="00FD2F7E">
            <w:pPr>
              <w:spacing w:line="240" w:lineRule="auto"/>
              <w:jc w:val="center"/>
              <w:rPr>
                <w:rFonts w:ascii="Times New Roman" w:eastAsia="Arial MT" w:hAnsi="Times New Roman" w:cs="Times New Roman"/>
                <w:sz w:val="24"/>
                <w:szCs w:val="24"/>
                <w:lang w:val="es-ES"/>
              </w:rPr>
            </w:pPr>
          </w:p>
        </w:tc>
        <w:tc>
          <w:tcPr>
            <w:tcW w:w="4533" w:type="dxa"/>
          </w:tcPr>
          <w:p w:rsidR="00FD2F7E" w:rsidRPr="00CB38AA" w:rsidRDefault="00FD2F7E" w:rsidP="00FD2F7E">
            <w:pPr>
              <w:spacing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lastRenderedPageBreak/>
              <w:t>Dip. María del Consuelo Estrada Plata</w:t>
            </w: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Suplente Partido del Trabajo (PT)</w:t>
            </w:r>
          </w:p>
        </w:tc>
      </w:tr>
      <w:tr w:rsidR="00FD2F7E" w:rsidRPr="00CB38AA" w:rsidTr="00760254">
        <w:trPr>
          <w:trHeight w:val="20"/>
          <w:jc w:val="center"/>
        </w:trPr>
        <w:tc>
          <w:tcPr>
            <w:tcW w:w="4683" w:type="dxa"/>
          </w:tcPr>
          <w:p w:rsidR="00FD2F7E" w:rsidRPr="00CB38AA" w:rsidRDefault="00FD2F7E" w:rsidP="00FD2F7E">
            <w:pPr>
              <w:spacing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Dip. Gerardo Pliego Santana</w:t>
            </w: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Suplente Partido morena (Pm)</w:t>
            </w:r>
          </w:p>
        </w:tc>
        <w:tc>
          <w:tcPr>
            <w:tcW w:w="4533" w:type="dxa"/>
          </w:tcPr>
          <w:p w:rsidR="00FD2F7E" w:rsidRPr="00CB38AA" w:rsidRDefault="00FD2F7E" w:rsidP="00FD2F7E">
            <w:pPr>
              <w:spacing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Dip. Paola Jiménez Hernández</w:t>
            </w: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Suplente Partido morena (Pm)</w:t>
            </w:r>
          </w:p>
        </w:tc>
      </w:tr>
    </w:tbl>
    <w:p w:rsidR="00FD2F7E" w:rsidRPr="00CB38AA" w:rsidRDefault="00FD2F7E" w:rsidP="00FD2F7E">
      <w:pPr>
        <w:widowControl w:val="0"/>
        <w:autoSpaceDE w:val="0"/>
        <w:autoSpaceDN w:val="0"/>
        <w:spacing w:after="0" w:line="240" w:lineRule="auto"/>
        <w:rPr>
          <w:rFonts w:ascii="Times New Roman" w:eastAsia="Arial MT" w:hAnsi="Times New Roman" w:cs="Times New Roman"/>
          <w:b/>
          <w:sz w:val="24"/>
          <w:szCs w:val="24"/>
          <w:lang w:val="es-ES"/>
        </w:rPr>
      </w:pPr>
    </w:p>
    <w:p w:rsidR="00FD2F7E" w:rsidRPr="00CB38AA" w:rsidRDefault="00FD2F7E" w:rsidP="00FD2F7E">
      <w:pPr>
        <w:widowControl w:val="0"/>
        <w:autoSpaceDE w:val="0"/>
        <w:autoSpaceDN w:val="0"/>
        <w:spacing w:after="0" w:line="240" w:lineRule="auto"/>
        <w:rPr>
          <w:rFonts w:ascii="Times New Roman" w:eastAsia="Arial MT" w:hAnsi="Times New Roman" w:cs="Times New Roman"/>
          <w:b/>
          <w:sz w:val="24"/>
          <w:szCs w:val="24"/>
          <w:lang w:val="es-ES"/>
        </w:rPr>
      </w:pPr>
    </w:p>
    <w:p w:rsidR="00FD2F7E" w:rsidRPr="00CB38AA" w:rsidRDefault="00FD2F7E" w:rsidP="00FD2F7E">
      <w:pPr>
        <w:widowControl w:val="0"/>
        <w:autoSpaceDE w:val="0"/>
        <w:autoSpaceDN w:val="0"/>
        <w:spacing w:after="0"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ÍNDICE</w:t>
      </w:r>
    </w:p>
    <w:p w:rsidR="00FD2F7E" w:rsidRPr="00CB38AA" w:rsidRDefault="00FD2F7E" w:rsidP="00FD2F7E">
      <w:pPr>
        <w:widowControl w:val="0"/>
        <w:autoSpaceDE w:val="0"/>
        <w:autoSpaceDN w:val="0"/>
        <w:spacing w:after="0" w:line="240" w:lineRule="auto"/>
        <w:jc w:val="center"/>
        <w:rPr>
          <w:rFonts w:ascii="Times New Roman" w:eastAsia="Arial MT" w:hAnsi="Times New Roman" w:cs="Times New Roman"/>
          <w:b/>
          <w:sz w:val="24"/>
          <w:szCs w:val="24"/>
          <w:lang w:val="es-ES"/>
        </w:rPr>
      </w:pPr>
    </w:p>
    <w:sdt>
      <w:sdtPr>
        <w:rPr>
          <w:rFonts w:ascii="Times New Roman" w:eastAsia="Arial MT" w:hAnsi="Times New Roman" w:cs="Times New Roman"/>
          <w:sz w:val="24"/>
          <w:szCs w:val="24"/>
          <w:lang w:val="es-ES"/>
        </w:rPr>
        <w:id w:val="1930769751"/>
        <w:docPartObj>
          <w:docPartGallery w:val="Table of Contents"/>
          <w:docPartUnique/>
        </w:docPartObj>
      </w:sdtPr>
      <w:sdtContent>
        <w:p w:rsidR="00FD2F7E" w:rsidRPr="00CB38AA" w:rsidRDefault="000F603A" w:rsidP="00FD2F7E">
          <w:pPr>
            <w:widowControl w:val="0"/>
            <w:autoSpaceDE w:val="0"/>
            <w:autoSpaceDN w:val="0"/>
            <w:spacing w:after="0" w:line="240" w:lineRule="auto"/>
            <w:rPr>
              <w:rFonts w:ascii="Times New Roman" w:eastAsia="Arial MT" w:hAnsi="Times New Roman" w:cs="Times New Roman"/>
              <w:sz w:val="24"/>
              <w:szCs w:val="24"/>
              <w:lang w:val="es-ES"/>
            </w:rPr>
          </w:pPr>
          <w:hyperlink w:anchor="_bookmark0" w:history="1">
            <w:r w:rsidR="00FD2F7E" w:rsidRPr="00CB38AA">
              <w:rPr>
                <w:rFonts w:ascii="Times New Roman" w:eastAsia="Arial MT" w:hAnsi="Times New Roman" w:cs="Times New Roman"/>
                <w:sz w:val="24"/>
                <w:szCs w:val="24"/>
                <w:lang w:val="es-ES"/>
              </w:rPr>
              <w:t>INSTALACIÓN Y FUNCIONAMIENTO DE LA DIPUTACIÓN PERMANENTE</w:t>
            </w:r>
            <w:r w:rsidR="00FD2F7E" w:rsidRPr="00CB38AA">
              <w:rPr>
                <w:rFonts w:ascii="Times New Roman" w:eastAsia="Arial MT" w:hAnsi="Times New Roman" w:cs="Times New Roman"/>
                <w:sz w:val="24"/>
                <w:szCs w:val="24"/>
                <w:lang w:val="es-ES"/>
              </w:rPr>
              <w:tab/>
              <w:t>5</w:t>
            </w:r>
          </w:hyperlink>
        </w:p>
        <w:p w:rsidR="00FD2F7E" w:rsidRPr="00CB38AA" w:rsidRDefault="000F603A" w:rsidP="00FD2F7E">
          <w:pPr>
            <w:widowControl w:val="0"/>
            <w:autoSpaceDE w:val="0"/>
            <w:autoSpaceDN w:val="0"/>
            <w:spacing w:after="0" w:line="240" w:lineRule="auto"/>
            <w:rPr>
              <w:rFonts w:ascii="Times New Roman" w:eastAsia="Arial MT" w:hAnsi="Times New Roman" w:cs="Times New Roman"/>
              <w:sz w:val="24"/>
              <w:szCs w:val="24"/>
              <w:lang w:val="es-ES"/>
            </w:rPr>
          </w:pPr>
          <w:hyperlink w:anchor="_bookmark1" w:history="1">
            <w:r w:rsidR="00FD2F7E" w:rsidRPr="00CB38AA">
              <w:rPr>
                <w:rFonts w:ascii="Times New Roman" w:eastAsia="Arial MT" w:hAnsi="Times New Roman" w:cs="Times New Roman"/>
                <w:sz w:val="24"/>
                <w:szCs w:val="24"/>
                <w:lang w:val="es-ES"/>
              </w:rPr>
              <w:t>VISIÓN HUMANISTA Y DECISIONES CON IMPACTO SOCIAL</w:t>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t>6</w:t>
            </w:r>
          </w:hyperlink>
        </w:p>
        <w:p w:rsidR="00FD2F7E" w:rsidRPr="00CB38AA" w:rsidRDefault="000F603A" w:rsidP="00FD2F7E">
          <w:pPr>
            <w:widowControl w:val="0"/>
            <w:autoSpaceDE w:val="0"/>
            <w:autoSpaceDN w:val="0"/>
            <w:spacing w:after="0" w:line="240" w:lineRule="auto"/>
            <w:rPr>
              <w:rFonts w:ascii="Times New Roman" w:eastAsia="Arial MT" w:hAnsi="Times New Roman" w:cs="Times New Roman"/>
              <w:sz w:val="24"/>
              <w:szCs w:val="24"/>
              <w:lang w:val="es-ES"/>
            </w:rPr>
          </w:pPr>
          <w:hyperlink w:anchor="_bookmark2" w:history="1">
            <w:r w:rsidR="00FD2F7E" w:rsidRPr="00CB38AA">
              <w:rPr>
                <w:rFonts w:ascii="Times New Roman" w:eastAsia="Arial MT" w:hAnsi="Times New Roman" w:cs="Times New Roman"/>
                <w:sz w:val="24"/>
                <w:szCs w:val="24"/>
                <w:lang w:val="es-ES"/>
              </w:rPr>
              <w:t>ARMONIZACIÓN LEGISLATIVA Y FORTALECIMIENTO INSTITUCIONAL</w:t>
            </w:r>
            <w:r w:rsidR="00FD2F7E" w:rsidRPr="00CB38AA">
              <w:rPr>
                <w:rFonts w:ascii="Times New Roman" w:eastAsia="Arial MT" w:hAnsi="Times New Roman" w:cs="Times New Roman"/>
                <w:sz w:val="24"/>
                <w:szCs w:val="24"/>
                <w:lang w:val="es-ES"/>
              </w:rPr>
              <w:tab/>
              <w:t>7</w:t>
            </w:r>
          </w:hyperlink>
        </w:p>
        <w:p w:rsidR="00FD2F7E" w:rsidRPr="00CB38AA" w:rsidRDefault="000F603A" w:rsidP="00FD2F7E">
          <w:pPr>
            <w:widowControl w:val="0"/>
            <w:autoSpaceDE w:val="0"/>
            <w:autoSpaceDN w:val="0"/>
            <w:spacing w:after="0" w:line="240" w:lineRule="auto"/>
            <w:rPr>
              <w:rFonts w:ascii="Times New Roman" w:eastAsia="Arial MT" w:hAnsi="Times New Roman" w:cs="Times New Roman"/>
              <w:sz w:val="24"/>
              <w:szCs w:val="24"/>
              <w:lang w:val="es-ES"/>
            </w:rPr>
          </w:pPr>
          <w:hyperlink w:anchor="_bookmark3" w:history="1">
            <w:r w:rsidR="00FD2F7E" w:rsidRPr="00CB38AA">
              <w:rPr>
                <w:rFonts w:ascii="Times New Roman" w:eastAsia="Arial MT" w:hAnsi="Times New Roman" w:cs="Times New Roman"/>
                <w:sz w:val="24"/>
                <w:szCs w:val="24"/>
                <w:lang w:val="es-ES"/>
              </w:rPr>
              <w:t>PERÍODO EXTRAORDINARIO Y REFORMAS TRASCENDENTES</w:t>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t>8</w:t>
            </w:r>
          </w:hyperlink>
        </w:p>
        <w:p w:rsidR="00FD2F7E" w:rsidRPr="00CB38AA" w:rsidRDefault="000F603A" w:rsidP="00FD2F7E">
          <w:pPr>
            <w:widowControl w:val="0"/>
            <w:autoSpaceDE w:val="0"/>
            <w:autoSpaceDN w:val="0"/>
            <w:spacing w:after="0" w:line="240" w:lineRule="auto"/>
            <w:rPr>
              <w:rFonts w:ascii="Times New Roman" w:eastAsia="Arial MT" w:hAnsi="Times New Roman" w:cs="Times New Roman"/>
              <w:sz w:val="24"/>
              <w:szCs w:val="24"/>
              <w:lang w:val="es-ES"/>
            </w:rPr>
          </w:pPr>
          <w:hyperlink w:anchor="_bookmark4" w:history="1">
            <w:r w:rsidR="00FD2F7E" w:rsidRPr="00CB38AA">
              <w:rPr>
                <w:rFonts w:ascii="Times New Roman" w:eastAsia="Arial MT" w:hAnsi="Times New Roman" w:cs="Times New Roman"/>
                <w:sz w:val="24"/>
                <w:szCs w:val="24"/>
                <w:lang w:val="es-ES"/>
              </w:rPr>
              <w:t>PODER JUDICIAL Y CONTROL CONSTITUCIONAL</w:t>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t>9</w:t>
            </w:r>
          </w:hyperlink>
        </w:p>
        <w:p w:rsidR="00FD2F7E" w:rsidRPr="00CB38AA" w:rsidRDefault="000F603A" w:rsidP="00FD2F7E">
          <w:pPr>
            <w:widowControl w:val="0"/>
            <w:autoSpaceDE w:val="0"/>
            <w:autoSpaceDN w:val="0"/>
            <w:spacing w:after="0" w:line="240" w:lineRule="auto"/>
            <w:rPr>
              <w:rFonts w:ascii="Times New Roman" w:eastAsia="Arial MT" w:hAnsi="Times New Roman" w:cs="Times New Roman"/>
              <w:sz w:val="24"/>
              <w:szCs w:val="24"/>
              <w:lang w:val="es-ES"/>
            </w:rPr>
          </w:pPr>
          <w:hyperlink w:anchor="_bookmark5" w:history="1">
            <w:r w:rsidR="00FD2F7E" w:rsidRPr="00CB38AA">
              <w:rPr>
                <w:rFonts w:ascii="Times New Roman" w:eastAsia="Arial MT" w:hAnsi="Times New Roman" w:cs="Times New Roman"/>
                <w:sz w:val="24"/>
                <w:szCs w:val="24"/>
                <w:lang w:val="es-ES"/>
              </w:rPr>
              <w:t>TRABAJO EN COMISIONES Y ATENCIÓN INSTITUCIONAL</w:t>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t>10</w:t>
            </w:r>
          </w:hyperlink>
        </w:p>
        <w:p w:rsidR="00FD2F7E" w:rsidRPr="00CB38AA" w:rsidRDefault="000F603A" w:rsidP="00FD2F7E">
          <w:pPr>
            <w:widowControl w:val="0"/>
            <w:autoSpaceDE w:val="0"/>
            <w:autoSpaceDN w:val="0"/>
            <w:spacing w:after="0" w:line="240" w:lineRule="auto"/>
            <w:rPr>
              <w:rFonts w:ascii="Times New Roman" w:eastAsia="Arial MT" w:hAnsi="Times New Roman" w:cs="Times New Roman"/>
              <w:sz w:val="24"/>
              <w:szCs w:val="24"/>
              <w:lang w:val="es-ES"/>
            </w:rPr>
          </w:pPr>
          <w:hyperlink w:anchor="_bookmark6" w:history="1">
            <w:r w:rsidR="00FD2F7E" w:rsidRPr="00CB38AA">
              <w:rPr>
                <w:rFonts w:ascii="Times New Roman" w:eastAsia="Arial MT" w:hAnsi="Times New Roman" w:cs="Times New Roman"/>
                <w:sz w:val="24"/>
                <w:szCs w:val="24"/>
                <w:lang w:val="es-ES"/>
              </w:rPr>
              <w:t>CONTROL, FISCALIZACIÓN Y DEFENSA JURÍDICA</w:t>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t>10</w:t>
            </w:r>
          </w:hyperlink>
        </w:p>
        <w:p w:rsidR="00FD2F7E" w:rsidRPr="00CB38AA" w:rsidRDefault="000F603A" w:rsidP="00FD2F7E">
          <w:pPr>
            <w:widowControl w:val="0"/>
            <w:autoSpaceDE w:val="0"/>
            <w:autoSpaceDN w:val="0"/>
            <w:spacing w:after="0" w:line="240" w:lineRule="auto"/>
            <w:rPr>
              <w:rFonts w:ascii="Times New Roman" w:eastAsia="Arial MT" w:hAnsi="Times New Roman" w:cs="Times New Roman"/>
              <w:sz w:val="24"/>
              <w:szCs w:val="24"/>
              <w:lang w:val="es-ES"/>
            </w:rPr>
          </w:pPr>
          <w:hyperlink w:anchor="_bookmark7" w:history="1">
            <w:r w:rsidR="00FD2F7E" w:rsidRPr="00CB38AA">
              <w:rPr>
                <w:rFonts w:ascii="Times New Roman" w:eastAsia="Arial MT" w:hAnsi="Times New Roman" w:cs="Times New Roman"/>
                <w:sz w:val="24"/>
                <w:szCs w:val="24"/>
                <w:lang w:val="es-ES"/>
              </w:rPr>
              <w:t>SESIONES CELEBRADAS</w:t>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t>13</w:t>
            </w:r>
          </w:hyperlink>
        </w:p>
        <w:p w:rsidR="00FD2F7E" w:rsidRPr="00CB38AA" w:rsidRDefault="000F603A" w:rsidP="00FD2F7E">
          <w:pPr>
            <w:widowControl w:val="0"/>
            <w:autoSpaceDE w:val="0"/>
            <w:autoSpaceDN w:val="0"/>
            <w:spacing w:after="0" w:line="240" w:lineRule="auto"/>
            <w:rPr>
              <w:rFonts w:ascii="Times New Roman" w:eastAsia="Arial MT" w:hAnsi="Times New Roman" w:cs="Times New Roman"/>
              <w:sz w:val="24"/>
              <w:szCs w:val="24"/>
              <w:lang w:val="es-ES"/>
            </w:rPr>
          </w:pPr>
          <w:hyperlink w:anchor="_bookmark8" w:history="1">
            <w:r w:rsidR="00FD2F7E" w:rsidRPr="00CB38AA">
              <w:rPr>
                <w:rFonts w:ascii="Times New Roman" w:eastAsia="Arial MT" w:hAnsi="Times New Roman" w:cs="Times New Roman"/>
                <w:sz w:val="24"/>
                <w:szCs w:val="24"/>
                <w:lang w:val="es-ES"/>
              </w:rPr>
              <w:t>INICIATIVAS PRESENTADAS</w:t>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t>20</w:t>
            </w:r>
          </w:hyperlink>
        </w:p>
        <w:p w:rsidR="00FD2F7E" w:rsidRPr="00CB38AA" w:rsidRDefault="000F603A" w:rsidP="00FD2F7E">
          <w:pPr>
            <w:widowControl w:val="0"/>
            <w:autoSpaceDE w:val="0"/>
            <w:autoSpaceDN w:val="0"/>
            <w:spacing w:after="0" w:line="240" w:lineRule="auto"/>
            <w:rPr>
              <w:rFonts w:ascii="Times New Roman" w:eastAsia="Arial MT" w:hAnsi="Times New Roman" w:cs="Times New Roman"/>
              <w:sz w:val="24"/>
              <w:szCs w:val="24"/>
              <w:lang w:val="es-ES"/>
            </w:rPr>
          </w:pPr>
          <w:hyperlink w:anchor="_bookmark9" w:history="1">
            <w:r w:rsidR="00FD2F7E" w:rsidRPr="00CB38AA">
              <w:rPr>
                <w:rFonts w:ascii="Times New Roman" w:eastAsia="Arial MT" w:hAnsi="Times New Roman" w:cs="Times New Roman"/>
                <w:sz w:val="24"/>
                <w:szCs w:val="24"/>
                <w:lang w:val="es-ES"/>
              </w:rPr>
              <w:t>DECRETOS APROBADOS</w:t>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t>24</w:t>
            </w:r>
          </w:hyperlink>
        </w:p>
        <w:p w:rsidR="00FD2F7E" w:rsidRPr="00CB38AA" w:rsidRDefault="000F603A" w:rsidP="00FD2F7E">
          <w:pPr>
            <w:widowControl w:val="0"/>
            <w:autoSpaceDE w:val="0"/>
            <w:autoSpaceDN w:val="0"/>
            <w:spacing w:after="0" w:line="240" w:lineRule="auto"/>
            <w:rPr>
              <w:rFonts w:ascii="Times New Roman" w:eastAsia="Arial MT" w:hAnsi="Times New Roman" w:cs="Times New Roman"/>
              <w:sz w:val="24"/>
              <w:szCs w:val="24"/>
              <w:lang w:val="es-ES"/>
            </w:rPr>
          </w:pPr>
          <w:hyperlink w:anchor="_bookmark10" w:history="1">
            <w:r w:rsidR="00FD2F7E" w:rsidRPr="00CB38AA">
              <w:rPr>
                <w:rFonts w:ascii="Times New Roman" w:eastAsia="Arial MT" w:hAnsi="Times New Roman" w:cs="Times New Roman"/>
                <w:sz w:val="24"/>
                <w:szCs w:val="24"/>
                <w:lang w:val="es-ES"/>
              </w:rPr>
              <w:t>REUNIONES DE COMISIONES LEGISLATIVAS</w:t>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t>26</w:t>
            </w:r>
          </w:hyperlink>
        </w:p>
        <w:p w:rsidR="00FD2F7E" w:rsidRPr="00CB38AA" w:rsidRDefault="000F603A" w:rsidP="00FD2F7E">
          <w:pPr>
            <w:widowControl w:val="0"/>
            <w:autoSpaceDE w:val="0"/>
            <w:autoSpaceDN w:val="0"/>
            <w:spacing w:after="0" w:line="240" w:lineRule="auto"/>
            <w:rPr>
              <w:rFonts w:ascii="Times New Roman" w:eastAsia="Arial MT" w:hAnsi="Times New Roman" w:cs="Times New Roman"/>
              <w:sz w:val="24"/>
              <w:szCs w:val="24"/>
              <w:lang w:val="es-ES"/>
            </w:rPr>
          </w:pPr>
          <w:hyperlink w:anchor="_bookmark11" w:history="1">
            <w:r w:rsidR="00FD2F7E" w:rsidRPr="00CB38AA">
              <w:rPr>
                <w:rFonts w:ascii="Times New Roman" w:eastAsia="Arial MT" w:hAnsi="Times New Roman" w:cs="Times New Roman"/>
                <w:sz w:val="24"/>
                <w:szCs w:val="24"/>
                <w:lang w:val="es-ES"/>
              </w:rPr>
              <w:t>RECEPCIÓN DE INFORMES DE ÓRGANOS INTERNOS DE CONTROL</w:t>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t>28</w:t>
            </w:r>
          </w:hyperlink>
        </w:p>
        <w:p w:rsidR="00FD2F7E" w:rsidRPr="00CB38AA" w:rsidRDefault="000F603A" w:rsidP="00FD2F7E">
          <w:pPr>
            <w:widowControl w:val="0"/>
            <w:autoSpaceDE w:val="0"/>
            <w:autoSpaceDN w:val="0"/>
            <w:spacing w:after="0" w:line="240" w:lineRule="auto"/>
            <w:rPr>
              <w:rFonts w:ascii="Times New Roman" w:eastAsia="Arial MT" w:hAnsi="Times New Roman" w:cs="Times New Roman"/>
              <w:sz w:val="24"/>
              <w:szCs w:val="24"/>
              <w:lang w:val="es-ES"/>
            </w:rPr>
          </w:pPr>
          <w:hyperlink w:anchor="_bookmark12" w:history="1">
            <w:r w:rsidR="00FD2F7E" w:rsidRPr="00CB38AA">
              <w:rPr>
                <w:rFonts w:ascii="Times New Roman" w:eastAsia="Arial MT" w:hAnsi="Times New Roman" w:cs="Times New Roman"/>
                <w:sz w:val="24"/>
                <w:szCs w:val="24"/>
                <w:lang w:val="es-ES"/>
              </w:rPr>
              <w:t>DESPACHO DE LA CORRESPONDENCIA</w:t>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r>
            <w:r w:rsidR="00FD2F7E" w:rsidRPr="00CB38AA">
              <w:rPr>
                <w:rFonts w:ascii="Times New Roman" w:eastAsia="Arial MT" w:hAnsi="Times New Roman" w:cs="Times New Roman"/>
                <w:sz w:val="24"/>
                <w:szCs w:val="24"/>
                <w:lang w:val="es-ES"/>
              </w:rPr>
              <w:tab/>
              <w:t>31</w:t>
            </w:r>
          </w:hyperlink>
        </w:p>
      </w:sdtContent>
    </w:sdt>
    <w:p w:rsidR="00FD2F7E" w:rsidRPr="00CB38AA" w:rsidRDefault="00FD2F7E" w:rsidP="00FD2F7E">
      <w:pPr>
        <w:widowControl w:val="0"/>
        <w:autoSpaceDE w:val="0"/>
        <w:autoSpaceDN w:val="0"/>
        <w:spacing w:after="0" w:line="240" w:lineRule="auto"/>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INFORME DE ACTIVIDADES</w:t>
      </w: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En mi carácter de Presidenta de la Diputación Permanente, y en cumplimiento de lo dispuesto por el artículo 58 de la Ley Orgánica del Poder Legislativo del Estado Libre y Soberano de México, me permito informar, a nombre de mis compañeras y compañeros integrantes de este órgano de la Legislatura, sobre las actividades desarrolladas, las iniciativas discutidas y los asuntos atendidos durante el Primer Período de Receso del Segundo Año de Ejercicio Constitucional, comprendido del 10 de diciembre de 2025 al 31 de enero de 2026.</w:t>
      </w:r>
    </w:p>
    <w:p w:rsidR="00FD2F7E" w:rsidRPr="00CB38AA" w:rsidRDefault="00FD2F7E" w:rsidP="00FD2F7E">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aconcuadrcu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8"/>
      </w:tblGrid>
      <w:tr w:rsidR="00FD2F7E" w:rsidRPr="00CB38AA" w:rsidTr="0007005E">
        <w:trPr>
          <w:trHeight w:val="6925"/>
          <w:jc w:val="center"/>
        </w:trPr>
        <w:tc>
          <w:tcPr>
            <w:tcW w:w="9208" w:type="dxa"/>
          </w:tcPr>
          <w:p w:rsidR="00FD2F7E" w:rsidRPr="00CB38AA" w:rsidRDefault="00FD2F7E" w:rsidP="00FD2F7E">
            <w:pPr>
              <w:spacing w:line="240" w:lineRule="auto"/>
              <w:rPr>
                <w:rFonts w:ascii="Times New Roman" w:eastAsia="Arial MT" w:hAnsi="Times New Roman" w:cs="Times New Roman"/>
                <w:sz w:val="24"/>
                <w:szCs w:val="24"/>
                <w:lang w:val="es-ES"/>
              </w:rPr>
            </w:pPr>
            <w:r w:rsidRPr="00CB38AA">
              <w:rPr>
                <w:rFonts w:ascii="Times New Roman" w:eastAsia="Arial MT" w:hAnsi="Times New Roman" w:cs="Times New Roman"/>
                <w:noProof/>
                <w:sz w:val="24"/>
                <w:szCs w:val="24"/>
                <w:lang w:val="es-ES"/>
              </w:rPr>
              <w:lastRenderedPageBreak/>
              <w:drawing>
                <wp:anchor distT="0" distB="0" distL="0" distR="0" simplePos="0" relativeHeight="251685888" behindDoc="0" locked="0" layoutInCell="1" allowOverlap="1" wp14:anchorId="5A7EB766" wp14:editId="4A4EA6E3">
                  <wp:simplePos x="0" y="0"/>
                  <wp:positionH relativeFrom="page">
                    <wp:posOffset>152400</wp:posOffset>
                  </wp:positionH>
                  <wp:positionV relativeFrom="page">
                    <wp:posOffset>184785</wp:posOffset>
                  </wp:positionV>
                  <wp:extent cx="5524500" cy="4114800"/>
                  <wp:effectExtent l="0" t="0" r="0" b="0"/>
                  <wp:wrapTopAndBottom/>
                  <wp:docPr id="40"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5524500" cy="4114800"/>
                          </a:xfrm>
                          <a:prstGeom prst="rect">
                            <a:avLst/>
                          </a:prstGeom>
                        </pic:spPr>
                      </pic:pic>
                    </a:graphicData>
                  </a:graphic>
                  <wp14:sizeRelH relativeFrom="margin">
                    <wp14:pctWidth>0</wp14:pctWidth>
                  </wp14:sizeRelH>
                  <wp14:sizeRelV relativeFrom="margin">
                    <wp14:pctHeight>0</wp14:pctHeight>
                  </wp14:sizeRelV>
                </wp:anchor>
              </w:drawing>
            </w:r>
          </w:p>
        </w:tc>
      </w:tr>
    </w:tbl>
    <w:p w:rsidR="00FD2F7E" w:rsidRPr="00CB38AA" w:rsidRDefault="00FD2F7E" w:rsidP="00FD2F7E">
      <w:pPr>
        <w:widowControl w:val="0"/>
        <w:autoSpaceDE w:val="0"/>
        <w:autoSpaceDN w:val="0"/>
        <w:spacing w:after="0" w:line="240" w:lineRule="auto"/>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CB38AA">
        <w:rPr>
          <w:rFonts w:ascii="Times New Roman" w:eastAsia="Arial" w:hAnsi="Times New Roman" w:cs="Times New Roman"/>
          <w:b/>
          <w:bCs/>
          <w:sz w:val="24"/>
          <w:szCs w:val="24"/>
          <w:lang w:val="es-ES"/>
        </w:rPr>
        <w:t>INSTALACIÓN Y FUNCIONAMIENTO DE LA DIPUTACIÓN PERMANENTE</w:t>
      </w: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Concluido el Primer Período Ordinario de Sesiones del Segundo Año de Ejercicio Constitucional, se procedió de manera inmediata a la instalación de la Diputación Permanente, la cual, en estricto apego a nuestra Ley Orgánica, celebró cinco sesiones plenarias, conforme a la siguiente cronología:</w:t>
      </w: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numPr>
          <w:ilvl w:val="0"/>
          <w:numId w:val="3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Primera Sesión: </w:t>
      </w:r>
      <w:r w:rsidR="0007005E" w:rsidRPr="00CB38AA">
        <w:rPr>
          <w:rFonts w:ascii="Times New Roman" w:eastAsia="Arial MT" w:hAnsi="Times New Roman" w:cs="Times New Roman"/>
          <w:sz w:val="24"/>
          <w:szCs w:val="24"/>
          <w:lang w:val="es-ES"/>
        </w:rPr>
        <w:tab/>
      </w:r>
      <w:r w:rsidRPr="00CB38AA">
        <w:rPr>
          <w:rFonts w:ascii="Times New Roman" w:eastAsia="Arial MT" w:hAnsi="Times New Roman" w:cs="Times New Roman"/>
          <w:sz w:val="24"/>
          <w:szCs w:val="24"/>
          <w:lang w:val="es-ES"/>
        </w:rPr>
        <w:t>10 de diciembre de 2025 (Instalación)</w:t>
      </w:r>
    </w:p>
    <w:p w:rsidR="00FD2F7E" w:rsidRPr="00CB38AA" w:rsidRDefault="00FD2F7E" w:rsidP="00FD2F7E">
      <w:pPr>
        <w:widowControl w:val="0"/>
        <w:numPr>
          <w:ilvl w:val="0"/>
          <w:numId w:val="3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Segunda Sesión:</w:t>
      </w:r>
      <w:r w:rsidR="0007005E" w:rsidRPr="00CB38AA">
        <w:rPr>
          <w:rFonts w:ascii="Times New Roman" w:eastAsia="Arial MT" w:hAnsi="Times New Roman" w:cs="Times New Roman"/>
          <w:sz w:val="24"/>
          <w:szCs w:val="24"/>
          <w:lang w:val="es-ES"/>
        </w:rPr>
        <w:tab/>
      </w:r>
      <w:r w:rsidRPr="00CB38AA">
        <w:rPr>
          <w:rFonts w:ascii="Times New Roman" w:eastAsia="Arial MT" w:hAnsi="Times New Roman" w:cs="Times New Roman"/>
          <w:sz w:val="24"/>
          <w:szCs w:val="24"/>
          <w:lang w:val="es-ES"/>
        </w:rPr>
        <w:t xml:space="preserve"> 10 de diciembre de 2025</w:t>
      </w:r>
    </w:p>
    <w:p w:rsidR="00FD2F7E" w:rsidRPr="00CB38AA" w:rsidRDefault="00FD2F7E" w:rsidP="00FD2F7E">
      <w:pPr>
        <w:widowControl w:val="0"/>
        <w:numPr>
          <w:ilvl w:val="0"/>
          <w:numId w:val="3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Tercera Sesión: </w:t>
      </w:r>
      <w:r w:rsidR="0007005E" w:rsidRPr="00CB38AA">
        <w:rPr>
          <w:rFonts w:ascii="Times New Roman" w:eastAsia="Arial MT" w:hAnsi="Times New Roman" w:cs="Times New Roman"/>
          <w:sz w:val="24"/>
          <w:szCs w:val="24"/>
          <w:lang w:val="es-ES"/>
        </w:rPr>
        <w:tab/>
      </w:r>
      <w:r w:rsidRPr="00CB38AA">
        <w:rPr>
          <w:rFonts w:ascii="Times New Roman" w:eastAsia="Arial MT" w:hAnsi="Times New Roman" w:cs="Times New Roman"/>
          <w:sz w:val="24"/>
          <w:szCs w:val="24"/>
          <w:lang w:val="es-ES"/>
        </w:rPr>
        <w:t>16 de diciembre de 2025</w:t>
      </w:r>
    </w:p>
    <w:p w:rsidR="00FD2F7E" w:rsidRPr="00CB38AA" w:rsidRDefault="00FD2F7E" w:rsidP="00FD2F7E">
      <w:pPr>
        <w:widowControl w:val="0"/>
        <w:numPr>
          <w:ilvl w:val="0"/>
          <w:numId w:val="3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Cuarta Sesión: </w:t>
      </w:r>
      <w:r w:rsidR="0007005E" w:rsidRPr="00CB38AA">
        <w:rPr>
          <w:rFonts w:ascii="Times New Roman" w:eastAsia="Arial MT" w:hAnsi="Times New Roman" w:cs="Times New Roman"/>
          <w:sz w:val="24"/>
          <w:szCs w:val="24"/>
          <w:lang w:val="es-ES"/>
        </w:rPr>
        <w:tab/>
      </w:r>
      <w:r w:rsidRPr="00CB38AA">
        <w:rPr>
          <w:rFonts w:ascii="Times New Roman" w:eastAsia="Arial MT" w:hAnsi="Times New Roman" w:cs="Times New Roman"/>
          <w:sz w:val="24"/>
          <w:szCs w:val="24"/>
          <w:lang w:val="es-ES"/>
        </w:rPr>
        <w:t>12 de enero de 2026</w:t>
      </w:r>
    </w:p>
    <w:p w:rsidR="00FD2F7E" w:rsidRPr="00CB38AA" w:rsidRDefault="00FD2F7E" w:rsidP="00FD2F7E">
      <w:pPr>
        <w:widowControl w:val="0"/>
        <w:numPr>
          <w:ilvl w:val="0"/>
          <w:numId w:val="3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Quinta Sesión: </w:t>
      </w:r>
      <w:r w:rsidR="0007005E" w:rsidRPr="00CB38AA">
        <w:rPr>
          <w:rFonts w:ascii="Times New Roman" w:eastAsia="Arial MT" w:hAnsi="Times New Roman" w:cs="Times New Roman"/>
          <w:sz w:val="24"/>
          <w:szCs w:val="24"/>
          <w:lang w:val="es-ES"/>
        </w:rPr>
        <w:tab/>
      </w:r>
      <w:r w:rsidRPr="00CB38AA">
        <w:rPr>
          <w:rFonts w:ascii="Times New Roman" w:eastAsia="Arial MT" w:hAnsi="Times New Roman" w:cs="Times New Roman"/>
          <w:sz w:val="24"/>
          <w:szCs w:val="24"/>
          <w:lang w:val="es-ES"/>
        </w:rPr>
        <w:t>22 de enero de 2026</w:t>
      </w: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Durante este periodo, la Diputación Permanente ejerció plenamente sus atribuciones constitucionales y legales, garantizando la continuidad del trabajo legislativo, la atención oportuna de los asuntos públicos y la estabilidad institucional del Congreso.</w:t>
      </w: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bookmarkStart w:id="0" w:name="VISIÓN_HUMANISTA_Y_DECISIONES_CON_IMPACT"/>
      <w:bookmarkEnd w:id="0"/>
      <w:r w:rsidRPr="00CB38AA">
        <w:rPr>
          <w:rFonts w:ascii="Times New Roman" w:eastAsia="Arial" w:hAnsi="Times New Roman" w:cs="Times New Roman"/>
          <w:b/>
          <w:bCs/>
          <w:sz w:val="24"/>
          <w:szCs w:val="24"/>
          <w:lang w:val="es-ES"/>
        </w:rPr>
        <w:t>VISIÓN HUMANISTA Y DECISIONES CON IMPACTO SOCIAL</w:t>
      </w: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En acatamiento a la instrucción de la “LXII” Legislatura, se asumió la declaratoria de “2026. Año del Humanismo Mexicano, en el Estado de México”, la cual representa un reconocimiento a nuestra evolución histórica y un llamado a consolidar un modelo de gobierno centrado en la dignidad </w:t>
      </w:r>
      <w:r w:rsidRPr="00CB38AA">
        <w:rPr>
          <w:rFonts w:ascii="Times New Roman" w:eastAsia="Arial MT" w:hAnsi="Times New Roman" w:cs="Times New Roman"/>
          <w:sz w:val="24"/>
          <w:szCs w:val="24"/>
          <w:lang w:val="es-ES"/>
        </w:rPr>
        <w:lastRenderedPageBreak/>
        <w:t>humana, la justicia social, la solidaridad comunitaria y el desarrollo integral de los municipios, principios que guiaron las decisiones adoptadas durante el receso legislativo.</w:t>
      </w: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Bajo esta visión, se aprobaron autorizaciones con destino eminentemente social, entre las que destacan:</w:t>
      </w: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numPr>
          <w:ilvl w:val="0"/>
          <w:numId w:val="3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La autorización al Ayuntamiento de Nicolás Romero para desincorporar un inmueble de su patrimonio y donarlo al Instituto Mexicano del Seguro Social (IMSS), con el propósito de construir un Hospital Regional de 260 camas, fortaleciendo la infraestructura de salud en la región.</w:t>
      </w:r>
    </w:p>
    <w:p w:rsidR="00FD2F7E" w:rsidRPr="00CB38AA" w:rsidRDefault="00FD2F7E" w:rsidP="00FD2F7E">
      <w:pPr>
        <w:widowControl w:val="0"/>
        <w:numPr>
          <w:ilvl w:val="0"/>
          <w:numId w:val="3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La autorización al Ayuntamiento de Chalco, mediante dos iniciativas, para desincorporar y donar un inmueble destinado a la construcción de una Unidad Médica del IMSS.</w:t>
      </w:r>
    </w:p>
    <w:p w:rsidR="00FD2F7E" w:rsidRPr="00CB38AA" w:rsidRDefault="00FD2F7E" w:rsidP="00FD2F7E">
      <w:pPr>
        <w:widowControl w:val="0"/>
        <w:numPr>
          <w:ilvl w:val="0"/>
          <w:numId w:val="3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Desincorporar y donar otro inmueble para la edificación de un Plantel del Centro de Bachillerato Tecnológico y Agropecuario.</w:t>
      </w: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Estas decisiones reflejan una legislatura sensible, comprometida con el acceso efectivo a la salud, la educación y el bienestar de las comunidades mexiquenses.</w:t>
      </w: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bookmarkStart w:id="1" w:name="ARMONIZACIÓN_LEGISLATIVA_Y_FORTALECIMIEN"/>
      <w:bookmarkEnd w:id="1"/>
      <w:r w:rsidRPr="00CB38AA">
        <w:rPr>
          <w:rFonts w:ascii="Times New Roman" w:eastAsia="Arial" w:hAnsi="Times New Roman" w:cs="Times New Roman"/>
          <w:b/>
          <w:bCs/>
          <w:sz w:val="24"/>
          <w:szCs w:val="24"/>
          <w:lang w:val="es-ES"/>
        </w:rPr>
        <w:t>ARMONIZACIÓN LEGISLATIVA Y FORTALECIMIENTO INSTITUCIONAL</w:t>
      </w: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Las iniciativas discutidas y aprobadas por la Diputación Permanente se encuentran en plena sintonía con la visión humanista impulsada por nuestra querida Gobernadora, la Maestra Delfina Gómez Álvarez, y consolidan a este Congreso como un actor responsable, congruente y comprometido con la dignidad de la vida y la construcción de un Estado más justo.</w:t>
      </w: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En este marco:</w:t>
      </w: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Se declaró el 4 de octubre de cada año como el Día de los Seres Sintientes del Estado de México, incorporando al calendario cívico un referente que fortalece la cultura del respeto, la empatía y el trato digno, alineando esfuerzos institucionales, educativos y sociales.</w:t>
      </w: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Se declaró la técnica artesanal para la elaboración de la bebida tradicional Tecuí, del municipio de Calimaya, como patrimonio cultural inmaterial del Estado de México, reafirmando el compromiso del Congreso con la protección del conocimiento tradicional, la memoria viva de los pueblos y la identidad mexiquense.</w:t>
      </w: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tbl>
      <w:tblPr>
        <w:tblStyle w:val="Tablaconcuadrcula5"/>
        <w:tblW w:w="952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25"/>
      </w:tblGrid>
      <w:tr w:rsidR="00FD2F7E" w:rsidRPr="00CB38AA" w:rsidTr="0007005E">
        <w:trPr>
          <w:trHeight w:val="2780"/>
          <w:jc w:val="center"/>
        </w:trPr>
        <w:tc>
          <w:tcPr>
            <w:tcW w:w="9525" w:type="dxa"/>
          </w:tcPr>
          <w:p w:rsidR="00FD2F7E" w:rsidRPr="00CB38AA" w:rsidRDefault="00FD2F7E" w:rsidP="00FD2F7E">
            <w:pPr>
              <w:spacing w:line="240" w:lineRule="auto"/>
              <w:jc w:val="both"/>
              <w:rPr>
                <w:rFonts w:ascii="Times New Roman" w:eastAsia="Arial MT" w:hAnsi="Times New Roman" w:cs="Times New Roman"/>
                <w:b/>
                <w:sz w:val="24"/>
                <w:szCs w:val="24"/>
                <w:lang w:val="es-ES"/>
              </w:rPr>
            </w:pPr>
            <w:r w:rsidRPr="00CB38AA">
              <w:rPr>
                <w:rFonts w:ascii="Times New Roman" w:eastAsia="Arial MT" w:hAnsi="Times New Roman" w:cs="Times New Roman"/>
                <w:b/>
                <w:noProof/>
                <w:sz w:val="24"/>
                <w:szCs w:val="24"/>
                <w:lang w:val="es-ES"/>
              </w:rPr>
              <w:lastRenderedPageBreak/>
              <w:drawing>
                <wp:anchor distT="0" distB="0" distL="0" distR="0" simplePos="0" relativeHeight="251689984" behindDoc="0" locked="0" layoutInCell="1" allowOverlap="1" wp14:anchorId="46651C58" wp14:editId="2FFD398E">
                  <wp:simplePos x="0" y="0"/>
                  <wp:positionH relativeFrom="page">
                    <wp:posOffset>234315</wp:posOffset>
                  </wp:positionH>
                  <wp:positionV relativeFrom="page">
                    <wp:posOffset>175260</wp:posOffset>
                  </wp:positionV>
                  <wp:extent cx="5553075" cy="4343400"/>
                  <wp:effectExtent l="0" t="0" r="9525" b="0"/>
                  <wp:wrapTopAndBottom/>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9" cstate="print"/>
                          <a:stretch>
                            <a:fillRect/>
                          </a:stretch>
                        </pic:blipFill>
                        <pic:spPr>
                          <a:xfrm>
                            <a:off x="0" y="0"/>
                            <a:ext cx="5553075" cy="4343400"/>
                          </a:xfrm>
                          <a:prstGeom prst="rect">
                            <a:avLst/>
                          </a:prstGeom>
                        </pic:spPr>
                      </pic:pic>
                    </a:graphicData>
                  </a:graphic>
                  <wp14:sizeRelH relativeFrom="margin">
                    <wp14:pctWidth>0</wp14:pctWidth>
                  </wp14:sizeRelH>
                  <wp14:sizeRelV relativeFrom="margin">
                    <wp14:pctHeight>0</wp14:pctHeight>
                  </wp14:sizeRelV>
                </wp:anchor>
              </w:drawing>
            </w:r>
          </w:p>
          <w:p w:rsidR="00FD2F7E" w:rsidRPr="00CB38AA" w:rsidRDefault="00FD2F7E" w:rsidP="00FD2F7E">
            <w:pPr>
              <w:spacing w:line="240" w:lineRule="auto"/>
              <w:jc w:val="both"/>
              <w:rPr>
                <w:rFonts w:ascii="Times New Roman" w:eastAsia="Arial MT" w:hAnsi="Times New Roman" w:cs="Times New Roman"/>
                <w:b/>
                <w:sz w:val="24"/>
                <w:szCs w:val="24"/>
                <w:lang w:val="es-ES"/>
              </w:rPr>
            </w:pPr>
          </w:p>
        </w:tc>
      </w:tr>
    </w:tbl>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CB38AA">
        <w:rPr>
          <w:rFonts w:ascii="Times New Roman" w:eastAsia="Arial" w:hAnsi="Times New Roman" w:cs="Times New Roman"/>
          <w:b/>
          <w:bCs/>
          <w:sz w:val="24"/>
          <w:szCs w:val="24"/>
          <w:lang w:val="es-ES"/>
        </w:rPr>
        <w:t>PERÍODO EXTRAORDINARIO Y REFORMAS TRASCENDENTES</w:t>
      </w: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En ejercicio de nuestras atribuciones constitucionales, mediante el Decreto número 260, la Diputación Permanente convocó a la “LXII” Legislatura al desarrollo del Quinto Período Extraordinario de Sesiones, con el objetivo de discutir y aprobar dictámenes en materias trascendentes y socialmente sensibles.</w:t>
      </w: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En el Período Extraordinario, este Congreso actualizó y armonizó la Constitución Política del Estado y las leyes locales con la legislación nacional y general, particularmente en materia de:</w:t>
      </w: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numPr>
          <w:ilvl w:val="0"/>
          <w:numId w:val="3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Seguridad pública y coordinación institucional,</w:t>
      </w:r>
    </w:p>
    <w:p w:rsidR="00FD2F7E" w:rsidRPr="00CB38AA" w:rsidRDefault="00FD2F7E" w:rsidP="00FD2F7E">
      <w:pPr>
        <w:widowControl w:val="0"/>
        <w:numPr>
          <w:ilvl w:val="0"/>
          <w:numId w:val="3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Búsqueda de personas, y</w:t>
      </w:r>
    </w:p>
    <w:p w:rsidR="00FD2F7E" w:rsidRPr="00CB38AA" w:rsidRDefault="00FD2F7E" w:rsidP="00FD2F7E">
      <w:pPr>
        <w:widowControl w:val="0"/>
        <w:numPr>
          <w:ilvl w:val="0"/>
          <w:numId w:val="3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Combate a la extorsión.</w:t>
      </w: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Estas acciones legislativas contribuyen a garantizar paz, orden, justicia y armonía social en nuestra Entidad.</w:t>
      </w:r>
    </w:p>
    <w:p w:rsidR="00FD2F7E" w:rsidRPr="00CB38AA" w:rsidRDefault="00FD2F7E" w:rsidP="00FD2F7E">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bookmarkStart w:id="2" w:name="PODER_JUDICIAL_Y_CONTROL_CONSTITUCIONAL"/>
      <w:bookmarkStart w:id="3" w:name="_bookmark4"/>
      <w:bookmarkEnd w:id="2"/>
      <w:bookmarkEnd w:id="3"/>
    </w:p>
    <w:p w:rsidR="00FD2F7E" w:rsidRPr="00CB38AA" w:rsidRDefault="00FD2F7E" w:rsidP="0007005E">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CB38AA">
        <w:rPr>
          <w:rFonts w:ascii="Times New Roman" w:eastAsia="Arial" w:hAnsi="Times New Roman" w:cs="Times New Roman"/>
          <w:b/>
          <w:bCs/>
          <w:sz w:val="24"/>
          <w:szCs w:val="24"/>
          <w:lang w:val="es-ES"/>
        </w:rPr>
        <w:t>PODER JUDICIAL Y CONTROL CONSTITUCIONAL</w:t>
      </w: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En relación con el Poder Judicial, se aprobó la renuncia de una jueza en materia familiar y, </w:t>
      </w:r>
      <w:r w:rsidRPr="00CB38AA">
        <w:rPr>
          <w:rFonts w:ascii="Times New Roman" w:eastAsia="Arial MT" w:hAnsi="Times New Roman" w:cs="Times New Roman"/>
          <w:sz w:val="24"/>
          <w:szCs w:val="24"/>
          <w:lang w:val="es-ES"/>
        </w:rPr>
        <w:lastRenderedPageBreak/>
        <w:t>conforme al procedimiento de legitimación democrática, se tomó protesta a quien ocupa dicho cargo, asegurando la continuidad y atención adecuada de la justicia familiar.</w:t>
      </w: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Asimismo, con apego al artículo 148 de nuestra Constitución Política, se realizaron las siguientes declaratorias de aprobación de minutas constitucionales:</w:t>
      </w: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numPr>
          <w:ilvl w:val="0"/>
          <w:numId w:val="3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Declaratoria de Aprobación de la Minuta Proyecto de Decreto por el que se reforma el artículo 139 Bis, y se adiciona el párrafo décimo segundo al artículo 18 de la Constitución Política del Estado Libre y Soberano de México, en materia de Simplificación Administrativa de Trámites y Digitalización.</w:t>
      </w:r>
    </w:p>
    <w:p w:rsidR="00FD2F7E" w:rsidRPr="00CB38AA" w:rsidRDefault="00FD2F7E" w:rsidP="00FD2F7E">
      <w:pPr>
        <w:widowControl w:val="0"/>
        <w:numPr>
          <w:ilvl w:val="0"/>
          <w:numId w:val="3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Declaratoria de Aprobación de la Minuta Proyecto de Decreto por el que se reforma el párrafo quincuagésimo segundo del artículo 5 de la Constitución Política del Estado Libre y Soberano de México, en materia de deporte y activación física.</w:t>
      </w:r>
    </w:p>
    <w:p w:rsidR="00FD2F7E" w:rsidRPr="00CB38AA" w:rsidRDefault="00FD2F7E" w:rsidP="00FD2F7E">
      <w:pPr>
        <w:widowControl w:val="0"/>
        <w:numPr>
          <w:ilvl w:val="0"/>
          <w:numId w:val="3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Declaratoria de Aprobación de la Minuta Proyecto de Decreto por el que se reforman los artículos 5, párrafo doceavo; y 88, párrafo primero, inciso b); ambos de la Constitución Política del Estado Libre y Soberano de México, en materia de creación de juzgados especializados en emitir órdenes y medidas de protección.</w:t>
      </w:r>
    </w:p>
    <w:p w:rsidR="00FD2F7E" w:rsidRPr="00CB38AA" w:rsidRDefault="00FD2F7E" w:rsidP="00FD2F7E">
      <w:pPr>
        <w:widowControl w:val="0"/>
        <w:autoSpaceDE w:val="0"/>
        <w:autoSpaceDN w:val="0"/>
        <w:spacing w:after="0" w:line="240" w:lineRule="auto"/>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bookmarkStart w:id="4" w:name="TRABAJO_EN_COMISIONES_Y_ATENCIÓN_INSTITU"/>
      <w:bookmarkStart w:id="5" w:name="_bookmark5"/>
      <w:bookmarkEnd w:id="4"/>
      <w:bookmarkEnd w:id="5"/>
      <w:r w:rsidRPr="00CB38AA">
        <w:rPr>
          <w:rFonts w:ascii="Times New Roman" w:eastAsia="Arial" w:hAnsi="Times New Roman" w:cs="Times New Roman"/>
          <w:b/>
          <w:bCs/>
          <w:sz w:val="24"/>
          <w:szCs w:val="24"/>
          <w:lang w:val="es-ES"/>
        </w:rPr>
        <w:t>TRABAJO EN COMISIONES Y ATENCIÓN INSTITUCIONAL</w:t>
      </w: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Durante el receso, diversas Comisiones Legislativas llevaron a cabo reuniones de estudio y dictaminación, particularmente las de:</w:t>
      </w: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numPr>
          <w:ilvl w:val="0"/>
          <w:numId w:val="33"/>
        </w:numPr>
        <w:autoSpaceDE w:val="0"/>
        <w:autoSpaceDN w:val="0"/>
        <w:spacing w:after="0" w:line="240" w:lineRule="auto"/>
        <w:ind w:left="0" w:firstLine="0"/>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Procuración y Administración de Justicia.</w:t>
      </w:r>
    </w:p>
    <w:p w:rsidR="00FD2F7E" w:rsidRPr="00CB38AA" w:rsidRDefault="00FD2F7E" w:rsidP="00FD2F7E">
      <w:pPr>
        <w:widowControl w:val="0"/>
        <w:numPr>
          <w:ilvl w:val="0"/>
          <w:numId w:val="3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Para las Declaratorias de Alerta de Violencia de Género contra las mujeres por Feminicidio y Desaparición.</w:t>
      </w:r>
    </w:p>
    <w:p w:rsidR="00FD2F7E" w:rsidRPr="00CB38AA" w:rsidRDefault="00FD2F7E" w:rsidP="00FD2F7E">
      <w:pPr>
        <w:widowControl w:val="0"/>
        <w:numPr>
          <w:ilvl w:val="0"/>
          <w:numId w:val="33"/>
        </w:numPr>
        <w:autoSpaceDE w:val="0"/>
        <w:autoSpaceDN w:val="0"/>
        <w:spacing w:after="0" w:line="240" w:lineRule="auto"/>
        <w:ind w:left="0" w:firstLine="0"/>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Seguridad Pública y Tránsito.</w:t>
      </w:r>
    </w:p>
    <w:p w:rsidR="00FD2F7E" w:rsidRPr="00CB38AA" w:rsidRDefault="00FD2F7E" w:rsidP="00FD2F7E">
      <w:pPr>
        <w:widowControl w:val="0"/>
        <w:numPr>
          <w:ilvl w:val="0"/>
          <w:numId w:val="33"/>
        </w:numPr>
        <w:autoSpaceDE w:val="0"/>
        <w:autoSpaceDN w:val="0"/>
        <w:spacing w:after="0" w:line="240" w:lineRule="auto"/>
        <w:ind w:left="0" w:firstLine="0"/>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Gobernación y Puntos Constitucionales.</w:t>
      </w:r>
    </w:p>
    <w:p w:rsidR="00FD2F7E" w:rsidRPr="00CB38AA" w:rsidRDefault="00FD2F7E" w:rsidP="00FD2F7E">
      <w:pPr>
        <w:widowControl w:val="0"/>
        <w:numPr>
          <w:ilvl w:val="0"/>
          <w:numId w:val="33"/>
        </w:numPr>
        <w:autoSpaceDE w:val="0"/>
        <w:autoSpaceDN w:val="0"/>
        <w:spacing w:after="0" w:line="240" w:lineRule="auto"/>
        <w:ind w:left="0" w:firstLine="0"/>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Límites Territoriales del Estado de México y sus Municipios.</w:t>
      </w: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De estos trabajos derivaron los dictámenes que sustentaron el Período Extraordinario, así como la resolución de un diferendo limítrofe entre municipios del Estado.</w:t>
      </w: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bookmarkStart w:id="6" w:name="CONTROL,_FISCALIZACIÓN_Y_DEFENSA_JURÍDIC"/>
      <w:bookmarkStart w:id="7" w:name="_bookmark6"/>
      <w:bookmarkEnd w:id="6"/>
      <w:bookmarkEnd w:id="7"/>
      <w:r w:rsidRPr="00CB38AA">
        <w:rPr>
          <w:rFonts w:ascii="Times New Roman" w:eastAsia="Arial" w:hAnsi="Times New Roman" w:cs="Times New Roman"/>
          <w:b/>
          <w:bCs/>
          <w:sz w:val="24"/>
          <w:szCs w:val="24"/>
          <w:lang w:val="es-ES"/>
        </w:rPr>
        <w:t>CONTROL, FISCALIZACIÓN Y DEFENSA JURÍDICA</w:t>
      </w: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La Diputación Permanente recibió los Informes Anuales remitidos por:</w:t>
      </w: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numPr>
          <w:ilvl w:val="0"/>
          <w:numId w:val="33"/>
        </w:numPr>
        <w:autoSpaceDE w:val="0"/>
        <w:autoSpaceDN w:val="0"/>
        <w:spacing w:after="0" w:line="240" w:lineRule="auto"/>
        <w:ind w:left="0" w:firstLine="0"/>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El Contralor del Poder Legislativo.</w:t>
      </w:r>
    </w:p>
    <w:p w:rsidR="00FD2F7E" w:rsidRPr="00CB38AA" w:rsidRDefault="00FD2F7E" w:rsidP="00FD2F7E">
      <w:pPr>
        <w:widowControl w:val="0"/>
        <w:numPr>
          <w:ilvl w:val="0"/>
          <w:numId w:val="33"/>
        </w:numPr>
        <w:autoSpaceDE w:val="0"/>
        <w:autoSpaceDN w:val="0"/>
        <w:spacing w:after="0" w:line="240" w:lineRule="auto"/>
        <w:ind w:left="0" w:firstLine="0"/>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La Presidenta de la Junta de Asistencia Privada del Estado de México.</w:t>
      </w:r>
    </w:p>
    <w:p w:rsidR="00FD2F7E" w:rsidRPr="00CB38AA" w:rsidRDefault="00FD2F7E" w:rsidP="00FD2F7E">
      <w:pPr>
        <w:widowControl w:val="0"/>
        <w:numPr>
          <w:ilvl w:val="0"/>
          <w:numId w:val="3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El Comisionado Presidente del Instituto de Transparencia, Acceso a la Información Pública y Protección de Datos Personales del Estado de México y Municipios.</w:t>
      </w:r>
    </w:p>
    <w:p w:rsidR="00FD2F7E" w:rsidRPr="00CB38AA" w:rsidRDefault="00FD2F7E" w:rsidP="00FD2F7E">
      <w:pPr>
        <w:widowControl w:val="0"/>
        <w:numPr>
          <w:ilvl w:val="0"/>
          <w:numId w:val="3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La Contralora General del Instituto Electoral del Estado de México.</w:t>
      </w:r>
    </w:p>
    <w:p w:rsidR="00FD2F7E" w:rsidRPr="00CB38AA" w:rsidRDefault="00FD2F7E" w:rsidP="00FD2F7E">
      <w:pPr>
        <w:widowControl w:val="0"/>
        <w:numPr>
          <w:ilvl w:val="0"/>
          <w:numId w:val="3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El Titular del Órgano Interno de Control del Instituto de Transparencia, Acceso a la Información Pública y Protección de Datos Personales del Estado de México y Municipios.</w:t>
      </w:r>
    </w:p>
    <w:p w:rsidR="00FD2F7E" w:rsidRPr="00CB38AA" w:rsidRDefault="00FD2F7E" w:rsidP="00FD2F7E">
      <w:pPr>
        <w:widowControl w:val="0"/>
        <w:numPr>
          <w:ilvl w:val="0"/>
          <w:numId w:val="3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El Titular del Órgano Interno de Control de la Fiscalía General de Justicia del Estado de México.</w:t>
      </w:r>
    </w:p>
    <w:p w:rsidR="00FD2F7E" w:rsidRPr="00CB38AA" w:rsidRDefault="00FD2F7E" w:rsidP="00FD2F7E">
      <w:pPr>
        <w:widowControl w:val="0"/>
        <w:numPr>
          <w:ilvl w:val="0"/>
          <w:numId w:val="3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El Titular del Órgano Interno de Control del Tribunal de Justicia Administrativa del Estado de México.</w:t>
      </w:r>
    </w:p>
    <w:p w:rsidR="00FD2F7E" w:rsidRPr="00CB38AA" w:rsidRDefault="00FD2F7E" w:rsidP="00FD2F7E">
      <w:pPr>
        <w:widowControl w:val="0"/>
        <w:numPr>
          <w:ilvl w:val="0"/>
          <w:numId w:val="3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lastRenderedPageBreak/>
        <w:t>El Titular del Órgano Interno de Control de la Comisión de Derechos Humanos del Estado de México.</w:t>
      </w:r>
    </w:p>
    <w:p w:rsidR="00FD2F7E" w:rsidRPr="00CB38AA" w:rsidRDefault="00FD2F7E" w:rsidP="00FD2F7E">
      <w:pPr>
        <w:widowControl w:val="0"/>
        <w:numPr>
          <w:ilvl w:val="0"/>
          <w:numId w:val="3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La Encargada del Despacho de la Contraloría General del Tribunal Electoral del Estado de México.</w:t>
      </w: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De conformidad con el artículo 55 fracción I de la Ley Orgánica, la Presidencia de la Diputación Permanente representó a la Legislatura ante autoridades jurisdiccionales, participando en la defensa de sus intereses jurídicos en:</w:t>
      </w: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numPr>
          <w:ilvl w:val="0"/>
          <w:numId w:val="3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117 Juicios de Amparo</w:t>
      </w:r>
    </w:p>
    <w:p w:rsidR="00FD2F7E" w:rsidRPr="00CB38AA" w:rsidRDefault="00FD2F7E" w:rsidP="00FD2F7E">
      <w:pPr>
        <w:widowControl w:val="0"/>
        <w:numPr>
          <w:ilvl w:val="0"/>
          <w:numId w:val="3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3 Controversias Constitucionales</w:t>
      </w:r>
    </w:p>
    <w:p w:rsidR="00FD2F7E" w:rsidRPr="00CB38AA" w:rsidRDefault="00FD2F7E" w:rsidP="00FD2F7E">
      <w:pPr>
        <w:widowControl w:val="0"/>
        <w:numPr>
          <w:ilvl w:val="0"/>
          <w:numId w:val="3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2 Acciones de Inconstitucionalidad</w:t>
      </w:r>
    </w:p>
    <w:p w:rsidR="00FD2F7E" w:rsidRPr="00CB38AA" w:rsidRDefault="00FD2F7E" w:rsidP="00FD2F7E">
      <w:pPr>
        <w:widowControl w:val="0"/>
        <w:numPr>
          <w:ilvl w:val="0"/>
          <w:numId w:val="33"/>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2 Juicios Electorales</w:t>
      </w: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Asimismo, se despachó oportunamente la correspondencia institucional, recibiéndose y turnándose 2,084 documentos, en cumplimiento del artículo 55 fracción VI de nuestra Ley Orgánica.</w:t>
      </w: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La Diputación Permanente se condujo como un espacio plural, democrático y de diálogo, en el que se favoreció el respeto, la participación y la construcción de consensos entre los distintos Grupos Parlamentarios, priorizando siempre el interés general, el bienestar social y el fortalecimiento de las instituciones mexiquenses.</w:t>
      </w: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Quienes integramos la Diputación Permanente: Dip. Martha Azucena Camacho Reynoso; Dip. Miriam Silva Mata; Dip. Sofía Martínez Molina; Dip. Krishna Karina Romero Velázquez; Dip. Maricela Beltrán Sánchez; Dip. Edmundo Luis Valdeña Bastida; Dip. Jennifer Nathalie González López; Dip. Zaira Cedillo Silva; Dip. Esteban Juárez Hernández; Dip. Araceli Casasola Salazar; Dip. Itzel Guadalupe Pérez Correa; Dip. María del Consuelo Estrada Plata; Dip. Gerardo Pliego Santana; y Dip. Paola Jiménez Hernández, agradecemos a quienes forman la “LXII” Legislatura, la oportunidad que nos dieron para servir al pueblo del Estado de México, en esta encomienda.</w:t>
      </w:r>
    </w:p>
    <w:p w:rsidR="00FD2F7E" w:rsidRPr="00CB38AA" w:rsidRDefault="00FD2F7E" w:rsidP="00FD2F7E">
      <w:pPr>
        <w:widowControl w:val="0"/>
        <w:autoSpaceDE w:val="0"/>
        <w:autoSpaceDN w:val="0"/>
        <w:spacing w:after="0" w:line="240" w:lineRule="auto"/>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center"/>
        <w:outlineLvl w:val="1"/>
        <w:rPr>
          <w:rFonts w:ascii="Times New Roman" w:eastAsia="Arial" w:hAnsi="Times New Roman" w:cs="Times New Roman"/>
          <w:b/>
          <w:bCs/>
          <w:sz w:val="24"/>
          <w:szCs w:val="24"/>
          <w:lang w:val="es-ES"/>
        </w:rPr>
      </w:pPr>
      <w:r w:rsidRPr="00CB38AA">
        <w:rPr>
          <w:rFonts w:ascii="Times New Roman" w:eastAsia="Arial" w:hAnsi="Times New Roman" w:cs="Times New Roman"/>
          <w:b/>
          <w:bCs/>
          <w:sz w:val="24"/>
          <w:szCs w:val="24"/>
          <w:lang w:val="es-ES"/>
        </w:rPr>
        <w:t>A T E N T A M E N T E</w:t>
      </w:r>
    </w:p>
    <w:p w:rsidR="00FD2F7E" w:rsidRPr="00CB38AA" w:rsidRDefault="00FD2F7E" w:rsidP="00FD2F7E">
      <w:pPr>
        <w:widowControl w:val="0"/>
        <w:autoSpaceDE w:val="0"/>
        <w:autoSpaceDN w:val="0"/>
        <w:spacing w:after="0" w:line="240" w:lineRule="auto"/>
        <w:jc w:val="center"/>
        <w:outlineLvl w:val="1"/>
        <w:rPr>
          <w:rFonts w:ascii="Times New Roman" w:eastAsia="Arial" w:hAnsi="Times New Roman" w:cs="Times New Roman"/>
          <w:b/>
          <w:bCs/>
          <w:sz w:val="24"/>
          <w:szCs w:val="24"/>
          <w:lang w:val="es-ES"/>
        </w:rPr>
      </w:pPr>
      <w:r w:rsidRPr="00CB38AA">
        <w:rPr>
          <w:rFonts w:ascii="Times New Roman" w:eastAsia="Arial" w:hAnsi="Times New Roman" w:cs="Times New Roman"/>
          <w:b/>
          <w:bCs/>
          <w:sz w:val="24"/>
          <w:szCs w:val="24"/>
          <w:lang w:val="es-ES"/>
        </w:rPr>
        <w:t>PRESIDENTA DE LA DIPUTACIÓN PERMANENTE DE LA H. “LXII” LEGISLATURA DEL ESTADO DE MÉXICO</w:t>
      </w:r>
    </w:p>
    <w:p w:rsidR="00FD2F7E" w:rsidRPr="00CB38AA" w:rsidRDefault="00FD2F7E" w:rsidP="00FD2F7E">
      <w:pPr>
        <w:widowControl w:val="0"/>
        <w:autoSpaceDE w:val="0"/>
        <w:autoSpaceDN w:val="0"/>
        <w:spacing w:after="0" w:line="240" w:lineRule="auto"/>
        <w:jc w:val="center"/>
        <w:outlineLvl w:val="1"/>
        <w:rPr>
          <w:rFonts w:ascii="Times New Roman" w:eastAsia="Arial" w:hAnsi="Times New Roman" w:cs="Times New Roman"/>
          <w:b/>
          <w:bCs/>
          <w:sz w:val="24"/>
          <w:szCs w:val="24"/>
          <w:lang w:val="es-ES"/>
        </w:rPr>
      </w:pPr>
      <w:r w:rsidRPr="00CB38AA">
        <w:rPr>
          <w:rFonts w:ascii="Times New Roman" w:eastAsia="Arial" w:hAnsi="Times New Roman" w:cs="Times New Roman"/>
          <w:b/>
          <w:bCs/>
          <w:sz w:val="24"/>
          <w:szCs w:val="24"/>
          <w:lang w:val="es-ES"/>
        </w:rPr>
        <w:t>DIP. MARTHA AZUCENA CAMACHO REYNOSO</w:t>
      </w:r>
    </w:p>
    <w:p w:rsidR="00FD2F7E" w:rsidRPr="00CB38AA" w:rsidRDefault="00FD2F7E" w:rsidP="00FD2F7E">
      <w:pPr>
        <w:widowControl w:val="0"/>
        <w:autoSpaceDE w:val="0"/>
        <w:autoSpaceDN w:val="0"/>
        <w:spacing w:after="0" w:line="240" w:lineRule="auto"/>
        <w:jc w:val="center"/>
        <w:outlineLvl w:val="1"/>
        <w:rPr>
          <w:rFonts w:ascii="Times New Roman" w:eastAsia="Arial" w:hAnsi="Times New Roman" w:cs="Times New Roman"/>
          <w:b/>
          <w:bCs/>
          <w:sz w:val="24"/>
          <w:szCs w:val="24"/>
          <w:lang w:val="es-ES"/>
        </w:rPr>
      </w:pPr>
    </w:p>
    <w:p w:rsidR="00FD2F7E" w:rsidRPr="00CB38AA" w:rsidRDefault="00FD2F7E" w:rsidP="00FD2F7E">
      <w:pPr>
        <w:widowControl w:val="0"/>
        <w:autoSpaceDE w:val="0"/>
        <w:autoSpaceDN w:val="0"/>
        <w:spacing w:after="0" w:line="240" w:lineRule="auto"/>
        <w:jc w:val="center"/>
        <w:outlineLvl w:val="1"/>
        <w:rPr>
          <w:rFonts w:ascii="Times New Roman" w:eastAsia="Arial" w:hAnsi="Times New Roman" w:cs="Times New Roman"/>
          <w:b/>
          <w:bCs/>
          <w:sz w:val="24"/>
          <w:szCs w:val="24"/>
          <w:lang w:val="es-ES"/>
        </w:rPr>
      </w:pPr>
    </w:p>
    <w:tbl>
      <w:tblPr>
        <w:tblStyle w:val="Tablaconcuadrcula5"/>
        <w:tblW w:w="961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12"/>
      </w:tblGrid>
      <w:tr w:rsidR="00FD2F7E" w:rsidRPr="00CB38AA" w:rsidTr="00C25484">
        <w:trPr>
          <w:trHeight w:val="7817"/>
          <w:jc w:val="center"/>
        </w:trPr>
        <w:tc>
          <w:tcPr>
            <w:tcW w:w="9612" w:type="dxa"/>
          </w:tcPr>
          <w:p w:rsidR="00FD2F7E" w:rsidRPr="00CB38AA" w:rsidRDefault="00FD2F7E" w:rsidP="00FD2F7E">
            <w:pPr>
              <w:spacing w:line="240" w:lineRule="auto"/>
              <w:rPr>
                <w:rFonts w:ascii="Times New Roman" w:eastAsia="Arial MT" w:hAnsi="Times New Roman" w:cs="Times New Roman"/>
                <w:b/>
                <w:sz w:val="24"/>
                <w:szCs w:val="24"/>
                <w:lang w:val="es-ES"/>
              </w:rPr>
            </w:pPr>
            <w:r w:rsidRPr="00CB38AA">
              <w:rPr>
                <w:rFonts w:ascii="Times New Roman" w:eastAsia="Arial MT" w:hAnsi="Times New Roman" w:cs="Times New Roman"/>
                <w:noProof/>
                <w:sz w:val="24"/>
                <w:szCs w:val="24"/>
                <w:lang w:val="es-ES"/>
              </w:rPr>
              <w:lastRenderedPageBreak/>
              <w:drawing>
                <wp:anchor distT="0" distB="0" distL="0" distR="0" simplePos="0" relativeHeight="251691008" behindDoc="0" locked="0" layoutInCell="1" allowOverlap="1" wp14:anchorId="2095D168" wp14:editId="2E8F4DF0">
                  <wp:simplePos x="0" y="0"/>
                  <wp:positionH relativeFrom="page">
                    <wp:posOffset>166370</wp:posOffset>
                  </wp:positionH>
                  <wp:positionV relativeFrom="page">
                    <wp:posOffset>203835</wp:posOffset>
                  </wp:positionV>
                  <wp:extent cx="5657850" cy="4533900"/>
                  <wp:effectExtent l="0" t="0" r="0" b="0"/>
                  <wp:wrapTopAndBottom/>
                  <wp:docPr id="4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0" cstate="print"/>
                          <a:stretch>
                            <a:fillRect/>
                          </a:stretch>
                        </pic:blipFill>
                        <pic:spPr>
                          <a:xfrm>
                            <a:off x="0" y="0"/>
                            <a:ext cx="5657850" cy="4533900"/>
                          </a:xfrm>
                          <a:prstGeom prst="rect">
                            <a:avLst/>
                          </a:prstGeom>
                        </pic:spPr>
                      </pic:pic>
                    </a:graphicData>
                  </a:graphic>
                  <wp14:sizeRelH relativeFrom="margin">
                    <wp14:pctWidth>0</wp14:pctWidth>
                  </wp14:sizeRelH>
                  <wp14:sizeRelV relativeFrom="margin">
                    <wp14:pctHeight>0</wp14:pctHeight>
                  </wp14:sizeRelV>
                </wp:anchor>
              </w:drawing>
            </w:r>
          </w:p>
        </w:tc>
      </w:tr>
    </w:tbl>
    <w:p w:rsidR="00FD2F7E" w:rsidRPr="00CB38AA" w:rsidRDefault="00FD2F7E" w:rsidP="008B6839">
      <w:pPr>
        <w:widowControl w:val="0"/>
        <w:autoSpaceDE w:val="0"/>
        <w:autoSpaceDN w:val="0"/>
        <w:spacing w:after="0" w:line="240" w:lineRule="auto"/>
        <w:jc w:val="both"/>
        <w:rPr>
          <w:rFonts w:ascii="Times New Roman" w:eastAsia="Arial MT" w:hAnsi="Times New Roman" w:cs="Times New Roman"/>
          <w:b/>
          <w:sz w:val="24"/>
          <w:szCs w:val="24"/>
          <w:lang w:val="es-ES"/>
        </w:rPr>
      </w:pPr>
    </w:p>
    <w:p w:rsidR="00FD2F7E" w:rsidRPr="00CB38AA" w:rsidRDefault="00FD2F7E" w:rsidP="008B6839">
      <w:pPr>
        <w:widowControl w:val="0"/>
        <w:autoSpaceDE w:val="0"/>
        <w:autoSpaceDN w:val="0"/>
        <w:spacing w:after="0" w:line="240" w:lineRule="auto"/>
        <w:jc w:val="both"/>
        <w:rPr>
          <w:rFonts w:ascii="Times New Roman" w:eastAsia="Arial MT" w:hAnsi="Times New Roman" w:cs="Times New Roman"/>
          <w:b/>
          <w:sz w:val="24"/>
          <w:szCs w:val="24"/>
          <w:lang w:val="es-ES"/>
        </w:rPr>
      </w:pPr>
    </w:p>
    <w:p w:rsidR="00FD2F7E" w:rsidRPr="00CB38AA" w:rsidRDefault="00FD2F7E" w:rsidP="008B6839">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CB38AA">
        <w:rPr>
          <w:rFonts w:ascii="Times New Roman" w:eastAsia="Arial" w:hAnsi="Times New Roman" w:cs="Times New Roman"/>
          <w:b/>
          <w:bCs/>
          <w:sz w:val="24"/>
          <w:szCs w:val="24"/>
          <w:lang w:val="es-ES"/>
        </w:rPr>
        <w:t>SESIONES CELEBRADAS</w:t>
      </w:r>
    </w:p>
    <w:p w:rsidR="00FD2F7E" w:rsidRPr="00CB38AA" w:rsidRDefault="00FD2F7E" w:rsidP="008B6839">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8B6839">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Primera Sesión</w:t>
      </w:r>
      <w:r w:rsidRPr="00CB38AA">
        <w:rPr>
          <w:rFonts w:ascii="Times New Roman" w:eastAsia="Arial MT" w:hAnsi="Times New Roman" w:cs="Times New Roman"/>
          <w:sz w:val="24"/>
          <w:szCs w:val="24"/>
          <w:lang w:val="es-ES"/>
        </w:rPr>
        <w:tab/>
        <w:t>10 de diciembre de 2025. (Instalación)</w:t>
      </w:r>
    </w:p>
    <w:p w:rsidR="00FD2F7E" w:rsidRPr="00CB38AA" w:rsidRDefault="00FD2F7E" w:rsidP="008B6839">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Segunda Sesión</w:t>
      </w:r>
      <w:r w:rsidRPr="00CB38AA">
        <w:rPr>
          <w:rFonts w:ascii="Times New Roman" w:eastAsia="Arial MT" w:hAnsi="Times New Roman" w:cs="Times New Roman"/>
          <w:sz w:val="24"/>
          <w:szCs w:val="24"/>
          <w:lang w:val="es-ES"/>
        </w:rPr>
        <w:tab/>
        <w:t>10 de diciembre de 2025.</w:t>
      </w:r>
    </w:p>
    <w:p w:rsidR="00FD2F7E" w:rsidRPr="00CB38AA" w:rsidRDefault="00FD2F7E" w:rsidP="008B6839">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Tercera Sesión</w:t>
      </w:r>
      <w:r w:rsidRPr="00CB38AA">
        <w:rPr>
          <w:rFonts w:ascii="Times New Roman" w:eastAsia="Arial MT" w:hAnsi="Times New Roman" w:cs="Times New Roman"/>
          <w:sz w:val="24"/>
          <w:szCs w:val="24"/>
          <w:lang w:val="es-ES"/>
        </w:rPr>
        <w:tab/>
        <w:t>16 de diciembre de 2025.</w:t>
      </w:r>
    </w:p>
    <w:p w:rsidR="00FD2F7E" w:rsidRPr="00CB38AA" w:rsidRDefault="00FD2F7E" w:rsidP="008B6839">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Cuarta Sesión</w:t>
      </w:r>
      <w:r w:rsidRPr="00CB38AA">
        <w:rPr>
          <w:rFonts w:ascii="Times New Roman" w:eastAsia="Arial MT" w:hAnsi="Times New Roman" w:cs="Times New Roman"/>
          <w:sz w:val="24"/>
          <w:szCs w:val="24"/>
          <w:lang w:val="es-ES"/>
        </w:rPr>
        <w:tab/>
      </w:r>
      <w:r w:rsidRPr="00CB38AA">
        <w:rPr>
          <w:rFonts w:ascii="Times New Roman" w:eastAsia="Arial MT" w:hAnsi="Times New Roman" w:cs="Times New Roman"/>
          <w:sz w:val="24"/>
          <w:szCs w:val="24"/>
          <w:lang w:val="es-ES"/>
        </w:rPr>
        <w:tab/>
        <w:t>12 de enero de 2026.</w:t>
      </w:r>
    </w:p>
    <w:p w:rsidR="00FD2F7E" w:rsidRPr="00CB38AA" w:rsidRDefault="00FD2F7E" w:rsidP="008B6839">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Quinta Sesión</w:t>
      </w:r>
      <w:r w:rsidRPr="00CB38AA">
        <w:rPr>
          <w:rFonts w:ascii="Times New Roman" w:eastAsia="Arial MT" w:hAnsi="Times New Roman" w:cs="Times New Roman"/>
          <w:sz w:val="24"/>
          <w:szCs w:val="24"/>
          <w:lang w:val="es-ES"/>
        </w:rPr>
        <w:tab/>
      </w:r>
      <w:r w:rsidRPr="00CB38AA">
        <w:rPr>
          <w:rFonts w:ascii="Times New Roman" w:eastAsia="Arial MT" w:hAnsi="Times New Roman" w:cs="Times New Roman"/>
          <w:sz w:val="24"/>
          <w:szCs w:val="24"/>
          <w:lang w:val="es-ES"/>
        </w:rPr>
        <w:tab/>
        <w:t>22 de enero de 2026.</w:t>
      </w:r>
    </w:p>
    <w:p w:rsidR="00FD2F7E" w:rsidRPr="00CB38AA" w:rsidRDefault="00FD2F7E" w:rsidP="008B6839">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8B6839">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b/>
          <w:sz w:val="24"/>
          <w:szCs w:val="24"/>
          <w:shd w:val="clear" w:color="auto" w:fill="D9D9D9"/>
          <w:lang w:val="es-ES"/>
        </w:rPr>
        <w:t>Primera Sesión</w:t>
      </w:r>
      <w:r w:rsidRPr="00CB38AA">
        <w:rPr>
          <w:rFonts w:ascii="Times New Roman" w:eastAsia="Arial MT" w:hAnsi="Times New Roman" w:cs="Times New Roman"/>
          <w:b/>
          <w:sz w:val="24"/>
          <w:szCs w:val="24"/>
          <w:shd w:val="clear" w:color="auto" w:fill="D9D9D9"/>
          <w:lang w:val="es-ES"/>
        </w:rPr>
        <w:tab/>
      </w:r>
      <w:r w:rsidRPr="00CB38AA">
        <w:rPr>
          <w:rFonts w:ascii="Times New Roman" w:eastAsia="Arial MT" w:hAnsi="Times New Roman" w:cs="Times New Roman"/>
          <w:sz w:val="24"/>
          <w:szCs w:val="24"/>
          <w:shd w:val="clear" w:color="auto" w:fill="D9D9D9"/>
          <w:lang w:val="es-ES"/>
        </w:rPr>
        <w:t>10 de diciembre de 2025. (Instalación)</w:t>
      </w:r>
      <w:r w:rsidRPr="00CB38AA">
        <w:rPr>
          <w:rFonts w:ascii="Times New Roman" w:eastAsia="Arial MT" w:hAnsi="Times New Roman" w:cs="Times New Roman"/>
          <w:sz w:val="24"/>
          <w:szCs w:val="24"/>
          <w:shd w:val="clear" w:color="auto" w:fill="D9D9D9"/>
          <w:lang w:val="es-ES"/>
        </w:rPr>
        <w:tab/>
      </w:r>
    </w:p>
    <w:p w:rsidR="00FD2F7E" w:rsidRPr="00CB38AA" w:rsidRDefault="00FD2F7E" w:rsidP="008B6839">
      <w:pPr>
        <w:widowControl w:val="0"/>
        <w:autoSpaceDE w:val="0"/>
        <w:autoSpaceDN w:val="0"/>
        <w:spacing w:after="0" w:line="240" w:lineRule="auto"/>
        <w:jc w:val="both"/>
        <w:outlineLvl w:val="2"/>
        <w:rPr>
          <w:rFonts w:ascii="Times New Roman" w:eastAsia="Arial" w:hAnsi="Times New Roman" w:cs="Times New Roman"/>
          <w:b/>
          <w:bCs/>
          <w:sz w:val="24"/>
          <w:szCs w:val="24"/>
          <w:lang w:val="es-ES"/>
        </w:rPr>
      </w:pPr>
      <w:r w:rsidRPr="00CB38AA">
        <w:rPr>
          <w:rFonts w:ascii="Times New Roman" w:eastAsia="Arial" w:hAnsi="Times New Roman" w:cs="Times New Roman"/>
          <w:b/>
          <w:bCs/>
          <w:sz w:val="24"/>
          <w:szCs w:val="24"/>
          <w:lang w:val="es-ES"/>
        </w:rPr>
        <w:t>Desarrollo.</w:t>
      </w:r>
    </w:p>
    <w:p w:rsidR="00FD2F7E" w:rsidRPr="00CB38AA" w:rsidRDefault="00FD2F7E" w:rsidP="008B6839">
      <w:pPr>
        <w:widowControl w:val="0"/>
        <w:numPr>
          <w:ilvl w:val="0"/>
          <w:numId w:val="32"/>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Declaratoria de Instalación de la Diputación Permanente de la “LXII” Legislatura del Congreso del Estado Libre y Soberano de México, por la Diputada Martha Azucena Camacho Reynoso, Presidenta de ese órgano legislativo. (Inicio de funciones)</w:t>
      </w:r>
    </w:p>
    <w:p w:rsidR="00FD2F7E" w:rsidRPr="00CB38AA" w:rsidRDefault="00FD2F7E" w:rsidP="008B6839">
      <w:pPr>
        <w:widowControl w:val="0"/>
        <w:numPr>
          <w:ilvl w:val="0"/>
          <w:numId w:val="32"/>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Clausura de la sesión.</w:t>
      </w:r>
    </w:p>
    <w:p w:rsidR="00FD2F7E" w:rsidRPr="00CB38AA" w:rsidRDefault="00FD2F7E" w:rsidP="008B6839">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8B6839">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b/>
          <w:sz w:val="24"/>
          <w:szCs w:val="24"/>
          <w:shd w:val="clear" w:color="auto" w:fill="D9D9D9"/>
          <w:lang w:val="es-ES"/>
        </w:rPr>
        <w:t>Segunda Sesión</w:t>
      </w:r>
      <w:r w:rsidRPr="00CB38AA">
        <w:rPr>
          <w:rFonts w:ascii="Times New Roman" w:eastAsia="Arial MT" w:hAnsi="Times New Roman" w:cs="Times New Roman"/>
          <w:b/>
          <w:sz w:val="24"/>
          <w:szCs w:val="24"/>
          <w:shd w:val="clear" w:color="auto" w:fill="D9D9D9"/>
          <w:lang w:val="es-ES"/>
        </w:rPr>
        <w:tab/>
      </w:r>
      <w:r w:rsidRPr="00CB38AA">
        <w:rPr>
          <w:rFonts w:ascii="Times New Roman" w:eastAsia="Arial MT" w:hAnsi="Times New Roman" w:cs="Times New Roman"/>
          <w:sz w:val="24"/>
          <w:szCs w:val="24"/>
          <w:shd w:val="clear" w:color="auto" w:fill="D9D9D9"/>
          <w:lang w:val="es-ES"/>
        </w:rPr>
        <w:t>10 de diciembre de 2025.</w:t>
      </w:r>
      <w:r w:rsidRPr="00CB38AA">
        <w:rPr>
          <w:rFonts w:ascii="Times New Roman" w:eastAsia="Arial MT" w:hAnsi="Times New Roman" w:cs="Times New Roman"/>
          <w:sz w:val="24"/>
          <w:szCs w:val="24"/>
          <w:shd w:val="clear" w:color="auto" w:fill="D9D9D9"/>
          <w:lang w:val="es-ES"/>
        </w:rPr>
        <w:tab/>
      </w:r>
    </w:p>
    <w:p w:rsidR="00FD2F7E" w:rsidRPr="00CB38AA" w:rsidRDefault="00FD2F7E" w:rsidP="008B6839">
      <w:pPr>
        <w:widowControl w:val="0"/>
        <w:autoSpaceDE w:val="0"/>
        <w:autoSpaceDN w:val="0"/>
        <w:spacing w:after="0" w:line="240" w:lineRule="auto"/>
        <w:jc w:val="both"/>
        <w:outlineLvl w:val="2"/>
        <w:rPr>
          <w:rFonts w:ascii="Times New Roman" w:eastAsia="Arial" w:hAnsi="Times New Roman" w:cs="Times New Roman"/>
          <w:b/>
          <w:bCs/>
          <w:sz w:val="24"/>
          <w:szCs w:val="24"/>
          <w:lang w:val="es-ES"/>
        </w:rPr>
      </w:pPr>
      <w:r w:rsidRPr="00CB38AA">
        <w:rPr>
          <w:rFonts w:ascii="Times New Roman" w:eastAsia="Arial" w:hAnsi="Times New Roman" w:cs="Times New Roman"/>
          <w:b/>
          <w:bCs/>
          <w:sz w:val="24"/>
          <w:szCs w:val="24"/>
          <w:lang w:val="es-ES"/>
        </w:rPr>
        <w:t>Desarrollo.</w:t>
      </w:r>
    </w:p>
    <w:p w:rsidR="00FD2F7E" w:rsidRPr="00CB38AA" w:rsidRDefault="00FD2F7E" w:rsidP="008B6839">
      <w:pPr>
        <w:widowControl w:val="0"/>
        <w:numPr>
          <w:ilvl w:val="0"/>
          <w:numId w:val="31"/>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Acta de la sesión anterior. (Aprobada)</w:t>
      </w:r>
    </w:p>
    <w:p w:rsidR="00FD2F7E" w:rsidRPr="00CB38AA" w:rsidRDefault="00FD2F7E" w:rsidP="008B6839">
      <w:pPr>
        <w:widowControl w:val="0"/>
        <w:numPr>
          <w:ilvl w:val="0"/>
          <w:numId w:val="31"/>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lastRenderedPageBreak/>
        <w:t>Lectura y acuerdo conducente de la Iniciativa de Decreto por el que se declara “2026. Año del Humanismo Mexicano en el Estado de México”, presentada por el Diputado Ángel Adriel Negrete Avonce, en nombre del Grupo Parlamentario del Partido morena. (De urgente y obvia resolución). (Aprobada)</w:t>
      </w:r>
    </w:p>
    <w:p w:rsidR="00FD2F7E" w:rsidRPr="00CB38AA" w:rsidRDefault="00FD2F7E" w:rsidP="008B6839">
      <w:pPr>
        <w:widowControl w:val="0"/>
        <w:numPr>
          <w:ilvl w:val="0"/>
          <w:numId w:val="31"/>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Informe Anual de actividades que remite la Licenciada María del Carmen Carús González, Presidenta de la Junta de Asistencia Privada del Estado de México. (Recepción y acuerdo de cumplimiento de Ley)</w:t>
      </w:r>
    </w:p>
    <w:p w:rsidR="00FD2F7E" w:rsidRPr="00CB38AA" w:rsidRDefault="00FD2F7E" w:rsidP="008B6839">
      <w:pPr>
        <w:widowControl w:val="0"/>
        <w:numPr>
          <w:ilvl w:val="0"/>
          <w:numId w:val="31"/>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Informe Anual de actividades que remite el Dr. en A.P. José Martínez Vilchis, Comisionado Presidente del Instituto de Transparencia, Acceso a la Información Pública y Protección de Datos Personales del Estado de México y Municipios. (Recepción y acuerdo de cumplimiento de Ley)</w:t>
      </w:r>
    </w:p>
    <w:p w:rsidR="00FD2F7E" w:rsidRPr="00CB38AA" w:rsidRDefault="00FD2F7E" w:rsidP="008B6839">
      <w:pPr>
        <w:widowControl w:val="0"/>
        <w:numPr>
          <w:ilvl w:val="0"/>
          <w:numId w:val="31"/>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Informe Anual de actividades que remite la Mtra. Mtra. María Guadalupe Olivo Torres, Contralora General del Instituto Electoral del Estado de México. (Recepción y acuerdo de cumplimiento de Ley)</w:t>
      </w:r>
    </w:p>
    <w:p w:rsidR="00FD2F7E" w:rsidRPr="00CB38AA" w:rsidRDefault="00FD2F7E" w:rsidP="008B6839">
      <w:pPr>
        <w:widowControl w:val="0"/>
        <w:numPr>
          <w:ilvl w:val="0"/>
          <w:numId w:val="31"/>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Informe Anual de actividades que remite el C. Víctor Augusto Armenta Landa, Titular del Órgano Interno de Control del Instituto de Transparencia, Acceso a la Información Pública y Protección de Datos Personales del Estado de México y Municipios. (Recepción y acuerdo de cumplimiento de Ley)</w:t>
      </w:r>
    </w:p>
    <w:p w:rsidR="00FD2F7E" w:rsidRPr="00CB38AA" w:rsidRDefault="00FD2F7E" w:rsidP="008B6839">
      <w:pPr>
        <w:widowControl w:val="0"/>
        <w:numPr>
          <w:ilvl w:val="0"/>
          <w:numId w:val="31"/>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Clausura de la sesión.</w:t>
      </w:r>
    </w:p>
    <w:p w:rsidR="00FD2F7E" w:rsidRPr="00CB38AA" w:rsidRDefault="00FD2F7E" w:rsidP="008B6839">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8B6839">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noProof/>
          <w:sz w:val="24"/>
          <w:szCs w:val="24"/>
          <w:lang w:val="es-ES"/>
        </w:rPr>
        <mc:AlternateContent>
          <mc:Choice Requires="wps">
            <w:drawing>
              <wp:anchor distT="0" distB="0" distL="0" distR="0" simplePos="0" relativeHeight="251686912" behindDoc="1" locked="0" layoutInCell="1" allowOverlap="1" wp14:anchorId="4AADAAC8" wp14:editId="037D9626">
                <wp:simplePos x="0" y="0"/>
                <wp:positionH relativeFrom="page">
                  <wp:posOffset>1062227</wp:posOffset>
                </wp:positionH>
                <wp:positionV relativeFrom="paragraph">
                  <wp:posOffset>164364</wp:posOffset>
                </wp:positionV>
                <wp:extent cx="5648325" cy="175260"/>
                <wp:effectExtent l="0" t="0" r="0" b="0"/>
                <wp:wrapTopAndBottom/>
                <wp:docPr id="37" name="Text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8325" cy="175260"/>
                        </a:xfrm>
                        <a:prstGeom prst="rect">
                          <a:avLst/>
                        </a:prstGeom>
                        <a:solidFill>
                          <a:srgbClr val="D9D9D9"/>
                        </a:solidFill>
                      </wps:spPr>
                      <wps:txbx>
                        <w:txbxContent>
                          <w:p w:rsidR="00C01019" w:rsidRPr="00641D08" w:rsidRDefault="00C01019" w:rsidP="00FD2F7E">
                            <w:pPr>
                              <w:tabs>
                                <w:tab w:val="left" w:pos="2152"/>
                              </w:tabs>
                              <w:spacing w:line="272" w:lineRule="exact"/>
                              <w:rPr>
                                <w:rFonts w:ascii="Times New Roman" w:hAnsi="Times New Roman" w:cs="Times New Roman"/>
                                <w:color w:val="000000"/>
                                <w:sz w:val="24"/>
                              </w:rPr>
                            </w:pPr>
                            <w:r w:rsidRPr="00641D08">
                              <w:rPr>
                                <w:rFonts w:ascii="Times New Roman" w:hAnsi="Times New Roman" w:cs="Times New Roman"/>
                                <w:b/>
                                <w:color w:val="000000"/>
                                <w:sz w:val="24"/>
                              </w:rPr>
                              <w:t>Tercera</w:t>
                            </w:r>
                            <w:r w:rsidRPr="00641D08">
                              <w:rPr>
                                <w:rFonts w:ascii="Times New Roman" w:hAnsi="Times New Roman" w:cs="Times New Roman"/>
                                <w:b/>
                                <w:color w:val="000000"/>
                                <w:spacing w:val="-3"/>
                                <w:sz w:val="24"/>
                              </w:rPr>
                              <w:t xml:space="preserve"> </w:t>
                            </w:r>
                            <w:r w:rsidRPr="00641D08">
                              <w:rPr>
                                <w:rFonts w:ascii="Times New Roman" w:hAnsi="Times New Roman" w:cs="Times New Roman"/>
                                <w:b/>
                                <w:color w:val="000000"/>
                                <w:spacing w:val="-2"/>
                                <w:sz w:val="24"/>
                              </w:rPr>
                              <w:t>Sesión</w:t>
                            </w:r>
                            <w:r w:rsidRPr="00641D08">
                              <w:rPr>
                                <w:rFonts w:ascii="Times New Roman" w:hAnsi="Times New Roman" w:cs="Times New Roman"/>
                                <w:b/>
                                <w:color w:val="000000"/>
                                <w:sz w:val="24"/>
                              </w:rPr>
                              <w:tab/>
                            </w:r>
                            <w:r w:rsidRPr="00641D08">
                              <w:rPr>
                                <w:rFonts w:ascii="Times New Roman" w:hAnsi="Times New Roman" w:cs="Times New Roman"/>
                                <w:color w:val="000000"/>
                                <w:sz w:val="24"/>
                              </w:rPr>
                              <w:t>16</w:t>
                            </w:r>
                            <w:r w:rsidRPr="00641D08">
                              <w:rPr>
                                <w:rFonts w:ascii="Times New Roman" w:hAnsi="Times New Roman" w:cs="Times New Roman"/>
                                <w:color w:val="000000"/>
                                <w:spacing w:val="-3"/>
                                <w:sz w:val="24"/>
                              </w:rPr>
                              <w:t xml:space="preserve"> </w:t>
                            </w:r>
                            <w:r w:rsidRPr="00641D08">
                              <w:rPr>
                                <w:rFonts w:ascii="Times New Roman" w:hAnsi="Times New Roman" w:cs="Times New Roman"/>
                                <w:color w:val="000000"/>
                                <w:sz w:val="24"/>
                              </w:rPr>
                              <w:t>de</w:t>
                            </w:r>
                            <w:r w:rsidRPr="00641D08">
                              <w:rPr>
                                <w:rFonts w:ascii="Times New Roman" w:hAnsi="Times New Roman" w:cs="Times New Roman"/>
                                <w:color w:val="000000"/>
                                <w:spacing w:val="-1"/>
                                <w:sz w:val="24"/>
                              </w:rPr>
                              <w:t xml:space="preserve"> </w:t>
                            </w:r>
                            <w:r w:rsidRPr="00641D08">
                              <w:rPr>
                                <w:rFonts w:ascii="Times New Roman" w:hAnsi="Times New Roman" w:cs="Times New Roman"/>
                                <w:color w:val="000000"/>
                                <w:sz w:val="24"/>
                              </w:rPr>
                              <w:t>diciembre</w:t>
                            </w:r>
                            <w:r w:rsidRPr="00641D08">
                              <w:rPr>
                                <w:rFonts w:ascii="Times New Roman" w:hAnsi="Times New Roman" w:cs="Times New Roman"/>
                                <w:color w:val="000000"/>
                                <w:spacing w:val="-2"/>
                                <w:sz w:val="24"/>
                              </w:rPr>
                              <w:t xml:space="preserve"> </w:t>
                            </w:r>
                            <w:r w:rsidRPr="00641D08">
                              <w:rPr>
                                <w:rFonts w:ascii="Times New Roman" w:hAnsi="Times New Roman" w:cs="Times New Roman"/>
                                <w:color w:val="000000"/>
                                <w:sz w:val="24"/>
                              </w:rPr>
                              <w:t>de</w:t>
                            </w:r>
                            <w:r w:rsidRPr="00641D08">
                              <w:rPr>
                                <w:rFonts w:ascii="Times New Roman" w:hAnsi="Times New Roman" w:cs="Times New Roman"/>
                                <w:color w:val="000000"/>
                                <w:spacing w:val="-2"/>
                                <w:sz w:val="24"/>
                              </w:rPr>
                              <w:t xml:space="preserve"> 2025.</w:t>
                            </w:r>
                          </w:p>
                        </w:txbxContent>
                      </wps:txbx>
                      <wps:bodyPr wrap="square" lIns="0" tIns="0" rIns="0" bIns="0" rtlCol="0">
                        <a:noAutofit/>
                      </wps:bodyPr>
                    </wps:wsp>
                  </a:graphicData>
                </a:graphic>
              </wp:anchor>
            </w:drawing>
          </mc:Choice>
          <mc:Fallback>
            <w:pict>
              <v:shapetype w14:anchorId="4AADAAC8" id="_x0000_t202" coordsize="21600,21600" o:spt="202" path="m,l,21600r21600,l21600,xe">
                <v:stroke joinstyle="miter"/>
                <v:path gradientshapeok="t" o:connecttype="rect"/>
              </v:shapetype>
              <v:shape id="Textbox 30" o:spid="_x0000_s1026" type="#_x0000_t202" style="position:absolute;left:0;text-align:left;margin-left:83.65pt;margin-top:12.95pt;width:444.75pt;height:13.8pt;z-index:-2516295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" fillcolor="#d9d9d9" stroked="f">
                <v:textbox inset="0,0,0,0">
                  <w:txbxContent>
                    <w:p w:rsidR="00C01019" w:rsidRPr="00641D08" w:rsidRDefault="00C01019" w:rsidP="00FD2F7E">
                      <w:pPr>
                        <w:tabs>
                          <w:tab w:val="left" w:pos="2152"/>
                        </w:tabs>
                        <w:spacing w:line="272" w:lineRule="exact"/>
                        <w:rPr>
                          <w:rFonts w:ascii="Times New Roman" w:hAnsi="Times New Roman" w:cs="Times New Roman"/>
                          <w:color w:val="000000"/>
                          <w:sz w:val="24"/>
                        </w:rPr>
                      </w:pPr>
                      <w:r w:rsidRPr="00641D08">
                        <w:rPr>
                          <w:rFonts w:ascii="Times New Roman" w:hAnsi="Times New Roman" w:cs="Times New Roman"/>
                          <w:b/>
                          <w:color w:val="000000"/>
                          <w:sz w:val="24"/>
                        </w:rPr>
                        <w:t>Tercera</w:t>
                      </w:r>
                      <w:r w:rsidRPr="00641D08">
                        <w:rPr>
                          <w:rFonts w:ascii="Times New Roman" w:hAnsi="Times New Roman" w:cs="Times New Roman"/>
                          <w:b/>
                          <w:color w:val="000000"/>
                          <w:spacing w:val="-3"/>
                          <w:sz w:val="24"/>
                        </w:rPr>
                        <w:t xml:space="preserve"> </w:t>
                      </w:r>
                      <w:r w:rsidRPr="00641D08">
                        <w:rPr>
                          <w:rFonts w:ascii="Times New Roman" w:hAnsi="Times New Roman" w:cs="Times New Roman"/>
                          <w:b/>
                          <w:color w:val="000000"/>
                          <w:spacing w:val="-2"/>
                          <w:sz w:val="24"/>
                        </w:rPr>
                        <w:t>Sesión</w:t>
                      </w:r>
                      <w:r w:rsidRPr="00641D08">
                        <w:rPr>
                          <w:rFonts w:ascii="Times New Roman" w:hAnsi="Times New Roman" w:cs="Times New Roman"/>
                          <w:b/>
                          <w:color w:val="000000"/>
                          <w:sz w:val="24"/>
                        </w:rPr>
                        <w:tab/>
                      </w:r>
                      <w:r w:rsidRPr="00641D08">
                        <w:rPr>
                          <w:rFonts w:ascii="Times New Roman" w:hAnsi="Times New Roman" w:cs="Times New Roman"/>
                          <w:color w:val="000000"/>
                          <w:sz w:val="24"/>
                        </w:rPr>
                        <w:t>16</w:t>
                      </w:r>
                      <w:r w:rsidRPr="00641D08">
                        <w:rPr>
                          <w:rFonts w:ascii="Times New Roman" w:hAnsi="Times New Roman" w:cs="Times New Roman"/>
                          <w:color w:val="000000"/>
                          <w:spacing w:val="-3"/>
                          <w:sz w:val="24"/>
                        </w:rPr>
                        <w:t xml:space="preserve"> </w:t>
                      </w:r>
                      <w:r w:rsidRPr="00641D08">
                        <w:rPr>
                          <w:rFonts w:ascii="Times New Roman" w:hAnsi="Times New Roman" w:cs="Times New Roman"/>
                          <w:color w:val="000000"/>
                          <w:sz w:val="24"/>
                        </w:rPr>
                        <w:t>de</w:t>
                      </w:r>
                      <w:r w:rsidRPr="00641D08">
                        <w:rPr>
                          <w:rFonts w:ascii="Times New Roman" w:hAnsi="Times New Roman" w:cs="Times New Roman"/>
                          <w:color w:val="000000"/>
                          <w:spacing w:val="-1"/>
                          <w:sz w:val="24"/>
                        </w:rPr>
                        <w:t xml:space="preserve"> </w:t>
                      </w:r>
                      <w:r w:rsidRPr="00641D08">
                        <w:rPr>
                          <w:rFonts w:ascii="Times New Roman" w:hAnsi="Times New Roman" w:cs="Times New Roman"/>
                          <w:color w:val="000000"/>
                          <w:sz w:val="24"/>
                        </w:rPr>
                        <w:t>diciembre</w:t>
                      </w:r>
                      <w:r w:rsidRPr="00641D08">
                        <w:rPr>
                          <w:rFonts w:ascii="Times New Roman" w:hAnsi="Times New Roman" w:cs="Times New Roman"/>
                          <w:color w:val="000000"/>
                          <w:spacing w:val="-2"/>
                          <w:sz w:val="24"/>
                        </w:rPr>
                        <w:t xml:space="preserve"> </w:t>
                      </w:r>
                      <w:r w:rsidRPr="00641D08">
                        <w:rPr>
                          <w:rFonts w:ascii="Times New Roman" w:hAnsi="Times New Roman" w:cs="Times New Roman"/>
                          <w:color w:val="000000"/>
                          <w:sz w:val="24"/>
                        </w:rPr>
                        <w:t>de</w:t>
                      </w:r>
                      <w:r w:rsidRPr="00641D08">
                        <w:rPr>
                          <w:rFonts w:ascii="Times New Roman" w:hAnsi="Times New Roman" w:cs="Times New Roman"/>
                          <w:color w:val="000000"/>
                          <w:spacing w:val="-2"/>
                          <w:sz w:val="24"/>
                        </w:rPr>
                        <w:t xml:space="preserve"> 2025.</w:t>
                      </w:r>
                    </w:p>
                  </w:txbxContent>
                </v:textbox>
                <w10:wrap type="topAndBottom" anchorx="page"/>
              </v:shape>
            </w:pict>
          </mc:Fallback>
        </mc:AlternateContent>
      </w:r>
      <w:r w:rsidRPr="00CB38AA">
        <w:rPr>
          <w:rFonts w:ascii="Times New Roman" w:eastAsia="Arial MT" w:hAnsi="Times New Roman" w:cs="Times New Roman"/>
          <w:sz w:val="24"/>
          <w:szCs w:val="24"/>
          <w:lang w:val="es-ES"/>
        </w:rPr>
        <w:t>Desarrollo.</w:t>
      </w:r>
    </w:p>
    <w:p w:rsidR="00FD2F7E" w:rsidRPr="00CB38AA" w:rsidRDefault="00FD2F7E" w:rsidP="008B6839">
      <w:pPr>
        <w:widowControl w:val="0"/>
        <w:numPr>
          <w:ilvl w:val="0"/>
          <w:numId w:val="30"/>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Acta de la sesión anterior. (Aprobada)</w:t>
      </w:r>
    </w:p>
    <w:p w:rsidR="00FD2F7E" w:rsidRPr="00CB38AA" w:rsidRDefault="00FD2F7E" w:rsidP="008B6839">
      <w:pPr>
        <w:widowControl w:val="0"/>
        <w:numPr>
          <w:ilvl w:val="0"/>
          <w:numId w:val="30"/>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Lectura y acuerdo conducente de la Iniciativa de Decreto por el que se reforman, adicionan y derogan diversas disposiciones de la Ley en materia de Desaparición Forzada de Personas y Desaparición Cometida por Particulares para el Estado Libre y Soberano de México, de la Ley Orgánica de la Administración Pública del Estado de México, de la Ley de Seguridad del Estado de México y del Código Civil del Estado de México, en materia de desaparición de personas y fortalecimiento de búsqueda, presentada por la Titular del Ejecutivo Estatal. (Turnada a las Comisiones Legislativas de Procuración y Administración de Justicia, Para las Declaratorias de Alerta de Violencia de Género contra las Mujeres por Feminicidio y Desaparición y de Seguridad Pública y Tránsito, para su estudio y dictamen)</w:t>
      </w:r>
    </w:p>
    <w:p w:rsidR="00FD2F7E" w:rsidRPr="00CB38AA" w:rsidRDefault="00FD2F7E" w:rsidP="008B6839">
      <w:pPr>
        <w:widowControl w:val="0"/>
        <w:numPr>
          <w:ilvl w:val="0"/>
          <w:numId w:val="30"/>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Lectura y acuerdo conducente de la Iniciativa de Decreto por el que se reforman diversas disposiciones de la Constitución Política del Estado Libre y Soberano de México, en materia de seguridad pública y coordinación interinstitucional, presentada por la Titular del Ejecutivo Estatal. (Turnada a las Comisiones Legislativas de Gobernación y Puntos Constitucionales y de Seguridad Pública y Tránsito, para su estudio y dictamen)</w:t>
      </w:r>
    </w:p>
    <w:p w:rsidR="00FD2F7E" w:rsidRPr="00CB38AA" w:rsidRDefault="00FD2F7E" w:rsidP="008B6839">
      <w:pPr>
        <w:widowControl w:val="0"/>
        <w:numPr>
          <w:ilvl w:val="0"/>
          <w:numId w:val="30"/>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Lectura y acuerdo conducente de la Iniciativa de Decreto por el que se reforman y adicionan diversas disposiciones de la Ley de Seguridad del Estado de México y de la Ley Orgánica de la Administración Pública del Estado de México, en materia de seguridad pública, presentada por la Titular del Ejecutivo Estatal. (Turno a las Comisiones Legislativas de Procuración y Administración de Justicia y de Seguridad Pública y Tránsito, para su estudio y dictamen)</w:t>
      </w:r>
    </w:p>
    <w:p w:rsidR="00FD2F7E" w:rsidRPr="00CB38AA" w:rsidRDefault="00FD2F7E" w:rsidP="008B6839">
      <w:pPr>
        <w:widowControl w:val="0"/>
        <w:numPr>
          <w:ilvl w:val="0"/>
          <w:numId w:val="30"/>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Lectura y acuerdo conducente de la Iniciativa de Decreto por el que se autoriza al H. Ayuntamiento de Nicolás Romero, Estado de México, desincorporar del patrimonio del municipio un inmueble, para que sea donado a título gratuito, a favor del Instituto Mexicano del Seguro Social, para realizar las acciones necesarias destinadas a la construcción de un Hospital Regional de 260 camas, presentada por la Titular del Ejecutivo Estatal. (De urgente y obvia resolución). (Aprobada)</w:t>
      </w:r>
    </w:p>
    <w:p w:rsidR="00FD2F7E" w:rsidRPr="00CB38AA" w:rsidRDefault="00FD2F7E" w:rsidP="008B6839">
      <w:pPr>
        <w:widowControl w:val="0"/>
        <w:numPr>
          <w:ilvl w:val="0"/>
          <w:numId w:val="30"/>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Informe Anual de Actividades 2025, presentado por el Mtro. Juan José Hernández Vences, Contralor del Poder Legislativo. (Recepción y acuerdo de cumplimiento de Ley)</w:t>
      </w:r>
    </w:p>
    <w:p w:rsidR="00FD2F7E" w:rsidRPr="00CB38AA" w:rsidRDefault="00FD2F7E" w:rsidP="008B6839">
      <w:pPr>
        <w:widowControl w:val="0"/>
        <w:numPr>
          <w:ilvl w:val="0"/>
          <w:numId w:val="30"/>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lastRenderedPageBreak/>
        <w:t>Clausura de la sesión.</w:t>
      </w:r>
    </w:p>
    <w:p w:rsidR="00FD2F7E" w:rsidRPr="00CB38AA" w:rsidRDefault="00FD2F7E" w:rsidP="008B6839">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8B6839">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noProof/>
          <w:sz w:val="24"/>
          <w:szCs w:val="24"/>
          <w:lang w:val="es-ES"/>
        </w:rPr>
        <mc:AlternateContent>
          <mc:Choice Requires="wps">
            <w:drawing>
              <wp:anchor distT="0" distB="0" distL="0" distR="0" simplePos="0" relativeHeight="251687936" behindDoc="1" locked="0" layoutInCell="1" allowOverlap="1" wp14:anchorId="03F5DAF8" wp14:editId="09DE0130">
                <wp:simplePos x="0" y="0"/>
                <wp:positionH relativeFrom="page">
                  <wp:posOffset>1062227</wp:posOffset>
                </wp:positionH>
                <wp:positionV relativeFrom="paragraph">
                  <wp:posOffset>165962</wp:posOffset>
                </wp:positionV>
                <wp:extent cx="5648325" cy="175260"/>
                <wp:effectExtent l="0" t="0" r="0" b="0"/>
                <wp:wrapTopAndBottom/>
                <wp:docPr id="38"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8325" cy="175260"/>
                        </a:xfrm>
                        <a:prstGeom prst="rect">
                          <a:avLst/>
                        </a:prstGeom>
                        <a:solidFill>
                          <a:srgbClr val="D9D9D9"/>
                        </a:solidFill>
                      </wps:spPr>
                      <wps:txbx>
                        <w:txbxContent>
                          <w:p w:rsidR="00C01019" w:rsidRPr="00641D08" w:rsidRDefault="00C01019" w:rsidP="00FD2F7E">
                            <w:pPr>
                              <w:tabs>
                                <w:tab w:val="left" w:pos="2152"/>
                              </w:tabs>
                              <w:spacing w:line="272" w:lineRule="exact"/>
                              <w:rPr>
                                <w:rFonts w:ascii="Times New Roman" w:hAnsi="Times New Roman" w:cs="Times New Roman"/>
                                <w:color w:val="000000"/>
                                <w:sz w:val="24"/>
                              </w:rPr>
                            </w:pPr>
                            <w:r w:rsidRPr="00641D08">
                              <w:rPr>
                                <w:rFonts w:ascii="Times New Roman" w:hAnsi="Times New Roman" w:cs="Times New Roman"/>
                                <w:b/>
                                <w:color w:val="000000"/>
                                <w:sz w:val="24"/>
                              </w:rPr>
                              <w:t>Cuarta</w:t>
                            </w:r>
                            <w:r w:rsidRPr="00641D08">
                              <w:rPr>
                                <w:rFonts w:ascii="Times New Roman" w:hAnsi="Times New Roman" w:cs="Times New Roman"/>
                                <w:b/>
                                <w:color w:val="000000"/>
                                <w:spacing w:val="-2"/>
                                <w:sz w:val="24"/>
                              </w:rPr>
                              <w:t xml:space="preserve"> Sesión</w:t>
                            </w:r>
                            <w:r w:rsidRPr="00641D08">
                              <w:rPr>
                                <w:rFonts w:ascii="Times New Roman" w:hAnsi="Times New Roman" w:cs="Times New Roman"/>
                                <w:b/>
                                <w:color w:val="000000"/>
                                <w:sz w:val="24"/>
                              </w:rPr>
                              <w:tab/>
                            </w:r>
                            <w:r w:rsidRPr="00641D08">
                              <w:rPr>
                                <w:rFonts w:ascii="Times New Roman" w:hAnsi="Times New Roman" w:cs="Times New Roman"/>
                                <w:color w:val="000000"/>
                                <w:sz w:val="24"/>
                              </w:rPr>
                              <w:t>12</w:t>
                            </w:r>
                            <w:r w:rsidRPr="00641D08">
                              <w:rPr>
                                <w:rFonts w:ascii="Times New Roman" w:hAnsi="Times New Roman" w:cs="Times New Roman"/>
                                <w:color w:val="000000"/>
                                <w:spacing w:val="-3"/>
                                <w:sz w:val="24"/>
                              </w:rPr>
                              <w:t xml:space="preserve"> </w:t>
                            </w:r>
                            <w:r w:rsidRPr="00641D08">
                              <w:rPr>
                                <w:rFonts w:ascii="Times New Roman" w:hAnsi="Times New Roman" w:cs="Times New Roman"/>
                                <w:color w:val="000000"/>
                                <w:sz w:val="24"/>
                              </w:rPr>
                              <w:t>de enero</w:t>
                            </w:r>
                            <w:r w:rsidRPr="00641D08">
                              <w:rPr>
                                <w:rFonts w:ascii="Times New Roman" w:hAnsi="Times New Roman" w:cs="Times New Roman"/>
                                <w:color w:val="000000"/>
                                <w:spacing w:val="-3"/>
                                <w:sz w:val="24"/>
                              </w:rPr>
                              <w:t xml:space="preserve"> </w:t>
                            </w:r>
                            <w:r w:rsidRPr="00641D08">
                              <w:rPr>
                                <w:rFonts w:ascii="Times New Roman" w:hAnsi="Times New Roman" w:cs="Times New Roman"/>
                                <w:color w:val="000000"/>
                                <w:sz w:val="24"/>
                              </w:rPr>
                              <w:t>de</w:t>
                            </w:r>
                            <w:r w:rsidRPr="00641D08">
                              <w:rPr>
                                <w:rFonts w:ascii="Times New Roman" w:hAnsi="Times New Roman" w:cs="Times New Roman"/>
                                <w:color w:val="000000"/>
                                <w:spacing w:val="-2"/>
                                <w:sz w:val="24"/>
                              </w:rPr>
                              <w:t xml:space="preserve"> 2026.</w:t>
                            </w:r>
                          </w:p>
                        </w:txbxContent>
                      </wps:txbx>
                      <wps:bodyPr wrap="square" lIns="0" tIns="0" rIns="0" bIns="0" rtlCol="0">
                        <a:noAutofit/>
                      </wps:bodyPr>
                    </wps:wsp>
                  </a:graphicData>
                </a:graphic>
              </wp:anchor>
            </w:drawing>
          </mc:Choice>
          <mc:Fallback>
            <w:pict>
              <v:shape w14:anchorId="03F5DAF8" id="Textbox 31" o:spid="_x0000_s1027" type="#_x0000_t202" style="position:absolute;left:0;text-align:left;margin-left:83.65pt;margin-top:13.05pt;width:444.75pt;height:13.8pt;z-index:-2516285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" fillcolor="#d9d9d9" stroked="f">
                <v:textbox inset="0,0,0,0">
                  <w:txbxContent>
                    <w:p w:rsidR="00C01019" w:rsidRPr="00641D08" w:rsidRDefault="00C01019" w:rsidP="00FD2F7E">
                      <w:pPr>
                        <w:tabs>
                          <w:tab w:val="left" w:pos="2152"/>
                        </w:tabs>
                        <w:spacing w:line="272" w:lineRule="exact"/>
                        <w:rPr>
                          <w:rFonts w:ascii="Times New Roman" w:hAnsi="Times New Roman" w:cs="Times New Roman"/>
                          <w:color w:val="000000"/>
                          <w:sz w:val="24"/>
                        </w:rPr>
                      </w:pPr>
                      <w:r w:rsidRPr="00641D08">
                        <w:rPr>
                          <w:rFonts w:ascii="Times New Roman" w:hAnsi="Times New Roman" w:cs="Times New Roman"/>
                          <w:b/>
                          <w:color w:val="000000"/>
                          <w:sz w:val="24"/>
                        </w:rPr>
                        <w:t>Cuarta</w:t>
                      </w:r>
                      <w:r w:rsidRPr="00641D08">
                        <w:rPr>
                          <w:rFonts w:ascii="Times New Roman" w:hAnsi="Times New Roman" w:cs="Times New Roman"/>
                          <w:b/>
                          <w:color w:val="000000"/>
                          <w:spacing w:val="-2"/>
                          <w:sz w:val="24"/>
                        </w:rPr>
                        <w:t xml:space="preserve"> Sesión</w:t>
                      </w:r>
                      <w:r w:rsidRPr="00641D08">
                        <w:rPr>
                          <w:rFonts w:ascii="Times New Roman" w:hAnsi="Times New Roman" w:cs="Times New Roman"/>
                          <w:b/>
                          <w:color w:val="000000"/>
                          <w:sz w:val="24"/>
                        </w:rPr>
                        <w:tab/>
                      </w:r>
                      <w:r w:rsidRPr="00641D08">
                        <w:rPr>
                          <w:rFonts w:ascii="Times New Roman" w:hAnsi="Times New Roman" w:cs="Times New Roman"/>
                          <w:color w:val="000000"/>
                          <w:sz w:val="24"/>
                        </w:rPr>
                        <w:t>12</w:t>
                      </w:r>
                      <w:r w:rsidRPr="00641D08">
                        <w:rPr>
                          <w:rFonts w:ascii="Times New Roman" w:hAnsi="Times New Roman" w:cs="Times New Roman"/>
                          <w:color w:val="000000"/>
                          <w:spacing w:val="-3"/>
                          <w:sz w:val="24"/>
                        </w:rPr>
                        <w:t xml:space="preserve"> </w:t>
                      </w:r>
                      <w:r w:rsidRPr="00641D08">
                        <w:rPr>
                          <w:rFonts w:ascii="Times New Roman" w:hAnsi="Times New Roman" w:cs="Times New Roman"/>
                          <w:color w:val="000000"/>
                          <w:sz w:val="24"/>
                        </w:rPr>
                        <w:t>de enero</w:t>
                      </w:r>
                      <w:r w:rsidRPr="00641D08">
                        <w:rPr>
                          <w:rFonts w:ascii="Times New Roman" w:hAnsi="Times New Roman" w:cs="Times New Roman"/>
                          <w:color w:val="000000"/>
                          <w:spacing w:val="-3"/>
                          <w:sz w:val="24"/>
                        </w:rPr>
                        <w:t xml:space="preserve"> </w:t>
                      </w:r>
                      <w:r w:rsidRPr="00641D08">
                        <w:rPr>
                          <w:rFonts w:ascii="Times New Roman" w:hAnsi="Times New Roman" w:cs="Times New Roman"/>
                          <w:color w:val="000000"/>
                          <w:sz w:val="24"/>
                        </w:rPr>
                        <w:t>de</w:t>
                      </w:r>
                      <w:r w:rsidRPr="00641D08">
                        <w:rPr>
                          <w:rFonts w:ascii="Times New Roman" w:hAnsi="Times New Roman" w:cs="Times New Roman"/>
                          <w:color w:val="000000"/>
                          <w:spacing w:val="-2"/>
                          <w:sz w:val="24"/>
                        </w:rPr>
                        <w:t xml:space="preserve"> 2026.</w:t>
                      </w:r>
                    </w:p>
                  </w:txbxContent>
                </v:textbox>
                <w10:wrap type="topAndBottom" anchorx="page"/>
              </v:shape>
            </w:pict>
          </mc:Fallback>
        </mc:AlternateContent>
      </w:r>
      <w:r w:rsidRPr="00CB38AA">
        <w:rPr>
          <w:rFonts w:ascii="Times New Roman" w:eastAsia="Arial MT" w:hAnsi="Times New Roman" w:cs="Times New Roman"/>
          <w:sz w:val="24"/>
          <w:szCs w:val="24"/>
          <w:lang w:val="es-ES"/>
        </w:rPr>
        <w:t>Desarrollo.</w:t>
      </w:r>
    </w:p>
    <w:p w:rsidR="00FD2F7E" w:rsidRPr="00CB38AA" w:rsidRDefault="00FD2F7E" w:rsidP="008B6839">
      <w:pPr>
        <w:widowControl w:val="0"/>
        <w:numPr>
          <w:ilvl w:val="0"/>
          <w:numId w:val="2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Acta de la sesión anterior.</w:t>
      </w:r>
    </w:p>
    <w:p w:rsidR="00FD2F7E" w:rsidRPr="00CB38AA" w:rsidRDefault="00FD2F7E" w:rsidP="008B6839">
      <w:pPr>
        <w:widowControl w:val="0"/>
        <w:numPr>
          <w:ilvl w:val="0"/>
          <w:numId w:val="2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Declaratoria de aprobación de la Minuta Proyecto de Decreto por el que se reforma el artículo 139 Bis, y se adiciona el párrafo décimo segundo al artículo 18 de la Constitución Política del Estado Libre y Soberano de México, en materia de Simplificación Administrativa de Trámites y Digitalización. (Declaratoria de aprobación)</w:t>
      </w:r>
    </w:p>
    <w:p w:rsidR="00FD2F7E" w:rsidRPr="00CB38AA" w:rsidRDefault="00FD2F7E" w:rsidP="008B6839">
      <w:pPr>
        <w:widowControl w:val="0"/>
        <w:numPr>
          <w:ilvl w:val="0"/>
          <w:numId w:val="2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Lectura y acuerdo conducente de la Iniciativa de Decreto por el que se autoriza al H. Ayuntamiento de Chalco, Estado de México, a desincorporar del patrimonio del municipio un inmueble, para que sea donado a título gratuito, a favor del Instituto Mexicano del Seguro Social, para realizar las acciones necesarias destinadas a la construcción de una Unidad Médica, presentada por la Titular del Ejecutivo Estatal. (De urgente y obvia resolución). (Aprobada)</w:t>
      </w:r>
    </w:p>
    <w:p w:rsidR="00FD2F7E" w:rsidRPr="00CB38AA" w:rsidRDefault="00FD2F7E" w:rsidP="008B6839">
      <w:pPr>
        <w:widowControl w:val="0"/>
        <w:numPr>
          <w:ilvl w:val="0"/>
          <w:numId w:val="2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Lectura y acuerdo conducente de la Iniciativa de Decreto por el que se expide la Ley para Prevenir, Atender y Combatir los Delitos en materia de Extorsión y Delitos Vinculados del Estado de México, y se reforman, adicionan y derogan diversas disposiciones del Código Penal del Estado de México y de la Ley de la Fiscalía General de Justicia del Estado de México, en materia de combate al delito de extorsión y otros delitos vinculados, presentada por la Titular del Ejecutivo Estatal. (Turno a la Comisión Legislativa de Procuración y Administración de Justicia, para su estudio y dictamen)</w:t>
      </w:r>
    </w:p>
    <w:p w:rsidR="00FD2F7E" w:rsidRPr="00CB38AA" w:rsidRDefault="00FD2F7E" w:rsidP="008B6839">
      <w:pPr>
        <w:widowControl w:val="0"/>
        <w:numPr>
          <w:ilvl w:val="0"/>
          <w:numId w:val="2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Lectura y acuerdo conducente de la Iniciativa con Proyecto de Decreto mediante el cual se declara el 4 de octubre de cada año como el Día de los Seres Sintientes del Estado de México, presentada por la Diputada Martha Azucena Camacho Reynoso, en nombre del Grupo Parlamentario del Partido morena. (De urgente y obvia resolución). (Aprobada)</w:t>
      </w:r>
    </w:p>
    <w:p w:rsidR="00FD2F7E" w:rsidRPr="00CB38AA" w:rsidRDefault="00FD2F7E" w:rsidP="008B6839">
      <w:pPr>
        <w:widowControl w:val="0"/>
        <w:numPr>
          <w:ilvl w:val="0"/>
          <w:numId w:val="2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Lectura y acuerdo conducente de la Iniciativa de Decreto por el que se convoca a la “LXII” Legislatura a la realización del Quinto Periodo Extraordinario de Sesiones, presentada por las y los integrantes de la Diputación Permanente. (De urgente y obvia resolución). (Aprobada)</w:t>
      </w:r>
    </w:p>
    <w:p w:rsidR="00FD2F7E" w:rsidRPr="00CB38AA" w:rsidRDefault="00FD2F7E" w:rsidP="008B6839">
      <w:pPr>
        <w:widowControl w:val="0"/>
        <w:numPr>
          <w:ilvl w:val="0"/>
          <w:numId w:val="2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Informe Anual de Actividades 2025, presentado por el Lic. Juan Pablo Noguez Cornejo, Titular del Órgano Interno de Control de la Fiscalía General de Justicia del Estado de México. (Recepción y acuerdo de cumplimiento de Ley)</w:t>
      </w:r>
    </w:p>
    <w:p w:rsidR="00FD2F7E" w:rsidRPr="00CB38AA" w:rsidRDefault="00FD2F7E" w:rsidP="008B6839">
      <w:pPr>
        <w:widowControl w:val="0"/>
        <w:numPr>
          <w:ilvl w:val="0"/>
          <w:numId w:val="2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Informe Anual de Actividades 2025, presentado por el M. en Aud. Everardo Camacho Rosales, Titular del Órgano Interno de Control del Tribunal de Justicia Administrativa del Estado de México. (Recepción y acuerdo de cumplimiento de Ley)</w:t>
      </w:r>
    </w:p>
    <w:p w:rsidR="00FD2F7E" w:rsidRPr="00CB38AA" w:rsidRDefault="00FD2F7E" w:rsidP="008B6839">
      <w:pPr>
        <w:widowControl w:val="0"/>
        <w:numPr>
          <w:ilvl w:val="0"/>
          <w:numId w:val="2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Informe Anual de Actividades 2025, presentado por el Dr. en C.S. Adrián Osiel Millán Vargas, Titular del Órgano Interno de Control de la Comisión de Derechos Humanos del Estado de México. (Recepción y acuerdo de cumplimiento de Ley)</w:t>
      </w:r>
    </w:p>
    <w:p w:rsidR="00FD2F7E" w:rsidRPr="00CB38AA" w:rsidRDefault="00FD2F7E" w:rsidP="008B6839">
      <w:pPr>
        <w:widowControl w:val="0"/>
        <w:numPr>
          <w:ilvl w:val="0"/>
          <w:numId w:val="2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Informe de Actividades, presentado por la Mtra. en D. E. Carolina Viridiana Rocha González, Encargada del Despacho de la Contraloría General del Tribunal Electoral del Estado de México. (Recepción y acuerdo de cumplimiento de Ley)</w:t>
      </w:r>
    </w:p>
    <w:p w:rsidR="00FD2F7E" w:rsidRPr="00CB38AA" w:rsidRDefault="00FD2F7E" w:rsidP="008B6839">
      <w:pPr>
        <w:widowControl w:val="0"/>
        <w:numPr>
          <w:ilvl w:val="0"/>
          <w:numId w:val="2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Comunicado sobre turno de Comisiones Legislativas. (Modificación de turno de comisiones)</w:t>
      </w:r>
    </w:p>
    <w:p w:rsidR="00FD2F7E" w:rsidRPr="00CB38AA" w:rsidRDefault="00FD2F7E" w:rsidP="008B6839">
      <w:pPr>
        <w:widowControl w:val="0"/>
        <w:numPr>
          <w:ilvl w:val="0"/>
          <w:numId w:val="29"/>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Clausura de la sesión.</w:t>
      </w:r>
    </w:p>
    <w:p w:rsidR="00FD2F7E" w:rsidRPr="00CB38AA" w:rsidRDefault="00FD2F7E" w:rsidP="008B6839">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8B6839">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noProof/>
          <w:sz w:val="24"/>
          <w:szCs w:val="24"/>
          <w:lang w:val="es-ES"/>
        </w:rPr>
        <mc:AlternateContent>
          <mc:Choice Requires="wps">
            <w:drawing>
              <wp:anchor distT="0" distB="0" distL="0" distR="0" simplePos="0" relativeHeight="251688960" behindDoc="1" locked="0" layoutInCell="1" allowOverlap="1" wp14:anchorId="24E03E8B" wp14:editId="49CC2580">
                <wp:simplePos x="0" y="0"/>
                <wp:positionH relativeFrom="page">
                  <wp:posOffset>1062227</wp:posOffset>
                </wp:positionH>
                <wp:positionV relativeFrom="paragraph">
                  <wp:posOffset>164453</wp:posOffset>
                </wp:positionV>
                <wp:extent cx="5648325" cy="175260"/>
                <wp:effectExtent l="0" t="0" r="0" b="0"/>
                <wp:wrapTopAndBottom/>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8325" cy="175260"/>
                        </a:xfrm>
                        <a:prstGeom prst="rect">
                          <a:avLst/>
                        </a:prstGeom>
                        <a:solidFill>
                          <a:srgbClr val="D9D9D9"/>
                        </a:solidFill>
                      </wps:spPr>
                      <wps:txbx>
                        <w:txbxContent>
                          <w:p w:rsidR="00C01019" w:rsidRPr="00641D08" w:rsidRDefault="00C01019" w:rsidP="00FD2F7E">
                            <w:pPr>
                              <w:tabs>
                                <w:tab w:val="left" w:pos="2152"/>
                              </w:tabs>
                              <w:spacing w:line="272" w:lineRule="exact"/>
                              <w:rPr>
                                <w:rFonts w:ascii="Times New Roman" w:hAnsi="Times New Roman" w:cs="Times New Roman"/>
                                <w:color w:val="000000"/>
                                <w:sz w:val="24"/>
                              </w:rPr>
                            </w:pPr>
                            <w:r w:rsidRPr="00641D08">
                              <w:rPr>
                                <w:rFonts w:ascii="Times New Roman" w:hAnsi="Times New Roman" w:cs="Times New Roman"/>
                                <w:b/>
                                <w:color w:val="000000"/>
                                <w:sz w:val="24"/>
                              </w:rPr>
                              <w:t>Quinta</w:t>
                            </w:r>
                            <w:r w:rsidRPr="00641D08">
                              <w:rPr>
                                <w:rFonts w:ascii="Times New Roman" w:hAnsi="Times New Roman" w:cs="Times New Roman"/>
                                <w:b/>
                                <w:color w:val="000000"/>
                                <w:spacing w:val="-2"/>
                                <w:sz w:val="24"/>
                              </w:rPr>
                              <w:t xml:space="preserve"> Sesión</w:t>
                            </w:r>
                            <w:r w:rsidRPr="00641D08">
                              <w:rPr>
                                <w:rFonts w:ascii="Times New Roman" w:hAnsi="Times New Roman" w:cs="Times New Roman"/>
                                <w:b/>
                                <w:color w:val="000000"/>
                                <w:sz w:val="24"/>
                              </w:rPr>
                              <w:tab/>
                            </w:r>
                            <w:r w:rsidRPr="00641D08">
                              <w:rPr>
                                <w:rFonts w:ascii="Times New Roman" w:hAnsi="Times New Roman" w:cs="Times New Roman"/>
                                <w:color w:val="000000"/>
                                <w:sz w:val="24"/>
                              </w:rPr>
                              <w:t>22</w:t>
                            </w:r>
                            <w:r w:rsidRPr="00641D08">
                              <w:rPr>
                                <w:rFonts w:ascii="Times New Roman" w:hAnsi="Times New Roman" w:cs="Times New Roman"/>
                                <w:color w:val="000000"/>
                                <w:spacing w:val="-3"/>
                                <w:sz w:val="24"/>
                              </w:rPr>
                              <w:t xml:space="preserve"> </w:t>
                            </w:r>
                            <w:r w:rsidRPr="00641D08">
                              <w:rPr>
                                <w:rFonts w:ascii="Times New Roman" w:hAnsi="Times New Roman" w:cs="Times New Roman"/>
                                <w:color w:val="000000"/>
                                <w:sz w:val="24"/>
                              </w:rPr>
                              <w:t>de enero</w:t>
                            </w:r>
                            <w:r w:rsidRPr="00641D08">
                              <w:rPr>
                                <w:rFonts w:ascii="Times New Roman" w:hAnsi="Times New Roman" w:cs="Times New Roman"/>
                                <w:color w:val="000000"/>
                                <w:spacing w:val="-3"/>
                                <w:sz w:val="24"/>
                              </w:rPr>
                              <w:t xml:space="preserve"> </w:t>
                            </w:r>
                            <w:r w:rsidRPr="00641D08">
                              <w:rPr>
                                <w:rFonts w:ascii="Times New Roman" w:hAnsi="Times New Roman" w:cs="Times New Roman"/>
                                <w:color w:val="000000"/>
                                <w:sz w:val="24"/>
                              </w:rPr>
                              <w:t>de</w:t>
                            </w:r>
                            <w:r w:rsidRPr="00641D08">
                              <w:rPr>
                                <w:rFonts w:ascii="Times New Roman" w:hAnsi="Times New Roman" w:cs="Times New Roman"/>
                                <w:color w:val="000000"/>
                                <w:spacing w:val="-2"/>
                                <w:sz w:val="24"/>
                              </w:rPr>
                              <w:t xml:space="preserve"> 2026.</w:t>
                            </w:r>
                          </w:p>
                        </w:txbxContent>
                      </wps:txbx>
                      <wps:bodyPr wrap="square" lIns="0" tIns="0" rIns="0" bIns="0" rtlCol="0">
                        <a:noAutofit/>
                      </wps:bodyPr>
                    </wps:wsp>
                  </a:graphicData>
                </a:graphic>
              </wp:anchor>
            </w:drawing>
          </mc:Choice>
          <mc:Fallback>
            <w:pict>
              <v:shape w14:anchorId="24E03E8B" id="Textbox 32" o:spid="_x0000_s1028" type="#_x0000_t202" style="position:absolute;left:0;text-align:left;margin-left:83.65pt;margin-top:12.95pt;width:444.75pt;height:13.8pt;z-index:-2516275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" fillcolor="#d9d9d9" stroked="f">
                <v:textbox inset="0,0,0,0">
                  <w:txbxContent>
                    <w:p w:rsidR="00C01019" w:rsidRPr="00641D08" w:rsidRDefault="00C01019" w:rsidP="00FD2F7E">
                      <w:pPr>
                        <w:tabs>
                          <w:tab w:val="left" w:pos="2152"/>
                        </w:tabs>
                        <w:spacing w:line="272" w:lineRule="exact"/>
                        <w:rPr>
                          <w:rFonts w:ascii="Times New Roman" w:hAnsi="Times New Roman" w:cs="Times New Roman"/>
                          <w:color w:val="000000"/>
                          <w:sz w:val="24"/>
                        </w:rPr>
                      </w:pPr>
                      <w:r w:rsidRPr="00641D08">
                        <w:rPr>
                          <w:rFonts w:ascii="Times New Roman" w:hAnsi="Times New Roman" w:cs="Times New Roman"/>
                          <w:b/>
                          <w:color w:val="000000"/>
                          <w:sz w:val="24"/>
                        </w:rPr>
                        <w:t>Quinta</w:t>
                      </w:r>
                      <w:r w:rsidRPr="00641D08">
                        <w:rPr>
                          <w:rFonts w:ascii="Times New Roman" w:hAnsi="Times New Roman" w:cs="Times New Roman"/>
                          <w:b/>
                          <w:color w:val="000000"/>
                          <w:spacing w:val="-2"/>
                          <w:sz w:val="24"/>
                        </w:rPr>
                        <w:t xml:space="preserve"> Sesión</w:t>
                      </w:r>
                      <w:r w:rsidRPr="00641D08">
                        <w:rPr>
                          <w:rFonts w:ascii="Times New Roman" w:hAnsi="Times New Roman" w:cs="Times New Roman"/>
                          <w:b/>
                          <w:color w:val="000000"/>
                          <w:sz w:val="24"/>
                        </w:rPr>
                        <w:tab/>
                      </w:r>
                      <w:r w:rsidRPr="00641D08">
                        <w:rPr>
                          <w:rFonts w:ascii="Times New Roman" w:hAnsi="Times New Roman" w:cs="Times New Roman"/>
                          <w:color w:val="000000"/>
                          <w:sz w:val="24"/>
                        </w:rPr>
                        <w:t>22</w:t>
                      </w:r>
                      <w:r w:rsidRPr="00641D08">
                        <w:rPr>
                          <w:rFonts w:ascii="Times New Roman" w:hAnsi="Times New Roman" w:cs="Times New Roman"/>
                          <w:color w:val="000000"/>
                          <w:spacing w:val="-3"/>
                          <w:sz w:val="24"/>
                        </w:rPr>
                        <w:t xml:space="preserve"> </w:t>
                      </w:r>
                      <w:r w:rsidRPr="00641D08">
                        <w:rPr>
                          <w:rFonts w:ascii="Times New Roman" w:hAnsi="Times New Roman" w:cs="Times New Roman"/>
                          <w:color w:val="000000"/>
                          <w:sz w:val="24"/>
                        </w:rPr>
                        <w:t>de enero</w:t>
                      </w:r>
                      <w:r w:rsidRPr="00641D08">
                        <w:rPr>
                          <w:rFonts w:ascii="Times New Roman" w:hAnsi="Times New Roman" w:cs="Times New Roman"/>
                          <w:color w:val="000000"/>
                          <w:spacing w:val="-3"/>
                          <w:sz w:val="24"/>
                        </w:rPr>
                        <w:t xml:space="preserve"> </w:t>
                      </w:r>
                      <w:r w:rsidRPr="00641D08">
                        <w:rPr>
                          <w:rFonts w:ascii="Times New Roman" w:hAnsi="Times New Roman" w:cs="Times New Roman"/>
                          <w:color w:val="000000"/>
                          <w:sz w:val="24"/>
                        </w:rPr>
                        <w:t>de</w:t>
                      </w:r>
                      <w:r w:rsidRPr="00641D08">
                        <w:rPr>
                          <w:rFonts w:ascii="Times New Roman" w:hAnsi="Times New Roman" w:cs="Times New Roman"/>
                          <w:color w:val="000000"/>
                          <w:spacing w:val="-2"/>
                          <w:sz w:val="24"/>
                        </w:rPr>
                        <w:t xml:space="preserve"> 2026.</w:t>
                      </w:r>
                    </w:p>
                  </w:txbxContent>
                </v:textbox>
                <w10:wrap type="topAndBottom" anchorx="page"/>
              </v:shape>
            </w:pict>
          </mc:Fallback>
        </mc:AlternateContent>
      </w:r>
      <w:r w:rsidRPr="00CB38AA">
        <w:rPr>
          <w:rFonts w:ascii="Times New Roman" w:eastAsia="Arial MT" w:hAnsi="Times New Roman" w:cs="Times New Roman"/>
          <w:sz w:val="24"/>
          <w:szCs w:val="24"/>
          <w:lang w:val="es-ES"/>
        </w:rPr>
        <w:t>Desarrollo.</w:t>
      </w:r>
    </w:p>
    <w:p w:rsidR="00FD2F7E" w:rsidRPr="00CB38AA" w:rsidRDefault="00FD2F7E" w:rsidP="008B6839">
      <w:pPr>
        <w:widowControl w:val="0"/>
        <w:numPr>
          <w:ilvl w:val="0"/>
          <w:numId w:val="2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Acta de la sesión anterior.</w:t>
      </w:r>
    </w:p>
    <w:p w:rsidR="00FD2F7E" w:rsidRPr="00CB38AA" w:rsidRDefault="00FD2F7E" w:rsidP="008B6839">
      <w:pPr>
        <w:widowControl w:val="0"/>
        <w:numPr>
          <w:ilvl w:val="0"/>
          <w:numId w:val="2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lastRenderedPageBreak/>
        <w:t>Declaratoria de aprobación de la Minuta Proyecto de Decreto por el que se reforma el párrafo quincuagésimo segundo del artículo 5 de la Constitución Política del Estado Libre y Soberano de México, en materia de deporte y activación física. (Declaratoria de aprobación)</w:t>
      </w:r>
    </w:p>
    <w:p w:rsidR="00FD2F7E" w:rsidRPr="00CB38AA" w:rsidRDefault="00FD2F7E" w:rsidP="008B6839">
      <w:pPr>
        <w:widowControl w:val="0"/>
        <w:numPr>
          <w:ilvl w:val="0"/>
          <w:numId w:val="2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Declaratoria de aprobación de la Minuta Proyecto de Decreto por el que se reforman los artículos 5, párrafo doceavo; y 88, párrafo primero, inciso b) de la Constitución Política del Estado Libre y Soberano de México, en materia de creación de juzgados especializados en emitir órdenes y medidas de protección. (Declaratoria de aprobación)</w:t>
      </w:r>
    </w:p>
    <w:p w:rsidR="00FD2F7E" w:rsidRPr="00CB38AA" w:rsidRDefault="00FD2F7E" w:rsidP="008B6839">
      <w:pPr>
        <w:widowControl w:val="0"/>
        <w:numPr>
          <w:ilvl w:val="0"/>
          <w:numId w:val="2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Lectura y acuerdo conducente de la Iniciativa de Decreto por el que se autoriza al H. Ayuntamiento de Chalco, Estado de México, a desincorporar del patrimonio del municipio un inmueble, para que sea donado a título gratuito, a favor del Gobierno Federal con destino a la Secretaría de Educación Pública, para realizar las acciones necesarias destinadas a la construcción de un plantel del Centro de Bachillerato Tecnológico y Agropecuario, presentada por la Titular del Ejecutivo Estatal. (De urgente y obvia resolución). (Aprobada)</w:t>
      </w:r>
    </w:p>
    <w:p w:rsidR="00FD2F7E" w:rsidRPr="00CB38AA" w:rsidRDefault="00FD2F7E" w:rsidP="008B6839">
      <w:pPr>
        <w:widowControl w:val="0"/>
        <w:numPr>
          <w:ilvl w:val="0"/>
          <w:numId w:val="2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Lectura y acuerdo conducente de la Iniciativa de Decreto por el que se aprueba la renuncia de la Mtra. Denisse López Reyes, al cargo de Jueza del Poder Judicial del Estado de México, presentada por el Magistrado Presidente del Tribunal Superior de Justicia del Estado de México. (De urgente y obvia resolución). (Aprobada)</w:t>
      </w:r>
    </w:p>
    <w:p w:rsidR="00FD2F7E" w:rsidRPr="00CB38AA" w:rsidRDefault="00FD2F7E" w:rsidP="008B6839">
      <w:pPr>
        <w:widowControl w:val="0"/>
        <w:numPr>
          <w:ilvl w:val="0"/>
          <w:numId w:val="2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En su caso, toma de protesta de la persona que legalmente le sustituya.</w:t>
      </w:r>
    </w:p>
    <w:p w:rsidR="00FD2F7E" w:rsidRPr="00CB38AA" w:rsidRDefault="00FD2F7E" w:rsidP="008B6839">
      <w:pPr>
        <w:widowControl w:val="0"/>
        <w:numPr>
          <w:ilvl w:val="0"/>
          <w:numId w:val="2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Lectura y acuerdo conducente de la Iniciativa de Decreto por la que se declara la técnica artesanal para la elaboración de la bebida del “Tecuí” del municipio de Calimaya, Estado de México, como Patrimonio Cultural Inmaterial del Estado de México, presentada por la Diputada Martha Azucena Camacho Reynoso, en nombre del Grupo Parlamentario del Partido morena. (De urgente y obvia resolución). (Aprobada)</w:t>
      </w:r>
    </w:p>
    <w:p w:rsidR="00FD2F7E" w:rsidRPr="00CB38AA" w:rsidRDefault="00FD2F7E" w:rsidP="008B6839">
      <w:pPr>
        <w:widowControl w:val="0"/>
        <w:numPr>
          <w:ilvl w:val="0"/>
          <w:numId w:val="2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Comunicado del Presidente Municipal Constitucional de Metepec, en relación con salida de trabajo al extranjero. (46° edición de la Feria Internacional de Turismo, a celebrarse en IFEMA Madrid, España, del 19 al 23 de enero del 2026). (De enterada)</w:t>
      </w:r>
    </w:p>
    <w:p w:rsidR="00FD2F7E" w:rsidRPr="00CB38AA" w:rsidRDefault="00FD2F7E" w:rsidP="008B6839">
      <w:pPr>
        <w:widowControl w:val="0"/>
        <w:numPr>
          <w:ilvl w:val="0"/>
          <w:numId w:val="2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Comunicado sobre turno de Comisiones Legislativas. (Modificación de turno de comisiones)</w:t>
      </w:r>
    </w:p>
    <w:p w:rsidR="00FD2F7E" w:rsidRPr="00CB38AA" w:rsidRDefault="00FD2F7E" w:rsidP="008B6839">
      <w:pPr>
        <w:widowControl w:val="0"/>
        <w:numPr>
          <w:ilvl w:val="0"/>
          <w:numId w:val="28"/>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Clausura de la sesión.</w:t>
      </w:r>
    </w:p>
    <w:p w:rsidR="00FD2F7E" w:rsidRPr="00CB38AA" w:rsidRDefault="00FD2F7E" w:rsidP="008B6839">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tbl>
      <w:tblPr>
        <w:tblStyle w:val="Tablaconcuadrcu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5"/>
      </w:tblGrid>
      <w:tr w:rsidR="00FD2F7E" w:rsidRPr="00CB38AA" w:rsidTr="008B6839">
        <w:trPr>
          <w:jc w:val="center"/>
        </w:trPr>
        <w:tc>
          <w:tcPr>
            <w:tcW w:w="9545" w:type="dxa"/>
          </w:tcPr>
          <w:p w:rsidR="00FD2F7E" w:rsidRPr="00CB38AA" w:rsidRDefault="00FD2F7E" w:rsidP="00FD2F7E">
            <w:pPr>
              <w:spacing w:line="240" w:lineRule="auto"/>
              <w:jc w:val="both"/>
              <w:rPr>
                <w:rFonts w:ascii="Times New Roman" w:eastAsia="Arial MT" w:hAnsi="Times New Roman" w:cs="Times New Roman"/>
                <w:sz w:val="24"/>
                <w:szCs w:val="24"/>
                <w:lang w:val="es-ES"/>
              </w:rPr>
            </w:pPr>
          </w:p>
          <w:p w:rsidR="00FD2F7E" w:rsidRPr="00CB38AA" w:rsidRDefault="00FD2F7E" w:rsidP="00FD2F7E">
            <w:pPr>
              <w:spacing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noProof/>
                <w:sz w:val="24"/>
                <w:szCs w:val="24"/>
                <w:lang w:val="es-ES"/>
              </w:rPr>
              <w:lastRenderedPageBreak/>
              <w:drawing>
                <wp:anchor distT="0" distB="0" distL="0" distR="0" simplePos="0" relativeHeight="251692032" behindDoc="0" locked="0" layoutInCell="1" allowOverlap="1" wp14:anchorId="37C77285" wp14:editId="79813C0B">
                  <wp:simplePos x="0" y="0"/>
                  <wp:positionH relativeFrom="page">
                    <wp:posOffset>207010</wp:posOffset>
                  </wp:positionH>
                  <wp:positionV relativeFrom="page">
                    <wp:posOffset>133350</wp:posOffset>
                  </wp:positionV>
                  <wp:extent cx="5511800" cy="3968115"/>
                  <wp:effectExtent l="0" t="0" r="0" b="0"/>
                  <wp:wrapTopAndBottom/>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1" cstate="print"/>
                          <a:stretch>
                            <a:fillRect/>
                          </a:stretch>
                        </pic:blipFill>
                        <pic:spPr>
                          <a:xfrm>
                            <a:off x="0" y="0"/>
                            <a:ext cx="5511800" cy="3968115"/>
                          </a:xfrm>
                          <a:prstGeom prst="rect">
                            <a:avLst/>
                          </a:prstGeom>
                        </pic:spPr>
                      </pic:pic>
                    </a:graphicData>
                  </a:graphic>
                  <wp14:sizeRelH relativeFrom="margin">
                    <wp14:pctWidth>0</wp14:pctWidth>
                  </wp14:sizeRelH>
                  <wp14:sizeRelV relativeFrom="margin">
                    <wp14:pctHeight>0</wp14:pctHeight>
                  </wp14:sizeRelV>
                </wp:anchor>
              </w:drawing>
            </w:r>
          </w:p>
        </w:tc>
      </w:tr>
    </w:tbl>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CB38AA">
        <w:rPr>
          <w:rFonts w:ascii="Times New Roman" w:eastAsia="Arial" w:hAnsi="Times New Roman" w:cs="Times New Roman"/>
          <w:b/>
          <w:bCs/>
          <w:sz w:val="24"/>
          <w:szCs w:val="24"/>
          <w:lang w:val="es-ES"/>
        </w:rPr>
        <w:t>INICIATIVAS PRESENTADAS</w:t>
      </w:r>
    </w:p>
    <w:p w:rsidR="00FD2F7E" w:rsidRPr="00CB38AA" w:rsidRDefault="00FD2F7E" w:rsidP="00306671">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p>
    <w:p w:rsidR="00FD2F7E" w:rsidRPr="00CB38AA" w:rsidRDefault="00FD2F7E" w:rsidP="00306671">
      <w:pPr>
        <w:widowControl w:val="0"/>
        <w:numPr>
          <w:ilvl w:val="0"/>
          <w:numId w:val="27"/>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Iniciativa de Decreto por el que se declara “2026. Año del Humanismo Mexicano en el Estado de México”, presentada por el Dip. Ángel Adriel Negrete Avonce, integrante del Grupo Parlamentario del Partido morena. (10-Dic-25)</w:t>
      </w:r>
    </w:p>
    <w:p w:rsidR="00FD2F7E" w:rsidRPr="00CB38AA" w:rsidRDefault="00FD2F7E" w:rsidP="00306671">
      <w:pPr>
        <w:widowControl w:val="0"/>
        <w:numPr>
          <w:ilvl w:val="0"/>
          <w:numId w:val="27"/>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Iniciativa de Decreto por el que se reforman, adicionan y derogan diversas disposiciones de la Ley en materia de Desaparición Forzada de Personas y Desaparición Cometida por Particulares para el Estado Libre y Soberano de México, de la Ley Orgánica de la Administración Pública del Estado de México, de la Ley de Seguridad del Estado de México y del Código Civil del Estado de México, en materia de desaparición de personas y fortalecimiento de búsqueda, presentada por la Titular del Ejecutivo Estatal. (16-Dic-25)</w:t>
      </w:r>
    </w:p>
    <w:p w:rsidR="00FD2F7E" w:rsidRPr="00CB38AA" w:rsidRDefault="00FD2F7E" w:rsidP="00306671">
      <w:pPr>
        <w:widowControl w:val="0"/>
        <w:numPr>
          <w:ilvl w:val="0"/>
          <w:numId w:val="27"/>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Iniciativa de Decreto por el que se reforman diversas disposiciones de la Constitución Política del Estado Libre y Soberano de México, en materia de seguridad pública y coordinación interinstitucional, presentada por la Titular del Ejecutivo Estatal. (16-Dic-25)</w:t>
      </w:r>
    </w:p>
    <w:p w:rsidR="00FD2F7E" w:rsidRPr="00CB38AA" w:rsidRDefault="00FD2F7E" w:rsidP="00306671">
      <w:pPr>
        <w:widowControl w:val="0"/>
        <w:numPr>
          <w:ilvl w:val="0"/>
          <w:numId w:val="27"/>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Iniciativa de Decreto por el que se reforman y adicionan diversas disposiciones de la Ley de Seguridad del Estado de México y de la Ley Orgánica de la Administración Pública del Estado de México, en materia de seguridad pública, presentada por la Titular del Ejecutivo Estatal. (16-Dic- 25)</w:t>
      </w:r>
    </w:p>
    <w:p w:rsidR="00FD2F7E" w:rsidRPr="00CB38AA" w:rsidRDefault="00FD2F7E" w:rsidP="00306671">
      <w:pPr>
        <w:widowControl w:val="0"/>
        <w:numPr>
          <w:ilvl w:val="0"/>
          <w:numId w:val="27"/>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Iniciativa de Decreto por el que se autoriza al H. Ayuntamiento de Nicolás Romero, Estado de México, a desincorporar del patrimonio del municipio un inmueble, para que sea donado a título gratuito, a favor del Instituto Mexicano del Seguro Social, para realizar las acciones necesarias destinadas a la construcción de un Hospital Regional de 260 camas, presentada por la Titular del </w:t>
      </w:r>
      <w:r w:rsidRPr="00CB38AA">
        <w:rPr>
          <w:rFonts w:ascii="Times New Roman" w:eastAsia="Arial MT" w:hAnsi="Times New Roman" w:cs="Times New Roman"/>
          <w:sz w:val="24"/>
          <w:szCs w:val="24"/>
          <w:lang w:val="es-ES"/>
        </w:rPr>
        <w:lastRenderedPageBreak/>
        <w:t>Ejecutivo Estatal. (16-Dic-25)</w:t>
      </w:r>
    </w:p>
    <w:p w:rsidR="00FD2F7E" w:rsidRPr="00CB38AA" w:rsidRDefault="00FD2F7E" w:rsidP="00306671">
      <w:pPr>
        <w:widowControl w:val="0"/>
        <w:numPr>
          <w:ilvl w:val="0"/>
          <w:numId w:val="27"/>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Iniciativa de Decreto por el que se autoriza al H. Ayuntamiento de Chalco, Estado de México, a desincorporar del patrimonio del municipio un inmueble, para que sea donado a título gratuito, a favor del Instituto Mexicano del Seguro Social, para realizar las acciones necesarias destinadas a la construcción de una Unidad Médica, presentada por la Titular del Ejecutivo Estatal. (12-Ene-26)</w:t>
      </w:r>
    </w:p>
    <w:p w:rsidR="00FD2F7E" w:rsidRPr="00CB38AA" w:rsidRDefault="00FD2F7E" w:rsidP="00306671">
      <w:pPr>
        <w:widowControl w:val="0"/>
        <w:numPr>
          <w:ilvl w:val="0"/>
          <w:numId w:val="27"/>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Iniciativa de Decreto por el que se expide la Ley para Prevenir, Atender y Combatir los Delitos en materia de Extorsión y Delitos Vinculados del Estado de México, y se reforman, adicionan y derogan diversas disposiciones del Código Penal del Estado de México y de la Ley de la Fiscalía General de Justicia del Estado de México, en materia de combate al delito de extorsión y otros delitos vinculados, presentada por la Titular del Ejecutivo Estatal. (12-Ene-26)</w:t>
      </w:r>
    </w:p>
    <w:p w:rsidR="00FD2F7E" w:rsidRPr="00CB38AA" w:rsidRDefault="00FD2F7E" w:rsidP="00306671">
      <w:pPr>
        <w:widowControl w:val="0"/>
        <w:numPr>
          <w:ilvl w:val="0"/>
          <w:numId w:val="27"/>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Iniciativa con Proyecto de Decreto mediante el cual se declara el 4 de octubre de cada año como el Día de los Seres Sintientes del Estado de México, presentada por la Dip. Martha Azucena Camacho Reynoso, integrante del Grupo Parlamentario del Partido morena. (12-Ene-26)</w:t>
      </w:r>
    </w:p>
    <w:p w:rsidR="00FD2F7E" w:rsidRPr="00CB38AA" w:rsidRDefault="00FD2F7E" w:rsidP="00306671">
      <w:pPr>
        <w:widowControl w:val="0"/>
        <w:numPr>
          <w:ilvl w:val="0"/>
          <w:numId w:val="27"/>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Iniciativa de Decreto por el que se convoca a la “LXII” Legislatura a la realización del Quinto Periodo Extraordinario de Sesiones, presentada por las y los integrantes de la Diputación Permanente. (12-Ene-26)</w:t>
      </w:r>
    </w:p>
    <w:p w:rsidR="00FD2F7E" w:rsidRPr="00CB38AA" w:rsidRDefault="00FD2F7E" w:rsidP="00306671">
      <w:pPr>
        <w:widowControl w:val="0"/>
        <w:numPr>
          <w:ilvl w:val="0"/>
          <w:numId w:val="27"/>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Iniciativa de Decreto por el que se autoriza al H. Ayuntamiento de Chalco, Estado de México, a desincorporar del patrimonio del municipio un inmueble, para que sea donado a título gratuito, a favor del Gobierno Federal con destino a la Secretaría de Educación Pública, para realizar las acciones necesarias destinadas a la construcción de un plantel del Centro de Bachillerato Tecnológico y Agropecuario, presentada por la Titular del Ejecutivo Estatal. (22-Ene-26)</w:t>
      </w:r>
    </w:p>
    <w:p w:rsidR="00FD2F7E" w:rsidRPr="00CB38AA" w:rsidRDefault="00FD2F7E" w:rsidP="00306671">
      <w:pPr>
        <w:widowControl w:val="0"/>
        <w:numPr>
          <w:ilvl w:val="0"/>
          <w:numId w:val="27"/>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Iniciativa de Decreto por el que se aprueba la renuncia de la Mtra. Denisse López Reyes, al cargo de Jueza del Poder Judicial del Estado de México, presentada por el Magistrado Presidente del Tribunal Superior de Justicia del Estado de México. (22-Ene-26)</w:t>
      </w:r>
    </w:p>
    <w:p w:rsidR="00FD2F7E" w:rsidRPr="00CB38AA" w:rsidRDefault="00FD2F7E" w:rsidP="00306671">
      <w:pPr>
        <w:widowControl w:val="0"/>
        <w:numPr>
          <w:ilvl w:val="0"/>
          <w:numId w:val="27"/>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Iniciativa de Decreto por la que se declara la técnica artesanal para la elaboración de la bebida del “Tecuí” del municipio de Calimaya, Estado de México, como Patrimonio Cultural Inmaterial del Estado de México, presentada por la Diputada Martha Azucena Camacho Reynoso, en nombre del Grupo Parlamentario del Partido morena. (22-Ene-26)</w:t>
      </w:r>
    </w:p>
    <w:p w:rsidR="00FD2F7E" w:rsidRPr="00CB38AA" w:rsidRDefault="00FD2F7E" w:rsidP="00306671">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306671">
      <w:pPr>
        <w:widowControl w:val="0"/>
        <w:autoSpaceDE w:val="0"/>
        <w:autoSpaceDN w:val="0"/>
        <w:spacing w:after="0" w:line="240" w:lineRule="auto"/>
        <w:jc w:val="both"/>
        <w:rPr>
          <w:rFonts w:ascii="Times New Roman" w:eastAsia="Arial MT" w:hAnsi="Times New Roman" w:cs="Times New Roman"/>
          <w:sz w:val="24"/>
          <w:szCs w:val="24"/>
          <w:lang w:val="es-ES"/>
        </w:rPr>
      </w:pPr>
    </w:p>
    <w:tbl>
      <w:tblPr>
        <w:tblStyle w:val="Tablaconcuadrcu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5"/>
      </w:tblGrid>
      <w:tr w:rsidR="00FD2F7E" w:rsidRPr="00CB38AA" w:rsidTr="00306671">
        <w:trPr>
          <w:jc w:val="center"/>
        </w:trPr>
        <w:tc>
          <w:tcPr>
            <w:tcW w:w="9545" w:type="dxa"/>
          </w:tcPr>
          <w:p w:rsidR="00FD2F7E" w:rsidRPr="00CB38AA" w:rsidRDefault="00FD2F7E" w:rsidP="00FD2F7E">
            <w:pPr>
              <w:spacing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noProof/>
                <w:sz w:val="24"/>
                <w:szCs w:val="24"/>
                <w:lang w:val="es-ES"/>
              </w:rPr>
              <w:lastRenderedPageBreak/>
              <w:drawing>
                <wp:anchor distT="0" distB="0" distL="0" distR="0" simplePos="0" relativeHeight="251693056" behindDoc="0" locked="0" layoutInCell="1" allowOverlap="1" wp14:anchorId="6DE96921" wp14:editId="2E731000">
                  <wp:simplePos x="0" y="0"/>
                  <wp:positionH relativeFrom="page">
                    <wp:posOffset>129540</wp:posOffset>
                  </wp:positionH>
                  <wp:positionV relativeFrom="page">
                    <wp:posOffset>280035</wp:posOffset>
                  </wp:positionV>
                  <wp:extent cx="5610225" cy="4343400"/>
                  <wp:effectExtent l="0" t="0" r="9525" b="0"/>
                  <wp:wrapTopAndBottom/>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12" cstate="print"/>
                          <a:stretch>
                            <a:fillRect/>
                          </a:stretch>
                        </pic:blipFill>
                        <pic:spPr>
                          <a:xfrm>
                            <a:off x="0" y="0"/>
                            <a:ext cx="5610225" cy="4343400"/>
                          </a:xfrm>
                          <a:prstGeom prst="rect">
                            <a:avLst/>
                          </a:prstGeom>
                        </pic:spPr>
                      </pic:pic>
                    </a:graphicData>
                  </a:graphic>
                  <wp14:sizeRelH relativeFrom="margin">
                    <wp14:pctWidth>0</wp14:pctWidth>
                  </wp14:sizeRelH>
                  <wp14:sizeRelV relativeFrom="margin">
                    <wp14:pctHeight>0</wp14:pctHeight>
                  </wp14:sizeRelV>
                </wp:anchor>
              </w:drawing>
            </w:r>
          </w:p>
          <w:p w:rsidR="00FD2F7E" w:rsidRPr="00CB38AA" w:rsidRDefault="00FD2F7E" w:rsidP="00FD2F7E">
            <w:pPr>
              <w:spacing w:line="240" w:lineRule="auto"/>
              <w:jc w:val="both"/>
              <w:rPr>
                <w:rFonts w:ascii="Times New Roman" w:eastAsia="Arial MT" w:hAnsi="Times New Roman" w:cs="Times New Roman"/>
                <w:sz w:val="24"/>
                <w:szCs w:val="24"/>
                <w:lang w:val="es-ES"/>
              </w:rPr>
            </w:pPr>
          </w:p>
        </w:tc>
      </w:tr>
    </w:tbl>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CB38AA">
        <w:rPr>
          <w:rFonts w:ascii="Times New Roman" w:eastAsia="Arial" w:hAnsi="Times New Roman" w:cs="Times New Roman"/>
          <w:b/>
          <w:bCs/>
          <w:sz w:val="24"/>
          <w:szCs w:val="24"/>
          <w:lang w:val="es-ES"/>
        </w:rPr>
        <w:t>DECRETOS APROBADOS</w:t>
      </w:r>
    </w:p>
    <w:p w:rsidR="00FD2F7E" w:rsidRPr="00CB38AA" w:rsidRDefault="00FD2F7E" w:rsidP="00FD2F7E">
      <w:pPr>
        <w:widowControl w:val="0"/>
        <w:autoSpaceDE w:val="0"/>
        <w:autoSpaceDN w:val="0"/>
        <w:spacing w:after="0" w:line="240" w:lineRule="auto"/>
        <w:rPr>
          <w:rFonts w:ascii="Times New Roman" w:eastAsia="Arial MT" w:hAnsi="Times New Roman" w:cs="Times New Roman"/>
          <w:b/>
          <w:sz w:val="24"/>
          <w:szCs w:val="24"/>
          <w:lang w:val="es-ES"/>
        </w:rPr>
      </w:pPr>
    </w:p>
    <w:tbl>
      <w:tblPr>
        <w:tblStyle w:val="TableNormal2"/>
        <w:tblW w:w="9440" w:type="dxa"/>
        <w:jc w:val="center"/>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ook w:val="01E0" w:firstRow="1" w:lastRow="1" w:firstColumn="1" w:lastColumn="1" w:noHBand="0" w:noVBand="0"/>
      </w:tblPr>
      <w:tblGrid>
        <w:gridCol w:w="1192"/>
        <w:gridCol w:w="2336"/>
        <w:gridCol w:w="2134"/>
        <w:gridCol w:w="2239"/>
        <w:gridCol w:w="1539"/>
      </w:tblGrid>
      <w:tr w:rsidR="00FD2F7E" w:rsidRPr="00CB38AA" w:rsidTr="00FD2F7E">
        <w:trPr>
          <w:trHeight w:val="484"/>
          <w:jc w:val="center"/>
        </w:trPr>
        <w:tc>
          <w:tcPr>
            <w:tcW w:w="871" w:type="dxa"/>
            <w:shd w:val="clear" w:color="auto" w:fill="AE1E4E"/>
          </w:tcPr>
          <w:p w:rsidR="00FD2F7E" w:rsidRPr="00CB38AA" w:rsidRDefault="00FD2F7E" w:rsidP="00306671">
            <w:pPr>
              <w:spacing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DECRETO NÚMERO</w:t>
            </w:r>
          </w:p>
        </w:tc>
        <w:tc>
          <w:tcPr>
            <w:tcW w:w="2608" w:type="dxa"/>
            <w:shd w:val="clear" w:color="auto" w:fill="AE1E4E"/>
          </w:tcPr>
          <w:p w:rsidR="00FD2F7E" w:rsidRPr="00CB38AA" w:rsidRDefault="00FD2F7E" w:rsidP="00306671">
            <w:pPr>
              <w:spacing w:line="240" w:lineRule="auto"/>
              <w:jc w:val="center"/>
              <w:rPr>
                <w:rFonts w:ascii="Times New Roman" w:eastAsia="Arial MT" w:hAnsi="Times New Roman" w:cs="Times New Roman"/>
                <w:b/>
                <w:sz w:val="24"/>
                <w:szCs w:val="24"/>
                <w:lang w:val="es-ES"/>
              </w:rPr>
            </w:pPr>
          </w:p>
          <w:p w:rsidR="00FD2F7E" w:rsidRPr="00CB38AA" w:rsidRDefault="00FD2F7E" w:rsidP="00306671">
            <w:pPr>
              <w:spacing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RUBRO</w:t>
            </w:r>
          </w:p>
        </w:tc>
        <w:tc>
          <w:tcPr>
            <w:tcW w:w="2362" w:type="dxa"/>
            <w:shd w:val="clear" w:color="auto" w:fill="AE1E4E"/>
          </w:tcPr>
          <w:p w:rsidR="00FD2F7E" w:rsidRPr="00CB38AA" w:rsidRDefault="00FD2F7E" w:rsidP="00306671">
            <w:pPr>
              <w:spacing w:line="240" w:lineRule="auto"/>
              <w:jc w:val="center"/>
              <w:rPr>
                <w:rFonts w:ascii="Times New Roman" w:eastAsia="Arial MT" w:hAnsi="Times New Roman" w:cs="Times New Roman"/>
                <w:b/>
                <w:sz w:val="24"/>
                <w:szCs w:val="24"/>
                <w:lang w:val="es-ES"/>
              </w:rPr>
            </w:pPr>
          </w:p>
          <w:p w:rsidR="00FD2F7E" w:rsidRPr="00CB38AA" w:rsidRDefault="00FD2F7E" w:rsidP="00306671">
            <w:pPr>
              <w:spacing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AUTOR</w:t>
            </w:r>
          </w:p>
        </w:tc>
        <w:tc>
          <w:tcPr>
            <w:tcW w:w="2483" w:type="dxa"/>
            <w:shd w:val="clear" w:color="auto" w:fill="AE1E4E"/>
          </w:tcPr>
          <w:p w:rsidR="00FD2F7E" w:rsidRPr="00CB38AA" w:rsidRDefault="00FD2F7E" w:rsidP="00306671">
            <w:pPr>
              <w:spacing w:line="240" w:lineRule="auto"/>
              <w:jc w:val="center"/>
              <w:rPr>
                <w:rFonts w:ascii="Times New Roman" w:eastAsia="Arial MT" w:hAnsi="Times New Roman" w:cs="Times New Roman"/>
                <w:b/>
                <w:sz w:val="24"/>
                <w:szCs w:val="24"/>
                <w:lang w:val="es-ES"/>
              </w:rPr>
            </w:pPr>
          </w:p>
          <w:p w:rsidR="00FD2F7E" w:rsidRPr="00CB38AA" w:rsidRDefault="00FD2F7E" w:rsidP="00306671">
            <w:pPr>
              <w:spacing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MATERIA</w:t>
            </w:r>
          </w:p>
        </w:tc>
        <w:tc>
          <w:tcPr>
            <w:tcW w:w="1116" w:type="dxa"/>
            <w:shd w:val="clear" w:color="auto" w:fill="AE1E4E"/>
          </w:tcPr>
          <w:p w:rsidR="00FD2F7E" w:rsidRPr="00CB38AA" w:rsidRDefault="00FD2F7E" w:rsidP="00306671">
            <w:pPr>
              <w:spacing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FECHA DE EXPEDICIÓN</w:t>
            </w:r>
          </w:p>
        </w:tc>
      </w:tr>
      <w:tr w:rsidR="00FD2F7E" w:rsidRPr="00CB38AA" w:rsidTr="00FD2F7E">
        <w:trPr>
          <w:trHeight w:val="787"/>
          <w:jc w:val="center"/>
        </w:trPr>
        <w:tc>
          <w:tcPr>
            <w:tcW w:w="871" w:type="dxa"/>
          </w:tcPr>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245</w:t>
            </w:r>
          </w:p>
        </w:tc>
        <w:tc>
          <w:tcPr>
            <w:tcW w:w="2608" w:type="dxa"/>
          </w:tcPr>
          <w:p w:rsidR="00FD2F7E" w:rsidRPr="00CB38AA" w:rsidRDefault="00FD2F7E" w:rsidP="00FD2F7E">
            <w:pPr>
              <w:spacing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Por el que se declara “2026. Año del Humanismo Mexicano en el Estado de México”.</w:t>
            </w:r>
          </w:p>
        </w:tc>
        <w:tc>
          <w:tcPr>
            <w:tcW w:w="2362"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Dip. Ángel Adriel Negrete Avonce, integrante del Grupo Parlamentario del PM.</w:t>
            </w:r>
          </w:p>
        </w:tc>
        <w:tc>
          <w:tcPr>
            <w:tcW w:w="2483" w:type="dxa"/>
          </w:tcPr>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Declara “2026. Año del Humanismo Mexicano en el Estado de México”.</w:t>
            </w:r>
          </w:p>
        </w:tc>
        <w:tc>
          <w:tcPr>
            <w:tcW w:w="1116" w:type="dxa"/>
          </w:tcPr>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10-Dic-25</w:t>
            </w:r>
          </w:p>
        </w:tc>
      </w:tr>
      <w:tr w:rsidR="00FD2F7E" w:rsidRPr="00CB38AA" w:rsidTr="00FD2F7E">
        <w:trPr>
          <w:trHeight w:val="2069"/>
          <w:jc w:val="center"/>
        </w:trPr>
        <w:tc>
          <w:tcPr>
            <w:tcW w:w="871" w:type="dxa"/>
          </w:tcPr>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259</w:t>
            </w:r>
          </w:p>
        </w:tc>
        <w:tc>
          <w:tcPr>
            <w:tcW w:w="2608" w:type="dxa"/>
          </w:tcPr>
          <w:p w:rsidR="00FD2F7E" w:rsidRPr="00CB38AA" w:rsidRDefault="00FD2F7E" w:rsidP="00FD2F7E">
            <w:pPr>
              <w:spacing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Por el que se autoriza al H. Ayuntamiento de Nicolás Romero, Estado de México, a desincorporar del patrimonio del municipio un inmueble, para que sea donado a título gratuito, a favor del Instituto Mexicano </w:t>
            </w:r>
            <w:r w:rsidRPr="00CB38AA">
              <w:rPr>
                <w:rFonts w:ascii="Times New Roman" w:eastAsia="Arial MT" w:hAnsi="Times New Roman" w:cs="Times New Roman"/>
                <w:sz w:val="24"/>
                <w:szCs w:val="24"/>
                <w:lang w:val="es-ES"/>
              </w:rPr>
              <w:lastRenderedPageBreak/>
              <w:t>del Seguro Social, para realizar las acciones necesarias destinadas a la construcción de un Hospital Regional de 260 camas.</w:t>
            </w:r>
          </w:p>
        </w:tc>
        <w:tc>
          <w:tcPr>
            <w:tcW w:w="2362" w:type="dxa"/>
          </w:tcPr>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Ejecutivo Estatal</w:t>
            </w:r>
          </w:p>
        </w:tc>
        <w:tc>
          <w:tcPr>
            <w:tcW w:w="2483" w:type="dxa"/>
          </w:tcPr>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Autoriza al H. Ayuntamiento de Nicolás Romero, Estado de México, a desincorporar del patrimonio del municipio un inmueble, para que sea donado a título </w:t>
            </w:r>
            <w:r w:rsidRPr="00CB38AA">
              <w:rPr>
                <w:rFonts w:ascii="Times New Roman" w:eastAsia="Arial MT" w:hAnsi="Times New Roman" w:cs="Times New Roman"/>
                <w:sz w:val="24"/>
                <w:szCs w:val="24"/>
                <w:lang w:val="es-ES"/>
              </w:rPr>
              <w:lastRenderedPageBreak/>
              <w:t>gratuito, a favor del Instituto Mexicano del Seguro Social, para realizar las acciones necesarias destinadas a la construcción de un Hospital Regional de 260 camas.</w:t>
            </w:r>
          </w:p>
        </w:tc>
        <w:tc>
          <w:tcPr>
            <w:tcW w:w="1116" w:type="dxa"/>
          </w:tcPr>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16-Dic-25</w:t>
            </w:r>
          </w:p>
        </w:tc>
      </w:tr>
      <w:tr w:rsidR="00FD2F7E" w:rsidRPr="00CB38AA" w:rsidTr="00FD2F7E">
        <w:trPr>
          <w:trHeight w:val="787"/>
          <w:jc w:val="center"/>
        </w:trPr>
        <w:tc>
          <w:tcPr>
            <w:tcW w:w="871" w:type="dxa"/>
          </w:tcPr>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260</w:t>
            </w:r>
          </w:p>
        </w:tc>
        <w:tc>
          <w:tcPr>
            <w:tcW w:w="2608" w:type="dxa"/>
          </w:tcPr>
          <w:p w:rsidR="00FD2F7E" w:rsidRPr="00CB38AA" w:rsidRDefault="00FD2F7E" w:rsidP="00FD2F7E">
            <w:pPr>
              <w:spacing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Por el que se convoca a la “LXII” Legislatura a la realización del Quinto Periodo Extraordinario de Sesiones.</w:t>
            </w:r>
          </w:p>
        </w:tc>
        <w:tc>
          <w:tcPr>
            <w:tcW w:w="2362" w:type="dxa"/>
          </w:tcPr>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Diputación Permanente</w:t>
            </w:r>
          </w:p>
        </w:tc>
        <w:tc>
          <w:tcPr>
            <w:tcW w:w="2483" w:type="dxa"/>
          </w:tcPr>
          <w:p w:rsidR="00FD2F7E" w:rsidRPr="00CB38AA" w:rsidRDefault="00FD2F7E" w:rsidP="00FD2F7E">
            <w:pPr>
              <w:spacing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Convoca a la “LXII” Legislatura a la realización del Quinto Periodo Extraordinario de Sesiones.</w:t>
            </w:r>
          </w:p>
        </w:tc>
        <w:tc>
          <w:tcPr>
            <w:tcW w:w="1116" w:type="dxa"/>
          </w:tcPr>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12-Ene-26</w:t>
            </w:r>
          </w:p>
        </w:tc>
      </w:tr>
      <w:tr w:rsidR="00FD2F7E" w:rsidRPr="00CB38AA" w:rsidTr="00FD2F7E">
        <w:trPr>
          <w:trHeight w:val="1885"/>
          <w:jc w:val="center"/>
        </w:trPr>
        <w:tc>
          <w:tcPr>
            <w:tcW w:w="871" w:type="dxa"/>
          </w:tcPr>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262</w:t>
            </w:r>
          </w:p>
        </w:tc>
        <w:tc>
          <w:tcPr>
            <w:tcW w:w="2608" w:type="dxa"/>
          </w:tcPr>
          <w:p w:rsidR="00FD2F7E" w:rsidRPr="00CB38AA" w:rsidRDefault="00FD2F7E" w:rsidP="00FD2F7E">
            <w:pPr>
              <w:spacing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Por el que se autoriza al H. Ayuntamiento de Chalco, Estado de México, a desincorporar del patrimonio del municipio un inmueble, para que sea donado a título gratuito, a favor del Instituto Mexicano del Seguro Social, para realizar las acciones necesarias destinadas a la construcción de una Unidad Médica.</w:t>
            </w:r>
          </w:p>
        </w:tc>
        <w:tc>
          <w:tcPr>
            <w:tcW w:w="2362" w:type="dxa"/>
          </w:tcPr>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Ejecutivo Estatal</w:t>
            </w:r>
          </w:p>
        </w:tc>
        <w:tc>
          <w:tcPr>
            <w:tcW w:w="2483" w:type="dxa"/>
          </w:tcPr>
          <w:p w:rsidR="00FD2F7E" w:rsidRPr="00CB38AA" w:rsidRDefault="00FD2F7E" w:rsidP="00FD2F7E">
            <w:pPr>
              <w:spacing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Autoriza al H. Ayuntamiento de Chalco, Estado de México, a desincorporar del patrimonio del municipio un inmueble, para que sea donado a título gratuito, a favor del Instituto Mexicano del Seguro Social, para realizar las acciones necesarias destinadas a la construcción de una Unidad Médica.</w:t>
            </w:r>
          </w:p>
        </w:tc>
        <w:tc>
          <w:tcPr>
            <w:tcW w:w="1116" w:type="dxa"/>
          </w:tcPr>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12-Ene-26</w:t>
            </w:r>
          </w:p>
        </w:tc>
      </w:tr>
      <w:tr w:rsidR="00FD2F7E" w:rsidRPr="00CB38AA" w:rsidTr="00FD2F7E">
        <w:trPr>
          <w:trHeight w:val="787"/>
          <w:jc w:val="center"/>
        </w:trPr>
        <w:tc>
          <w:tcPr>
            <w:tcW w:w="871" w:type="dxa"/>
          </w:tcPr>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263</w:t>
            </w:r>
          </w:p>
        </w:tc>
        <w:tc>
          <w:tcPr>
            <w:tcW w:w="2608" w:type="dxa"/>
          </w:tcPr>
          <w:p w:rsidR="00FD2F7E" w:rsidRPr="00CB38AA" w:rsidRDefault="00FD2F7E" w:rsidP="00FD2F7E">
            <w:pPr>
              <w:spacing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Por el que se declara el 4 de octubre de cada año como el “día de los Seres Sintientes del Estado de México”.</w:t>
            </w:r>
          </w:p>
        </w:tc>
        <w:tc>
          <w:tcPr>
            <w:tcW w:w="2362"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Dip. Martha Azucena Camacho Reynoso, integrante del Grupo Parlamentario del PM.</w:t>
            </w:r>
          </w:p>
        </w:tc>
        <w:tc>
          <w:tcPr>
            <w:tcW w:w="2483" w:type="dxa"/>
          </w:tcPr>
          <w:p w:rsidR="00FD2F7E" w:rsidRPr="00CB38AA" w:rsidRDefault="00FD2F7E" w:rsidP="00FD2F7E">
            <w:pPr>
              <w:spacing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Declara el 4 de octubre de cada año como el “día de los Seres Sintientes del Estado de México”.</w:t>
            </w:r>
          </w:p>
        </w:tc>
        <w:tc>
          <w:tcPr>
            <w:tcW w:w="1116" w:type="dxa"/>
          </w:tcPr>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12-Ene-26</w:t>
            </w:r>
          </w:p>
        </w:tc>
      </w:tr>
      <w:tr w:rsidR="00FD2F7E" w:rsidRPr="00CB38AA" w:rsidTr="00FD2F7E">
        <w:trPr>
          <w:trHeight w:val="971"/>
          <w:jc w:val="center"/>
        </w:trPr>
        <w:tc>
          <w:tcPr>
            <w:tcW w:w="871" w:type="dxa"/>
          </w:tcPr>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269</w:t>
            </w:r>
          </w:p>
        </w:tc>
        <w:tc>
          <w:tcPr>
            <w:tcW w:w="2608" w:type="dxa"/>
          </w:tcPr>
          <w:p w:rsidR="00FD2F7E" w:rsidRPr="00CB38AA" w:rsidRDefault="00FD2F7E" w:rsidP="00FD2F7E">
            <w:pPr>
              <w:spacing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Por el que se aprueba la renuncia de la Mtra. Denisse López Reyes, al cargo de Jueza del Poder Judicial del Estado de México, en materia familiar.</w:t>
            </w:r>
          </w:p>
        </w:tc>
        <w:tc>
          <w:tcPr>
            <w:tcW w:w="2362" w:type="dxa"/>
          </w:tcPr>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Presidente del Tribunal Superior de Justicia.</w:t>
            </w:r>
          </w:p>
        </w:tc>
        <w:tc>
          <w:tcPr>
            <w:tcW w:w="2483" w:type="dxa"/>
          </w:tcPr>
          <w:p w:rsidR="00FD2F7E" w:rsidRPr="00CB38AA" w:rsidRDefault="00FD2F7E" w:rsidP="00FD2F7E">
            <w:pPr>
              <w:spacing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Aprueba la renuncia de la Mtra. Denisse López Reyes, al cargo de Jueza del Poder Judicial del Estado de México, en materia familiar.</w:t>
            </w:r>
          </w:p>
        </w:tc>
        <w:tc>
          <w:tcPr>
            <w:tcW w:w="1116" w:type="dxa"/>
          </w:tcPr>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22-Ene-26</w:t>
            </w:r>
          </w:p>
        </w:tc>
      </w:tr>
      <w:tr w:rsidR="00FD2F7E" w:rsidRPr="00CB38AA" w:rsidTr="00FD2F7E">
        <w:trPr>
          <w:trHeight w:val="1336"/>
          <w:jc w:val="center"/>
        </w:trPr>
        <w:tc>
          <w:tcPr>
            <w:tcW w:w="871" w:type="dxa"/>
          </w:tcPr>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271</w:t>
            </w:r>
          </w:p>
        </w:tc>
        <w:tc>
          <w:tcPr>
            <w:tcW w:w="2608" w:type="dxa"/>
          </w:tcPr>
          <w:p w:rsidR="00FD2F7E" w:rsidRPr="00CB38AA" w:rsidRDefault="00FD2F7E" w:rsidP="00FD2F7E">
            <w:pPr>
              <w:spacing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Por el que se declara la técnica artesanal para la elaboración de la bebida tradicional del Tecuí, del Municipio de Calimaya, Estado de México, como Patrimonio Cultural </w:t>
            </w:r>
            <w:r w:rsidRPr="00CB38AA">
              <w:rPr>
                <w:rFonts w:ascii="Times New Roman" w:eastAsia="Arial MT" w:hAnsi="Times New Roman" w:cs="Times New Roman"/>
                <w:sz w:val="24"/>
                <w:szCs w:val="24"/>
                <w:lang w:val="es-ES"/>
              </w:rPr>
              <w:lastRenderedPageBreak/>
              <w:t>Inmaterial del Estado de México.</w:t>
            </w:r>
          </w:p>
        </w:tc>
        <w:tc>
          <w:tcPr>
            <w:tcW w:w="2362" w:type="dxa"/>
          </w:tcPr>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Dip. Martha Azucena Camacho Reynoso, integrante del Grupo Parlamentario del PM.</w:t>
            </w:r>
          </w:p>
        </w:tc>
        <w:tc>
          <w:tcPr>
            <w:tcW w:w="2483" w:type="dxa"/>
          </w:tcPr>
          <w:p w:rsidR="00FD2F7E" w:rsidRPr="00CB38AA" w:rsidRDefault="00FD2F7E" w:rsidP="00FD2F7E">
            <w:pPr>
              <w:spacing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Declara la técnica artesanal para la elaboración de la bebida tradicional del Tecuí, del Municipio de Calimaya, Estado de México, como Patrimonio Cultural </w:t>
            </w:r>
            <w:r w:rsidRPr="00CB38AA">
              <w:rPr>
                <w:rFonts w:ascii="Times New Roman" w:eastAsia="Arial MT" w:hAnsi="Times New Roman" w:cs="Times New Roman"/>
                <w:sz w:val="24"/>
                <w:szCs w:val="24"/>
                <w:lang w:val="es-ES"/>
              </w:rPr>
              <w:lastRenderedPageBreak/>
              <w:t>Inmaterial del Estado de México.</w:t>
            </w:r>
          </w:p>
        </w:tc>
        <w:tc>
          <w:tcPr>
            <w:tcW w:w="1116" w:type="dxa"/>
          </w:tcPr>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22-Ene-26</w:t>
            </w:r>
          </w:p>
        </w:tc>
      </w:tr>
      <w:tr w:rsidR="00FD2F7E" w:rsidRPr="00CB38AA" w:rsidTr="00FD2F7E">
        <w:trPr>
          <w:trHeight w:val="2251"/>
          <w:jc w:val="center"/>
        </w:trPr>
        <w:tc>
          <w:tcPr>
            <w:tcW w:w="871" w:type="dxa"/>
          </w:tcPr>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272</w:t>
            </w:r>
          </w:p>
        </w:tc>
        <w:tc>
          <w:tcPr>
            <w:tcW w:w="2608" w:type="dxa"/>
          </w:tcPr>
          <w:p w:rsidR="00FD2F7E" w:rsidRPr="00CB38AA" w:rsidRDefault="00FD2F7E" w:rsidP="00FD2F7E">
            <w:pPr>
              <w:spacing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Por el que se autoriza al H. Ayuntamiento de Chalco, Estado de México, a desincorporar del patrimonio del municipio un inmueble, para que sea donado a título gratuito, a favor del Gobierno Federal con destino a la Secretaría de Educación Pública, para realizar las acciones necesarias destinadas a la construcción de un plantel del Centro de Bachillerato Tecnológico y Agropecuario.</w:t>
            </w:r>
          </w:p>
        </w:tc>
        <w:tc>
          <w:tcPr>
            <w:tcW w:w="2362" w:type="dxa"/>
          </w:tcPr>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Ejecutivo Estatal</w:t>
            </w:r>
          </w:p>
        </w:tc>
        <w:tc>
          <w:tcPr>
            <w:tcW w:w="2483" w:type="dxa"/>
          </w:tcPr>
          <w:p w:rsidR="00FD2F7E" w:rsidRPr="00CB38AA" w:rsidRDefault="00FD2F7E" w:rsidP="00FD2F7E">
            <w:pPr>
              <w:spacing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Autoriza al H. Ayuntamiento de Chalco, Estado de México, a desincorporar del patrimonio del municipio un inmueble, para que sea donado a título gratuito, a favor del Gobierno Federal con destino a la Secretaría de Educación Pública, para realizar las acciones necesarias destinadas a la construcción de un plantel del Centro de Bachillerato Tecnológico y Agropecuario.</w:t>
            </w:r>
          </w:p>
        </w:tc>
        <w:tc>
          <w:tcPr>
            <w:tcW w:w="1116" w:type="dxa"/>
          </w:tcPr>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22-Ene-26</w:t>
            </w:r>
          </w:p>
        </w:tc>
      </w:tr>
    </w:tbl>
    <w:p w:rsidR="00FD2F7E" w:rsidRPr="00CB38AA" w:rsidRDefault="00FD2F7E" w:rsidP="00FD2F7E">
      <w:pPr>
        <w:widowControl w:val="0"/>
        <w:autoSpaceDE w:val="0"/>
        <w:autoSpaceDN w:val="0"/>
        <w:spacing w:after="0" w:line="240" w:lineRule="auto"/>
        <w:rPr>
          <w:rFonts w:ascii="Times New Roman" w:eastAsia="Arial MT" w:hAnsi="Times New Roman" w:cs="Times New Roman"/>
          <w:b/>
          <w:sz w:val="24"/>
          <w:szCs w:val="24"/>
          <w:lang w:val="es-ES"/>
        </w:rPr>
      </w:pPr>
    </w:p>
    <w:p w:rsidR="00FD2F7E" w:rsidRPr="00CB38AA" w:rsidRDefault="00FD2F7E" w:rsidP="00FD2F7E">
      <w:pPr>
        <w:widowControl w:val="0"/>
        <w:autoSpaceDE w:val="0"/>
        <w:autoSpaceDN w:val="0"/>
        <w:spacing w:after="0" w:line="240" w:lineRule="auto"/>
        <w:rPr>
          <w:rFonts w:ascii="Times New Roman" w:eastAsia="Arial MT" w:hAnsi="Times New Roman" w:cs="Times New Roman"/>
          <w:b/>
          <w:sz w:val="24"/>
          <w:szCs w:val="24"/>
          <w:lang w:val="es-ES"/>
        </w:rPr>
      </w:pPr>
    </w:p>
    <w:tbl>
      <w:tblPr>
        <w:tblStyle w:val="Tablaconcuadrcu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5"/>
      </w:tblGrid>
      <w:tr w:rsidR="00FD2F7E" w:rsidRPr="00CB38AA" w:rsidTr="00306671">
        <w:trPr>
          <w:jc w:val="center"/>
        </w:trPr>
        <w:tc>
          <w:tcPr>
            <w:tcW w:w="9545" w:type="dxa"/>
          </w:tcPr>
          <w:p w:rsidR="00FD2F7E" w:rsidRPr="00CB38AA" w:rsidRDefault="00FD2F7E" w:rsidP="00FD2F7E">
            <w:pPr>
              <w:spacing w:line="240" w:lineRule="auto"/>
              <w:rPr>
                <w:rFonts w:ascii="Times New Roman" w:eastAsia="Arial MT" w:hAnsi="Times New Roman" w:cs="Times New Roman"/>
                <w:b/>
                <w:sz w:val="24"/>
                <w:szCs w:val="24"/>
                <w:lang w:val="es-ES"/>
              </w:rPr>
            </w:pPr>
            <w:r w:rsidRPr="00CB38AA">
              <w:rPr>
                <w:rFonts w:ascii="Times New Roman" w:eastAsia="Arial MT" w:hAnsi="Times New Roman" w:cs="Times New Roman"/>
                <w:noProof/>
                <w:sz w:val="24"/>
                <w:szCs w:val="24"/>
                <w:lang w:val="es-ES"/>
              </w:rPr>
              <w:lastRenderedPageBreak/>
              <w:drawing>
                <wp:anchor distT="0" distB="0" distL="0" distR="0" simplePos="0" relativeHeight="251695104" behindDoc="0" locked="0" layoutInCell="1" allowOverlap="1" wp14:anchorId="0F3990F7" wp14:editId="2E7B19B7">
                  <wp:simplePos x="0" y="0"/>
                  <wp:positionH relativeFrom="page">
                    <wp:posOffset>129540</wp:posOffset>
                  </wp:positionH>
                  <wp:positionV relativeFrom="page">
                    <wp:posOffset>241935</wp:posOffset>
                  </wp:positionV>
                  <wp:extent cx="5753100" cy="4229100"/>
                  <wp:effectExtent l="0" t="0" r="0" b="0"/>
                  <wp:wrapTopAndBottom/>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13" cstate="print"/>
                          <a:stretch>
                            <a:fillRect/>
                          </a:stretch>
                        </pic:blipFill>
                        <pic:spPr>
                          <a:xfrm>
                            <a:off x="0" y="0"/>
                            <a:ext cx="5753100" cy="4229100"/>
                          </a:xfrm>
                          <a:prstGeom prst="rect">
                            <a:avLst/>
                          </a:prstGeom>
                        </pic:spPr>
                      </pic:pic>
                    </a:graphicData>
                  </a:graphic>
                  <wp14:sizeRelH relativeFrom="margin">
                    <wp14:pctWidth>0</wp14:pctWidth>
                  </wp14:sizeRelH>
                  <wp14:sizeRelV relativeFrom="margin">
                    <wp14:pctHeight>0</wp14:pctHeight>
                  </wp14:sizeRelV>
                </wp:anchor>
              </w:drawing>
            </w: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tc>
      </w:tr>
    </w:tbl>
    <w:p w:rsidR="00FD2F7E" w:rsidRPr="00CB38AA" w:rsidRDefault="00FD2F7E" w:rsidP="00FD2F7E">
      <w:pPr>
        <w:widowControl w:val="0"/>
        <w:autoSpaceDE w:val="0"/>
        <w:autoSpaceDN w:val="0"/>
        <w:spacing w:after="0" w:line="240" w:lineRule="auto"/>
        <w:rPr>
          <w:rFonts w:ascii="Times New Roman" w:eastAsia="Arial MT" w:hAnsi="Times New Roman" w:cs="Times New Roman"/>
          <w:b/>
          <w:sz w:val="24"/>
          <w:szCs w:val="24"/>
          <w:lang w:val="es-ES"/>
        </w:rPr>
      </w:pPr>
    </w:p>
    <w:p w:rsidR="00FD2F7E" w:rsidRPr="00CB38AA" w:rsidRDefault="00FD2F7E" w:rsidP="00FD2F7E">
      <w:pPr>
        <w:widowControl w:val="0"/>
        <w:autoSpaceDE w:val="0"/>
        <w:autoSpaceDN w:val="0"/>
        <w:spacing w:after="0" w:line="240" w:lineRule="auto"/>
        <w:rPr>
          <w:rFonts w:ascii="Times New Roman" w:eastAsia="Arial MT" w:hAnsi="Times New Roman" w:cs="Times New Roman"/>
          <w:b/>
          <w:sz w:val="24"/>
          <w:szCs w:val="24"/>
          <w:lang w:val="es-ES"/>
        </w:rPr>
      </w:pPr>
    </w:p>
    <w:p w:rsidR="00FD2F7E" w:rsidRPr="00CB38AA" w:rsidRDefault="00FD2F7E" w:rsidP="00FD2F7E">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CB38AA">
        <w:rPr>
          <w:rFonts w:ascii="Times New Roman" w:eastAsia="Arial" w:hAnsi="Times New Roman" w:cs="Times New Roman"/>
          <w:b/>
          <w:bCs/>
          <w:sz w:val="24"/>
          <w:szCs w:val="24"/>
          <w:lang w:val="es-ES"/>
        </w:rPr>
        <w:t>REUNIONES DE COMISIONES LEGISLATIVAS</w:t>
      </w:r>
    </w:p>
    <w:p w:rsidR="00FD2F7E" w:rsidRPr="00CB38AA" w:rsidRDefault="00FD2F7E" w:rsidP="00FD2F7E">
      <w:pPr>
        <w:widowControl w:val="0"/>
        <w:autoSpaceDE w:val="0"/>
        <w:autoSpaceDN w:val="0"/>
        <w:spacing w:after="0" w:line="240" w:lineRule="auto"/>
        <w:rPr>
          <w:rFonts w:ascii="Times New Roman" w:eastAsia="Arial MT" w:hAnsi="Times New Roman" w:cs="Times New Roman"/>
          <w:b/>
          <w:sz w:val="24"/>
          <w:szCs w:val="24"/>
          <w:lang w:val="es-ES"/>
        </w:rPr>
      </w:pPr>
    </w:p>
    <w:tbl>
      <w:tblPr>
        <w:tblStyle w:val="TableNormal2"/>
        <w:tblW w:w="932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44"/>
        <w:gridCol w:w="3275"/>
        <w:gridCol w:w="4530"/>
        <w:gridCol w:w="880"/>
      </w:tblGrid>
      <w:tr w:rsidR="00FD2F7E" w:rsidRPr="00CB38AA" w:rsidTr="00FD2F7E">
        <w:trPr>
          <w:trHeight w:val="20"/>
          <w:jc w:val="center"/>
        </w:trPr>
        <w:tc>
          <w:tcPr>
            <w:tcW w:w="629" w:type="dxa"/>
            <w:shd w:val="clear" w:color="auto" w:fill="AE1E4E"/>
          </w:tcPr>
          <w:p w:rsidR="00FD2F7E" w:rsidRPr="00CB38AA" w:rsidRDefault="00FD2F7E" w:rsidP="00FD2F7E">
            <w:pPr>
              <w:spacing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NÚM.</w:t>
            </w:r>
          </w:p>
        </w:tc>
        <w:tc>
          <w:tcPr>
            <w:tcW w:w="3280" w:type="dxa"/>
            <w:shd w:val="clear" w:color="auto" w:fill="AE1E4E"/>
          </w:tcPr>
          <w:p w:rsidR="00FD2F7E" w:rsidRPr="00CB38AA" w:rsidRDefault="00FD2F7E" w:rsidP="00FD2F7E">
            <w:pPr>
              <w:spacing w:line="240" w:lineRule="auto"/>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COMISIÓN Y/O COMITÉ</w:t>
            </w:r>
          </w:p>
        </w:tc>
        <w:tc>
          <w:tcPr>
            <w:tcW w:w="4540" w:type="dxa"/>
            <w:shd w:val="clear" w:color="auto" w:fill="AE1E4E"/>
          </w:tcPr>
          <w:p w:rsidR="00FD2F7E" w:rsidRPr="00CB38AA" w:rsidRDefault="00FD2F7E" w:rsidP="00FD2F7E">
            <w:pPr>
              <w:spacing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MATERIA</w:t>
            </w:r>
          </w:p>
        </w:tc>
        <w:tc>
          <w:tcPr>
            <w:tcW w:w="880" w:type="dxa"/>
            <w:shd w:val="clear" w:color="auto" w:fill="AE1E4E"/>
          </w:tcPr>
          <w:p w:rsidR="00FD2F7E" w:rsidRPr="00CB38AA" w:rsidRDefault="00FD2F7E" w:rsidP="00FD2F7E">
            <w:pPr>
              <w:spacing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FECHA</w:t>
            </w:r>
          </w:p>
        </w:tc>
      </w:tr>
      <w:tr w:rsidR="00FD2F7E" w:rsidRPr="00CB38AA" w:rsidTr="00FD2F7E">
        <w:trPr>
          <w:trHeight w:val="20"/>
          <w:jc w:val="center"/>
        </w:trPr>
        <w:tc>
          <w:tcPr>
            <w:tcW w:w="629" w:type="dxa"/>
          </w:tcPr>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1</w:t>
            </w:r>
          </w:p>
        </w:tc>
        <w:tc>
          <w:tcPr>
            <w:tcW w:w="3280" w:type="dxa"/>
          </w:tcPr>
          <w:p w:rsidR="00FD2F7E" w:rsidRPr="00CB38AA" w:rsidRDefault="00FD2F7E" w:rsidP="00FD2F7E">
            <w:pPr>
              <w:spacing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Procuración y Administración de Justicia</w:t>
            </w:r>
          </w:p>
          <w:p w:rsidR="00FD2F7E" w:rsidRPr="00CB38AA" w:rsidRDefault="00FD2F7E" w:rsidP="00FD2F7E">
            <w:pPr>
              <w:spacing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Para las Declaratorias de Alerta de Violencia de Género contra las Mujeres por Feminicidio y Desaparición</w:t>
            </w:r>
          </w:p>
          <w:p w:rsidR="00FD2F7E" w:rsidRPr="00CB38AA" w:rsidRDefault="00FD2F7E" w:rsidP="00FD2F7E">
            <w:pPr>
              <w:spacing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Seguridad Pública y Tránsito</w:t>
            </w:r>
          </w:p>
        </w:tc>
        <w:tc>
          <w:tcPr>
            <w:tcW w:w="4540" w:type="dxa"/>
          </w:tcPr>
          <w:p w:rsidR="00FD2F7E" w:rsidRPr="00CB38AA" w:rsidRDefault="00FD2F7E" w:rsidP="00FD2F7E">
            <w:pPr>
              <w:spacing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Iniciativa de Decreto por el que se reforman, adicionan y derogan diversas disposiciones de la Ley en materia de Desaparición Forzada de Personas y Desaparición Cometida por Particulares para el Estado Libre y Soberano de México, de la Ley Orgánica de la Administración Pública del Estado de México, de la Ley de Seguridad del Estado de México y del Código Civil del Estado de México.</w:t>
            </w:r>
          </w:p>
        </w:tc>
        <w:tc>
          <w:tcPr>
            <w:tcW w:w="880" w:type="dxa"/>
          </w:tcPr>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13-Ene-26</w:t>
            </w:r>
          </w:p>
        </w:tc>
      </w:tr>
      <w:tr w:rsidR="00FD2F7E" w:rsidRPr="00CB38AA" w:rsidTr="00FD2F7E">
        <w:trPr>
          <w:trHeight w:val="20"/>
          <w:jc w:val="center"/>
        </w:trPr>
        <w:tc>
          <w:tcPr>
            <w:tcW w:w="629" w:type="dxa"/>
          </w:tcPr>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2</w:t>
            </w:r>
          </w:p>
        </w:tc>
        <w:tc>
          <w:tcPr>
            <w:tcW w:w="3280" w:type="dxa"/>
          </w:tcPr>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Gobernación y Puntos Constitucionales Seguridad Pública y Tránsito</w:t>
            </w:r>
          </w:p>
        </w:tc>
        <w:tc>
          <w:tcPr>
            <w:tcW w:w="4540" w:type="dxa"/>
          </w:tcPr>
          <w:p w:rsidR="00FD2F7E" w:rsidRPr="00CB38AA" w:rsidRDefault="00FD2F7E" w:rsidP="00FD2F7E">
            <w:pPr>
              <w:spacing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Iniciativa de Decreto por el que se reforman diversas disposiciones de la Constitución Política del Estado Libre y Soberano de México.</w:t>
            </w:r>
          </w:p>
          <w:p w:rsidR="00FD2F7E" w:rsidRPr="00CB38AA" w:rsidRDefault="00FD2F7E" w:rsidP="00FD2F7E">
            <w:pPr>
              <w:spacing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Iniciativa de Decreto por el que se reforman y adicionan diversas disposiciones de la Ley de Seguridad del Estado de México y de la Ley </w:t>
            </w:r>
            <w:r w:rsidRPr="00CB38AA">
              <w:rPr>
                <w:rFonts w:ascii="Times New Roman" w:eastAsia="Arial MT" w:hAnsi="Times New Roman" w:cs="Times New Roman"/>
                <w:sz w:val="24"/>
                <w:szCs w:val="24"/>
                <w:lang w:val="es-ES"/>
              </w:rPr>
              <w:lastRenderedPageBreak/>
              <w:t>Orgánica de la Administración Pública del Estado de México.</w:t>
            </w:r>
          </w:p>
        </w:tc>
        <w:tc>
          <w:tcPr>
            <w:tcW w:w="880" w:type="dxa"/>
          </w:tcPr>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13-Ene-26</w:t>
            </w:r>
          </w:p>
        </w:tc>
      </w:tr>
      <w:tr w:rsidR="00FD2F7E" w:rsidRPr="00CB38AA" w:rsidTr="00FD2F7E">
        <w:trPr>
          <w:trHeight w:val="20"/>
          <w:jc w:val="center"/>
        </w:trPr>
        <w:tc>
          <w:tcPr>
            <w:tcW w:w="629" w:type="dxa"/>
          </w:tcPr>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4</w:t>
            </w:r>
          </w:p>
        </w:tc>
        <w:tc>
          <w:tcPr>
            <w:tcW w:w="3280" w:type="dxa"/>
          </w:tcPr>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Procuración y Administración de Justicia</w:t>
            </w:r>
          </w:p>
        </w:tc>
        <w:tc>
          <w:tcPr>
            <w:tcW w:w="4540" w:type="dxa"/>
          </w:tcPr>
          <w:p w:rsidR="00FD2F7E" w:rsidRPr="00CB38AA" w:rsidRDefault="00FD2F7E" w:rsidP="00FD2F7E">
            <w:pPr>
              <w:spacing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Iniciativa de Decreto por el que se expide la Ley para Prevenir, Atender y Combatir los Delitos en materia de Extorsión y Delitos Vinculados del Estado de México, y se reforman, adicionan y derogan diversas disposiciones del Código Penal del Estado de México y de la Ley de la Fiscalía General de Justicia del Estado de México.</w:t>
            </w:r>
          </w:p>
          <w:p w:rsidR="00FD2F7E" w:rsidRPr="00CB38AA" w:rsidRDefault="00FD2F7E" w:rsidP="00FD2F7E">
            <w:pPr>
              <w:spacing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Iniciativa con Proyecto de Decreto por el que se reforman y adicionan el Código Penal, la Ley Orgánica de la Fiscalía General de Justicia, la Ley Orgánica de la Administración Pública, la Ley de Seguridad y la Ley Orgánica Municipal, todos del Estado de México.</w:t>
            </w:r>
          </w:p>
        </w:tc>
        <w:tc>
          <w:tcPr>
            <w:tcW w:w="880" w:type="dxa"/>
          </w:tcPr>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13-Ene-26</w:t>
            </w:r>
          </w:p>
        </w:tc>
      </w:tr>
      <w:tr w:rsidR="00FD2F7E" w:rsidRPr="00CB38AA" w:rsidTr="00FD2F7E">
        <w:trPr>
          <w:trHeight w:val="20"/>
          <w:jc w:val="center"/>
        </w:trPr>
        <w:tc>
          <w:tcPr>
            <w:tcW w:w="629" w:type="dxa"/>
          </w:tcPr>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5</w:t>
            </w:r>
          </w:p>
        </w:tc>
        <w:tc>
          <w:tcPr>
            <w:tcW w:w="3280" w:type="dxa"/>
          </w:tcPr>
          <w:p w:rsidR="00FD2F7E" w:rsidRPr="00CB38AA" w:rsidRDefault="00FD2F7E" w:rsidP="00FD2F7E">
            <w:pPr>
              <w:spacing w:line="240" w:lineRule="auto"/>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Límites Territoriales del Estado de México y sus Municipios</w:t>
            </w:r>
          </w:p>
        </w:tc>
        <w:tc>
          <w:tcPr>
            <w:tcW w:w="4540" w:type="dxa"/>
          </w:tcPr>
          <w:p w:rsidR="00FD2F7E" w:rsidRPr="00CB38AA" w:rsidRDefault="00FD2F7E" w:rsidP="00FD2F7E">
            <w:pPr>
              <w:spacing w:line="240" w:lineRule="auto"/>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A efecto de someter a dictaminación el diferendo limítrofe entre los municipios de Acolman y Ecatepec.</w:t>
            </w:r>
          </w:p>
        </w:tc>
        <w:tc>
          <w:tcPr>
            <w:tcW w:w="880" w:type="dxa"/>
          </w:tcPr>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30-Ene-26</w:t>
            </w:r>
          </w:p>
        </w:tc>
      </w:tr>
    </w:tbl>
    <w:p w:rsidR="00FD2F7E" w:rsidRPr="00CB38AA" w:rsidRDefault="00FD2F7E" w:rsidP="00FD2F7E">
      <w:pPr>
        <w:widowControl w:val="0"/>
        <w:autoSpaceDE w:val="0"/>
        <w:autoSpaceDN w:val="0"/>
        <w:spacing w:after="0" w:line="240" w:lineRule="auto"/>
        <w:rPr>
          <w:rFonts w:ascii="Times New Roman" w:eastAsia="Arial MT" w:hAnsi="Times New Roman" w:cs="Times New Roman"/>
          <w:b/>
          <w:sz w:val="24"/>
          <w:szCs w:val="24"/>
          <w:lang w:val="es-ES"/>
        </w:rPr>
      </w:pPr>
    </w:p>
    <w:p w:rsidR="00FD2F7E" w:rsidRPr="00CB38AA" w:rsidRDefault="00FD2F7E" w:rsidP="00FD2F7E">
      <w:pPr>
        <w:widowControl w:val="0"/>
        <w:autoSpaceDE w:val="0"/>
        <w:autoSpaceDN w:val="0"/>
        <w:spacing w:after="0" w:line="240" w:lineRule="auto"/>
        <w:rPr>
          <w:rFonts w:ascii="Times New Roman" w:eastAsia="Arial MT" w:hAnsi="Times New Roman" w:cs="Times New Roman"/>
          <w:b/>
          <w:sz w:val="24"/>
          <w:szCs w:val="24"/>
          <w:lang w:val="es-ES"/>
        </w:rPr>
      </w:pPr>
    </w:p>
    <w:tbl>
      <w:tblPr>
        <w:tblStyle w:val="Tablaconcuadrcula5"/>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05"/>
      </w:tblGrid>
      <w:tr w:rsidR="00FD2F7E" w:rsidRPr="00CB38AA" w:rsidTr="007F365D">
        <w:trPr>
          <w:jc w:val="center"/>
        </w:trPr>
        <w:tc>
          <w:tcPr>
            <w:tcW w:w="12113" w:type="dxa"/>
          </w:tcPr>
          <w:p w:rsidR="00FD2F7E" w:rsidRPr="00CB38AA" w:rsidRDefault="007F365D" w:rsidP="00FD2F7E">
            <w:pPr>
              <w:spacing w:line="240" w:lineRule="auto"/>
              <w:rPr>
                <w:rFonts w:ascii="Times New Roman" w:eastAsia="Arial MT" w:hAnsi="Times New Roman" w:cs="Times New Roman"/>
                <w:b/>
                <w:sz w:val="24"/>
                <w:szCs w:val="24"/>
                <w:lang w:val="es-ES"/>
              </w:rPr>
            </w:pPr>
            <w:r w:rsidRPr="00CB38AA">
              <w:rPr>
                <w:rFonts w:ascii="Times New Roman" w:eastAsia="Arial MT" w:hAnsi="Times New Roman" w:cs="Times New Roman"/>
                <w:noProof/>
                <w:sz w:val="24"/>
                <w:szCs w:val="24"/>
                <w:lang w:val="es-ES"/>
              </w:rPr>
              <w:drawing>
                <wp:anchor distT="0" distB="0" distL="0" distR="0" simplePos="0" relativeHeight="251694080" behindDoc="0" locked="0" layoutInCell="1" allowOverlap="1" wp14:anchorId="43964DFB" wp14:editId="783A817A">
                  <wp:simplePos x="0" y="0"/>
                  <wp:positionH relativeFrom="page">
                    <wp:posOffset>90805</wp:posOffset>
                  </wp:positionH>
                  <wp:positionV relativeFrom="page">
                    <wp:posOffset>288925</wp:posOffset>
                  </wp:positionV>
                  <wp:extent cx="5762625" cy="4400550"/>
                  <wp:effectExtent l="0" t="0" r="9525" b="0"/>
                  <wp:wrapTopAndBottom/>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14" cstate="print"/>
                          <a:stretch>
                            <a:fillRect/>
                          </a:stretch>
                        </pic:blipFill>
                        <pic:spPr>
                          <a:xfrm>
                            <a:off x="0" y="0"/>
                            <a:ext cx="5762625" cy="4400550"/>
                          </a:xfrm>
                          <a:prstGeom prst="rect">
                            <a:avLst/>
                          </a:prstGeom>
                        </pic:spPr>
                      </pic:pic>
                    </a:graphicData>
                  </a:graphic>
                  <wp14:sizeRelH relativeFrom="margin">
                    <wp14:pctWidth>0</wp14:pctWidth>
                  </wp14:sizeRelH>
                  <wp14:sizeRelV relativeFrom="margin">
                    <wp14:pctHeight>0</wp14:pctHeight>
                  </wp14:sizeRelV>
                </wp:anchor>
              </w:drawing>
            </w:r>
          </w:p>
          <w:p w:rsidR="00FD2F7E" w:rsidRPr="00CB38AA" w:rsidRDefault="00FD2F7E" w:rsidP="00FD2F7E">
            <w:pPr>
              <w:spacing w:line="240" w:lineRule="auto"/>
              <w:rPr>
                <w:rFonts w:ascii="Times New Roman" w:eastAsia="Arial MT" w:hAnsi="Times New Roman" w:cs="Times New Roman"/>
                <w:b/>
                <w:sz w:val="24"/>
                <w:szCs w:val="24"/>
                <w:lang w:val="es-ES"/>
              </w:rPr>
            </w:pPr>
          </w:p>
          <w:p w:rsidR="00FD2F7E" w:rsidRPr="00CB38AA" w:rsidRDefault="00FD2F7E" w:rsidP="00FD2F7E">
            <w:pPr>
              <w:spacing w:line="240" w:lineRule="auto"/>
              <w:rPr>
                <w:rFonts w:ascii="Times New Roman" w:eastAsia="Arial MT" w:hAnsi="Times New Roman" w:cs="Times New Roman"/>
                <w:b/>
                <w:sz w:val="24"/>
                <w:szCs w:val="24"/>
                <w:lang w:val="es-ES"/>
              </w:rPr>
            </w:pPr>
          </w:p>
        </w:tc>
      </w:tr>
    </w:tbl>
    <w:p w:rsidR="00FD2F7E" w:rsidRPr="00CB38AA" w:rsidRDefault="00FD2F7E" w:rsidP="00FD2F7E">
      <w:pPr>
        <w:widowControl w:val="0"/>
        <w:autoSpaceDE w:val="0"/>
        <w:autoSpaceDN w:val="0"/>
        <w:spacing w:after="0" w:line="240" w:lineRule="auto"/>
        <w:rPr>
          <w:rFonts w:ascii="Times New Roman" w:eastAsia="Arial MT" w:hAnsi="Times New Roman" w:cs="Times New Roman"/>
          <w:b/>
          <w:sz w:val="24"/>
          <w:szCs w:val="24"/>
          <w:lang w:val="es-ES"/>
        </w:rPr>
      </w:pPr>
    </w:p>
    <w:p w:rsidR="00FD2F7E" w:rsidRPr="00CB38AA" w:rsidRDefault="00FD2F7E" w:rsidP="00FD2F7E">
      <w:pPr>
        <w:widowControl w:val="0"/>
        <w:autoSpaceDE w:val="0"/>
        <w:autoSpaceDN w:val="0"/>
        <w:spacing w:after="0" w:line="240" w:lineRule="auto"/>
        <w:rPr>
          <w:rFonts w:ascii="Times New Roman" w:eastAsia="Arial MT" w:hAnsi="Times New Roman" w:cs="Times New Roman"/>
          <w:b/>
          <w:sz w:val="24"/>
          <w:szCs w:val="24"/>
          <w:lang w:val="es-ES"/>
        </w:rPr>
      </w:pPr>
    </w:p>
    <w:p w:rsidR="00FD2F7E" w:rsidRPr="00CB38AA" w:rsidRDefault="00FD2F7E" w:rsidP="00FD2F7E">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CB38AA">
        <w:rPr>
          <w:rFonts w:ascii="Times New Roman" w:eastAsia="Arial" w:hAnsi="Times New Roman" w:cs="Times New Roman"/>
          <w:b/>
          <w:bCs/>
          <w:sz w:val="24"/>
          <w:szCs w:val="24"/>
          <w:lang w:val="es-ES"/>
        </w:rPr>
        <w:t>RECEPCIÓN DE INFORMES DE ÓRGANOS INTERNOS DE CONTROL</w:t>
      </w:r>
    </w:p>
    <w:p w:rsidR="00FD2F7E" w:rsidRPr="00CB38AA" w:rsidRDefault="00FD2F7E" w:rsidP="00FD2F7E">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p>
    <w:p w:rsidR="00FD2F7E" w:rsidRPr="00CB38AA" w:rsidRDefault="00FD2F7E" w:rsidP="00FD2F7E">
      <w:pPr>
        <w:widowControl w:val="0"/>
        <w:numPr>
          <w:ilvl w:val="0"/>
          <w:numId w:val="26"/>
        </w:numPr>
        <w:autoSpaceDE w:val="0"/>
        <w:autoSpaceDN w:val="0"/>
        <w:spacing w:after="0" w:line="240" w:lineRule="auto"/>
        <w:ind w:left="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Informe Anual de actividades que remite la Mtra. Mtra. María Guadalupe Olivo Torres, Contralora General del Instituto Electoral del Estado de México. (10-Dic-25)</w:t>
      </w:r>
    </w:p>
    <w:p w:rsidR="00FD2F7E" w:rsidRPr="00CB38AA" w:rsidRDefault="00FD2F7E" w:rsidP="00FD2F7E">
      <w:pPr>
        <w:widowControl w:val="0"/>
        <w:numPr>
          <w:ilvl w:val="0"/>
          <w:numId w:val="26"/>
        </w:numPr>
        <w:autoSpaceDE w:val="0"/>
        <w:autoSpaceDN w:val="0"/>
        <w:spacing w:after="0" w:line="240" w:lineRule="auto"/>
        <w:ind w:left="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Informe Anual de actividades que remite el C. Víctor Augusto Armenta Landa, Titular del Órgano Interno de Control del Instituto de Transparencia, Acceso a la Información Pública y Protección de Datos Personales del estado de México y Municipios. (10-Dic-25)</w:t>
      </w:r>
    </w:p>
    <w:p w:rsidR="00FD2F7E" w:rsidRPr="00CB38AA" w:rsidRDefault="00FD2F7E" w:rsidP="00FD2F7E">
      <w:pPr>
        <w:widowControl w:val="0"/>
        <w:numPr>
          <w:ilvl w:val="0"/>
          <w:numId w:val="26"/>
        </w:numPr>
        <w:autoSpaceDE w:val="0"/>
        <w:autoSpaceDN w:val="0"/>
        <w:spacing w:after="0" w:line="240" w:lineRule="auto"/>
        <w:ind w:left="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Informe Anual de Actividades 2025, presentado por el Mtro. Juan José Hernández Vences, Contralor del Poder Legislativo. (16-Dic-25)</w:t>
      </w:r>
    </w:p>
    <w:p w:rsidR="00FD2F7E" w:rsidRPr="00CB38AA" w:rsidRDefault="00FD2F7E" w:rsidP="00FD2F7E">
      <w:pPr>
        <w:widowControl w:val="0"/>
        <w:numPr>
          <w:ilvl w:val="0"/>
          <w:numId w:val="26"/>
        </w:numPr>
        <w:autoSpaceDE w:val="0"/>
        <w:autoSpaceDN w:val="0"/>
        <w:spacing w:after="0" w:line="240" w:lineRule="auto"/>
        <w:ind w:left="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Informe Anual de Actividades 2025, presentado por el Lic. Juan Pablo Noguez Cornejo, Titular del Órgano Interno de Control de la Fiscalía General de Justicia del Estado de México. (12-Ene-26)</w:t>
      </w:r>
    </w:p>
    <w:p w:rsidR="00FD2F7E" w:rsidRPr="00CB38AA" w:rsidRDefault="00FD2F7E" w:rsidP="00FD2F7E">
      <w:pPr>
        <w:widowControl w:val="0"/>
        <w:numPr>
          <w:ilvl w:val="0"/>
          <w:numId w:val="26"/>
        </w:numPr>
        <w:autoSpaceDE w:val="0"/>
        <w:autoSpaceDN w:val="0"/>
        <w:spacing w:after="0" w:line="240" w:lineRule="auto"/>
        <w:ind w:left="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Informe Anual de Actividades 2025, presentado por el M. en Aud. Everardo Camacho Rosales, Titular del Órgano Interno de Control del Tribunal de Justicia Administrativa del Estado de México. (12-Ene-26)</w:t>
      </w:r>
    </w:p>
    <w:p w:rsidR="00FD2F7E" w:rsidRPr="00CB38AA" w:rsidRDefault="00FD2F7E" w:rsidP="00FD2F7E">
      <w:pPr>
        <w:widowControl w:val="0"/>
        <w:numPr>
          <w:ilvl w:val="0"/>
          <w:numId w:val="26"/>
        </w:numPr>
        <w:autoSpaceDE w:val="0"/>
        <w:autoSpaceDN w:val="0"/>
        <w:spacing w:after="0" w:line="240" w:lineRule="auto"/>
        <w:ind w:left="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Informe Anual de Actividades 2025, presentado por el Dr. en C.S. Adrián Osiel Millán Vargas, Titular del Órgano Interno de Control de la Comisión de Derechos Humanos del Estado de México. (12-Ene-26)</w:t>
      </w:r>
    </w:p>
    <w:p w:rsidR="00FD2F7E" w:rsidRPr="00CB38AA" w:rsidRDefault="00FD2F7E" w:rsidP="00FD2F7E">
      <w:pPr>
        <w:widowControl w:val="0"/>
        <w:numPr>
          <w:ilvl w:val="0"/>
          <w:numId w:val="26"/>
        </w:numPr>
        <w:autoSpaceDE w:val="0"/>
        <w:autoSpaceDN w:val="0"/>
        <w:spacing w:after="0" w:line="240" w:lineRule="auto"/>
        <w:ind w:left="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Informe de Actividades, presentado por la Mtra. en D. E. Carolina Viridiana Rocha González, Encargada del Despacho de la Contraloría General del Tribunal Electoral del Estado de México. (12-Ene-26)</w:t>
      </w: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both"/>
        <w:rPr>
          <w:rFonts w:ascii="Times New Roman" w:eastAsia="Arial MT" w:hAnsi="Times New Roman" w:cs="Times New Roman"/>
          <w:sz w:val="24"/>
          <w:szCs w:val="24"/>
          <w:lang w:val="es-ES"/>
        </w:rPr>
      </w:pPr>
    </w:p>
    <w:p w:rsidR="00FD2F7E" w:rsidRPr="00CB38AA" w:rsidRDefault="00FD2F7E" w:rsidP="00FD2F7E">
      <w:pPr>
        <w:widowControl w:val="0"/>
        <w:autoSpaceDE w:val="0"/>
        <w:autoSpaceDN w:val="0"/>
        <w:spacing w:after="0" w:line="240" w:lineRule="auto"/>
        <w:jc w:val="center"/>
        <w:outlineLvl w:val="1"/>
        <w:rPr>
          <w:rFonts w:ascii="Times New Roman" w:eastAsia="Arial" w:hAnsi="Times New Roman" w:cs="Times New Roman"/>
          <w:b/>
          <w:bCs/>
          <w:sz w:val="24"/>
          <w:szCs w:val="24"/>
          <w:lang w:val="es-ES"/>
        </w:rPr>
      </w:pPr>
      <w:r w:rsidRPr="00CB38AA">
        <w:rPr>
          <w:rFonts w:ascii="Times New Roman" w:eastAsia="Arial" w:hAnsi="Times New Roman" w:cs="Times New Roman"/>
          <w:b/>
          <w:bCs/>
          <w:sz w:val="24"/>
          <w:szCs w:val="24"/>
          <w:lang w:val="es-ES"/>
        </w:rPr>
        <w:t>REPRESENTACIÓN JURÍDICA</w:t>
      </w:r>
    </w:p>
    <w:p w:rsidR="00FD2F7E" w:rsidRPr="00CB38AA" w:rsidRDefault="00FD2F7E" w:rsidP="00FD2F7E">
      <w:pPr>
        <w:widowControl w:val="0"/>
        <w:autoSpaceDE w:val="0"/>
        <w:autoSpaceDN w:val="0"/>
        <w:spacing w:after="0" w:line="240" w:lineRule="auto"/>
        <w:rPr>
          <w:rFonts w:ascii="Times New Roman" w:eastAsia="Arial MT" w:hAnsi="Times New Roman" w:cs="Times New Roman"/>
          <w:b/>
          <w:sz w:val="24"/>
          <w:szCs w:val="24"/>
          <w:lang w:val="es-ES"/>
        </w:rPr>
      </w:pPr>
    </w:p>
    <w:tbl>
      <w:tblPr>
        <w:tblStyle w:val="TableNormal2"/>
        <w:tblW w:w="0" w:type="auto"/>
        <w:jc w:val="center"/>
        <w:tblLayout w:type="fixed"/>
        <w:tblLook w:val="01E0" w:firstRow="1" w:lastRow="1" w:firstColumn="1" w:lastColumn="1" w:noHBand="0" w:noVBand="0"/>
      </w:tblPr>
      <w:tblGrid>
        <w:gridCol w:w="7781"/>
        <w:gridCol w:w="946"/>
      </w:tblGrid>
      <w:tr w:rsidR="00FD2F7E" w:rsidRPr="00CB38AA" w:rsidTr="00FD2F7E">
        <w:trPr>
          <w:trHeight w:val="272"/>
          <w:jc w:val="center"/>
        </w:trPr>
        <w:tc>
          <w:tcPr>
            <w:tcW w:w="7781" w:type="dxa"/>
          </w:tcPr>
          <w:p w:rsidR="00FD2F7E" w:rsidRPr="00CB38AA" w:rsidRDefault="00FD2F7E" w:rsidP="00FD2F7E">
            <w:pPr>
              <w:spacing w:line="240" w:lineRule="auto"/>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1. JUICIOS DE AMPARO RECIBIDOS.</w:t>
            </w:r>
          </w:p>
        </w:tc>
        <w:tc>
          <w:tcPr>
            <w:tcW w:w="946" w:type="dxa"/>
          </w:tcPr>
          <w:p w:rsidR="00FD2F7E" w:rsidRPr="00CB38AA" w:rsidRDefault="00FD2F7E" w:rsidP="0085170C">
            <w:pPr>
              <w:spacing w:line="240" w:lineRule="auto"/>
              <w:jc w:val="center"/>
              <w:rPr>
                <w:rFonts w:ascii="Times New Roman" w:eastAsia="Arial MT" w:hAnsi="Times New Roman" w:cs="Times New Roman"/>
                <w:sz w:val="24"/>
                <w:szCs w:val="24"/>
                <w:lang w:val="es-ES"/>
              </w:rPr>
            </w:pPr>
          </w:p>
        </w:tc>
      </w:tr>
      <w:tr w:rsidR="00FD2F7E" w:rsidRPr="00CB38AA" w:rsidTr="00FD2F7E">
        <w:trPr>
          <w:trHeight w:val="348"/>
          <w:jc w:val="center"/>
        </w:trPr>
        <w:tc>
          <w:tcPr>
            <w:tcW w:w="7781" w:type="dxa"/>
            <w:shd w:val="clear" w:color="auto" w:fill="BEBEBE"/>
          </w:tcPr>
          <w:p w:rsidR="00FD2F7E" w:rsidRPr="00CB38AA" w:rsidRDefault="00FD2F7E" w:rsidP="00FD2F7E">
            <w:pPr>
              <w:spacing w:line="240" w:lineRule="auto"/>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Informes Justificados Rendidos</w:t>
            </w:r>
          </w:p>
        </w:tc>
        <w:tc>
          <w:tcPr>
            <w:tcW w:w="946" w:type="dxa"/>
            <w:shd w:val="clear" w:color="auto" w:fill="BEBEBE"/>
          </w:tcPr>
          <w:p w:rsidR="00FD2F7E" w:rsidRPr="00CB38AA" w:rsidRDefault="00FD2F7E" w:rsidP="0085170C">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117</w:t>
            </w:r>
          </w:p>
        </w:tc>
      </w:tr>
      <w:tr w:rsidR="00FD2F7E" w:rsidRPr="00CB38AA" w:rsidTr="00FD2F7E">
        <w:trPr>
          <w:trHeight w:val="350"/>
          <w:jc w:val="center"/>
        </w:trPr>
        <w:tc>
          <w:tcPr>
            <w:tcW w:w="7781" w:type="dxa"/>
            <w:shd w:val="clear" w:color="auto" w:fill="D9D9D9"/>
          </w:tcPr>
          <w:p w:rsidR="00FD2F7E" w:rsidRPr="00CB38AA" w:rsidRDefault="00FD2F7E" w:rsidP="00FD2F7E">
            <w:pPr>
              <w:spacing w:line="240" w:lineRule="auto"/>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Informes Previos Rendidos</w:t>
            </w:r>
          </w:p>
        </w:tc>
        <w:tc>
          <w:tcPr>
            <w:tcW w:w="946" w:type="dxa"/>
            <w:shd w:val="clear" w:color="auto" w:fill="D9D9D9"/>
          </w:tcPr>
          <w:p w:rsidR="00FD2F7E" w:rsidRPr="00CB38AA" w:rsidRDefault="00FD2F7E" w:rsidP="0085170C">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35</w:t>
            </w:r>
          </w:p>
        </w:tc>
      </w:tr>
      <w:tr w:rsidR="00FD2F7E" w:rsidRPr="00CB38AA" w:rsidTr="00FD2F7E">
        <w:trPr>
          <w:trHeight w:val="344"/>
          <w:jc w:val="center"/>
        </w:trPr>
        <w:tc>
          <w:tcPr>
            <w:tcW w:w="7781" w:type="dxa"/>
          </w:tcPr>
          <w:p w:rsidR="00FD2F7E" w:rsidRPr="00CB38AA" w:rsidRDefault="00FD2F7E" w:rsidP="00FD2F7E">
            <w:pPr>
              <w:spacing w:line="240" w:lineRule="auto"/>
              <w:jc w:val="right"/>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TOTAL</w:t>
            </w:r>
          </w:p>
        </w:tc>
        <w:tc>
          <w:tcPr>
            <w:tcW w:w="946" w:type="dxa"/>
          </w:tcPr>
          <w:p w:rsidR="00FD2F7E" w:rsidRPr="00CB38AA" w:rsidRDefault="00FD2F7E" w:rsidP="0085170C">
            <w:pPr>
              <w:spacing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152</w:t>
            </w:r>
          </w:p>
        </w:tc>
      </w:tr>
    </w:tbl>
    <w:p w:rsidR="00FD2F7E" w:rsidRPr="00CB38AA" w:rsidRDefault="00FD2F7E" w:rsidP="00FD2F7E">
      <w:pPr>
        <w:widowControl w:val="0"/>
        <w:autoSpaceDE w:val="0"/>
        <w:autoSpaceDN w:val="0"/>
        <w:spacing w:after="0" w:line="240" w:lineRule="auto"/>
        <w:rPr>
          <w:rFonts w:ascii="Times New Roman" w:eastAsia="Arial MT" w:hAnsi="Times New Roman" w:cs="Times New Roman"/>
          <w:b/>
          <w:sz w:val="24"/>
          <w:szCs w:val="24"/>
          <w:lang w:val="es-ES"/>
        </w:rPr>
      </w:pPr>
    </w:p>
    <w:tbl>
      <w:tblPr>
        <w:tblStyle w:val="TableNormal2"/>
        <w:tblW w:w="0" w:type="auto"/>
        <w:jc w:val="center"/>
        <w:tblLayout w:type="fixed"/>
        <w:tblLook w:val="01E0" w:firstRow="1" w:lastRow="1" w:firstColumn="1" w:lastColumn="1" w:noHBand="0" w:noVBand="0"/>
      </w:tblPr>
      <w:tblGrid>
        <w:gridCol w:w="7944"/>
        <w:gridCol w:w="845"/>
      </w:tblGrid>
      <w:tr w:rsidR="00FD2F7E" w:rsidRPr="00CB38AA" w:rsidTr="00FD2F7E">
        <w:trPr>
          <w:trHeight w:val="331"/>
          <w:jc w:val="center"/>
        </w:trPr>
        <w:tc>
          <w:tcPr>
            <w:tcW w:w="7944" w:type="dxa"/>
          </w:tcPr>
          <w:p w:rsidR="00FD2F7E" w:rsidRPr="00CB38AA" w:rsidRDefault="00FD2F7E" w:rsidP="00FD2F7E">
            <w:pPr>
              <w:spacing w:line="240" w:lineRule="auto"/>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2. CONTROVERSIAS CONSTITUCIONALES EN TRAMITE.</w:t>
            </w:r>
          </w:p>
        </w:tc>
        <w:tc>
          <w:tcPr>
            <w:tcW w:w="845" w:type="dxa"/>
          </w:tcPr>
          <w:p w:rsidR="00FD2F7E" w:rsidRPr="00CB38AA" w:rsidRDefault="00FD2F7E" w:rsidP="00FD2F7E">
            <w:pPr>
              <w:spacing w:line="240" w:lineRule="auto"/>
              <w:rPr>
                <w:rFonts w:ascii="Times New Roman" w:eastAsia="Arial MT" w:hAnsi="Times New Roman" w:cs="Times New Roman"/>
                <w:sz w:val="24"/>
                <w:szCs w:val="24"/>
                <w:lang w:val="es-ES"/>
              </w:rPr>
            </w:pPr>
          </w:p>
        </w:tc>
      </w:tr>
      <w:tr w:rsidR="00FD2F7E" w:rsidRPr="00CB38AA" w:rsidTr="00FD2F7E">
        <w:trPr>
          <w:trHeight w:val="285"/>
          <w:jc w:val="center"/>
        </w:trPr>
        <w:tc>
          <w:tcPr>
            <w:tcW w:w="7944" w:type="dxa"/>
          </w:tcPr>
          <w:p w:rsidR="00FD2F7E" w:rsidRPr="00CB38AA" w:rsidRDefault="00FD2F7E" w:rsidP="00FD2F7E">
            <w:pPr>
              <w:spacing w:line="240" w:lineRule="auto"/>
              <w:jc w:val="right"/>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TOTAL</w:t>
            </w:r>
          </w:p>
        </w:tc>
        <w:tc>
          <w:tcPr>
            <w:tcW w:w="845" w:type="dxa"/>
          </w:tcPr>
          <w:p w:rsidR="00FD2F7E" w:rsidRPr="00CB38AA" w:rsidRDefault="00FD2F7E" w:rsidP="0085170C">
            <w:pPr>
              <w:spacing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3</w:t>
            </w:r>
          </w:p>
        </w:tc>
      </w:tr>
    </w:tbl>
    <w:p w:rsidR="00FD2F7E" w:rsidRPr="00CB38AA" w:rsidRDefault="00FD2F7E" w:rsidP="00FD2F7E">
      <w:pPr>
        <w:widowControl w:val="0"/>
        <w:autoSpaceDE w:val="0"/>
        <w:autoSpaceDN w:val="0"/>
        <w:spacing w:after="0" w:line="240" w:lineRule="auto"/>
        <w:rPr>
          <w:rFonts w:ascii="Times New Roman" w:eastAsia="Arial MT" w:hAnsi="Times New Roman" w:cs="Times New Roman"/>
          <w:b/>
          <w:sz w:val="24"/>
          <w:szCs w:val="24"/>
          <w:lang w:val="es-ES"/>
        </w:rPr>
      </w:pPr>
    </w:p>
    <w:p w:rsidR="00FD2F7E" w:rsidRPr="00CB38AA" w:rsidRDefault="00FD2F7E" w:rsidP="00FD2F7E">
      <w:pPr>
        <w:widowControl w:val="0"/>
        <w:autoSpaceDE w:val="0"/>
        <w:autoSpaceDN w:val="0"/>
        <w:spacing w:after="0" w:line="240" w:lineRule="auto"/>
        <w:rPr>
          <w:rFonts w:ascii="Times New Roman" w:eastAsia="Arial MT" w:hAnsi="Times New Roman" w:cs="Times New Roman"/>
          <w:b/>
          <w:sz w:val="24"/>
          <w:szCs w:val="24"/>
          <w:lang w:val="es-ES"/>
        </w:rPr>
      </w:pPr>
    </w:p>
    <w:tbl>
      <w:tblPr>
        <w:tblStyle w:val="TableNormal2"/>
        <w:tblW w:w="0" w:type="auto"/>
        <w:jc w:val="center"/>
        <w:tblLayout w:type="fixed"/>
        <w:tblLook w:val="01E0" w:firstRow="1" w:lastRow="1" w:firstColumn="1" w:lastColumn="1" w:noHBand="0" w:noVBand="0"/>
      </w:tblPr>
      <w:tblGrid>
        <w:gridCol w:w="7837"/>
        <w:gridCol w:w="889"/>
      </w:tblGrid>
      <w:tr w:rsidR="00FD2F7E" w:rsidRPr="00CB38AA" w:rsidTr="00FD2F7E">
        <w:trPr>
          <w:trHeight w:val="548"/>
          <w:jc w:val="center"/>
        </w:trPr>
        <w:tc>
          <w:tcPr>
            <w:tcW w:w="7837" w:type="dxa"/>
          </w:tcPr>
          <w:p w:rsidR="00FD2F7E" w:rsidRPr="00CB38AA" w:rsidRDefault="00FD2F7E" w:rsidP="00FD2F7E">
            <w:pPr>
              <w:spacing w:line="240" w:lineRule="auto"/>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3. ACCIONES DE INCONSTITUCIONALIDAD PENDIENTES POR CUMPLIR.</w:t>
            </w:r>
          </w:p>
        </w:tc>
        <w:tc>
          <w:tcPr>
            <w:tcW w:w="889" w:type="dxa"/>
          </w:tcPr>
          <w:p w:rsidR="00FD2F7E" w:rsidRPr="00CB38AA" w:rsidRDefault="00FD2F7E" w:rsidP="00FD2F7E">
            <w:pPr>
              <w:spacing w:line="240" w:lineRule="auto"/>
              <w:rPr>
                <w:rFonts w:ascii="Times New Roman" w:eastAsia="Arial MT" w:hAnsi="Times New Roman" w:cs="Times New Roman"/>
                <w:b/>
                <w:sz w:val="24"/>
                <w:szCs w:val="24"/>
                <w:lang w:val="es-ES"/>
              </w:rPr>
            </w:pPr>
          </w:p>
        </w:tc>
      </w:tr>
      <w:tr w:rsidR="00FD2F7E" w:rsidRPr="00CB38AA" w:rsidTr="00FD2F7E">
        <w:trPr>
          <w:trHeight w:val="727"/>
          <w:jc w:val="center"/>
        </w:trPr>
        <w:tc>
          <w:tcPr>
            <w:tcW w:w="7837" w:type="dxa"/>
            <w:shd w:val="clear" w:color="auto" w:fill="D9D9D9"/>
          </w:tcPr>
          <w:p w:rsidR="00FD2F7E" w:rsidRPr="00CB38AA" w:rsidRDefault="00FD2F7E" w:rsidP="00FD2F7E">
            <w:pPr>
              <w:numPr>
                <w:ilvl w:val="0"/>
                <w:numId w:val="25"/>
              </w:numPr>
              <w:spacing w:line="240" w:lineRule="auto"/>
              <w:ind w:left="0"/>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Ley de Archivos y Administración de Documentos del Estado de México.</w:t>
            </w:r>
          </w:p>
          <w:p w:rsidR="00FD2F7E" w:rsidRPr="00CB38AA" w:rsidRDefault="00FD2F7E" w:rsidP="00FD2F7E">
            <w:pPr>
              <w:numPr>
                <w:ilvl w:val="0"/>
                <w:numId w:val="25"/>
              </w:numPr>
              <w:spacing w:line="240" w:lineRule="auto"/>
              <w:ind w:left="0"/>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Artículo 3.42 fracción III del Código Civil del Estado de México.</w:t>
            </w:r>
          </w:p>
        </w:tc>
        <w:tc>
          <w:tcPr>
            <w:tcW w:w="889" w:type="dxa"/>
            <w:shd w:val="clear" w:color="auto" w:fill="D9D9D9"/>
          </w:tcPr>
          <w:p w:rsidR="00FD2F7E" w:rsidRPr="00CB38AA" w:rsidRDefault="00FD2F7E" w:rsidP="00FD2F7E">
            <w:pPr>
              <w:spacing w:line="240" w:lineRule="auto"/>
              <w:rPr>
                <w:rFonts w:ascii="Times New Roman" w:eastAsia="Arial MT" w:hAnsi="Times New Roman" w:cs="Times New Roman"/>
                <w:sz w:val="24"/>
                <w:szCs w:val="24"/>
                <w:lang w:val="es-ES"/>
              </w:rPr>
            </w:pPr>
          </w:p>
        </w:tc>
      </w:tr>
      <w:tr w:rsidR="00FD2F7E" w:rsidRPr="00CB38AA" w:rsidTr="00FD2F7E">
        <w:trPr>
          <w:trHeight w:val="344"/>
          <w:jc w:val="center"/>
        </w:trPr>
        <w:tc>
          <w:tcPr>
            <w:tcW w:w="7837" w:type="dxa"/>
          </w:tcPr>
          <w:p w:rsidR="00FD2F7E" w:rsidRPr="00CB38AA" w:rsidRDefault="00FD2F7E" w:rsidP="00FD2F7E">
            <w:pPr>
              <w:spacing w:line="240" w:lineRule="auto"/>
              <w:jc w:val="right"/>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TOTAL</w:t>
            </w:r>
          </w:p>
        </w:tc>
        <w:tc>
          <w:tcPr>
            <w:tcW w:w="889" w:type="dxa"/>
          </w:tcPr>
          <w:p w:rsidR="00FD2F7E" w:rsidRPr="00CB38AA" w:rsidRDefault="00FD2F7E" w:rsidP="0085170C">
            <w:pPr>
              <w:spacing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2</w:t>
            </w:r>
          </w:p>
        </w:tc>
      </w:tr>
    </w:tbl>
    <w:p w:rsidR="00FD2F7E" w:rsidRPr="00CB38AA" w:rsidRDefault="00FD2F7E" w:rsidP="00FD2F7E">
      <w:pPr>
        <w:widowControl w:val="0"/>
        <w:autoSpaceDE w:val="0"/>
        <w:autoSpaceDN w:val="0"/>
        <w:spacing w:after="0" w:line="240" w:lineRule="auto"/>
        <w:rPr>
          <w:rFonts w:ascii="Times New Roman" w:eastAsia="Arial MT" w:hAnsi="Times New Roman" w:cs="Times New Roman"/>
          <w:b/>
          <w:sz w:val="24"/>
          <w:szCs w:val="24"/>
          <w:lang w:val="es-ES"/>
        </w:rPr>
      </w:pPr>
    </w:p>
    <w:p w:rsidR="00FD2F7E" w:rsidRPr="00CB38AA" w:rsidRDefault="00FD2F7E" w:rsidP="00FD2F7E">
      <w:pPr>
        <w:widowControl w:val="0"/>
        <w:autoSpaceDE w:val="0"/>
        <w:autoSpaceDN w:val="0"/>
        <w:spacing w:after="0" w:line="240" w:lineRule="auto"/>
        <w:rPr>
          <w:rFonts w:ascii="Times New Roman" w:eastAsia="Arial MT" w:hAnsi="Times New Roman" w:cs="Times New Roman"/>
          <w:b/>
          <w:sz w:val="24"/>
          <w:szCs w:val="24"/>
          <w:lang w:val="es-ES"/>
        </w:rPr>
      </w:pPr>
    </w:p>
    <w:tbl>
      <w:tblPr>
        <w:tblStyle w:val="TableNormal2"/>
        <w:tblW w:w="0" w:type="auto"/>
        <w:jc w:val="center"/>
        <w:tblLayout w:type="fixed"/>
        <w:tblLook w:val="01E0" w:firstRow="1" w:lastRow="1" w:firstColumn="1" w:lastColumn="1" w:noHBand="0" w:noVBand="0"/>
      </w:tblPr>
      <w:tblGrid>
        <w:gridCol w:w="7836"/>
        <w:gridCol w:w="891"/>
      </w:tblGrid>
      <w:tr w:rsidR="00FD2F7E" w:rsidRPr="00CB38AA" w:rsidTr="00FD2F7E">
        <w:trPr>
          <w:trHeight w:val="272"/>
          <w:jc w:val="center"/>
        </w:trPr>
        <w:tc>
          <w:tcPr>
            <w:tcW w:w="7836" w:type="dxa"/>
          </w:tcPr>
          <w:p w:rsidR="00FD2F7E" w:rsidRPr="00CB38AA" w:rsidRDefault="00FD2F7E" w:rsidP="00FD2F7E">
            <w:pPr>
              <w:spacing w:line="240" w:lineRule="auto"/>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4.- JUICIOS ELECTORALES PENDIENTES POR CUMPLIR.</w:t>
            </w:r>
          </w:p>
        </w:tc>
        <w:tc>
          <w:tcPr>
            <w:tcW w:w="891" w:type="dxa"/>
          </w:tcPr>
          <w:p w:rsidR="00FD2F7E" w:rsidRPr="00CB38AA" w:rsidRDefault="00FD2F7E" w:rsidP="00FD2F7E">
            <w:pPr>
              <w:spacing w:line="240" w:lineRule="auto"/>
              <w:rPr>
                <w:rFonts w:ascii="Times New Roman" w:eastAsia="Arial MT" w:hAnsi="Times New Roman" w:cs="Times New Roman"/>
                <w:sz w:val="24"/>
                <w:szCs w:val="24"/>
                <w:lang w:val="es-ES"/>
              </w:rPr>
            </w:pPr>
          </w:p>
        </w:tc>
      </w:tr>
      <w:tr w:rsidR="00FD2F7E" w:rsidRPr="00CB38AA" w:rsidTr="00FD2F7E">
        <w:trPr>
          <w:trHeight w:val="957"/>
          <w:jc w:val="center"/>
        </w:trPr>
        <w:tc>
          <w:tcPr>
            <w:tcW w:w="7836" w:type="dxa"/>
            <w:shd w:val="clear" w:color="auto" w:fill="D9D9D9"/>
          </w:tcPr>
          <w:p w:rsidR="00FD2F7E" w:rsidRPr="00CB38AA" w:rsidRDefault="00FD2F7E" w:rsidP="00FD2F7E">
            <w:pPr>
              <w:numPr>
                <w:ilvl w:val="0"/>
                <w:numId w:val="24"/>
              </w:numPr>
              <w:spacing w:line="240" w:lineRule="auto"/>
              <w:ind w:left="0"/>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lastRenderedPageBreak/>
              <w:t>Omisión legislativa (Reforma al Código Electoral del Estado de México).</w:t>
            </w:r>
          </w:p>
          <w:p w:rsidR="00FD2F7E" w:rsidRPr="00CB38AA" w:rsidRDefault="00FD2F7E" w:rsidP="00FD2F7E">
            <w:pPr>
              <w:numPr>
                <w:ilvl w:val="0"/>
                <w:numId w:val="24"/>
              </w:numPr>
              <w:spacing w:line="240" w:lineRule="auto"/>
              <w:ind w:left="0"/>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Omisión legislativa por mandato constitucional (reforma al artículo 2 constitucional en estudio en comisiones).</w:t>
            </w:r>
          </w:p>
        </w:tc>
        <w:tc>
          <w:tcPr>
            <w:tcW w:w="891" w:type="dxa"/>
            <w:shd w:val="clear" w:color="auto" w:fill="D9D9D9"/>
          </w:tcPr>
          <w:p w:rsidR="00FD2F7E" w:rsidRPr="00CB38AA" w:rsidRDefault="00FD2F7E" w:rsidP="00FD2F7E">
            <w:pPr>
              <w:spacing w:line="240" w:lineRule="auto"/>
              <w:rPr>
                <w:rFonts w:ascii="Times New Roman" w:eastAsia="Arial MT" w:hAnsi="Times New Roman" w:cs="Times New Roman"/>
                <w:sz w:val="24"/>
                <w:szCs w:val="24"/>
                <w:lang w:val="es-ES"/>
              </w:rPr>
            </w:pPr>
          </w:p>
        </w:tc>
      </w:tr>
      <w:tr w:rsidR="00FD2F7E" w:rsidRPr="00CB38AA" w:rsidTr="00FD2F7E">
        <w:trPr>
          <w:trHeight w:val="344"/>
          <w:jc w:val="center"/>
        </w:trPr>
        <w:tc>
          <w:tcPr>
            <w:tcW w:w="7836" w:type="dxa"/>
          </w:tcPr>
          <w:p w:rsidR="00FD2F7E" w:rsidRPr="00CB38AA" w:rsidRDefault="00FD2F7E" w:rsidP="00FD2F7E">
            <w:pPr>
              <w:spacing w:line="240" w:lineRule="auto"/>
              <w:jc w:val="right"/>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TOTAL</w:t>
            </w:r>
          </w:p>
        </w:tc>
        <w:tc>
          <w:tcPr>
            <w:tcW w:w="891" w:type="dxa"/>
          </w:tcPr>
          <w:p w:rsidR="00FD2F7E" w:rsidRPr="00CB38AA" w:rsidRDefault="00FD2F7E" w:rsidP="00FD2F7E">
            <w:pPr>
              <w:spacing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2</w:t>
            </w:r>
          </w:p>
        </w:tc>
      </w:tr>
    </w:tbl>
    <w:p w:rsidR="00FD2F7E" w:rsidRPr="00CB38AA" w:rsidRDefault="00FD2F7E" w:rsidP="00FD2F7E">
      <w:pPr>
        <w:widowControl w:val="0"/>
        <w:autoSpaceDE w:val="0"/>
        <w:autoSpaceDN w:val="0"/>
        <w:spacing w:after="0" w:line="240" w:lineRule="auto"/>
        <w:rPr>
          <w:rFonts w:ascii="Times New Roman" w:eastAsia="Arial MT" w:hAnsi="Times New Roman" w:cs="Times New Roman"/>
          <w:b/>
          <w:sz w:val="24"/>
          <w:szCs w:val="24"/>
          <w:lang w:val="es-ES"/>
        </w:rPr>
      </w:pPr>
    </w:p>
    <w:p w:rsidR="00FD2F7E" w:rsidRPr="00CB38AA" w:rsidRDefault="00FD2F7E" w:rsidP="00FD2F7E">
      <w:pPr>
        <w:widowControl w:val="0"/>
        <w:autoSpaceDE w:val="0"/>
        <w:autoSpaceDN w:val="0"/>
        <w:spacing w:after="0" w:line="240" w:lineRule="auto"/>
        <w:rPr>
          <w:rFonts w:ascii="Times New Roman" w:eastAsia="Arial MT" w:hAnsi="Times New Roman" w:cs="Times New Roman"/>
          <w:b/>
          <w:sz w:val="24"/>
          <w:szCs w:val="24"/>
          <w:lang w:val="es-ES"/>
        </w:rPr>
      </w:pPr>
    </w:p>
    <w:p w:rsidR="00FD2F7E" w:rsidRPr="00CB38AA" w:rsidRDefault="00FD2F7E" w:rsidP="00FD2F7E">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bookmarkStart w:id="8" w:name="DESPACHO_DE_LA_CORRESPONDENCIA"/>
      <w:bookmarkStart w:id="9" w:name="_bookmark12"/>
      <w:bookmarkEnd w:id="8"/>
      <w:bookmarkEnd w:id="9"/>
      <w:r w:rsidRPr="00CB38AA">
        <w:rPr>
          <w:rFonts w:ascii="Times New Roman" w:eastAsia="Arial" w:hAnsi="Times New Roman" w:cs="Times New Roman"/>
          <w:b/>
          <w:bCs/>
          <w:sz w:val="24"/>
          <w:szCs w:val="24"/>
          <w:lang w:val="es-ES"/>
        </w:rPr>
        <w:t>DESPACHO DE LA CORRESPONDENCIA</w:t>
      </w:r>
    </w:p>
    <w:p w:rsidR="00FD2F7E" w:rsidRPr="00CB38AA" w:rsidRDefault="00FD2F7E" w:rsidP="00FD2F7E">
      <w:pPr>
        <w:widowControl w:val="0"/>
        <w:autoSpaceDE w:val="0"/>
        <w:autoSpaceDN w:val="0"/>
        <w:spacing w:after="0" w:line="240" w:lineRule="auto"/>
        <w:rPr>
          <w:rFonts w:ascii="Times New Roman" w:eastAsia="Arial MT" w:hAnsi="Times New Roman" w:cs="Times New Roman"/>
          <w:b/>
          <w:sz w:val="24"/>
          <w:szCs w:val="24"/>
          <w:lang w:val="es-ES"/>
        </w:rPr>
      </w:pPr>
    </w:p>
    <w:tbl>
      <w:tblPr>
        <w:tblStyle w:val="TableNormal2"/>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43"/>
        <w:gridCol w:w="2268"/>
        <w:gridCol w:w="3262"/>
      </w:tblGrid>
      <w:tr w:rsidR="00FD2F7E" w:rsidRPr="00CB38AA" w:rsidTr="00FD2F7E">
        <w:trPr>
          <w:trHeight w:val="383"/>
          <w:jc w:val="center"/>
        </w:trPr>
        <w:tc>
          <w:tcPr>
            <w:tcW w:w="1243" w:type="dxa"/>
            <w:shd w:val="clear" w:color="auto" w:fill="AE1E4E"/>
          </w:tcPr>
          <w:p w:rsidR="00FD2F7E" w:rsidRPr="00CB38AA" w:rsidRDefault="00FD2F7E" w:rsidP="00FD2F7E">
            <w:pPr>
              <w:spacing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NÚM.</w:t>
            </w:r>
          </w:p>
        </w:tc>
        <w:tc>
          <w:tcPr>
            <w:tcW w:w="2268" w:type="dxa"/>
            <w:shd w:val="clear" w:color="auto" w:fill="AE1E4E"/>
          </w:tcPr>
          <w:p w:rsidR="00FD2F7E" w:rsidRPr="00CB38AA" w:rsidRDefault="00FD2F7E" w:rsidP="00FD2F7E">
            <w:pPr>
              <w:spacing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FECHA</w:t>
            </w:r>
          </w:p>
        </w:tc>
        <w:tc>
          <w:tcPr>
            <w:tcW w:w="3262" w:type="dxa"/>
            <w:shd w:val="clear" w:color="auto" w:fill="AE1E4E"/>
          </w:tcPr>
          <w:p w:rsidR="00FD2F7E" w:rsidRPr="00CB38AA" w:rsidRDefault="00FD2F7E" w:rsidP="00FD2F7E">
            <w:pPr>
              <w:spacing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OFICIOS RECIBIDOS Y ENTREGADOS</w:t>
            </w:r>
          </w:p>
        </w:tc>
      </w:tr>
      <w:tr w:rsidR="00FD2F7E" w:rsidRPr="00CB38AA" w:rsidTr="00FD2F7E">
        <w:trPr>
          <w:trHeight w:val="304"/>
          <w:jc w:val="center"/>
        </w:trPr>
        <w:tc>
          <w:tcPr>
            <w:tcW w:w="1243"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1</w:t>
            </w:r>
          </w:p>
        </w:tc>
        <w:tc>
          <w:tcPr>
            <w:tcW w:w="2268"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10-Dic-2025</w:t>
            </w:r>
          </w:p>
        </w:tc>
        <w:tc>
          <w:tcPr>
            <w:tcW w:w="3262"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31</w:t>
            </w:r>
          </w:p>
        </w:tc>
      </w:tr>
      <w:tr w:rsidR="00FD2F7E" w:rsidRPr="00CB38AA" w:rsidTr="00FD2F7E">
        <w:trPr>
          <w:trHeight w:val="304"/>
          <w:jc w:val="center"/>
        </w:trPr>
        <w:tc>
          <w:tcPr>
            <w:tcW w:w="1243"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2</w:t>
            </w:r>
          </w:p>
        </w:tc>
        <w:tc>
          <w:tcPr>
            <w:tcW w:w="2268"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11-Dic-2025</w:t>
            </w:r>
          </w:p>
        </w:tc>
        <w:tc>
          <w:tcPr>
            <w:tcW w:w="3262"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116</w:t>
            </w:r>
          </w:p>
        </w:tc>
      </w:tr>
      <w:tr w:rsidR="00FD2F7E" w:rsidRPr="00CB38AA" w:rsidTr="00FD2F7E">
        <w:trPr>
          <w:trHeight w:val="304"/>
          <w:jc w:val="center"/>
        </w:trPr>
        <w:tc>
          <w:tcPr>
            <w:tcW w:w="1243"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5</w:t>
            </w:r>
          </w:p>
        </w:tc>
        <w:tc>
          <w:tcPr>
            <w:tcW w:w="2268"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15-Dic-2025</w:t>
            </w:r>
          </w:p>
        </w:tc>
        <w:tc>
          <w:tcPr>
            <w:tcW w:w="3262"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9</w:t>
            </w:r>
          </w:p>
        </w:tc>
      </w:tr>
      <w:tr w:rsidR="00FD2F7E" w:rsidRPr="00CB38AA" w:rsidTr="00FD2F7E">
        <w:trPr>
          <w:trHeight w:val="302"/>
          <w:jc w:val="center"/>
        </w:trPr>
        <w:tc>
          <w:tcPr>
            <w:tcW w:w="1243"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6</w:t>
            </w:r>
          </w:p>
        </w:tc>
        <w:tc>
          <w:tcPr>
            <w:tcW w:w="2268"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16-Dic-2025</w:t>
            </w:r>
          </w:p>
        </w:tc>
        <w:tc>
          <w:tcPr>
            <w:tcW w:w="3262"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78</w:t>
            </w:r>
          </w:p>
        </w:tc>
      </w:tr>
      <w:tr w:rsidR="00FD2F7E" w:rsidRPr="00CB38AA" w:rsidTr="00FD2F7E">
        <w:trPr>
          <w:trHeight w:val="304"/>
          <w:jc w:val="center"/>
        </w:trPr>
        <w:tc>
          <w:tcPr>
            <w:tcW w:w="1243"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7</w:t>
            </w:r>
          </w:p>
        </w:tc>
        <w:tc>
          <w:tcPr>
            <w:tcW w:w="2268"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17-Dic-2025</w:t>
            </w:r>
          </w:p>
        </w:tc>
        <w:tc>
          <w:tcPr>
            <w:tcW w:w="3262"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45</w:t>
            </w:r>
          </w:p>
        </w:tc>
      </w:tr>
      <w:tr w:rsidR="00FD2F7E" w:rsidRPr="00CB38AA" w:rsidTr="00FD2F7E">
        <w:trPr>
          <w:trHeight w:val="304"/>
          <w:jc w:val="center"/>
        </w:trPr>
        <w:tc>
          <w:tcPr>
            <w:tcW w:w="1243"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8</w:t>
            </w:r>
          </w:p>
        </w:tc>
        <w:tc>
          <w:tcPr>
            <w:tcW w:w="2268"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7-Ene-2026</w:t>
            </w:r>
          </w:p>
        </w:tc>
        <w:tc>
          <w:tcPr>
            <w:tcW w:w="3262"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28</w:t>
            </w:r>
          </w:p>
        </w:tc>
      </w:tr>
      <w:tr w:rsidR="00FD2F7E" w:rsidRPr="00CB38AA" w:rsidTr="00FD2F7E">
        <w:trPr>
          <w:trHeight w:val="304"/>
          <w:jc w:val="center"/>
        </w:trPr>
        <w:tc>
          <w:tcPr>
            <w:tcW w:w="1243"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9</w:t>
            </w:r>
          </w:p>
        </w:tc>
        <w:tc>
          <w:tcPr>
            <w:tcW w:w="2268"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8-Ene-2026</w:t>
            </w:r>
          </w:p>
        </w:tc>
        <w:tc>
          <w:tcPr>
            <w:tcW w:w="3262"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60</w:t>
            </w:r>
          </w:p>
        </w:tc>
      </w:tr>
      <w:tr w:rsidR="00FD2F7E" w:rsidRPr="00CB38AA" w:rsidTr="00FD2F7E">
        <w:trPr>
          <w:trHeight w:val="304"/>
          <w:jc w:val="center"/>
        </w:trPr>
        <w:tc>
          <w:tcPr>
            <w:tcW w:w="1243"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10</w:t>
            </w:r>
          </w:p>
        </w:tc>
        <w:tc>
          <w:tcPr>
            <w:tcW w:w="2268"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9-Ene-2026</w:t>
            </w:r>
          </w:p>
        </w:tc>
        <w:tc>
          <w:tcPr>
            <w:tcW w:w="3262"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54</w:t>
            </w:r>
          </w:p>
        </w:tc>
      </w:tr>
      <w:tr w:rsidR="00FD2F7E" w:rsidRPr="00CB38AA" w:rsidTr="00FD2F7E">
        <w:trPr>
          <w:trHeight w:val="304"/>
          <w:jc w:val="center"/>
        </w:trPr>
        <w:tc>
          <w:tcPr>
            <w:tcW w:w="1243"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11</w:t>
            </w:r>
          </w:p>
        </w:tc>
        <w:tc>
          <w:tcPr>
            <w:tcW w:w="2268"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12-Ene-2026</w:t>
            </w:r>
          </w:p>
        </w:tc>
        <w:tc>
          <w:tcPr>
            <w:tcW w:w="3262"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42</w:t>
            </w:r>
          </w:p>
        </w:tc>
      </w:tr>
      <w:tr w:rsidR="00FD2F7E" w:rsidRPr="00CB38AA" w:rsidTr="00FD2F7E">
        <w:trPr>
          <w:trHeight w:val="301"/>
          <w:jc w:val="center"/>
        </w:trPr>
        <w:tc>
          <w:tcPr>
            <w:tcW w:w="1243"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12</w:t>
            </w:r>
          </w:p>
        </w:tc>
        <w:tc>
          <w:tcPr>
            <w:tcW w:w="2268"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13-Ene-2026</w:t>
            </w:r>
          </w:p>
        </w:tc>
        <w:tc>
          <w:tcPr>
            <w:tcW w:w="3262"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57</w:t>
            </w:r>
          </w:p>
        </w:tc>
      </w:tr>
      <w:tr w:rsidR="00FD2F7E" w:rsidRPr="00CB38AA" w:rsidTr="00FD2F7E">
        <w:trPr>
          <w:trHeight w:val="304"/>
          <w:jc w:val="center"/>
        </w:trPr>
        <w:tc>
          <w:tcPr>
            <w:tcW w:w="1243"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13</w:t>
            </w:r>
          </w:p>
        </w:tc>
        <w:tc>
          <w:tcPr>
            <w:tcW w:w="2268"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14-Ene-2026</w:t>
            </w:r>
          </w:p>
        </w:tc>
        <w:tc>
          <w:tcPr>
            <w:tcW w:w="3262"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34</w:t>
            </w:r>
          </w:p>
        </w:tc>
      </w:tr>
      <w:tr w:rsidR="00FD2F7E" w:rsidRPr="00CB38AA" w:rsidTr="00FD2F7E">
        <w:trPr>
          <w:trHeight w:val="304"/>
          <w:jc w:val="center"/>
        </w:trPr>
        <w:tc>
          <w:tcPr>
            <w:tcW w:w="1243"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14</w:t>
            </w:r>
          </w:p>
        </w:tc>
        <w:tc>
          <w:tcPr>
            <w:tcW w:w="2268"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15-Ene-2026</w:t>
            </w:r>
          </w:p>
        </w:tc>
        <w:tc>
          <w:tcPr>
            <w:tcW w:w="3262"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115</w:t>
            </w:r>
          </w:p>
        </w:tc>
      </w:tr>
      <w:tr w:rsidR="00FD2F7E" w:rsidRPr="00CB38AA" w:rsidTr="00FD2F7E">
        <w:trPr>
          <w:trHeight w:val="304"/>
          <w:jc w:val="center"/>
        </w:trPr>
        <w:tc>
          <w:tcPr>
            <w:tcW w:w="1243"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15</w:t>
            </w:r>
          </w:p>
        </w:tc>
        <w:tc>
          <w:tcPr>
            <w:tcW w:w="2268"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16-Ene-2026</w:t>
            </w:r>
          </w:p>
        </w:tc>
        <w:tc>
          <w:tcPr>
            <w:tcW w:w="3262"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73</w:t>
            </w:r>
          </w:p>
        </w:tc>
      </w:tr>
      <w:tr w:rsidR="00FD2F7E" w:rsidRPr="00CB38AA" w:rsidTr="00FD2F7E">
        <w:trPr>
          <w:trHeight w:val="304"/>
          <w:jc w:val="center"/>
        </w:trPr>
        <w:tc>
          <w:tcPr>
            <w:tcW w:w="1243"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16</w:t>
            </w:r>
          </w:p>
        </w:tc>
        <w:tc>
          <w:tcPr>
            <w:tcW w:w="2268"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19-Ene-2026</w:t>
            </w:r>
          </w:p>
        </w:tc>
        <w:tc>
          <w:tcPr>
            <w:tcW w:w="3262"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86</w:t>
            </w:r>
          </w:p>
        </w:tc>
      </w:tr>
      <w:tr w:rsidR="00FD2F7E" w:rsidRPr="00CB38AA" w:rsidTr="00FD2F7E">
        <w:trPr>
          <w:trHeight w:val="304"/>
          <w:jc w:val="center"/>
        </w:trPr>
        <w:tc>
          <w:tcPr>
            <w:tcW w:w="1243"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17</w:t>
            </w:r>
          </w:p>
        </w:tc>
        <w:tc>
          <w:tcPr>
            <w:tcW w:w="2268"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20-Ene-2026</w:t>
            </w:r>
          </w:p>
        </w:tc>
        <w:tc>
          <w:tcPr>
            <w:tcW w:w="3262"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82</w:t>
            </w:r>
          </w:p>
        </w:tc>
      </w:tr>
      <w:tr w:rsidR="00FD2F7E" w:rsidRPr="00CB38AA" w:rsidTr="00FD2F7E">
        <w:trPr>
          <w:trHeight w:val="302"/>
          <w:jc w:val="center"/>
        </w:trPr>
        <w:tc>
          <w:tcPr>
            <w:tcW w:w="1243"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18</w:t>
            </w:r>
          </w:p>
        </w:tc>
        <w:tc>
          <w:tcPr>
            <w:tcW w:w="2268"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21-Ene-2026</w:t>
            </w:r>
          </w:p>
        </w:tc>
        <w:tc>
          <w:tcPr>
            <w:tcW w:w="3262"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62</w:t>
            </w:r>
          </w:p>
        </w:tc>
      </w:tr>
      <w:tr w:rsidR="00FD2F7E" w:rsidRPr="00CB38AA" w:rsidTr="00FD2F7E">
        <w:trPr>
          <w:trHeight w:val="304"/>
          <w:jc w:val="center"/>
        </w:trPr>
        <w:tc>
          <w:tcPr>
            <w:tcW w:w="1243"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19</w:t>
            </w:r>
          </w:p>
        </w:tc>
        <w:tc>
          <w:tcPr>
            <w:tcW w:w="2268"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22-Ene-2026</w:t>
            </w:r>
          </w:p>
        </w:tc>
        <w:tc>
          <w:tcPr>
            <w:tcW w:w="3262"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49</w:t>
            </w:r>
          </w:p>
        </w:tc>
      </w:tr>
      <w:tr w:rsidR="00FD2F7E" w:rsidRPr="00CB38AA" w:rsidTr="00FD2F7E">
        <w:trPr>
          <w:trHeight w:val="304"/>
          <w:jc w:val="center"/>
        </w:trPr>
        <w:tc>
          <w:tcPr>
            <w:tcW w:w="1243"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20</w:t>
            </w:r>
          </w:p>
        </w:tc>
        <w:tc>
          <w:tcPr>
            <w:tcW w:w="2268"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23-Ene-2026</w:t>
            </w:r>
          </w:p>
        </w:tc>
        <w:tc>
          <w:tcPr>
            <w:tcW w:w="3262"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47</w:t>
            </w:r>
          </w:p>
        </w:tc>
      </w:tr>
      <w:tr w:rsidR="00FD2F7E" w:rsidRPr="00CB38AA" w:rsidTr="00FD2F7E">
        <w:trPr>
          <w:trHeight w:val="304"/>
          <w:jc w:val="center"/>
        </w:trPr>
        <w:tc>
          <w:tcPr>
            <w:tcW w:w="1243"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21</w:t>
            </w:r>
          </w:p>
        </w:tc>
        <w:tc>
          <w:tcPr>
            <w:tcW w:w="2268"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26-Ene-2026</w:t>
            </w:r>
          </w:p>
        </w:tc>
        <w:tc>
          <w:tcPr>
            <w:tcW w:w="3262"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39</w:t>
            </w:r>
          </w:p>
        </w:tc>
      </w:tr>
      <w:tr w:rsidR="00FD2F7E" w:rsidRPr="00CB38AA" w:rsidTr="00FD2F7E">
        <w:trPr>
          <w:trHeight w:val="304"/>
          <w:jc w:val="center"/>
        </w:trPr>
        <w:tc>
          <w:tcPr>
            <w:tcW w:w="1243"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22</w:t>
            </w:r>
          </w:p>
        </w:tc>
        <w:tc>
          <w:tcPr>
            <w:tcW w:w="2268"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27-Ene-2026</w:t>
            </w:r>
          </w:p>
        </w:tc>
        <w:tc>
          <w:tcPr>
            <w:tcW w:w="3262"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80</w:t>
            </w:r>
          </w:p>
        </w:tc>
      </w:tr>
      <w:tr w:rsidR="00FD2F7E" w:rsidRPr="00CB38AA" w:rsidTr="00FD2F7E">
        <w:trPr>
          <w:trHeight w:val="302"/>
          <w:jc w:val="center"/>
        </w:trPr>
        <w:tc>
          <w:tcPr>
            <w:tcW w:w="1243"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23</w:t>
            </w:r>
          </w:p>
        </w:tc>
        <w:tc>
          <w:tcPr>
            <w:tcW w:w="2268"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28-Ene-2026</w:t>
            </w:r>
          </w:p>
        </w:tc>
        <w:tc>
          <w:tcPr>
            <w:tcW w:w="3262"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61</w:t>
            </w:r>
          </w:p>
        </w:tc>
      </w:tr>
      <w:tr w:rsidR="00FD2F7E" w:rsidRPr="00CB38AA" w:rsidTr="00FD2F7E">
        <w:trPr>
          <w:trHeight w:val="304"/>
          <w:jc w:val="center"/>
        </w:trPr>
        <w:tc>
          <w:tcPr>
            <w:tcW w:w="1243"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24</w:t>
            </w:r>
          </w:p>
        </w:tc>
        <w:tc>
          <w:tcPr>
            <w:tcW w:w="2268"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29-Ene-2026</w:t>
            </w:r>
          </w:p>
        </w:tc>
        <w:tc>
          <w:tcPr>
            <w:tcW w:w="3262"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70</w:t>
            </w:r>
          </w:p>
        </w:tc>
      </w:tr>
      <w:tr w:rsidR="00FD2F7E" w:rsidRPr="00CB38AA" w:rsidTr="00FD2F7E">
        <w:trPr>
          <w:trHeight w:val="304"/>
          <w:jc w:val="center"/>
        </w:trPr>
        <w:tc>
          <w:tcPr>
            <w:tcW w:w="1243"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25</w:t>
            </w:r>
          </w:p>
        </w:tc>
        <w:tc>
          <w:tcPr>
            <w:tcW w:w="2268"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30-Ene-2026</w:t>
            </w:r>
          </w:p>
        </w:tc>
        <w:tc>
          <w:tcPr>
            <w:tcW w:w="3262" w:type="dxa"/>
          </w:tcPr>
          <w:p w:rsidR="00FD2F7E" w:rsidRPr="00CB38AA" w:rsidRDefault="00FD2F7E" w:rsidP="00FD2F7E">
            <w:pPr>
              <w:spacing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80</w:t>
            </w:r>
          </w:p>
        </w:tc>
      </w:tr>
      <w:tr w:rsidR="00FD2F7E" w:rsidRPr="00CB38AA" w:rsidTr="00FD2F7E">
        <w:trPr>
          <w:trHeight w:val="304"/>
          <w:jc w:val="center"/>
        </w:trPr>
        <w:tc>
          <w:tcPr>
            <w:tcW w:w="3511" w:type="dxa"/>
            <w:gridSpan w:val="2"/>
          </w:tcPr>
          <w:p w:rsidR="00FD2F7E" w:rsidRPr="00CB38AA" w:rsidRDefault="00FD2F7E" w:rsidP="00FD2F7E">
            <w:pPr>
              <w:spacing w:line="240" w:lineRule="auto"/>
              <w:jc w:val="right"/>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TOTAL</w:t>
            </w:r>
          </w:p>
        </w:tc>
        <w:tc>
          <w:tcPr>
            <w:tcW w:w="3262" w:type="dxa"/>
          </w:tcPr>
          <w:p w:rsidR="00FD2F7E" w:rsidRPr="00CB38AA" w:rsidRDefault="00FD2F7E" w:rsidP="00FD2F7E">
            <w:pPr>
              <w:spacing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1,398</w:t>
            </w:r>
          </w:p>
        </w:tc>
      </w:tr>
    </w:tbl>
    <w:p w:rsidR="00FD2F7E" w:rsidRPr="00CB38AA" w:rsidRDefault="00FD2F7E" w:rsidP="00FD2F7E">
      <w:pPr>
        <w:spacing w:after="0" w:line="240" w:lineRule="auto"/>
        <w:jc w:val="center"/>
        <w:rPr>
          <w:rFonts w:ascii="Times New Roman" w:hAnsi="Times New Roman" w:cs="Times New Roman"/>
          <w:sz w:val="24"/>
          <w:szCs w:val="24"/>
        </w:rPr>
      </w:pPr>
    </w:p>
    <w:p w:rsidR="00FD2F7E" w:rsidRPr="00CB38AA" w:rsidRDefault="00FD2F7E" w:rsidP="00FD2F7E">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(Fin del documento)</w:t>
      </w:r>
    </w:p>
    <w:p w:rsidR="00FD2F7E" w:rsidRPr="00CB38AA" w:rsidRDefault="00FD2F7E" w:rsidP="00FD2F7E">
      <w:pPr>
        <w:spacing w:after="0" w:line="240" w:lineRule="auto"/>
        <w:jc w:val="center"/>
        <w:rPr>
          <w:rFonts w:ascii="Times New Roman" w:hAnsi="Times New Roman" w:cs="Times New Roman"/>
          <w:sz w:val="24"/>
          <w:szCs w:val="24"/>
        </w:rPr>
      </w:pPr>
    </w:p>
    <w:p w:rsidR="00C7203F" w:rsidRPr="00CB38AA" w:rsidRDefault="00C7203F"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VICEPRESIDENTA DIP. ITZEL GUADALUPE PÉREZ CORREA. Con fundamento en el artículo 47, fracciones VIII, XX y XXII de la Ley Orgánica del Poder Legislativo del Estado Libre y Soberano de México, se emite el siguiente:</w:t>
      </w:r>
    </w:p>
    <w:p w:rsidR="00C7203F" w:rsidRPr="00CB38AA" w:rsidRDefault="00C7203F" w:rsidP="00DF6EEA">
      <w:pPr>
        <w:pStyle w:val="Sinespaciado"/>
        <w:ind w:firstLine="708"/>
        <w:jc w:val="center"/>
        <w:rPr>
          <w:rFonts w:ascii="Times New Roman" w:hAnsi="Times New Roman" w:cs="Times New Roman"/>
          <w:sz w:val="24"/>
          <w:szCs w:val="24"/>
        </w:rPr>
      </w:pPr>
      <w:r w:rsidRPr="00CB38AA">
        <w:rPr>
          <w:rFonts w:ascii="Times New Roman" w:hAnsi="Times New Roman" w:cs="Times New Roman"/>
          <w:sz w:val="24"/>
          <w:szCs w:val="24"/>
        </w:rPr>
        <w:t>ACUERDO.</w:t>
      </w:r>
    </w:p>
    <w:p w:rsidR="00C7203F" w:rsidRPr="00CB38AA" w:rsidRDefault="00D32A2A"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PRIMERO</w:t>
      </w:r>
      <w:r w:rsidR="00C7203F" w:rsidRPr="00CB38AA">
        <w:rPr>
          <w:rFonts w:ascii="Times New Roman" w:hAnsi="Times New Roman" w:cs="Times New Roman"/>
          <w:sz w:val="24"/>
          <w:szCs w:val="24"/>
        </w:rPr>
        <w:t xml:space="preserve">. Se tiene por enterada la LXII Legislatura del informe presentado. </w:t>
      </w:r>
    </w:p>
    <w:p w:rsidR="00C7203F" w:rsidRPr="00CB38AA" w:rsidRDefault="00D32A2A"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SEGUNDO</w:t>
      </w:r>
      <w:r w:rsidR="00C7203F" w:rsidRPr="00CB38AA">
        <w:rPr>
          <w:rFonts w:ascii="Times New Roman" w:hAnsi="Times New Roman" w:cs="Times New Roman"/>
          <w:sz w:val="24"/>
          <w:szCs w:val="24"/>
        </w:rPr>
        <w:t xml:space="preserve">. La Secretaría registrará la documentación recibida y tramitada por la Diputación Permanente; así mismo, conformará los expedientes necesarios. </w:t>
      </w:r>
    </w:p>
    <w:p w:rsidR="00C7203F" w:rsidRPr="00CB38AA" w:rsidRDefault="00D32A2A"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lastRenderedPageBreak/>
        <w:t>TERCERO</w:t>
      </w:r>
      <w:r w:rsidR="00C7203F" w:rsidRPr="00CB38AA">
        <w:rPr>
          <w:rFonts w:ascii="Times New Roman" w:hAnsi="Times New Roman" w:cs="Times New Roman"/>
          <w:sz w:val="24"/>
          <w:szCs w:val="24"/>
        </w:rPr>
        <w:t>. En observancia de la Ley Orgánica y el Reglamento de este Poder Legislativo y de los acuerdos de la Junta de Coordinación Política, en su oportunidad se acordará el trámite de los asuntos recibidos</w:t>
      </w:r>
      <w:r w:rsidR="00B03C59" w:rsidRPr="00CB38AA">
        <w:rPr>
          <w:rFonts w:ascii="Times New Roman" w:hAnsi="Times New Roman" w:cs="Times New Roman"/>
          <w:sz w:val="24"/>
          <w:szCs w:val="24"/>
        </w:rPr>
        <w:t xml:space="preserve"> </w:t>
      </w:r>
    </w:p>
    <w:p w:rsidR="00A11C4E" w:rsidRPr="00CB38AA" w:rsidRDefault="00D32A2A" w:rsidP="00DF6EEA">
      <w:pPr>
        <w:spacing w:after="0" w:line="240" w:lineRule="auto"/>
        <w:ind w:firstLine="708"/>
        <w:jc w:val="both"/>
        <w:rPr>
          <w:rFonts w:ascii="Times New Roman" w:hAnsi="Times New Roman" w:cs="Times New Roman"/>
          <w:sz w:val="24"/>
          <w:szCs w:val="24"/>
        </w:rPr>
      </w:pPr>
      <w:r w:rsidRPr="00CB38AA">
        <w:rPr>
          <w:rFonts w:ascii="Times New Roman" w:hAnsi="Times New Roman" w:cs="Times New Roman"/>
          <w:sz w:val="24"/>
          <w:szCs w:val="24"/>
        </w:rPr>
        <w:t>CUARTO</w:t>
      </w:r>
      <w:r w:rsidR="00B03C59" w:rsidRPr="00CB38AA">
        <w:rPr>
          <w:rFonts w:ascii="Times New Roman" w:hAnsi="Times New Roman" w:cs="Times New Roman"/>
          <w:sz w:val="24"/>
          <w:szCs w:val="24"/>
        </w:rPr>
        <w:t>. E</w:t>
      </w:r>
      <w:r w:rsidR="00A11C4E" w:rsidRPr="00CB38AA">
        <w:rPr>
          <w:rFonts w:ascii="Times New Roman" w:hAnsi="Times New Roman" w:cs="Times New Roman"/>
          <w:sz w:val="24"/>
          <w:szCs w:val="24"/>
        </w:rPr>
        <w:t>n cuanto a los asuntos que se acuerden deban ser concedidos y resueltos por la Legislatura en el Pleno, en su oportunidad se programará y favorecerá su presentación ante la Asamblea Legislativa.</w:t>
      </w:r>
    </w:p>
    <w:p w:rsidR="00A11C4E" w:rsidRPr="00CB38AA" w:rsidRDefault="00A11C4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QUINTO. Se da por cumplido lo establecido en el artículo 58 de la Ley Orgánica de este Poder Legislativo.</w:t>
      </w:r>
    </w:p>
    <w:p w:rsidR="00A11C4E" w:rsidRPr="00CB38AA" w:rsidRDefault="00A11C4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PRESIDENTA DIP. MARTHA AZUCENA CAMACHO REYNOSO. Gracias Vicepresidenta.</w:t>
      </w:r>
    </w:p>
    <w:p w:rsidR="00A11C4E" w:rsidRPr="00CB38AA" w:rsidRDefault="00A11C4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En atención al punto número 3 y de conformidad con lo previsto en la Ley Reglamentaria de las fracciones XXV, XXVI del artículo 61 de la Constitución Política del Estado Libre y Soberano de México, el diputado Román Cortés Lugo presenta el dictamen de la solicitud del inicio del Procedimiento de Diferendo Limítrofe Intermunicipal entre los Municipios de Acolman y Ecatepec de Morelos, y como terceros interesados a los Municipios de Tecámac</w:t>
      </w:r>
      <w:r w:rsidR="00F61340" w:rsidRPr="00CB38AA">
        <w:rPr>
          <w:rFonts w:ascii="Times New Roman" w:hAnsi="Times New Roman" w:cs="Times New Roman"/>
          <w:sz w:val="24"/>
          <w:szCs w:val="24"/>
        </w:rPr>
        <w:t xml:space="preserve"> y</w:t>
      </w:r>
      <w:r w:rsidRPr="00CB38AA">
        <w:rPr>
          <w:rFonts w:ascii="Times New Roman" w:hAnsi="Times New Roman" w:cs="Times New Roman"/>
          <w:sz w:val="24"/>
          <w:szCs w:val="24"/>
        </w:rPr>
        <w:t xml:space="preserve"> Atenco, Estado de México, formulada por la Comisión Legislativa de Límites Territoriales del Estado de México y sus Municipios.</w:t>
      </w:r>
    </w:p>
    <w:p w:rsidR="00A11C4E" w:rsidRPr="00CB38AA" w:rsidRDefault="00A11C4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DIP. ROMÁN FRANCISCO CORTÉS LUGO. Muchas gracias.</w:t>
      </w:r>
    </w:p>
    <w:p w:rsidR="00A11C4E" w:rsidRPr="00CB38AA" w:rsidRDefault="00A11C4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Con su venia Presidenta de la Mesa Directiva de la LXII Legislatura, a todos sus integrantes, diputadas, diputade, diputados, amigas y amigos que nos siguen en todos los medios de comunicación, a los medios de comunicación que hoy nos acompañan.</w:t>
      </w:r>
    </w:p>
    <w:p w:rsidR="00A11C4E" w:rsidRPr="00CB38AA" w:rsidRDefault="00A11C4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Primero que nada, antes de leer este dictamen que ha trabajado la Comisión Legislativa de Límites Territoriales, quiero felicitar hoy a todos, hoy los vecinos que podemos decir que ya tienen una identidad de un municipio y jurídica de los Municipios de Ecatepec y del Municipio de Acolman, cabe destacar toda esta labor y este momento tan importante de un momento histórico que lo hemos platicado, yo creo que aquí todos, todas las fracciones, todas, todes y todos hemos platicado la importancia de toda la gente y los ciudadanos que lo primero que tenemos que velar es por su bienestar y que tengan una identidad, aparte de una identidad que tengan garantías jurídicas toda la vida.</w:t>
      </w:r>
    </w:p>
    <w:p w:rsidR="00A11C4E" w:rsidRPr="00CB38AA" w:rsidRDefault="00A11C4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Hoy los vecinos que ya tienen determinado en sus límites territoriales, pues, el día de hoy después de 30 años han logrado por fin una lucha que parecía interminable y que ha pasado por muchas legislaturas, que ha pasado por muchos gobernadores, nunca por una gobernadora hasta ahorita porque es la primera mujer que tenemos Gobernadora y cabe destacar que este resultado es un trabajo de todas, es un trabajo de todos, es un trabajo de todes, donde podemos ver toda la relación que ha partido.</w:t>
      </w:r>
    </w:p>
    <w:p w:rsidR="00A11C4E" w:rsidRPr="00CB38AA" w:rsidRDefault="00A11C4E" w:rsidP="00DF6EEA">
      <w:pPr>
        <w:spacing w:after="0" w:line="240" w:lineRule="auto"/>
        <w:ind w:firstLine="708"/>
        <w:jc w:val="both"/>
        <w:rPr>
          <w:rFonts w:ascii="Times New Roman" w:hAnsi="Times New Roman" w:cs="Times New Roman"/>
          <w:sz w:val="24"/>
          <w:szCs w:val="24"/>
        </w:rPr>
      </w:pPr>
      <w:r w:rsidRPr="00CB38AA">
        <w:rPr>
          <w:rFonts w:ascii="Times New Roman" w:hAnsi="Times New Roman" w:cs="Times New Roman"/>
          <w:sz w:val="24"/>
          <w:szCs w:val="24"/>
        </w:rPr>
        <w:t>Desde el principio cuando nuestra Gobernadora la Maestra Delfina Gómez Álvarez estuvo en campaña y visitó la zona se comprometió con las vecinas y los vecinos a poder resolver esta situación en esta área de gobierno, con todo su apoyo nos instruyó a que determináramos como este caso, como muchos otros, pudiéramos darle solución por el bienestar a los vecinos.</w:t>
      </w:r>
    </w:p>
    <w:p w:rsidR="004D50AA" w:rsidRPr="00CB38AA" w:rsidRDefault="00A11C4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Hoy es una realidad que hemos podido realizar en un trabajo en conjunto, hemos trabajado todos fuertemente, tanto la Secretaría de Gobierno ha estado al pendiente de todas las situaciones que han estado con los vecinos, obviamente molestos y molestas queriendo platicar con nosotros las soluciones que íbamos a dar, han estado participando, no cabe menos destacar el trabajo que este Congreso, toda la Comisión Legislativa de Límites Territoriales, les agradezco mucho a todos los integrantes por el apoyo, porque hemos trabajado en conjunto, sin temas políticos, ni de ninguna otra manera, más que el bienestar de las ciudadanas y los ciudadanos</w:t>
      </w:r>
      <w:r w:rsidR="004D50AA" w:rsidRPr="00CB38AA">
        <w:rPr>
          <w:rFonts w:ascii="Times New Roman" w:hAnsi="Times New Roman" w:cs="Times New Roman"/>
          <w:sz w:val="24"/>
          <w:szCs w:val="24"/>
        </w:rPr>
        <w:t>.</w:t>
      </w:r>
    </w:p>
    <w:p w:rsidR="003C7515" w:rsidRPr="00CB38AA" w:rsidRDefault="004D50AA" w:rsidP="00DF6EEA">
      <w:pPr>
        <w:spacing w:after="0" w:line="240" w:lineRule="auto"/>
        <w:ind w:firstLine="708"/>
        <w:jc w:val="both"/>
        <w:rPr>
          <w:rFonts w:ascii="Times New Roman" w:hAnsi="Times New Roman" w:cs="Times New Roman"/>
          <w:sz w:val="24"/>
          <w:szCs w:val="24"/>
        </w:rPr>
      </w:pPr>
      <w:r w:rsidRPr="00CB38AA">
        <w:rPr>
          <w:rFonts w:ascii="Times New Roman" w:hAnsi="Times New Roman" w:cs="Times New Roman"/>
          <w:sz w:val="24"/>
          <w:szCs w:val="24"/>
        </w:rPr>
        <w:t>Y</w:t>
      </w:r>
      <w:r w:rsidR="00A11C4E" w:rsidRPr="00CB38AA">
        <w:rPr>
          <w:rFonts w:ascii="Times New Roman" w:hAnsi="Times New Roman" w:cs="Times New Roman"/>
          <w:sz w:val="24"/>
          <w:szCs w:val="24"/>
        </w:rPr>
        <w:t xml:space="preserve"> el apoyo obviamente indispensable de la Junta de Coordinación Política encabezada por nuestro Coordinador Francisco Vázquez, quien nos ha apoyado mucho a la comisión, que nos ha incentivado para poder lograr esta situación y que por él se ha logrado mucho esta situación, porque a </w:t>
      </w:r>
      <w:r w:rsidR="00230F7D" w:rsidRPr="00CB38AA">
        <w:rPr>
          <w:rFonts w:ascii="Times New Roman" w:hAnsi="Times New Roman" w:cs="Times New Roman"/>
          <w:sz w:val="24"/>
          <w:szCs w:val="24"/>
        </w:rPr>
        <w:t>veces,</w:t>
      </w:r>
      <w:r w:rsidR="00A11C4E" w:rsidRPr="00CB38AA">
        <w:rPr>
          <w:rFonts w:ascii="Times New Roman" w:hAnsi="Times New Roman" w:cs="Times New Roman"/>
          <w:sz w:val="24"/>
          <w:szCs w:val="24"/>
        </w:rPr>
        <w:t xml:space="preserve"> aunque no quiera no se pueden hacer las cosas porque siempre hay una traba, hay alguien </w:t>
      </w:r>
      <w:r w:rsidR="00A11C4E" w:rsidRPr="00CB38AA">
        <w:rPr>
          <w:rFonts w:ascii="Times New Roman" w:hAnsi="Times New Roman" w:cs="Times New Roman"/>
          <w:sz w:val="24"/>
          <w:szCs w:val="24"/>
        </w:rPr>
        <w:lastRenderedPageBreak/>
        <w:t>que no quiere y la verdad que todo mi apoyo, mi reconocimiento diputado coordinador y presidente por esta situación</w:t>
      </w:r>
      <w:r w:rsidR="003C7515" w:rsidRPr="00CB38AA">
        <w:rPr>
          <w:rFonts w:ascii="Times New Roman" w:hAnsi="Times New Roman" w:cs="Times New Roman"/>
          <w:sz w:val="24"/>
          <w:szCs w:val="24"/>
        </w:rPr>
        <w:t>.</w:t>
      </w:r>
    </w:p>
    <w:p w:rsidR="00B51987" w:rsidRPr="00CB38AA" w:rsidRDefault="003C7515" w:rsidP="00DF6EEA">
      <w:pPr>
        <w:spacing w:after="0" w:line="240" w:lineRule="aut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Y </w:t>
      </w:r>
      <w:r w:rsidR="00A11C4E" w:rsidRPr="00CB38AA">
        <w:rPr>
          <w:rFonts w:ascii="Times New Roman" w:hAnsi="Times New Roman" w:cs="Times New Roman"/>
          <w:sz w:val="24"/>
          <w:szCs w:val="24"/>
        </w:rPr>
        <w:t>reconocer el trabajo de los diputados de estos distritos, a mi amiga diputada Zaira Cedillo, Zaira muchas gracias, estuviste muchas veces integrando a la gente, platicando con toda la gente, viendo la situación, te fueron a ver muchas personas, al diputado Ernesto Santillán que también estuvo muy pendiente, que es integrante, Secretario de la comisión y que le tocaron bastantes juntas en ese sentido, al diputado Octavio Martínez</w:t>
      </w:r>
      <w:r w:rsidR="00ED0834" w:rsidRPr="00CB38AA">
        <w:rPr>
          <w:rFonts w:ascii="Times New Roman" w:hAnsi="Times New Roman" w:cs="Times New Roman"/>
          <w:sz w:val="24"/>
          <w:szCs w:val="24"/>
        </w:rPr>
        <w:t xml:space="preserve"> que t</w:t>
      </w:r>
      <w:r w:rsidR="00B51987" w:rsidRPr="00CB38AA">
        <w:rPr>
          <w:rFonts w:ascii="Times New Roman" w:hAnsi="Times New Roman" w:cs="Times New Roman"/>
          <w:sz w:val="24"/>
          <w:szCs w:val="24"/>
        </w:rPr>
        <w:t xml:space="preserve">ambién estuvo pendiente, que estuvo atendiendo a diversos contingentes en dados casos y del </w:t>
      </w:r>
      <w:r w:rsidR="00C25FD7" w:rsidRPr="00CB38AA">
        <w:rPr>
          <w:rFonts w:ascii="Times New Roman" w:hAnsi="Times New Roman" w:cs="Times New Roman"/>
          <w:sz w:val="24"/>
          <w:szCs w:val="24"/>
        </w:rPr>
        <w:t xml:space="preserve">Municipio </w:t>
      </w:r>
      <w:r w:rsidR="00B51987" w:rsidRPr="00CB38AA">
        <w:rPr>
          <w:rFonts w:ascii="Times New Roman" w:hAnsi="Times New Roman" w:cs="Times New Roman"/>
          <w:sz w:val="24"/>
          <w:szCs w:val="24"/>
        </w:rPr>
        <w:t xml:space="preserve">de Acolman a nuestro diputado Osvaldo Cortés, que también estuvo muy participativo y trabajando con toda esta situación. </w:t>
      </w:r>
    </w:p>
    <w:p w:rsidR="00B51987" w:rsidRPr="00CB38AA" w:rsidRDefault="00B51987"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Agradecer van a decir que es muchos agradecimientos, pero la verdad es que es un momento que se debe festejar y que debe ser un ejemplo de cómo debemos de ir trabajando en esta Legislatura y con el apoyo de todos, ir sacando todas estas problemáticas que para eso nos eligieron los ciudadanos y las ciudadanas, para poder resolver todas estas problemáticas. </w:t>
      </w:r>
    </w:p>
    <w:p w:rsidR="00D504A4" w:rsidRPr="00CB38AA" w:rsidRDefault="00B51987"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No menor reconocimiento, hablar de que aparte de todas estas instancias que encabeza Gobierno del Estado, nuestra gobernadora, también por parte de todas las comisiones y todas las direcciones como es el INEGI, como es el IGECEM, como es el INE, hemos podido trabajar de la mano para tener un criterio propio y generar esta situación</w:t>
      </w:r>
      <w:r w:rsidR="00D504A4" w:rsidRPr="00CB38AA">
        <w:rPr>
          <w:rFonts w:ascii="Times New Roman" w:hAnsi="Times New Roman" w:cs="Times New Roman"/>
          <w:sz w:val="24"/>
          <w:szCs w:val="24"/>
        </w:rPr>
        <w:t>.</w:t>
      </w:r>
    </w:p>
    <w:p w:rsidR="00B51987" w:rsidRPr="00CB38AA" w:rsidRDefault="00D504A4"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Pues</w:t>
      </w:r>
      <w:r w:rsidR="00B51987" w:rsidRPr="00CB38AA">
        <w:rPr>
          <w:rFonts w:ascii="Times New Roman" w:hAnsi="Times New Roman" w:cs="Times New Roman"/>
          <w:sz w:val="24"/>
          <w:szCs w:val="24"/>
        </w:rPr>
        <w:t xml:space="preserve"> no me queda más que leer el dictamen, pero sí quería hacer y recalcar esta situación y felicitar nuevamente a todas esas ciudadanas y esos ciudadanos que han dado una lucha por muchos años, por más de 30 años y que hoy se hizo realidad esta situación, paso a leer el</w:t>
      </w:r>
      <w:r w:rsidRPr="00CB38AA">
        <w:rPr>
          <w:rFonts w:ascii="Times New Roman" w:hAnsi="Times New Roman" w:cs="Times New Roman"/>
          <w:sz w:val="24"/>
          <w:szCs w:val="24"/>
        </w:rPr>
        <w:t xml:space="preserve"> dictamen.</w:t>
      </w:r>
    </w:p>
    <w:p w:rsidR="00B51987" w:rsidRPr="00CB38AA" w:rsidRDefault="00B51987" w:rsidP="00E84AC2">
      <w:pPr>
        <w:pStyle w:val="Sinespaciado"/>
        <w:jc w:val="center"/>
        <w:rPr>
          <w:rFonts w:ascii="Times New Roman" w:hAnsi="Times New Roman" w:cs="Times New Roman"/>
          <w:sz w:val="24"/>
          <w:szCs w:val="24"/>
        </w:rPr>
      </w:pPr>
      <w:r w:rsidRPr="00CB38AA">
        <w:rPr>
          <w:rFonts w:ascii="Times New Roman" w:hAnsi="Times New Roman" w:cs="Times New Roman"/>
          <w:sz w:val="24"/>
          <w:szCs w:val="24"/>
        </w:rPr>
        <w:t>DICTAMEN</w:t>
      </w:r>
    </w:p>
    <w:p w:rsidR="00B51987" w:rsidRPr="00CB38AA" w:rsidRDefault="00B51987"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En ejercicio de las atribuciones que la Constitución Política del Estado Libre y Soberano de México confiere a esta soberanía y con pleno respeto al principio de legalidad que rige los procedimientos legislativos, me permito someter a la consideración de esta</w:t>
      </w:r>
    </w:p>
    <w:p w:rsidR="00B51987" w:rsidRPr="00CB38AA" w:rsidRDefault="00B51987"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HONORABLE ASAMBLEA </w:t>
      </w:r>
    </w:p>
    <w:p w:rsidR="00B51987" w:rsidRPr="00CB38AA" w:rsidRDefault="00B51987"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El dictamen relativo al procedimiento de diferendo limítrofe intermunicipal entre los municipios de Acolman y Ecatepec de Morelos, con la participación en su carácter de terceros interesados de los municipios de Tecámac y Atenco, Estado de México. </w:t>
      </w:r>
    </w:p>
    <w:p w:rsidR="00B51987" w:rsidRPr="00CB38AA" w:rsidRDefault="00B51987"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La </w:t>
      </w:r>
      <w:r w:rsidR="002A19B3" w:rsidRPr="00CB38AA">
        <w:rPr>
          <w:rFonts w:ascii="Times New Roman" w:hAnsi="Times New Roman" w:cs="Times New Roman"/>
          <w:sz w:val="24"/>
          <w:szCs w:val="24"/>
        </w:rPr>
        <w:t xml:space="preserve">Presidencia </w:t>
      </w:r>
      <w:r w:rsidRPr="00CB38AA">
        <w:rPr>
          <w:rFonts w:ascii="Times New Roman" w:hAnsi="Times New Roman" w:cs="Times New Roman"/>
          <w:sz w:val="24"/>
          <w:szCs w:val="24"/>
        </w:rPr>
        <w:t xml:space="preserve">de la LXII Legislatura, mediante oficio de fecha 15 de febrero del 2022, remitió a la Comisión Legislativa de Límites Territoriales del Estado de México y sus </w:t>
      </w:r>
      <w:r w:rsidR="00572518" w:rsidRPr="00CB38AA">
        <w:rPr>
          <w:rFonts w:ascii="Times New Roman" w:hAnsi="Times New Roman" w:cs="Times New Roman"/>
          <w:sz w:val="24"/>
          <w:szCs w:val="24"/>
        </w:rPr>
        <w:t>Municipios</w:t>
      </w:r>
      <w:r w:rsidRPr="00CB38AA">
        <w:rPr>
          <w:rFonts w:ascii="Times New Roman" w:hAnsi="Times New Roman" w:cs="Times New Roman"/>
          <w:sz w:val="24"/>
          <w:szCs w:val="24"/>
        </w:rPr>
        <w:t xml:space="preserve">, la solicitud para dar el inicio al citado procedimiento respecto del polígono territorial que comprende las colonias Prado, San Juan, Guerrero, </w:t>
      </w:r>
      <w:r w:rsidR="00E84AC2" w:rsidRPr="00CB38AA">
        <w:rPr>
          <w:rFonts w:ascii="Times New Roman" w:hAnsi="Times New Roman" w:cs="Times New Roman"/>
          <w:sz w:val="24"/>
          <w:szCs w:val="24"/>
        </w:rPr>
        <w:t>Pirules</w:t>
      </w:r>
      <w:r w:rsidRPr="00CB38AA">
        <w:rPr>
          <w:rFonts w:ascii="Times New Roman" w:hAnsi="Times New Roman" w:cs="Times New Roman"/>
          <w:sz w:val="24"/>
          <w:szCs w:val="24"/>
        </w:rPr>
        <w:t xml:space="preserve">, Lázaro Cárdenas, La Laguna y </w:t>
      </w:r>
      <w:r w:rsidR="00572518" w:rsidRPr="00CB38AA">
        <w:rPr>
          <w:rFonts w:ascii="Times New Roman" w:hAnsi="Times New Roman" w:cs="Times New Roman"/>
          <w:sz w:val="24"/>
          <w:szCs w:val="24"/>
        </w:rPr>
        <w:t>E</w:t>
      </w:r>
      <w:r w:rsidRPr="00CB38AA">
        <w:rPr>
          <w:rFonts w:ascii="Times New Roman" w:hAnsi="Times New Roman" w:cs="Times New Roman"/>
          <w:sz w:val="24"/>
          <w:szCs w:val="24"/>
        </w:rPr>
        <w:t xml:space="preserve">l </w:t>
      </w:r>
      <w:r w:rsidR="00572518" w:rsidRPr="00CB38AA">
        <w:rPr>
          <w:rFonts w:ascii="Times New Roman" w:hAnsi="Times New Roman" w:cs="Times New Roman"/>
          <w:sz w:val="24"/>
          <w:szCs w:val="24"/>
        </w:rPr>
        <w:t xml:space="preserve">Ejido </w:t>
      </w:r>
      <w:r w:rsidRPr="00CB38AA">
        <w:rPr>
          <w:rFonts w:ascii="Times New Roman" w:hAnsi="Times New Roman" w:cs="Times New Roman"/>
          <w:sz w:val="24"/>
          <w:szCs w:val="24"/>
        </w:rPr>
        <w:t xml:space="preserve">de Santa María Chiconautla. </w:t>
      </w:r>
    </w:p>
    <w:p w:rsidR="00B51987" w:rsidRPr="00CB38AA" w:rsidRDefault="00B51987"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En atención a dicha solicitud y en escrito de apego a lo dispuesto por la fracción XXV del artículo 61 de la Constitución Política del Estado Libre y Soberano de México, así como por la Ley Reglamentaria de la materia de los integrantes de la Comisión Legislativa de Límites Territoriales de la LXII Legislatura, llevamos a cabo el análisis integral del expediente atendiendo las etapas procedimentales previstas, la información técnica y la jurídica aportada, así como las manifestaciones formuladas por las partes involucradas. </w:t>
      </w:r>
    </w:p>
    <w:p w:rsidR="00B51987" w:rsidRPr="00CB38AA" w:rsidRDefault="00B51987"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Derivado de este estudio</w:t>
      </w:r>
      <w:r w:rsidR="00385486" w:rsidRPr="00CB38AA">
        <w:rPr>
          <w:rFonts w:ascii="Times New Roman" w:hAnsi="Times New Roman" w:cs="Times New Roman"/>
          <w:sz w:val="24"/>
          <w:szCs w:val="24"/>
        </w:rPr>
        <w:t xml:space="preserve"> y</w:t>
      </w:r>
      <w:r w:rsidRPr="00CB38AA">
        <w:rPr>
          <w:rFonts w:ascii="Times New Roman" w:hAnsi="Times New Roman" w:cs="Times New Roman"/>
          <w:sz w:val="24"/>
          <w:szCs w:val="24"/>
        </w:rPr>
        <w:t xml:space="preserve"> una vez agotada la discusión correspondiente en el seno de la Comisión se elaboró el dictamen que hoy se somete a la consideración de esta Asamblea, con el propósito de dotar de certeza jurídica, administrativa y territorial a las comunidades asentadas en la zona de materia del diferendo, privilegiando en todo momento el interés público, la estabilidad institucional y el respeto a los derechos de las y los habitantes del Estado de México. </w:t>
      </w:r>
    </w:p>
    <w:p w:rsidR="00B51987" w:rsidRPr="00CB38AA" w:rsidRDefault="00B51987"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ANTECEDENTES. </w:t>
      </w:r>
    </w:p>
    <w:p w:rsidR="00B51987" w:rsidRPr="00CB38AA" w:rsidRDefault="00B51987"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Con fundamento en lo dispuesto en los artículos 48, fracción IV, L, LII y LI</w:t>
      </w:r>
      <w:r w:rsidR="00425A31" w:rsidRPr="00CB38AA">
        <w:rPr>
          <w:rFonts w:ascii="Times New Roman" w:hAnsi="Times New Roman" w:cs="Times New Roman"/>
          <w:sz w:val="24"/>
          <w:szCs w:val="24"/>
        </w:rPr>
        <w:t>I</w:t>
      </w:r>
      <w:r w:rsidRPr="00CB38AA">
        <w:rPr>
          <w:rFonts w:ascii="Times New Roman" w:hAnsi="Times New Roman" w:cs="Times New Roman"/>
          <w:sz w:val="24"/>
          <w:szCs w:val="24"/>
        </w:rPr>
        <w:t>I, fracción I, de la Ley Orgánica Municipal del Estado de México, en relación a los artículos 40, 41 y 42 de la Ley Reglamentaria de las fracciones XXV y XXVII del artículo 61 de la Constitución Política del Estado Libre y Soberano de México, en fecha 15 de febrero del 2022</w:t>
      </w:r>
      <w:r w:rsidR="00425A31" w:rsidRPr="00CB38AA">
        <w:rPr>
          <w:rFonts w:ascii="Times New Roman" w:hAnsi="Times New Roman" w:cs="Times New Roman"/>
          <w:sz w:val="24"/>
          <w:szCs w:val="24"/>
        </w:rPr>
        <w:t>, l</w:t>
      </w:r>
      <w:r w:rsidRPr="00CB38AA">
        <w:rPr>
          <w:rFonts w:ascii="Times New Roman" w:hAnsi="Times New Roman" w:cs="Times New Roman"/>
          <w:sz w:val="24"/>
          <w:szCs w:val="24"/>
        </w:rPr>
        <w:t xml:space="preserve">a diputada Beatriz García </w:t>
      </w:r>
      <w:r w:rsidRPr="00CB38AA">
        <w:rPr>
          <w:rFonts w:ascii="Times New Roman" w:hAnsi="Times New Roman" w:cs="Times New Roman"/>
          <w:sz w:val="24"/>
          <w:szCs w:val="24"/>
        </w:rPr>
        <w:lastRenderedPageBreak/>
        <w:t xml:space="preserve">Villegas, integrante del Grupo Parlamentario del Movimiento de Regeneración Nacional </w:t>
      </w:r>
      <w:r w:rsidR="00C2697F" w:rsidRPr="00CB38AA">
        <w:rPr>
          <w:rFonts w:ascii="Times New Roman" w:hAnsi="Times New Roman" w:cs="Times New Roman"/>
          <w:sz w:val="24"/>
          <w:szCs w:val="24"/>
        </w:rPr>
        <w:t xml:space="preserve">morena </w:t>
      </w:r>
      <w:r w:rsidRPr="00CB38AA">
        <w:rPr>
          <w:rFonts w:ascii="Times New Roman" w:hAnsi="Times New Roman" w:cs="Times New Roman"/>
          <w:sz w:val="24"/>
          <w:szCs w:val="24"/>
        </w:rPr>
        <w:t xml:space="preserve">presentó ante el Pleno de la LXI Legislatura del Congreso del Estado de México, una solicitud formal para iniciar el procedimiento por la solución del diferendo limítrofe intermunicipal entre los municipios de Acolman y Ecatepec de Morelos, señalando a los municipios de Tecámac y Atengo como terceros interesados. </w:t>
      </w:r>
    </w:p>
    <w:p w:rsidR="00B51987" w:rsidRPr="00CB38AA" w:rsidRDefault="00B51987"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SEGUNDO. De acuerdo con lo establecido a los artículos 47, fracción VIII de la Ley Orgánica del Poder Legislativo del Estado Libre y Soberano de México, y 41 de la Ley Reglamentaria de las fracciones XXV y XXVI del artículo 61 de la Constitución Política del Estado Libre y Soberano de México, en sesión plenaria de la LXI Legislatura celebrada el 15 de febrero del 2022</w:t>
      </w:r>
      <w:r w:rsidR="00081E16" w:rsidRPr="00CB38AA">
        <w:rPr>
          <w:rFonts w:ascii="Times New Roman" w:hAnsi="Times New Roman" w:cs="Times New Roman"/>
          <w:sz w:val="24"/>
          <w:szCs w:val="24"/>
        </w:rPr>
        <w:t>, el</w:t>
      </w:r>
      <w:r w:rsidRPr="00CB38AA">
        <w:rPr>
          <w:rFonts w:ascii="Times New Roman" w:hAnsi="Times New Roman" w:cs="Times New Roman"/>
          <w:sz w:val="24"/>
          <w:szCs w:val="24"/>
        </w:rPr>
        <w:t xml:space="preserve"> </w:t>
      </w:r>
      <w:r w:rsidR="00081E16" w:rsidRPr="00CB38AA">
        <w:rPr>
          <w:rFonts w:ascii="Times New Roman" w:hAnsi="Times New Roman" w:cs="Times New Roman"/>
          <w:sz w:val="24"/>
          <w:szCs w:val="24"/>
        </w:rPr>
        <w:t xml:space="preserve">Presidente </w:t>
      </w:r>
      <w:r w:rsidRPr="00CB38AA">
        <w:rPr>
          <w:rFonts w:ascii="Times New Roman" w:hAnsi="Times New Roman" w:cs="Times New Roman"/>
          <w:sz w:val="24"/>
          <w:szCs w:val="24"/>
        </w:rPr>
        <w:t xml:space="preserve">de la Legislatura por conducto de la Secretaría, turnó la solicitud referida a la Comisión Legislativa de Límites Territoriales del Estado de México y sus </w:t>
      </w:r>
      <w:r w:rsidR="00081E16" w:rsidRPr="00CB38AA">
        <w:rPr>
          <w:rFonts w:ascii="Times New Roman" w:hAnsi="Times New Roman" w:cs="Times New Roman"/>
          <w:sz w:val="24"/>
          <w:szCs w:val="24"/>
        </w:rPr>
        <w:t>Municipios</w:t>
      </w:r>
      <w:r w:rsidRPr="00CB38AA">
        <w:rPr>
          <w:rFonts w:ascii="Times New Roman" w:hAnsi="Times New Roman" w:cs="Times New Roman"/>
          <w:sz w:val="24"/>
          <w:szCs w:val="24"/>
        </w:rPr>
        <w:t xml:space="preserve">. </w:t>
      </w:r>
    </w:p>
    <w:p w:rsidR="00731B1A" w:rsidRPr="00CB38AA" w:rsidRDefault="00B51987"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TERCERO. El presente diferendo limítrofe intermunicipal </w:t>
      </w:r>
      <w:r w:rsidR="00CC3229" w:rsidRPr="00CB38AA">
        <w:rPr>
          <w:rFonts w:ascii="Times New Roman" w:hAnsi="Times New Roman" w:cs="Times New Roman"/>
          <w:sz w:val="24"/>
          <w:szCs w:val="24"/>
        </w:rPr>
        <w:t xml:space="preserve">consiste en </w:t>
      </w:r>
      <w:r w:rsidR="00731B1A" w:rsidRPr="00CB38AA">
        <w:rPr>
          <w:rFonts w:ascii="Times New Roman" w:hAnsi="Times New Roman" w:cs="Times New Roman"/>
          <w:sz w:val="24"/>
          <w:szCs w:val="24"/>
        </w:rPr>
        <w:t>la indefinición jurídica de límite territorial; entre los Municipios de Acolman y Ecatepec de Morelos, respecto de un polígono geográfico específico, identificado como Santa María Chiconautla, conformado por las colonias Prado San Juan Guerrero, Pirules</w:t>
      </w:r>
      <w:r w:rsidR="00B55406" w:rsidRPr="00CB38AA">
        <w:rPr>
          <w:rFonts w:ascii="Times New Roman" w:hAnsi="Times New Roman" w:cs="Times New Roman"/>
          <w:sz w:val="24"/>
          <w:szCs w:val="24"/>
        </w:rPr>
        <w:t>,</w:t>
      </w:r>
      <w:r w:rsidR="00731B1A" w:rsidRPr="00CB38AA">
        <w:rPr>
          <w:rFonts w:ascii="Times New Roman" w:hAnsi="Times New Roman" w:cs="Times New Roman"/>
          <w:sz w:val="24"/>
          <w:szCs w:val="24"/>
        </w:rPr>
        <w:t xml:space="preserve"> Lázaro Cárdenas, la laguna y el Ejido de Santa María Chiconautla.</w:t>
      </w:r>
    </w:p>
    <w:p w:rsidR="00731B1A" w:rsidRPr="00CB38AA" w:rsidRDefault="00731B1A"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El área materia del diferendo se localiza en la zona de colindancia norte, poniente entre los Municipios de Acolman y Ecatepec de Morelos dentro del Estado de México y comprende una superficie aproximada de 4.7 kilómetros cuadrados, caracterizada por una alta consolidación urbana, presencia de infraestructura pública, equipamiento urbano, unidades económicas y asientos humanos permanentes y en apego a los requisitos establecidos por los artículos 54 y 55 de la Ley Reglamentaria de las fracciones XXV y XXVII del artículo 61 de la Constitución Política del Estado Libre y Soberano de México, se presenta al Pleno el presente </w:t>
      </w:r>
    </w:p>
    <w:p w:rsidR="00731B1A" w:rsidRPr="00CB38AA" w:rsidRDefault="00731B1A" w:rsidP="00DF6EEA">
      <w:pPr>
        <w:pStyle w:val="Sinespaciado"/>
        <w:jc w:val="center"/>
        <w:rPr>
          <w:rFonts w:ascii="Times New Roman" w:hAnsi="Times New Roman" w:cs="Times New Roman"/>
          <w:sz w:val="24"/>
          <w:szCs w:val="24"/>
        </w:rPr>
      </w:pPr>
      <w:r w:rsidRPr="00CB38AA">
        <w:rPr>
          <w:rFonts w:ascii="Times New Roman" w:hAnsi="Times New Roman" w:cs="Times New Roman"/>
          <w:sz w:val="24"/>
          <w:szCs w:val="24"/>
        </w:rPr>
        <w:t>DICTAMEN</w:t>
      </w:r>
    </w:p>
    <w:p w:rsidR="00731B1A" w:rsidRPr="00CB38AA" w:rsidRDefault="00731B1A"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 xml:space="preserve">con los siguientes: </w:t>
      </w:r>
    </w:p>
    <w:p w:rsidR="00731B1A" w:rsidRPr="00CB38AA" w:rsidRDefault="00731B1A" w:rsidP="00DF6EEA">
      <w:pPr>
        <w:pStyle w:val="Sinespaciado"/>
        <w:jc w:val="center"/>
        <w:rPr>
          <w:rFonts w:ascii="Times New Roman" w:hAnsi="Times New Roman" w:cs="Times New Roman"/>
          <w:sz w:val="24"/>
          <w:szCs w:val="24"/>
        </w:rPr>
      </w:pPr>
      <w:r w:rsidRPr="00CB38AA">
        <w:rPr>
          <w:rFonts w:ascii="Times New Roman" w:hAnsi="Times New Roman" w:cs="Times New Roman"/>
          <w:sz w:val="24"/>
          <w:szCs w:val="24"/>
        </w:rPr>
        <w:t>RESOLUTIVOS</w:t>
      </w:r>
    </w:p>
    <w:p w:rsidR="00731B1A" w:rsidRPr="00CB38AA" w:rsidRDefault="00731B1A"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 xml:space="preserve">PRIMERO. La “LXII” Legislatura del Estado Libre y Soberano de México siendo competente para conocer y resolver del procedimiento de diferendo limítrofe intermunicipal entre los Municipios de Acolman y Ecatepec de Morelos, con los municipios de Tecámac y Atenco en calidad de terceros con fundamento en lo dispuesto por el artículo 61 fracción I, XXV y XXVI de la Constitución Política del Estado Libre y Soberano de México, 13 A fracción XXV, inciso a) del Reglamento del Poder Legislativo del Estado Libre y Soberano de México en relación con los artículos 1, 2, 3 fracción IV, 4, 6, </w:t>
      </w:r>
      <w:r w:rsidR="00EA1A07" w:rsidRPr="00CB38AA">
        <w:rPr>
          <w:rFonts w:ascii="Times New Roman" w:hAnsi="Times New Roman" w:cs="Times New Roman"/>
          <w:sz w:val="24"/>
          <w:szCs w:val="24"/>
        </w:rPr>
        <w:t xml:space="preserve">40, </w:t>
      </w:r>
      <w:r w:rsidRPr="00CB38AA">
        <w:rPr>
          <w:rFonts w:ascii="Times New Roman" w:hAnsi="Times New Roman" w:cs="Times New Roman"/>
          <w:sz w:val="24"/>
          <w:szCs w:val="24"/>
        </w:rPr>
        <w:t xml:space="preserve">41, 42, 45 fracción IV, 46, 47, 50, 51, 52, 53, 54 de la Ley Reglamentaria de las fracciones XXV y XXVI del artículo 61 de la Constitución Política del Estado Libre y Soberano de México, resuelve el conflicto de Límites Territoriales, sometido a la competencia de la “LXII” Legislatura del Estado de México, por lo que se reconoce a las colonias prado San Juan, sólo las calles denominadas Girasol, Laurel, Gardenia y Buganvilias, Guerrero y Pirules; así como la termo eléctrica e instalaciones de PEMEX con una área de 202.18 hectáreas, forman parte del Municipio de Acolman y que las Colonias Prado San Juan, excepto las calles denominadas Girasol, Laurel, Gardenia y Buganvilias, Lázaro Cárdenas, </w:t>
      </w:r>
      <w:r w:rsidR="0038026C" w:rsidRPr="00CB38AA">
        <w:rPr>
          <w:rFonts w:ascii="Times New Roman" w:hAnsi="Times New Roman" w:cs="Times New Roman"/>
          <w:sz w:val="24"/>
          <w:szCs w:val="24"/>
        </w:rPr>
        <w:t xml:space="preserve">La </w:t>
      </w:r>
      <w:r w:rsidRPr="00CB38AA">
        <w:rPr>
          <w:rFonts w:ascii="Times New Roman" w:hAnsi="Times New Roman" w:cs="Times New Roman"/>
          <w:sz w:val="24"/>
          <w:szCs w:val="24"/>
        </w:rPr>
        <w:t xml:space="preserve">Laguna y Ejido Santa María Chiconautla, </w:t>
      </w:r>
      <w:r w:rsidR="007206D1" w:rsidRPr="00CB38AA">
        <w:rPr>
          <w:rFonts w:ascii="Times New Roman" w:hAnsi="Times New Roman" w:cs="Times New Roman"/>
          <w:sz w:val="24"/>
          <w:szCs w:val="24"/>
        </w:rPr>
        <w:t xml:space="preserve">Juzgados Penales </w:t>
      </w:r>
      <w:r w:rsidRPr="00CB38AA">
        <w:rPr>
          <w:rFonts w:ascii="Times New Roman" w:hAnsi="Times New Roman" w:cs="Times New Roman"/>
          <w:sz w:val="24"/>
          <w:szCs w:val="24"/>
        </w:rPr>
        <w:t>de Ecatepec y el área conocida como el tiradero con una área de 272.82 hectáreas, forman parte del Municipio de Ecatepec de Morelos y sus delimitaciones territoriales correspondientes, se indican en el plano de levantamiento topográfico que se adjunta el presente como anexo 01, elaborado por la Comisión Legislativa de Límites Territoriales del Estado de México y sus Municipios de la “LXII” Legislatura del Estado de México, en apoyo interinstitucional del Instituto de Información e Investigación Geográfica, Estadística y Catastral del Estado de México IGECEM.</w:t>
      </w:r>
    </w:p>
    <w:p w:rsidR="00731B1A" w:rsidRPr="00CB38AA" w:rsidRDefault="00731B1A"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 xml:space="preserve">SEGUNDO. La presente resolución dota de materialidad jurídica y certidumbre técnica a los actos de </w:t>
      </w:r>
      <w:r w:rsidR="00573A4F" w:rsidRPr="00CB38AA">
        <w:rPr>
          <w:rFonts w:ascii="Times New Roman" w:hAnsi="Times New Roman" w:cs="Times New Roman"/>
          <w:sz w:val="24"/>
          <w:szCs w:val="24"/>
        </w:rPr>
        <w:t>g</w:t>
      </w:r>
      <w:r w:rsidRPr="00CB38AA">
        <w:rPr>
          <w:rFonts w:ascii="Times New Roman" w:hAnsi="Times New Roman" w:cs="Times New Roman"/>
          <w:sz w:val="24"/>
          <w:szCs w:val="24"/>
        </w:rPr>
        <w:t xml:space="preserve">obierno, </w:t>
      </w:r>
      <w:r w:rsidR="00573A4F" w:rsidRPr="00CB38AA">
        <w:rPr>
          <w:rFonts w:ascii="Times New Roman" w:hAnsi="Times New Roman" w:cs="Times New Roman"/>
          <w:sz w:val="24"/>
          <w:szCs w:val="24"/>
        </w:rPr>
        <w:t>a</w:t>
      </w:r>
      <w:r w:rsidRPr="00CB38AA">
        <w:rPr>
          <w:rFonts w:ascii="Times New Roman" w:hAnsi="Times New Roman" w:cs="Times New Roman"/>
          <w:sz w:val="24"/>
          <w:szCs w:val="24"/>
        </w:rPr>
        <w:t xml:space="preserve">dministración y aplicación de recursos públicos en la zona, con este fallo </w:t>
      </w:r>
      <w:r w:rsidRPr="00CB38AA">
        <w:rPr>
          <w:rFonts w:ascii="Times New Roman" w:hAnsi="Times New Roman" w:cs="Times New Roman"/>
          <w:sz w:val="24"/>
          <w:szCs w:val="24"/>
        </w:rPr>
        <w:lastRenderedPageBreak/>
        <w:t>el Poder Legislativo del Estado de México garantiza la paz social, la gobernabilidad, la seguridad jurídica, erradicando el estado de indefinición territorial en beneficio de los habitantes del polígono Santa María Chiconautla.</w:t>
      </w:r>
    </w:p>
    <w:p w:rsidR="00731B1A" w:rsidRPr="00CB38AA" w:rsidRDefault="00731B1A"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El tercer resolutivo incluye la prosa y el cuadro de construcción con las coordenadas, cuyo contenido es extenso, todo este material se encuentra íntegramente incorporado en la versión de la sesión, la Gaceta Parlamentaria y el Diario de los Debates.</w:t>
      </w:r>
    </w:p>
    <w:p w:rsidR="00731B1A" w:rsidRPr="00CB38AA" w:rsidRDefault="00731B1A"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En virtud de lo anterior y así lo considera la Asamblea, omitiré la lectura, tanto de la prosa, como de las coordenadas, reiterando que su contenido completo, ya está disponible en los documentos oficiales mencionados.</w:t>
      </w:r>
    </w:p>
    <w:p w:rsidR="00731B1A" w:rsidRPr="00CB38AA" w:rsidRDefault="00731B1A"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Veo que no hay objeción ¡Que bueno¡</w:t>
      </w:r>
    </w:p>
    <w:p w:rsidR="00731B1A" w:rsidRPr="00CB38AA" w:rsidRDefault="00731B1A"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Por lo anterior expuesto y con convicción de que este dictamen constituyen ejercicio responsable de las facultades de esta Soberanía, respetuoso del Marco Constitucional y orientado a brindar certeza jurídica y estabilidad territorial a las comunidades involucradas, se somete a la consideración de esta Honorable Asamblea para su análisis, discusión y en su caso, aprobación, confiamos en que a través del diálogo institucional y del voto razonado de las y los diputados se fortalezca el Estado de Derecho, se privilegie el interés público y se contribuye a la gobernabilidad, paz social en el Estado de México.</w:t>
      </w:r>
    </w:p>
    <w:p w:rsidR="00493F42" w:rsidRPr="00CB38AA" w:rsidRDefault="00731B1A"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Este texto íntegro, dictamen y resolutivos se integra en la versión de la sesión “Gaceta del Gobierno” y Diario de los Debates y conocimiento </w:t>
      </w:r>
      <w:r w:rsidR="004150A4" w:rsidRPr="00CB38AA">
        <w:rPr>
          <w:rFonts w:ascii="Times New Roman" w:hAnsi="Times New Roman" w:cs="Times New Roman"/>
          <w:sz w:val="24"/>
          <w:szCs w:val="24"/>
        </w:rPr>
        <w:t>de t</w:t>
      </w:r>
      <w:r w:rsidR="00493F42" w:rsidRPr="00CB38AA">
        <w:rPr>
          <w:rFonts w:ascii="Times New Roman" w:hAnsi="Times New Roman" w:cs="Times New Roman"/>
          <w:sz w:val="24"/>
          <w:szCs w:val="24"/>
        </w:rPr>
        <w:t xml:space="preserve">odos los diputados. </w:t>
      </w:r>
    </w:p>
    <w:p w:rsidR="00493F42" w:rsidRPr="00CB38AA" w:rsidRDefault="00493F42"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Pues muchas gracias, es cuanto y confío plenamente, lo hemos platicado que se votará a favor esta iniciativa que hemos trabajado todos durante muchos años. Y bueno, ahora que se vote pues darle un aplauso a los ciudadanos y ciudadanas que han luchado por más de 30 años por ver este sueño realidad y puedan tener certeza jurídica. </w:t>
      </w:r>
    </w:p>
    <w:p w:rsidR="00493F42" w:rsidRPr="00CB38AA" w:rsidRDefault="00493F42"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Es cuanto.</w:t>
      </w:r>
    </w:p>
    <w:p w:rsidR="001A1837" w:rsidRPr="00C218FB" w:rsidRDefault="001A1837" w:rsidP="00C218FB">
      <w:pPr>
        <w:pStyle w:val="Sinespaciado"/>
        <w:jc w:val="both"/>
        <w:rPr>
          <w:rFonts w:ascii="Times New Roman" w:hAnsi="Times New Roman" w:cs="Times New Roman"/>
          <w:sz w:val="24"/>
          <w:szCs w:val="24"/>
        </w:rPr>
      </w:pPr>
    </w:p>
    <w:p w:rsidR="001A1837" w:rsidRPr="00C218FB" w:rsidRDefault="001A1837" w:rsidP="00C218FB">
      <w:pPr>
        <w:spacing w:after="0" w:line="240" w:lineRule="auto"/>
        <w:jc w:val="center"/>
        <w:rPr>
          <w:rFonts w:ascii="Times New Roman" w:hAnsi="Times New Roman" w:cs="Times New Roman"/>
          <w:i/>
          <w:sz w:val="24"/>
          <w:szCs w:val="24"/>
        </w:rPr>
      </w:pPr>
      <w:r w:rsidRPr="00C218FB">
        <w:rPr>
          <w:rFonts w:ascii="Times New Roman" w:hAnsi="Times New Roman" w:cs="Times New Roman"/>
          <w:i/>
          <w:sz w:val="24"/>
          <w:szCs w:val="24"/>
        </w:rPr>
        <w:t>(Se inserta documento)</w:t>
      </w:r>
    </w:p>
    <w:p w:rsidR="001A1837" w:rsidRPr="00C218FB" w:rsidRDefault="001A1837" w:rsidP="00C218FB">
      <w:pPr>
        <w:spacing w:after="0" w:line="240" w:lineRule="auto"/>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b/>
          <w:sz w:val="24"/>
          <w:szCs w:val="24"/>
        </w:rPr>
      </w:pPr>
      <w:r w:rsidRPr="00C218FB">
        <w:rPr>
          <w:rFonts w:ascii="Times New Roman" w:hAnsi="Times New Roman" w:cs="Times New Roman"/>
          <w:b/>
          <w:sz w:val="24"/>
          <w:szCs w:val="24"/>
        </w:rPr>
        <w:t xml:space="preserve">HONORABLE ASAMBLEA </w:t>
      </w:r>
    </w:p>
    <w:p w:rsidR="000F603A" w:rsidRPr="00C218FB" w:rsidRDefault="000F603A" w:rsidP="00C218FB">
      <w:pPr>
        <w:spacing w:after="0" w:line="240" w:lineRule="auto"/>
        <w:jc w:val="both"/>
        <w:rPr>
          <w:rFonts w:ascii="Times New Roman" w:hAnsi="Times New Roman" w:cs="Times New Roman"/>
          <w:b/>
          <w:sz w:val="24"/>
          <w:szCs w:val="24"/>
        </w:rPr>
      </w:pPr>
    </w:p>
    <w:p w:rsidR="000F603A" w:rsidRPr="00C218FB" w:rsidRDefault="000F603A" w:rsidP="00C218FB">
      <w:pPr>
        <w:spacing w:after="0" w:line="240" w:lineRule="auto"/>
        <w:jc w:val="both"/>
        <w:rPr>
          <w:rFonts w:ascii="Times New Roman" w:eastAsia="Yu Mincho" w:hAnsi="Times New Roman" w:cs="Times New Roman"/>
          <w:sz w:val="24"/>
          <w:szCs w:val="24"/>
          <w:lang w:val="es-ES"/>
        </w:rPr>
      </w:pPr>
      <w:r w:rsidRPr="00C218FB">
        <w:rPr>
          <w:rFonts w:ascii="Times New Roman" w:hAnsi="Times New Roman" w:cs="Times New Roman"/>
          <w:sz w:val="24"/>
          <w:szCs w:val="24"/>
        </w:rPr>
        <w:t xml:space="preserve">La Presidencia de la “LXI” Legislatura, en fecha quince de febrero de dos mil veintidós, remitió a la Comisión Legislativa de Límites Territoriales del Estado de México y sus Municipios, la solicitud del inicio del Procedimiento de Diferendo Limítrofe Intermunicipal entre los Municipios de Acolman y Ecatepec de Morelos, y como terceros interesados a los municipios de Tecámac y Atenco, Estado de México, respecto del polígono que comprende las colonias: Prado San Juan, Guerreo, Pirules, Lázaro Cárdenas, La Laguna, y </w:t>
      </w:r>
      <w:r w:rsidRPr="00C218FB">
        <w:rPr>
          <w:rFonts w:ascii="Times New Roman" w:eastAsia="Yu Mincho" w:hAnsi="Times New Roman" w:cs="Times New Roman"/>
          <w:sz w:val="24"/>
          <w:szCs w:val="24"/>
          <w:lang w:val="es-ES"/>
        </w:rPr>
        <w:t>Ejido Santa María Chiconautla.</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 xml:space="preserve">En acatamiento de lo acordado en relación con la solicitud presentada los integrantes de la Comisión Legislativa de Límites Territoriales del Estado de México y sus Municipios, realizamos el estudio correspondiente y después de haber concluido su discusión, nos permitimos con sustento en lo establecido en los artículos </w:t>
      </w:r>
      <w:r w:rsidRPr="00C218FB">
        <w:rPr>
          <w:rFonts w:ascii="Times New Roman" w:eastAsia="Times New Roman" w:hAnsi="Times New Roman" w:cs="Times New Roman"/>
          <w:sz w:val="24"/>
          <w:szCs w:val="24"/>
          <w:lang w:eastAsia="es-MX"/>
        </w:rPr>
        <w:t xml:space="preserve">124 de la Constitución Política de los Estados Unidos Mexicanos, 61, fracción XXV y 112 de la Constitución Política del Estado Libre y Soberano de México, </w:t>
      </w:r>
      <w:r w:rsidRPr="00C218FB">
        <w:rPr>
          <w:rFonts w:ascii="Times New Roman" w:hAnsi="Times New Roman" w:cs="Times New Roman"/>
          <w:sz w:val="24"/>
          <w:szCs w:val="24"/>
        </w:rPr>
        <w:t>68, 69 fracción XXV, 70, 72, 78 y 82 de Ley Orgánica del Poder Legislativo del Estado Libre y Soberano de México, 1, 13, 13 A fracción XXV, 15, 70, 73, 78, 79 y 80 del Reglamento del Poder Legislativo del Estado Libre y Soberano de México, en relación con los artículos 1, 2, 3, fracción IV, 4, 6, 40, 41, 42, 45, 46, 47, 48, 49, 50, 51, 52, 53, 54, 55, 56, 57, 58, 59 y 60 de la Ley Reglamentaria de las Fracciones XXV y XXVI del artículo 61 de la Constitución Política del Estado Libre y Soberano de México, someter a la aprobación de la Legislatura en Pleno, el siguiente:</w:t>
      </w:r>
    </w:p>
    <w:p w:rsidR="000F603A" w:rsidRPr="00C218FB" w:rsidRDefault="000F603A" w:rsidP="00C218FB">
      <w:pPr>
        <w:spacing w:after="0" w:line="240" w:lineRule="auto"/>
        <w:jc w:val="both"/>
        <w:rPr>
          <w:rFonts w:ascii="Times New Roman" w:hAnsi="Times New Roman" w:cs="Times New Roman"/>
          <w:b/>
          <w:sz w:val="24"/>
          <w:szCs w:val="24"/>
        </w:rPr>
      </w:pPr>
    </w:p>
    <w:p w:rsidR="000F603A" w:rsidRPr="00C218FB" w:rsidRDefault="000F603A" w:rsidP="00C218FB">
      <w:pPr>
        <w:spacing w:after="0" w:line="240" w:lineRule="auto"/>
        <w:jc w:val="center"/>
        <w:rPr>
          <w:rFonts w:ascii="Times New Roman" w:hAnsi="Times New Roman" w:cs="Times New Roman"/>
          <w:b/>
          <w:sz w:val="24"/>
          <w:szCs w:val="24"/>
        </w:rPr>
      </w:pPr>
      <w:r w:rsidRPr="00C218FB">
        <w:rPr>
          <w:rFonts w:ascii="Times New Roman" w:hAnsi="Times New Roman" w:cs="Times New Roman"/>
          <w:b/>
          <w:sz w:val="24"/>
          <w:szCs w:val="24"/>
        </w:rPr>
        <w:lastRenderedPageBreak/>
        <w:t>DICTAMEN</w:t>
      </w:r>
    </w:p>
    <w:p w:rsidR="000F603A" w:rsidRPr="00C218FB" w:rsidRDefault="000F603A" w:rsidP="00C218FB">
      <w:pPr>
        <w:spacing w:after="0" w:line="240" w:lineRule="auto"/>
        <w:jc w:val="center"/>
        <w:rPr>
          <w:rFonts w:ascii="Times New Roman" w:hAnsi="Times New Roman" w:cs="Times New Roman"/>
          <w:b/>
          <w:sz w:val="24"/>
          <w:szCs w:val="24"/>
        </w:rPr>
      </w:pPr>
    </w:p>
    <w:p w:rsidR="000F603A" w:rsidRPr="00C218FB" w:rsidRDefault="000F603A" w:rsidP="00C218FB">
      <w:pPr>
        <w:spacing w:after="0" w:line="240" w:lineRule="auto"/>
        <w:jc w:val="both"/>
        <w:rPr>
          <w:rFonts w:ascii="Times New Roman" w:hAnsi="Times New Roman" w:cs="Times New Roman"/>
          <w:b/>
          <w:sz w:val="24"/>
          <w:szCs w:val="24"/>
        </w:rPr>
      </w:pPr>
      <w:r w:rsidRPr="00C218FB">
        <w:rPr>
          <w:rFonts w:ascii="Times New Roman" w:hAnsi="Times New Roman" w:cs="Times New Roman"/>
          <w:b/>
          <w:sz w:val="24"/>
          <w:szCs w:val="24"/>
        </w:rPr>
        <w:t>ANTECEDENTES</w:t>
      </w:r>
    </w:p>
    <w:p w:rsidR="000F603A" w:rsidRPr="00C218FB" w:rsidRDefault="000F603A" w:rsidP="00C218FB">
      <w:pPr>
        <w:spacing w:after="0" w:line="240" w:lineRule="auto"/>
        <w:jc w:val="both"/>
        <w:rPr>
          <w:rFonts w:ascii="Times New Roman" w:hAnsi="Times New Roman" w:cs="Times New Roman"/>
          <w:b/>
          <w:sz w:val="24"/>
          <w:szCs w:val="24"/>
        </w:rPr>
      </w:pPr>
    </w:p>
    <w:p w:rsidR="000F603A" w:rsidRPr="00C218FB" w:rsidRDefault="000F603A" w:rsidP="00C218FB">
      <w:pPr>
        <w:spacing w:after="0" w:line="240" w:lineRule="auto"/>
        <w:jc w:val="both"/>
        <w:rPr>
          <w:rFonts w:ascii="Times New Roman" w:hAnsi="Times New Roman" w:cs="Times New Roman"/>
          <w:b/>
          <w:bCs/>
          <w:sz w:val="24"/>
          <w:szCs w:val="24"/>
        </w:rPr>
      </w:pPr>
      <w:r w:rsidRPr="00C218FB">
        <w:rPr>
          <w:rFonts w:ascii="Times New Roman" w:hAnsi="Times New Roman" w:cs="Times New Roman"/>
          <w:b/>
          <w:bCs/>
          <w:sz w:val="24"/>
          <w:szCs w:val="24"/>
        </w:rPr>
        <w:t xml:space="preserve">PRIMERO. </w:t>
      </w:r>
      <w:r w:rsidRPr="00C218FB">
        <w:rPr>
          <w:rFonts w:ascii="Times New Roman" w:hAnsi="Times New Roman" w:cs="Times New Roman"/>
          <w:sz w:val="24"/>
          <w:szCs w:val="24"/>
        </w:rPr>
        <w:t xml:space="preserve">Con fundamento en </w:t>
      </w:r>
      <w:r w:rsidRPr="00C218FB">
        <w:rPr>
          <w:rFonts w:ascii="Times New Roman" w:eastAsia="Times New Roman" w:hAnsi="Times New Roman" w:cs="Times New Roman"/>
          <w:sz w:val="24"/>
          <w:szCs w:val="24"/>
          <w:lang w:eastAsia="es-MX"/>
        </w:rPr>
        <w:t xml:space="preserve">lo dispuesto por los artículos </w:t>
      </w:r>
      <w:r w:rsidRPr="00C218FB">
        <w:rPr>
          <w:rFonts w:ascii="Times New Roman" w:hAnsi="Times New Roman" w:cs="Times New Roman"/>
          <w:sz w:val="24"/>
          <w:szCs w:val="24"/>
        </w:rPr>
        <w:t>48 fracción IV, 50, 52 y 53 fracción I de la Ley Orgánica Municipal del Estado de México, en relación a los artículos 40, 41, 42 de la Ley Reglamentaria de las fracciones XXV y XXVI del artículo 61 de la Constitución Política del Estado Libre y Soberano de México; en fecha quince de febrero de dos mil veintidós, la Diputada Beatriz García Villegas, integrante del Grupo Parlamentario de Movimiento de Regeneración Nacional (MORENA), presentó ante el Pleno de la "LXI" Legislatura del Congreso del Estado de México, una solicitud formal para iniciar el Procedimiento para la Solución del Diferendo Limítrofe Intermunicipal (DLI) entre los municipios de Acolman y Ecatepec de Morelos, señalando a los municipios de Tecámac y Atenco como terceros interesados.</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eastAsia="Times New Roman" w:hAnsi="Times New Roman" w:cs="Times New Roman"/>
          <w:sz w:val="24"/>
          <w:szCs w:val="24"/>
        </w:rPr>
      </w:pPr>
      <w:r w:rsidRPr="00C218FB">
        <w:rPr>
          <w:rFonts w:ascii="Times New Roman" w:hAnsi="Times New Roman" w:cs="Times New Roman"/>
          <w:b/>
          <w:sz w:val="24"/>
          <w:szCs w:val="24"/>
        </w:rPr>
        <w:t>SEGUNDO.</w:t>
      </w:r>
      <w:r w:rsidRPr="00C218FB">
        <w:rPr>
          <w:rFonts w:ascii="Times New Roman" w:hAnsi="Times New Roman" w:cs="Times New Roman"/>
          <w:sz w:val="24"/>
          <w:szCs w:val="24"/>
        </w:rPr>
        <w:t xml:space="preserve"> De acuerdo con lo establecido en los artículos 47 fracción VIII, de la Ley Orgánica del Poder Legislativo del Estado Libre y Soberano de México y 41 de la Ley Reglamentaria de las Fracciones XXV y XXVI del artículo 61 de la Constitución Política del Estado Libre y Soberano de México, </w:t>
      </w:r>
      <w:r w:rsidRPr="00C218FB">
        <w:rPr>
          <w:rFonts w:ascii="Times New Roman" w:eastAsia="Times New Roman" w:hAnsi="Times New Roman" w:cs="Times New Roman"/>
          <w:sz w:val="24"/>
          <w:szCs w:val="24"/>
        </w:rPr>
        <w:t>en sesión plenaria de la "LXI" Legislatura, celebrada el quince de febrero de dos mil veintidós, el Presidente de la Legislatura, por conducto de la Secretaría, turnó la solicitud referida a la Comisión Legislativa de Límites Territoriales del Estado de México y sus Municipios.</w:t>
      </w:r>
    </w:p>
    <w:p w:rsidR="000F603A" w:rsidRPr="00C218FB" w:rsidRDefault="000F603A" w:rsidP="00C218FB">
      <w:pPr>
        <w:spacing w:after="0" w:line="240" w:lineRule="auto"/>
        <w:jc w:val="both"/>
        <w:rPr>
          <w:rFonts w:ascii="Times New Roman" w:eastAsia="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sz w:val="24"/>
          <w:szCs w:val="24"/>
        </w:rPr>
        <w:t>TERCERO.</w:t>
      </w:r>
      <w:r w:rsidRPr="00C218FB">
        <w:rPr>
          <w:rFonts w:ascii="Times New Roman" w:hAnsi="Times New Roman" w:cs="Times New Roman"/>
          <w:sz w:val="24"/>
          <w:szCs w:val="24"/>
        </w:rPr>
        <w:t xml:space="preserve"> El presente Diferendo Limítrofe Intermunicipal consiste en la indefinición jurídica del límite territorial entre los municipios de Acolman y Ecatepec de Morelos, respecto de un polígono geográfico específico identificado como “Santa María Chiconautla”, conformado por las colonias: Prado San Juan Guerrero, Pirules Lázaro Cárdenas, la laguna y el Ejido de Santa María Chiconautla.</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El área materia del diferendo se localiza en la zona de colindancia norte–poniente entre los municipios de Acolman y Ecatepec de Morelos, dentro del Estado de México, y comprende una superficie aproximada de 4.7 kilómetros cuadrados, caracterizada por una alta consolidación urbana, presencia de infraestructura pública, equipamiento urbano, unidades económicas y asentamientos humanos permanentes.</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center"/>
        <w:rPr>
          <w:rFonts w:ascii="Times New Roman" w:hAnsi="Times New Roman" w:cs="Times New Roman"/>
          <w:b/>
          <w:sz w:val="24"/>
          <w:szCs w:val="24"/>
        </w:rPr>
      </w:pPr>
      <w:r w:rsidRPr="00C218FB">
        <w:rPr>
          <w:rFonts w:ascii="Times New Roman" w:hAnsi="Times New Roman" w:cs="Times New Roman"/>
          <w:b/>
          <w:sz w:val="24"/>
          <w:szCs w:val="24"/>
        </w:rPr>
        <w:t>CONSIDERACIONES</w:t>
      </w:r>
    </w:p>
    <w:p w:rsidR="000F603A" w:rsidRPr="00C218FB" w:rsidRDefault="000F603A" w:rsidP="00C218FB">
      <w:pPr>
        <w:spacing w:after="0" w:line="240" w:lineRule="auto"/>
        <w:jc w:val="center"/>
        <w:rPr>
          <w:rFonts w:ascii="Times New Roman" w:hAnsi="Times New Roman" w:cs="Times New Roman"/>
          <w:b/>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Con fundamento en el artículo 61, fracción I, de la Constitución Política del Estado Libre y Soberano de México, son facultades y obligaciones de la Legislatura del Estado de México, entre otras, la de expedir leyes, decretos o acuerdos para el régimen interior del Estado, en todos los ramos de la administración del gobierno, así mismo la fracción XXV del artículo en cita, señala que es facultad de la Legislatura fijar los límites de los municipios del Estado y resolver las diferencias que en esta materia produzcan.</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El artículo 4 de la Ley Orgánica Municipal del Estado de México establece que, la creación y supresión de municipios, la modificación de su territorio, cambios de su denominación o ubicación de sus cabeceras municipales, así como la solución de conflictos sobre límites intermunicipales, corresponden a la Legislatura del Estado.</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sz w:val="24"/>
          <w:szCs w:val="24"/>
        </w:rPr>
        <w:t xml:space="preserve">PRIMERO. </w:t>
      </w:r>
      <w:r w:rsidRPr="00C218FB">
        <w:rPr>
          <w:rFonts w:ascii="Times New Roman" w:hAnsi="Times New Roman" w:cs="Times New Roman"/>
          <w:sz w:val="24"/>
          <w:szCs w:val="24"/>
        </w:rPr>
        <w:t xml:space="preserve">La solicitud para el inicio del Procedimiento para la Solución de Diferendo Limítrofe Intermunicipal entre los municipios de Acolman y Ecatepec de Morelos, presentada en fecha </w:t>
      </w:r>
      <w:r w:rsidRPr="00C218FB">
        <w:rPr>
          <w:rFonts w:ascii="Times New Roman" w:hAnsi="Times New Roman" w:cs="Times New Roman"/>
          <w:sz w:val="24"/>
          <w:szCs w:val="24"/>
        </w:rPr>
        <w:lastRenderedPageBreak/>
        <w:t>quince de febrero de dos mil veintidós, por la Diputada Beatriz García Villegas, integrante del Grupo Parlamentario de Movimiento de Regeneración Nacional (MORENA), que en lo conducente es de tenor literal siguiente:</w:t>
      </w:r>
    </w:p>
    <w:p w:rsidR="000F603A" w:rsidRPr="00C218FB" w:rsidRDefault="000F603A" w:rsidP="00C218FB">
      <w:pPr>
        <w:spacing w:after="0" w:line="240" w:lineRule="auto"/>
        <w:ind w:left="851" w:right="918"/>
        <w:jc w:val="both"/>
        <w:rPr>
          <w:rFonts w:ascii="Times New Roman" w:eastAsia="Arial" w:hAnsi="Times New Roman" w:cs="Times New Roman"/>
          <w:i/>
          <w:sz w:val="24"/>
          <w:szCs w:val="24"/>
        </w:rPr>
      </w:pPr>
      <w:r w:rsidRPr="00C218FB">
        <w:rPr>
          <w:rFonts w:ascii="Times New Roman" w:eastAsia="Arial" w:hAnsi="Times New Roman" w:cs="Times New Roman"/>
          <w:i/>
          <w:sz w:val="24"/>
          <w:szCs w:val="24"/>
        </w:rPr>
        <w:t>“(…)</w:t>
      </w:r>
    </w:p>
    <w:p w:rsidR="000F603A" w:rsidRPr="00C218FB" w:rsidRDefault="000F603A" w:rsidP="00C218FB">
      <w:pPr>
        <w:spacing w:after="0" w:line="240" w:lineRule="auto"/>
        <w:ind w:left="851" w:right="918"/>
        <w:jc w:val="both"/>
        <w:rPr>
          <w:rFonts w:ascii="Times New Roman" w:hAnsi="Times New Roman" w:cs="Times New Roman"/>
          <w:i/>
          <w:sz w:val="24"/>
          <w:szCs w:val="24"/>
        </w:rPr>
      </w:pPr>
      <w:r w:rsidRPr="00C218FB">
        <w:rPr>
          <w:rFonts w:ascii="Times New Roman" w:hAnsi="Times New Roman" w:cs="Times New Roman"/>
          <w:i/>
          <w:sz w:val="24"/>
          <w:szCs w:val="24"/>
        </w:rPr>
        <w:t>Someto a consideración de esta H. Directiva, la presente solicitud, con el objeto de que intervenga la "LXI Legislatura", en uso de sus atribuciones y obligaciones constitucionales, en la fijación y solución del diferendo limítrofe intermunicipal entre los Ayuntamientos de Acolman y Ecatepec de Morelos. Lo anterior, con la finalidad de que la Presidenta de la Directiva de esta H. "LXI Legislatura "turne debida, puntual y oportunamente esta solicitud ante la Comisión Legislativa de Límites Territoriales del Estado de México y sus Municipios para su discusión, análisis y eventual substanciación.</w:t>
      </w:r>
    </w:p>
    <w:p w:rsidR="000F603A" w:rsidRPr="00C218FB" w:rsidRDefault="000F603A" w:rsidP="00C218FB">
      <w:pPr>
        <w:spacing w:after="0" w:line="240" w:lineRule="auto"/>
        <w:ind w:left="851" w:right="918"/>
        <w:jc w:val="both"/>
        <w:rPr>
          <w:rFonts w:ascii="Times New Roman" w:hAnsi="Times New Roman" w:cs="Times New Roman"/>
          <w:i/>
          <w:sz w:val="24"/>
          <w:szCs w:val="24"/>
        </w:rPr>
      </w:pPr>
    </w:p>
    <w:p w:rsidR="000F603A" w:rsidRPr="00C218FB" w:rsidRDefault="000F603A" w:rsidP="00C218FB">
      <w:pPr>
        <w:spacing w:after="0" w:line="240" w:lineRule="auto"/>
        <w:ind w:left="851" w:right="918"/>
        <w:jc w:val="both"/>
        <w:rPr>
          <w:rFonts w:ascii="Times New Roman" w:hAnsi="Times New Roman" w:cs="Times New Roman"/>
          <w:i/>
          <w:sz w:val="24"/>
          <w:szCs w:val="24"/>
        </w:rPr>
      </w:pPr>
      <w:r w:rsidRPr="00C218FB">
        <w:rPr>
          <w:rFonts w:ascii="Times New Roman" w:eastAsia="Times New Roman" w:hAnsi="Times New Roman" w:cs="Times New Roman"/>
          <w:b/>
          <w:i/>
          <w:sz w:val="24"/>
          <w:szCs w:val="24"/>
        </w:rPr>
        <w:t xml:space="preserve">l. </w:t>
      </w:r>
      <w:r w:rsidRPr="00C218FB">
        <w:rPr>
          <w:rFonts w:ascii="Times New Roman" w:eastAsia="Arial" w:hAnsi="Times New Roman" w:cs="Times New Roman"/>
          <w:b/>
          <w:i/>
          <w:sz w:val="24"/>
          <w:szCs w:val="24"/>
        </w:rPr>
        <w:t>NOMBRE DE LOS PRESIDENTES MUNICIPALES INVOLUCRADOS Y DOMICILIOS DE SUS AYUNTAMIENTOS INVOLUCRADOS</w:t>
      </w:r>
    </w:p>
    <w:p w:rsidR="000F603A" w:rsidRPr="00C218FB" w:rsidRDefault="000F603A" w:rsidP="00C218FB">
      <w:pPr>
        <w:spacing w:after="0" w:line="240" w:lineRule="auto"/>
        <w:ind w:left="851" w:right="918"/>
        <w:jc w:val="both"/>
        <w:rPr>
          <w:rFonts w:ascii="Times New Roman" w:eastAsia="Times New Roman" w:hAnsi="Times New Roman" w:cs="Times New Roman"/>
          <w:i/>
          <w:sz w:val="24"/>
          <w:szCs w:val="24"/>
        </w:rPr>
      </w:pPr>
      <w:r w:rsidRPr="00C218FB">
        <w:rPr>
          <w:rFonts w:ascii="Times New Roman" w:eastAsia="Times New Roman" w:hAnsi="Times New Roman" w:cs="Times New Roman"/>
          <w:i/>
          <w:sz w:val="24"/>
          <w:szCs w:val="24"/>
        </w:rPr>
        <w:t xml:space="preserve"> </w:t>
      </w:r>
    </w:p>
    <w:p w:rsidR="000F603A" w:rsidRPr="00C218FB" w:rsidRDefault="000F603A" w:rsidP="00C218FB">
      <w:pPr>
        <w:spacing w:after="0" w:line="240" w:lineRule="auto"/>
        <w:ind w:left="851" w:right="918"/>
        <w:jc w:val="both"/>
        <w:rPr>
          <w:rFonts w:ascii="Times New Roman" w:eastAsia="Times New Roman" w:hAnsi="Times New Roman" w:cs="Times New Roman"/>
          <w:i/>
          <w:sz w:val="24"/>
          <w:szCs w:val="24"/>
        </w:rPr>
      </w:pPr>
      <w:r w:rsidRPr="00C218FB">
        <w:rPr>
          <w:rFonts w:ascii="Times New Roman" w:eastAsia="Times New Roman" w:hAnsi="Times New Roman" w:cs="Times New Roman"/>
          <w:i/>
          <w:sz w:val="24"/>
          <w:szCs w:val="24"/>
        </w:rPr>
        <w:t>Ahora bien, en mi carácter de Diputada presentante y con el objeto de cumplir analógicamente con los requisitos legales de esta solicitud, señalo a continuación la ubicación correspondiente de los domicilios de los Ayuntamientos, los cuales se encuentran en situación de diferendo limítrofe intermunicipal, con el propósito de que, en el momento procesal oportuno, sean notificados y se les corra traslado con las copias derivadas de este escrito y de sus anexos por conducto de la H. Comisión Legislativa de Límites Territoriales del Estado de México y sus Municipios:</w:t>
      </w:r>
    </w:p>
    <w:p w:rsidR="000F603A" w:rsidRPr="00C218FB" w:rsidRDefault="000F603A" w:rsidP="00C218FB">
      <w:pPr>
        <w:spacing w:after="0" w:line="240" w:lineRule="auto"/>
        <w:ind w:left="851" w:right="918"/>
        <w:jc w:val="both"/>
        <w:rPr>
          <w:rFonts w:ascii="Times New Roman" w:eastAsia="Times New Roman" w:hAnsi="Times New Roman" w:cs="Times New Roman"/>
          <w:i/>
          <w:sz w:val="24"/>
          <w:szCs w:val="24"/>
        </w:rPr>
      </w:pPr>
    </w:p>
    <w:p w:rsidR="000F603A" w:rsidRPr="00C218FB" w:rsidRDefault="000F603A" w:rsidP="00C218FB">
      <w:pPr>
        <w:spacing w:after="0" w:line="240" w:lineRule="auto"/>
        <w:ind w:left="851" w:right="918"/>
        <w:jc w:val="both"/>
        <w:rPr>
          <w:rFonts w:ascii="Times New Roman" w:eastAsia="Times New Roman" w:hAnsi="Times New Roman" w:cs="Times New Roman"/>
          <w:i/>
          <w:sz w:val="24"/>
          <w:szCs w:val="24"/>
        </w:rPr>
      </w:pPr>
      <w:r w:rsidRPr="00C218FB">
        <w:rPr>
          <w:rFonts w:ascii="Times New Roman" w:eastAsia="Arial" w:hAnsi="Times New Roman" w:cs="Times New Roman"/>
          <w:b/>
          <w:i/>
          <w:sz w:val="24"/>
          <w:szCs w:val="24"/>
        </w:rPr>
        <w:t xml:space="preserve">a) C. Rigoberto Cortés Melgoza, </w:t>
      </w:r>
      <w:r w:rsidRPr="00C218FB">
        <w:rPr>
          <w:rFonts w:ascii="Times New Roman" w:eastAsia="Times New Roman" w:hAnsi="Times New Roman" w:cs="Times New Roman"/>
          <w:i/>
          <w:sz w:val="24"/>
          <w:szCs w:val="24"/>
        </w:rPr>
        <w:t>Presidente Municipal de Acolman, quien cuenta con domicilio ubicado en el Palacio Municipal localizado en Calzada de los Agustinos, sin números exterior ni interior, Colonia Centro, Código Postal 55870, Municipio de Acolman de Nezahualcóyotl, Estado de México.</w:t>
      </w:r>
    </w:p>
    <w:p w:rsidR="000F603A" w:rsidRPr="00C218FB" w:rsidRDefault="000F603A" w:rsidP="00C218FB">
      <w:pPr>
        <w:spacing w:after="0" w:line="240" w:lineRule="auto"/>
        <w:ind w:left="851" w:right="918"/>
        <w:jc w:val="both"/>
        <w:rPr>
          <w:rFonts w:ascii="Times New Roman" w:eastAsia="Times New Roman" w:hAnsi="Times New Roman" w:cs="Times New Roman"/>
          <w:i/>
          <w:sz w:val="24"/>
          <w:szCs w:val="24"/>
        </w:rPr>
      </w:pPr>
    </w:p>
    <w:p w:rsidR="000F603A" w:rsidRPr="00C218FB" w:rsidRDefault="000F603A" w:rsidP="00C218FB">
      <w:pPr>
        <w:spacing w:after="0" w:line="240" w:lineRule="auto"/>
        <w:ind w:left="851" w:right="918"/>
        <w:jc w:val="both"/>
        <w:rPr>
          <w:rFonts w:ascii="Times New Roman" w:eastAsia="Times New Roman" w:hAnsi="Times New Roman" w:cs="Times New Roman"/>
          <w:i/>
          <w:sz w:val="24"/>
          <w:szCs w:val="24"/>
        </w:rPr>
      </w:pPr>
      <w:r w:rsidRPr="00C218FB">
        <w:rPr>
          <w:rFonts w:ascii="Times New Roman" w:eastAsia="Arial" w:hAnsi="Times New Roman" w:cs="Times New Roman"/>
          <w:b/>
          <w:i/>
          <w:sz w:val="24"/>
          <w:szCs w:val="24"/>
        </w:rPr>
        <w:t xml:space="preserve">b) C. Luis Fernando Vilchis Contreras, </w:t>
      </w:r>
      <w:r w:rsidRPr="00C218FB">
        <w:rPr>
          <w:rFonts w:ascii="Times New Roman" w:eastAsia="Times New Roman" w:hAnsi="Times New Roman" w:cs="Times New Roman"/>
          <w:i/>
          <w:sz w:val="24"/>
          <w:szCs w:val="24"/>
        </w:rPr>
        <w:t>Presidente Municipal de Ecatepec de Morelos, quien se encuentra ubicado en el Palacio Municipal localizado en la Avenida Juárez, sin números exterior ni interior, Colonia San Cristóbal Centro, Ecatepec de Morelos.</w:t>
      </w:r>
    </w:p>
    <w:p w:rsidR="000F603A" w:rsidRPr="00C218FB" w:rsidRDefault="000F603A" w:rsidP="00C218FB">
      <w:pPr>
        <w:spacing w:after="0" w:line="240" w:lineRule="auto"/>
        <w:ind w:left="851" w:right="918" w:hanging="10"/>
        <w:jc w:val="both"/>
        <w:rPr>
          <w:rFonts w:ascii="Times New Roman" w:eastAsia="Times New Roman" w:hAnsi="Times New Roman" w:cs="Times New Roman"/>
          <w:i/>
          <w:sz w:val="24"/>
          <w:szCs w:val="24"/>
        </w:rPr>
      </w:pPr>
    </w:p>
    <w:p w:rsidR="000F603A" w:rsidRPr="00C218FB" w:rsidRDefault="000F603A" w:rsidP="00C218FB">
      <w:pPr>
        <w:spacing w:after="0" w:line="240" w:lineRule="auto"/>
        <w:ind w:left="851" w:right="918"/>
        <w:jc w:val="both"/>
        <w:rPr>
          <w:rFonts w:ascii="Times New Roman" w:hAnsi="Times New Roman" w:cs="Times New Roman"/>
          <w:b/>
          <w:bCs/>
          <w:i/>
          <w:sz w:val="24"/>
          <w:szCs w:val="24"/>
        </w:rPr>
      </w:pPr>
      <w:r w:rsidRPr="00C218FB">
        <w:rPr>
          <w:rFonts w:ascii="Times New Roman" w:hAnsi="Times New Roman" w:cs="Times New Roman"/>
          <w:b/>
          <w:bCs/>
          <w:i/>
          <w:sz w:val="24"/>
          <w:szCs w:val="24"/>
        </w:rPr>
        <w:t>Il. CAUSA DE PROCEDENCIA DE ESTA SOLICITUD</w:t>
      </w:r>
    </w:p>
    <w:p w:rsidR="000F603A" w:rsidRPr="00C218FB" w:rsidRDefault="000F603A" w:rsidP="00C218FB">
      <w:pPr>
        <w:spacing w:after="0" w:line="240" w:lineRule="auto"/>
        <w:ind w:left="851" w:right="918"/>
        <w:jc w:val="both"/>
        <w:rPr>
          <w:rFonts w:ascii="Times New Roman" w:hAnsi="Times New Roman" w:cs="Times New Roman"/>
          <w:i/>
          <w:sz w:val="24"/>
          <w:szCs w:val="24"/>
        </w:rPr>
      </w:pPr>
    </w:p>
    <w:p w:rsidR="000F603A" w:rsidRPr="00C218FB" w:rsidRDefault="000F603A" w:rsidP="00C218FB">
      <w:pPr>
        <w:spacing w:after="0" w:line="240" w:lineRule="auto"/>
        <w:ind w:left="851" w:right="918"/>
        <w:jc w:val="both"/>
        <w:rPr>
          <w:rFonts w:ascii="Times New Roman" w:hAnsi="Times New Roman" w:cs="Times New Roman"/>
          <w:i/>
          <w:sz w:val="24"/>
          <w:szCs w:val="24"/>
        </w:rPr>
      </w:pPr>
      <w:r w:rsidRPr="00C218FB">
        <w:rPr>
          <w:rFonts w:ascii="Times New Roman" w:hAnsi="Times New Roman" w:cs="Times New Roman"/>
          <w:i/>
          <w:sz w:val="24"/>
          <w:szCs w:val="24"/>
        </w:rPr>
        <w:t>La presente solicitud se pone a consideración de esta H. Legislatura debido a que, ni jurídica ni históricamente, ha existido la publicación de un Decreto que precise de manera técnica y exhaustiva la delimitación territorial entre los Municipios de Acolman y Ecatepec de Morelos. Por lo tanto, este motivo es suficiente para afirmar que se ha actualizado una de las causales de procedencia para dar comienzo al proceso para la fijación o precisión de los límites territoriales entre estos dos Municipios.</w:t>
      </w:r>
    </w:p>
    <w:p w:rsidR="000F603A" w:rsidRPr="00C218FB" w:rsidRDefault="000F603A" w:rsidP="00C218FB">
      <w:pPr>
        <w:spacing w:after="0" w:line="240" w:lineRule="auto"/>
        <w:ind w:left="851" w:right="918"/>
        <w:jc w:val="both"/>
        <w:rPr>
          <w:rFonts w:ascii="Times New Roman" w:hAnsi="Times New Roman" w:cs="Times New Roman"/>
          <w:i/>
          <w:sz w:val="24"/>
          <w:szCs w:val="24"/>
        </w:rPr>
      </w:pPr>
    </w:p>
    <w:p w:rsidR="000F603A" w:rsidRPr="00C218FB" w:rsidRDefault="000F603A" w:rsidP="00C218FB">
      <w:pPr>
        <w:spacing w:after="0" w:line="240" w:lineRule="auto"/>
        <w:ind w:left="851" w:right="918"/>
        <w:jc w:val="both"/>
        <w:rPr>
          <w:rFonts w:ascii="Times New Roman" w:hAnsi="Times New Roman" w:cs="Times New Roman"/>
          <w:i/>
          <w:sz w:val="24"/>
          <w:szCs w:val="24"/>
        </w:rPr>
      </w:pPr>
      <w:r w:rsidRPr="00C218FB">
        <w:rPr>
          <w:rFonts w:ascii="Times New Roman" w:hAnsi="Times New Roman" w:cs="Times New Roman"/>
          <w:i/>
          <w:sz w:val="24"/>
          <w:szCs w:val="24"/>
        </w:rPr>
        <w:t xml:space="preserve">De igual modo, con la presentación de esta solicitud ejerzo una de mis facultades y obligaciones constitucionales como miembro de esta H. "LXI" Legislatura del Estado de México, la cual consiste, específicamente, en </w:t>
      </w:r>
      <w:r w:rsidRPr="00C218FB">
        <w:rPr>
          <w:rFonts w:ascii="Times New Roman" w:hAnsi="Times New Roman" w:cs="Times New Roman"/>
          <w:i/>
          <w:sz w:val="24"/>
          <w:szCs w:val="24"/>
        </w:rPr>
        <w:lastRenderedPageBreak/>
        <w:t>coadyuvar en la fijación o precisión de los límites territoriales intermunicipales de nuestra entidad federativa.</w:t>
      </w:r>
    </w:p>
    <w:p w:rsidR="000F603A" w:rsidRPr="00C218FB" w:rsidRDefault="000F603A" w:rsidP="00C218FB">
      <w:pPr>
        <w:spacing w:after="0" w:line="240" w:lineRule="auto"/>
        <w:ind w:left="851" w:right="918"/>
        <w:jc w:val="both"/>
        <w:rPr>
          <w:rFonts w:ascii="Times New Roman" w:hAnsi="Times New Roman" w:cs="Times New Roman"/>
          <w:i/>
          <w:sz w:val="24"/>
          <w:szCs w:val="24"/>
        </w:rPr>
      </w:pPr>
    </w:p>
    <w:p w:rsidR="000F603A" w:rsidRPr="00C218FB" w:rsidRDefault="000F603A" w:rsidP="00C218FB">
      <w:pPr>
        <w:spacing w:after="0" w:line="240" w:lineRule="auto"/>
        <w:ind w:left="851" w:right="918"/>
        <w:jc w:val="both"/>
        <w:rPr>
          <w:rFonts w:ascii="Times New Roman" w:hAnsi="Times New Roman" w:cs="Times New Roman"/>
          <w:i/>
          <w:sz w:val="24"/>
          <w:szCs w:val="24"/>
        </w:rPr>
      </w:pPr>
    </w:p>
    <w:p w:rsidR="000F603A" w:rsidRPr="00C218FB" w:rsidRDefault="000F603A" w:rsidP="00C218FB">
      <w:pPr>
        <w:spacing w:after="0" w:line="240" w:lineRule="auto"/>
        <w:ind w:left="851" w:right="918"/>
        <w:jc w:val="both"/>
        <w:rPr>
          <w:rFonts w:ascii="Times New Roman" w:hAnsi="Times New Roman" w:cs="Times New Roman"/>
          <w:i/>
          <w:sz w:val="24"/>
          <w:szCs w:val="24"/>
        </w:rPr>
      </w:pPr>
      <w:r w:rsidRPr="00C218FB">
        <w:rPr>
          <w:rFonts w:ascii="Times New Roman" w:hAnsi="Times New Roman" w:cs="Times New Roman"/>
          <w:i/>
          <w:sz w:val="24"/>
          <w:szCs w:val="24"/>
        </w:rPr>
        <w:t>Así mismo, vale la pena subrayar que, en mi calidad dual de Diputada Local y de Presidenta de la Comisión Legislativa de Recursos Hidráulicos del Poder Legislativo del Estado de México, no sólo tengo un  compromiso con la comunidad que me eligió como su representante popular, sino que también tengo el deber de proteger los intereses y atender las demandas sociales que exige el resto de la población mexiquense; y más cuando subyace un tema relacionado con la afectación y carencia de recursos hidráulicos, derivada de la falta de atención, prevención y solución de una problemática de impacto ambiental, que a lo largo del tiempo ha provocado el menoscabo de derechos de toda una colectividad, específicamente, de los de protección a la salud pública, de acceso a un medio ambiente sano para el desarrollo y bienestar y por supuesto, de acceso, disposición y saneamiento de agua para consumo personal y doméstico en forma suficiente, salubre, aceptable y asequible.</w:t>
      </w:r>
    </w:p>
    <w:p w:rsidR="000F603A" w:rsidRPr="00C218FB" w:rsidRDefault="000F603A" w:rsidP="00C218FB">
      <w:pPr>
        <w:spacing w:after="0" w:line="240" w:lineRule="auto"/>
        <w:ind w:left="851" w:right="918"/>
        <w:jc w:val="both"/>
        <w:rPr>
          <w:rFonts w:ascii="Times New Roman" w:hAnsi="Times New Roman" w:cs="Times New Roman"/>
          <w:i/>
          <w:sz w:val="24"/>
          <w:szCs w:val="24"/>
        </w:rPr>
      </w:pPr>
    </w:p>
    <w:p w:rsidR="000F603A" w:rsidRPr="00C218FB" w:rsidRDefault="000F603A" w:rsidP="00C218FB">
      <w:pPr>
        <w:spacing w:after="0" w:line="240" w:lineRule="auto"/>
        <w:ind w:left="851" w:right="918"/>
        <w:jc w:val="both"/>
        <w:rPr>
          <w:rFonts w:ascii="Times New Roman" w:hAnsi="Times New Roman" w:cs="Times New Roman"/>
          <w:i/>
          <w:sz w:val="24"/>
          <w:szCs w:val="24"/>
        </w:rPr>
      </w:pPr>
    </w:p>
    <w:p w:rsidR="000F603A" w:rsidRPr="00C218FB" w:rsidRDefault="000F603A" w:rsidP="00C218FB">
      <w:pPr>
        <w:spacing w:after="0" w:line="240" w:lineRule="auto"/>
        <w:ind w:left="851" w:right="918"/>
        <w:jc w:val="both"/>
        <w:rPr>
          <w:rFonts w:ascii="Times New Roman" w:eastAsia="Arial" w:hAnsi="Times New Roman" w:cs="Times New Roman"/>
          <w:i/>
          <w:sz w:val="24"/>
          <w:szCs w:val="24"/>
        </w:rPr>
      </w:pPr>
      <w:r w:rsidRPr="00C218FB">
        <w:rPr>
          <w:rFonts w:ascii="Times New Roman" w:hAnsi="Times New Roman" w:cs="Times New Roman"/>
          <w:i/>
          <w:sz w:val="24"/>
          <w:szCs w:val="24"/>
        </w:rPr>
        <w:t>Lo anterior, de conformidad a lo previsto en los artículos 4; fracción I de la Ley Reglamentaria de las Fracciones XXV y XXVI del Artículo 61 de la Constitución Política del Estado Libre y Soberano de México y 13 A, fracción XXX, inciso b) del Reglamento del Poder Legislativo del Estado Libre y Soberano de México.</w:t>
      </w:r>
    </w:p>
    <w:p w:rsidR="000F603A" w:rsidRPr="00C218FB" w:rsidRDefault="000F603A" w:rsidP="00C218FB">
      <w:pPr>
        <w:spacing w:after="0" w:line="240" w:lineRule="auto"/>
        <w:ind w:left="851" w:right="918"/>
        <w:jc w:val="both"/>
        <w:rPr>
          <w:rFonts w:ascii="Times New Roman" w:eastAsia="Arial" w:hAnsi="Times New Roman" w:cs="Times New Roman"/>
          <w:i/>
          <w:sz w:val="24"/>
          <w:szCs w:val="24"/>
        </w:rPr>
      </w:pPr>
      <w:r w:rsidRPr="00C218FB">
        <w:rPr>
          <w:rFonts w:ascii="Times New Roman" w:eastAsia="Arial" w:hAnsi="Times New Roman" w:cs="Times New Roman"/>
          <w:i/>
          <w:sz w:val="24"/>
          <w:szCs w:val="24"/>
        </w:rPr>
        <w:t>(…)”</w:t>
      </w:r>
    </w:p>
    <w:p w:rsidR="000F603A" w:rsidRPr="00C218FB" w:rsidRDefault="000F603A" w:rsidP="00C218FB">
      <w:pPr>
        <w:spacing w:after="0" w:line="240" w:lineRule="auto"/>
        <w:ind w:left="851" w:right="918"/>
        <w:jc w:val="both"/>
        <w:rPr>
          <w:rFonts w:ascii="Times New Roman" w:hAnsi="Times New Roman" w:cs="Times New Roman"/>
          <w:i/>
          <w:sz w:val="24"/>
          <w:szCs w:val="24"/>
        </w:rPr>
      </w:pPr>
    </w:p>
    <w:p w:rsidR="000F603A" w:rsidRPr="00C218FB" w:rsidRDefault="000F603A" w:rsidP="00C218FB">
      <w:pPr>
        <w:spacing w:after="0" w:line="240" w:lineRule="auto"/>
        <w:ind w:left="851" w:right="918"/>
        <w:jc w:val="both"/>
        <w:rPr>
          <w:rFonts w:ascii="Times New Roman" w:hAnsi="Times New Roman" w:cs="Times New Roman"/>
          <w:i/>
          <w:sz w:val="24"/>
          <w:szCs w:val="24"/>
        </w:rPr>
      </w:pPr>
    </w:p>
    <w:p w:rsidR="000F603A" w:rsidRPr="00C218FB" w:rsidRDefault="000F603A" w:rsidP="00C218FB">
      <w:pPr>
        <w:spacing w:after="0" w:line="240" w:lineRule="auto"/>
        <w:jc w:val="both"/>
        <w:rPr>
          <w:rFonts w:ascii="Times New Roman" w:eastAsia="Arial" w:hAnsi="Times New Roman" w:cs="Times New Roman"/>
          <w:sz w:val="24"/>
          <w:szCs w:val="24"/>
        </w:rPr>
      </w:pPr>
      <w:r w:rsidRPr="00C218FB">
        <w:rPr>
          <w:rFonts w:ascii="Times New Roman" w:hAnsi="Times New Roman" w:cs="Times New Roman"/>
          <w:b/>
          <w:bCs/>
          <w:sz w:val="24"/>
          <w:szCs w:val="24"/>
        </w:rPr>
        <w:t xml:space="preserve">SEGUNDO. </w:t>
      </w:r>
      <w:r w:rsidRPr="00C218FB">
        <w:rPr>
          <w:rFonts w:ascii="Times New Roman" w:eastAsia="Arial" w:hAnsi="Times New Roman" w:cs="Times New Roman"/>
          <w:sz w:val="24"/>
          <w:szCs w:val="24"/>
        </w:rPr>
        <w:t xml:space="preserve">El presente </w:t>
      </w:r>
      <w:r w:rsidRPr="00C218FB">
        <w:rPr>
          <w:rFonts w:ascii="Times New Roman" w:eastAsia="Arial" w:hAnsi="Times New Roman" w:cs="Times New Roman"/>
          <w:b/>
          <w:bCs/>
          <w:sz w:val="24"/>
          <w:szCs w:val="24"/>
        </w:rPr>
        <w:t>Diferendo Limítrofe Intermunicipal</w:t>
      </w:r>
      <w:r w:rsidRPr="00C218FB">
        <w:rPr>
          <w:rFonts w:ascii="Times New Roman" w:eastAsia="Arial" w:hAnsi="Times New Roman" w:cs="Times New Roman"/>
          <w:sz w:val="24"/>
          <w:szCs w:val="24"/>
        </w:rPr>
        <w:t xml:space="preserve"> consiste en la </w:t>
      </w:r>
      <w:r w:rsidRPr="00C218FB">
        <w:rPr>
          <w:rFonts w:ascii="Times New Roman" w:eastAsia="Arial" w:hAnsi="Times New Roman" w:cs="Times New Roman"/>
          <w:b/>
          <w:bCs/>
          <w:sz w:val="24"/>
          <w:szCs w:val="24"/>
        </w:rPr>
        <w:t>indefinición jurídica del límite territorial</w:t>
      </w:r>
      <w:r w:rsidRPr="00C218FB">
        <w:rPr>
          <w:rFonts w:ascii="Times New Roman" w:eastAsia="Arial" w:hAnsi="Times New Roman" w:cs="Times New Roman"/>
          <w:sz w:val="24"/>
          <w:szCs w:val="24"/>
        </w:rPr>
        <w:t xml:space="preserve"> entre los municipios de </w:t>
      </w:r>
      <w:r w:rsidRPr="00C218FB">
        <w:rPr>
          <w:rFonts w:ascii="Times New Roman" w:eastAsia="Arial" w:hAnsi="Times New Roman" w:cs="Times New Roman"/>
          <w:b/>
          <w:bCs/>
          <w:sz w:val="24"/>
          <w:szCs w:val="24"/>
        </w:rPr>
        <w:t>Acolman</w:t>
      </w:r>
      <w:r w:rsidRPr="00C218FB">
        <w:rPr>
          <w:rFonts w:ascii="Times New Roman" w:eastAsia="Arial" w:hAnsi="Times New Roman" w:cs="Times New Roman"/>
          <w:sz w:val="24"/>
          <w:szCs w:val="24"/>
        </w:rPr>
        <w:t xml:space="preserve"> y </w:t>
      </w:r>
      <w:r w:rsidRPr="00C218FB">
        <w:rPr>
          <w:rFonts w:ascii="Times New Roman" w:eastAsia="Arial" w:hAnsi="Times New Roman" w:cs="Times New Roman"/>
          <w:b/>
          <w:bCs/>
          <w:sz w:val="24"/>
          <w:szCs w:val="24"/>
        </w:rPr>
        <w:t>Ecatepec de Morelos</w:t>
      </w:r>
      <w:r w:rsidRPr="00C218FB">
        <w:rPr>
          <w:rFonts w:ascii="Times New Roman" w:eastAsia="Arial" w:hAnsi="Times New Roman" w:cs="Times New Roman"/>
          <w:sz w:val="24"/>
          <w:szCs w:val="24"/>
        </w:rPr>
        <w:t xml:space="preserve">, respecto de un </w:t>
      </w:r>
      <w:r w:rsidRPr="00C218FB">
        <w:rPr>
          <w:rFonts w:ascii="Times New Roman" w:eastAsia="Arial" w:hAnsi="Times New Roman" w:cs="Times New Roman"/>
          <w:b/>
          <w:bCs/>
          <w:sz w:val="24"/>
          <w:szCs w:val="24"/>
        </w:rPr>
        <w:t>polígono geográfico específico</w:t>
      </w:r>
      <w:r w:rsidRPr="00C218FB">
        <w:rPr>
          <w:rFonts w:ascii="Times New Roman" w:eastAsia="Arial" w:hAnsi="Times New Roman" w:cs="Times New Roman"/>
          <w:sz w:val="24"/>
          <w:szCs w:val="24"/>
        </w:rPr>
        <w:t xml:space="preserve"> identificado como </w:t>
      </w:r>
      <w:r w:rsidRPr="00C218FB">
        <w:rPr>
          <w:rFonts w:ascii="Times New Roman" w:eastAsia="Arial" w:hAnsi="Times New Roman" w:cs="Times New Roman"/>
          <w:b/>
          <w:bCs/>
          <w:sz w:val="24"/>
          <w:szCs w:val="24"/>
        </w:rPr>
        <w:t>“Santa María Chiconautla”</w:t>
      </w:r>
      <w:r w:rsidRPr="00C218FB">
        <w:rPr>
          <w:rFonts w:ascii="Times New Roman" w:eastAsia="Arial" w:hAnsi="Times New Roman" w:cs="Times New Roman"/>
          <w:sz w:val="24"/>
          <w:szCs w:val="24"/>
        </w:rPr>
        <w:t>, conformado por las colonias: Prado San Juan Guerrero, Pirules Lázaro Cárdenas, la laguna y el Ejido de Santa María Chiconautla.</w:t>
      </w:r>
    </w:p>
    <w:p w:rsidR="000F603A" w:rsidRPr="00C218FB" w:rsidRDefault="000F603A" w:rsidP="00C218FB">
      <w:pPr>
        <w:spacing w:after="0" w:line="240" w:lineRule="auto"/>
        <w:jc w:val="both"/>
        <w:rPr>
          <w:rFonts w:ascii="Times New Roman" w:eastAsia="Arial" w:hAnsi="Times New Roman" w:cs="Times New Roman"/>
          <w:sz w:val="24"/>
          <w:szCs w:val="24"/>
        </w:rPr>
      </w:pPr>
    </w:p>
    <w:p w:rsidR="000F603A" w:rsidRPr="00C218FB" w:rsidRDefault="000F603A" w:rsidP="00C218FB">
      <w:pPr>
        <w:spacing w:after="0" w:line="240" w:lineRule="auto"/>
        <w:jc w:val="both"/>
        <w:rPr>
          <w:rFonts w:ascii="Times New Roman" w:eastAsia="Arial" w:hAnsi="Times New Roman" w:cs="Times New Roman"/>
          <w:sz w:val="24"/>
          <w:szCs w:val="24"/>
        </w:rPr>
      </w:pPr>
      <w:r w:rsidRPr="00C218FB">
        <w:rPr>
          <w:rFonts w:ascii="Times New Roman" w:eastAsia="Arial" w:hAnsi="Times New Roman" w:cs="Times New Roman"/>
          <w:sz w:val="24"/>
          <w:szCs w:val="24"/>
        </w:rPr>
        <w:t xml:space="preserve">El área materia del diferendo se localiza en la </w:t>
      </w:r>
      <w:r w:rsidRPr="00C218FB">
        <w:rPr>
          <w:rFonts w:ascii="Times New Roman" w:eastAsia="Arial" w:hAnsi="Times New Roman" w:cs="Times New Roman"/>
          <w:b/>
          <w:bCs/>
          <w:sz w:val="24"/>
          <w:szCs w:val="24"/>
        </w:rPr>
        <w:t>zona de colindancia norte–poniente</w:t>
      </w:r>
      <w:r w:rsidRPr="00C218FB">
        <w:rPr>
          <w:rFonts w:ascii="Times New Roman" w:eastAsia="Arial" w:hAnsi="Times New Roman" w:cs="Times New Roman"/>
          <w:sz w:val="24"/>
          <w:szCs w:val="24"/>
        </w:rPr>
        <w:t xml:space="preserve"> entre los municipios de Acolman y Ecatepec de Morelos, dentro del Estado de México, y comprende una </w:t>
      </w:r>
      <w:r w:rsidRPr="00C218FB">
        <w:rPr>
          <w:rFonts w:ascii="Times New Roman" w:eastAsia="Arial" w:hAnsi="Times New Roman" w:cs="Times New Roman"/>
          <w:b/>
          <w:bCs/>
          <w:sz w:val="24"/>
          <w:szCs w:val="24"/>
        </w:rPr>
        <w:t>superficie aproximada de 4.7 kilómetros cuadrados</w:t>
      </w:r>
      <w:r w:rsidRPr="00C218FB">
        <w:rPr>
          <w:rFonts w:ascii="Times New Roman" w:eastAsia="Arial" w:hAnsi="Times New Roman" w:cs="Times New Roman"/>
          <w:sz w:val="24"/>
          <w:szCs w:val="24"/>
        </w:rPr>
        <w:t xml:space="preserve">, caracterizada por una </w:t>
      </w:r>
      <w:r w:rsidRPr="00C218FB">
        <w:rPr>
          <w:rFonts w:ascii="Times New Roman" w:eastAsia="Arial" w:hAnsi="Times New Roman" w:cs="Times New Roman"/>
          <w:b/>
          <w:bCs/>
          <w:sz w:val="24"/>
          <w:szCs w:val="24"/>
        </w:rPr>
        <w:t>alta consolidación urbana</w:t>
      </w:r>
      <w:r w:rsidRPr="00C218FB">
        <w:rPr>
          <w:rFonts w:ascii="Times New Roman" w:eastAsia="Arial" w:hAnsi="Times New Roman" w:cs="Times New Roman"/>
          <w:sz w:val="24"/>
          <w:szCs w:val="24"/>
        </w:rPr>
        <w:t>, presencia de infraestructura pública, equipamiento urbano, unidades económicas y asentamientos humanos permanentes.</w:t>
      </w:r>
    </w:p>
    <w:p w:rsidR="000F603A" w:rsidRPr="00C218FB" w:rsidRDefault="000F603A" w:rsidP="00C218FB">
      <w:pPr>
        <w:spacing w:after="0" w:line="240" w:lineRule="auto"/>
        <w:jc w:val="both"/>
        <w:rPr>
          <w:rFonts w:ascii="Times New Roman" w:eastAsia="Arial" w:hAnsi="Times New Roman" w:cs="Times New Roman"/>
          <w:sz w:val="24"/>
          <w:szCs w:val="24"/>
        </w:rPr>
      </w:pPr>
    </w:p>
    <w:p w:rsidR="000F603A" w:rsidRPr="00C218FB" w:rsidRDefault="000F603A" w:rsidP="00C218FB">
      <w:pPr>
        <w:spacing w:after="0" w:line="240" w:lineRule="auto"/>
        <w:jc w:val="both"/>
        <w:rPr>
          <w:rFonts w:ascii="Times New Roman" w:eastAsia="Arial" w:hAnsi="Times New Roman" w:cs="Times New Roman"/>
          <w:sz w:val="24"/>
          <w:szCs w:val="24"/>
        </w:rPr>
      </w:pPr>
      <w:r w:rsidRPr="00C218FB">
        <w:rPr>
          <w:rFonts w:ascii="Times New Roman" w:eastAsia="Arial" w:hAnsi="Times New Roman" w:cs="Times New Roman"/>
          <w:sz w:val="24"/>
          <w:szCs w:val="24"/>
        </w:rPr>
        <w:t xml:space="preserve">Polígono identificado con las siguientes </w:t>
      </w:r>
      <w:r w:rsidRPr="00C218FB">
        <w:rPr>
          <w:rFonts w:ascii="Times New Roman" w:eastAsia="Arial" w:hAnsi="Times New Roman" w:cs="Times New Roman"/>
          <w:b/>
          <w:bCs/>
          <w:sz w:val="24"/>
          <w:szCs w:val="24"/>
        </w:rPr>
        <w:t>coordenadas UTM (Universal Transversa de Mercator)</w:t>
      </w:r>
      <w:r w:rsidRPr="00C218FB">
        <w:rPr>
          <w:rFonts w:ascii="Times New Roman" w:eastAsia="Arial" w:hAnsi="Times New Roman" w:cs="Times New Roman"/>
          <w:sz w:val="24"/>
          <w:szCs w:val="24"/>
        </w:rPr>
        <w:t>, que se describen de manera enunciativa a continuación:</w:t>
      </w:r>
    </w:p>
    <w:p w:rsidR="000F603A" w:rsidRPr="00C218FB" w:rsidRDefault="000F603A" w:rsidP="00C218FB">
      <w:pPr>
        <w:spacing w:after="0" w:line="240" w:lineRule="auto"/>
        <w:jc w:val="both"/>
        <w:rPr>
          <w:rFonts w:ascii="Times New Roman" w:eastAsia="Arial" w:hAnsi="Times New Roman" w:cs="Times New Roman"/>
          <w:sz w:val="24"/>
          <w:szCs w:val="24"/>
        </w:rPr>
      </w:pPr>
    </w:p>
    <w:tbl>
      <w:tblPr>
        <w:tblW w:w="9346" w:type="dxa"/>
        <w:jc w:val="center"/>
        <w:tblCellMar>
          <w:left w:w="70" w:type="dxa"/>
          <w:right w:w="70" w:type="dxa"/>
        </w:tblCellMar>
        <w:tblLook w:val="04A0" w:firstRow="1" w:lastRow="0" w:firstColumn="1" w:lastColumn="0" w:noHBand="0" w:noVBand="1"/>
      </w:tblPr>
      <w:tblGrid>
        <w:gridCol w:w="805"/>
        <w:gridCol w:w="650"/>
        <w:gridCol w:w="2504"/>
        <w:gridCol w:w="1487"/>
        <w:gridCol w:w="789"/>
        <w:gridCol w:w="1410"/>
        <w:gridCol w:w="1701"/>
      </w:tblGrid>
      <w:tr w:rsidR="000F603A" w:rsidRPr="00C25864" w:rsidTr="00F44C55">
        <w:trPr>
          <w:trHeight w:val="270"/>
          <w:jc w:val="center"/>
        </w:trPr>
        <w:tc>
          <w:tcPr>
            <w:tcW w:w="9346" w:type="dxa"/>
            <w:gridSpan w:val="7"/>
            <w:tcBorders>
              <w:top w:val="single" w:sz="8" w:space="0" w:color="auto"/>
              <w:left w:val="single" w:sz="8" w:space="0" w:color="auto"/>
              <w:bottom w:val="nil"/>
              <w:right w:val="single" w:sz="8" w:space="0" w:color="000000"/>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CUADRO DE CONSTRUCCIÓN (ajustado al límite)</w:t>
            </w:r>
          </w:p>
        </w:tc>
      </w:tr>
      <w:tr w:rsidR="000F603A" w:rsidRPr="00C25864" w:rsidTr="00F44C55">
        <w:trPr>
          <w:trHeight w:val="255"/>
          <w:jc w:val="center"/>
        </w:trPr>
        <w:tc>
          <w:tcPr>
            <w:tcW w:w="1455" w:type="dxa"/>
            <w:gridSpan w:val="2"/>
            <w:tcBorders>
              <w:top w:val="single" w:sz="8" w:space="0" w:color="auto"/>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LADO</w:t>
            </w:r>
          </w:p>
        </w:tc>
        <w:tc>
          <w:tcPr>
            <w:tcW w:w="2504" w:type="dxa"/>
            <w:vMerge w:val="restart"/>
            <w:tcBorders>
              <w:top w:val="single" w:sz="8" w:space="0" w:color="auto"/>
              <w:left w:val="single" w:sz="4" w:space="0" w:color="auto"/>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RUMBO</w:t>
            </w:r>
          </w:p>
        </w:tc>
        <w:tc>
          <w:tcPr>
            <w:tcW w:w="1487" w:type="dxa"/>
            <w:vMerge w:val="restart"/>
            <w:tcBorders>
              <w:top w:val="single" w:sz="8" w:space="0" w:color="auto"/>
              <w:left w:val="single" w:sz="4" w:space="0" w:color="auto"/>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DISTANCIA</w:t>
            </w:r>
          </w:p>
        </w:tc>
        <w:tc>
          <w:tcPr>
            <w:tcW w:w="789" w:type="dxa"/>
            <w:vMerge w:val="restart"/>
            <w:tcBorders>
              <w:top w:val="single" w:sz="8" w:space="0" w:color="auto"/>
              <w:left w:val="single" w:sz="4" w:space="0" w:color="auto"/>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V</w:t>
            </w:r>
          </w:p>
        </w:tc>
        <w:tc>
          <w:tcPr>
            <w:tcW w:w="3111" w:type="dxa"/>
            <w:gridSpan w:val="2"/>
            <w:tcBorders>
              <w:top w:val="single" w:sz="8" w:space="0" w:color="auto"/>
              <w:left w:val="nil"/>
              <w:bottom w:val="single" w:sz="4" w:space="0" w:color="auto"/>
              <w:right w:val="single" w:sz="8" w:space="0" w:color="000000"/>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COORDENADAS</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EST.</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P.V.</w:t>
            </w:r>
          </w:p>
        </w:tc>
        <w:tc>
          <w:tcPr>
            <w:tcW w:w="2504" w:type="dxa"/>
            <w:vMerge/>
            <w:tcBorders>
              <w:top w:val="single" w:sz="8" w:space="0" w:color="auto"/>
              <w:left w:val="single" w:sz="4" w:space="0" w:color="auto"/>
              <w:bottom w:val="single" w:sz="4" w:space="0" w:color="auto"/>
              <w:right w:val="single" w:sz="4" w:space="0" w:color="auto"/>
            </w:tcBorders>
            <w:vAlign w:val="center"/>
            <w:hideMark/>
          </w:tcPr>
          <w:p w:rsidR="000F603A" w:rsidRPr="00C25864" w:rsidRDefault="000F603A" w:rsidP="00C218FB">
            <w:pPr>
              <w:spacing w:after="0" w:line="240" w:lineRule="auto"/>
              <w:rPr>
                <w:rFonts w:ascii="Times New Roman" w:eastAsia="Times New Roman" w:hAnsi="Times New Roman" w:cs="Times New Roman"/>
                <w:b/>
                <w:bCs/>
                <w:sz w:val="24"/>
                <w:szCs w:val="24"/>
                <w:lang w:eastAsia="es-MX"/>
              </w:rPr>
            </w:pPr>
          </w:p>
        </w:tc>
        <w:tc>
          <w:tcPr>
            <w:tcW w:w="1487" w:type="dxa"/>
            <w:vMerge/>
            <w:tcBorders>
              <w:top w:val="single" w:sz="8" w:space="0" w:color="auto"/>
              <w:left w:val="single" w:sz="4" w:space="0" w:color="auto"/>
              <w:bottom w:val="single" w:sz="4" w:space="0" w:color="auto"/>
              <w:right w:val="single" w:sz="4" w:space="0" w:color="auto"/>
            </w:tcBorders>
            <w:vAlign w:val="center"/>
            <w:hideMark/>
          </w:tcPr>
          <w:p w:rsidR="000F603A" w:rsidRPr="00C25864" w:rsidRDefault="000F603A" w:rsidP="00C218FB">
            <w:pPr>
              <w:spacing w:after="0" w:line="240" w:lineRule="auto"/>
              <w:rPr>
                <w:rFonts w:ascii="Times New Roman" w:eastAsia="Times New Roman" w:hAnsi="Times New Roman" w:cs="Times New Roman"/>
                <w:b/>
                <w:bCs/>
                <w:sz w:val="24"/>
                <w:szCs w:val="24"/>
                <w:lang w:eastAsia="es-MX"/>
              </w:rPr>
            </w:pPr>
          </w:p>
        </w:tc>
        <w:tc>
          <w:tcPr>
            <w:tcW w:w="789" w:type="dxa"/>
            <w:vMerge/>
            <w:tcBorders>
              <w:top w:val="single" w:sz="8" w:space="0" w:color="auto"/>
              <w:left w:val="single" w:sz="4" w:space="0" w:color="auto"/>
              <w:bottom w:val="single" w:sz="4" w:space="0" w:color="auto"/>
              <w:right w:val="single" w:sz="4" w:space="0" w:color="auto"/>
            </w:tcBorders>
            <w:vAlign w:val="center"/>
            <w:hideMark/>
          </w:tcPr>
          <w:p w:rsidR="000F603A" w:rsidRPr="00C25864" w:rsidRDefault="000F603A" w:rsidP="00C218FB">
            <w:pPr>
              <w:spacing w:after="0" w:line="240" w:lineRule="auto"/>
              <w:rPr>
                <w:rFonts w:ascii="Times New Roman" w:eastAsia="Times New Roman" w:hAnsi="Times New Roman" w:cs="Times New Roman"/>
                <w:b/>
                <w:bCs/>
                <w:sz w:val="24"/>
                <w:szCs w:val="24"/>
                <w:lang w:eastAsia="es-MX"/>
              </w:rPr>
            </w:pP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X</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Y</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 xml:space="preserve"> </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 xml:space="preserve"> </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 xml:space="preserve"> </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 xml:space="preserve"> </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502526.68</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2172073.56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50°09'32.00"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17.94</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502540.45</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2172085.05</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35°46'51.28"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21.98</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502553.30</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2172067.22</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50°14'57.86"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655.04</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503056.91</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2172486.09</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lastRenderedPageBreak/>
              <w:t>4</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52°49'14.97"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402.61</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503377.70</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2172729.39</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12°35'15.77"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3332.78</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502651.37</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2169476.72</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78°32'12.25"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54.67</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502704.95</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2169465.86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29°12'14.81"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64.80</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502736.57</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2169409.29</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10°40'57.70"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423.33</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502658.10</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2168993.30</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77°49'19.47"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111.92</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502548.70</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2169016.91</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20°10'31.81"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68.34</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502525.13</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2168952.76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13°36'26.21"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67.71</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502509.20</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2168886.96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13</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24°31'43.24"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67.22</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13</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502481.29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2168825.80</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13</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14</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23°48'56.22"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6.54</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14</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502478.65</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2168819.83</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14</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23°16'30.37"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31.66</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502466.14</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2168790.74</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23°16'25.27"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40.47</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502450.15</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2168753.56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17</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22°03'32.36"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75.22</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17</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502421.90</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2168683.85</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17</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18</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25°48'37.38"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24.31</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18</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502411.32</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2168661.96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18</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19</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25°04'18.70"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36.98</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19</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502395.64</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2168628.46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19</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20</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25°04'18.70"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11.38</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20</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502390.82</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2168618.16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20</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28°30'31.77"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9.49</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502386.29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2168609.81</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22</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22°00'49.60"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29.91</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22</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502375.08</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2168582.09</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22</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23</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25°43'46.90"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8.62</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23</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502371.34</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2168574.32</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23</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24</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20°29'20.95"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1.10</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24</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502370.95</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2168573.29</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24</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24°08'05.14"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124.07</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502320.22</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2168460.06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26</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24°08'05.14"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38.97</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26</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502304.29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2168424.50</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26</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27</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20°45'18.93"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9.02</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27</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502301.09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2168416.06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27</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28</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22°26'43.02"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52.76</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28</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502280.95</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2168367.30</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28</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29</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22°49'51.78"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8.54</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29</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502277.63</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2168359.43</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29</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30</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22°53'48.18"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50.42</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30</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502258.02</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2168312.99</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30</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31</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22°45'51.55"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9.58</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31</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502254.31</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2168304.15</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31</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32</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23°31'01.21"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51.18</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32</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502233.89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2168257.23</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32</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33</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22°31'05.83"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9.63</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33</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502230.20</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2168248.33</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33</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34</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23°08'11.30"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51.96</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34</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502209.79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2168200.55</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34</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35</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21°52'09.07"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8.95</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35</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502206.45</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2168192.25</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35</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36</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22°35'47.83"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67.50</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36</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502180.52</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2168129.93</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36</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37</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07°43'34.76"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5.78</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37</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502179.74</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2168124.20</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37</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38</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10°00'00.06"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60.86</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38</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502169.17</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2168064.26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38</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39</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19°55'59.50"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86.50</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39</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502139.68</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2167982.95</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39</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40</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17°20'37.12"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7.90</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40</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502137.32</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2167975.40</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40</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41</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19°42'33.55"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97.85</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41</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502104.32</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2167883.28</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41</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42</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19°40'29.13"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1.30</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42</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502103.88</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2167882.05</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42</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43</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19°40'29.13"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9.19</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43</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502100.79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2167873.40</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43</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44</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19°26'13.22"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26.22</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44</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502092.07</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2167848.68</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44</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45</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15°45'50.23"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5.42</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45</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502090.59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2167843.46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45</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46</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19°37'29.00"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15.04</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46</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502085.54</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2167829.29</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46</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47</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19°37'29.00"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30.26</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47</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502075.38</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2167800.80</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47</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48</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18°47'44.04"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5.88</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48</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502073.49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2167795.23</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48</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49</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19°14'52.98"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45.97</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49</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502058.33</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2167751.83</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49</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21°43'53.89"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5.64</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502056.24</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2167746.59</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51</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20°47'33.32"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4.00</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51</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502054.82</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2167742.85</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lastRenderedPageBreak/>
              <w:t>51</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52</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18°29'48.66"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42.15</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52</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502041.45</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2167702.88</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52</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53</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22°23'52.37"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10.19</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53</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502037.57</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2167693.46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53</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54</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19°56'51.48"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35.05</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54</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502025.61</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2167660.51</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54</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55</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20°54'15.64"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16.87</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55</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502019.59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2167644.76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55</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56</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19°42'14.20"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92.20</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56</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501988.51</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2167557.96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56</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57</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20°27'43.64"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10.64</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57</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501984.79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2167547.99</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57</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58</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20°24'10.92"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84.58</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58</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501955.30</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2167468.71</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58</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59</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18°51'38.86"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9.87</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59</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501952.11</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2167459.37</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59</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60</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18°52'34.89"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35.63</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60</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501940.58</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2167425.66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60</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61</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20°23'41.55"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8.40</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61</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501937.65</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2167417.78</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61</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62</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19°37'14.25"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35.41</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62</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501925.76</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2167384.43</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62</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63</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21°48'47.06"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8.21</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63</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501922.71</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2167376.80</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63</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64</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25°56'44.73"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42.62</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64</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501904.07</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2167338.48</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64</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65</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21°39'04.41"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8.22</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65</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501901.04</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2167330.84</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65</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66</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12°42'16.78"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37.07</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66</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501892.88</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2167294.68</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66</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67</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13°25'36.31"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9.92</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67</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501890.58</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2167285.03</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67</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68</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18°16'27.10"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36.63</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68</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501879.09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2167250.25</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68</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69</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17°23'52.06"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10.31</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69</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501876.01</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2167240.41</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69</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70</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19°50'50.15"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59.49</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70</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501855.81</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2167184.45</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70</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71</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20°57'56.56"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6.76</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71</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501853.39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2167178.14</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71</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72</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21°21'41.08"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20.65</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72</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501845.87</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2167158.91</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72</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73</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19°35'20.59"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7.08</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73</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501843.50</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2167152.24</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73</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74</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17°47'14.02"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35.44</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74</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501832.67</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2167118.49</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74</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75</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18°20'46.10"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5.71</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75</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501830.87</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2167113.07</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75</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76</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20°41'10.49"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28.81</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76</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501820.69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2167086.11</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76</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77</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20°41'10.49"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60.84</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77</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501799.20</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2167029.19</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77</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78</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20°41'10.49"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3.52</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78</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501797.96</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2167025.90</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78</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79</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17°50'06.05"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7.25</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79</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501795.74</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2167019.00</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79</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80</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19°24'38.95"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30.02</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80</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501785.76</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2166990.69</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80</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81</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18°22'46.57"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8.84</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81</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501782.97</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2166982.30</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81</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82</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14°35'01.12"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16.70</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82</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501778.77</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2166966.13</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82</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83</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20°34'15.08"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9.96</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83</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501775.27</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2166956.81</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83</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84</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20°14'51.00"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2.00</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84</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501774.58</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2166954.93</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84</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85</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20°12'53.44"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39.84</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85</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501760.81</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2166917.54</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85</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86</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20°38'49.45"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9.80</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86</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501757.36</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2166908.38</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86</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87</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20°04'27.22"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84.61</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87</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501728.31</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2166828.91</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87</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88</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17°16'57.61"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9.34</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88</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501725.54</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2166819.99</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88</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89</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19°32'16.95"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91.61</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89</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501694.90</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2166733.65</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89</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90</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18°46'38.96"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7.99</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90</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501692.33</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2166726.09</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90</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91</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18°49'36.45"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40.83</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91</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501679.16</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2166687.45</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91</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92</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21°41'18.71"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10.18</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92</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501675.39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2166677.99</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92</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93</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25°30'11.20"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41.50</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93</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501657.52</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2166640.53</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93</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94</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22°46'02.25"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9.09</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94</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501654.01</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2166632.15</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94</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95</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15°37'32.25"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42.75</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95</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501642.49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2166590.98</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95</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96</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25°10'56.89"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8.17</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96</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501639.01</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2166583.58</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96</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97</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17°37'36.41"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40.40</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97</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501626.78</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2166545.08</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97</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98</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25°20'17.00"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9.73</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98</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501622.61</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2166536.28</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lastRenderedPageBreak/>
              <w:t>98</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99</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19°59'04.38"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40.67</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99</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501608.71</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2166498.06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99</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100</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16°52'34.35"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11.01</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100</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501605.52</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2166487.52</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100</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101</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19°13'32.06"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36.76</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101</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501593.41</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2166452.81</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101</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102</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19°13'32.06"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52.78</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102</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501576.03</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2166402.98</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102</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103</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18°05'44.79"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10.10</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103</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501572.90</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2166393.38</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103</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104</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19°20'50.74"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41.94</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104</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501559.00</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2166353.81</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104</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105</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14°03'00.71"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3.98</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105</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501558.04</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2166349.95</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105</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106</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19°45'31.18"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29.46</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106</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501548.08</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2166322.22</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106</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107</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19°45'31.18"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12.64</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107</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501543.81</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2166310.33</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107</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108</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18°03'33.11"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10.22</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108</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501540.64</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2166300.61</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108</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109</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19°47'44.78"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28.48</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109</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501530.99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2166273.81</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109</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110</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17°34'22.49"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10.45</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110</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501527.84</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2166263.85</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110</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111</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19°23'58.89"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27.97</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111</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501518.55</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2166237.48</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111</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112</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23°50'41.21"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9.69</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112</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501514.63</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2166228.62</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112</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113</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19°03'27.86"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28.02</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113</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501505.49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2166202.14</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113</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114</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21°05'46.94"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10.41</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114</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501501.74</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2166192.42</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114</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115</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19°19'10.23"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28.27</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115</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501492.39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2166165.74</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115</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116</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22°14'59.21"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9.54</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116</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501488.77</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2166156.92</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116</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117</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19°05'43.40"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27.46</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117</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501479.79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2166130.96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117</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118</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21°02'13.67"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10.79</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118</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501475.92</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2166120.89</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118</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119</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19°29'42.04"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27.69</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119</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501466.68</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2166094.79</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119</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120</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18°35'15.48"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10.21</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120</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501463.42</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2166085.12</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120</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121</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19°08'58.71"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27.96</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121</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501454.25</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2166058.70</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121</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122</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18°08'14.78"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10.23</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122</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501451.06</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2166048.98</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122</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123</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19°03'00.18"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27.66</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123</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501442.04</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2166022.83</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123</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124</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27°33'58.81"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10.29</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124</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501437.28</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2166013.71</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124</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125</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18°56'22.68"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27.90</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125</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501428.22</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2165987.33</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125</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126</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20°00'27.14"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3.35</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126</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501427.07</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2165984.18</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126</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127</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20°00'27.14"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6.46</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127</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501424.86</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2165978.10</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127</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128</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19°23'01.76"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27.48</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128</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501415.74</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2165952.18</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128</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129</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18°01'45.65"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10.01</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129</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501412.65</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2165942.67</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129</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130</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19°30'05.40"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26.06</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130</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501403.95</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2165918.10</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130</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131</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20°55'04.06"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9.62</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131</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501400.51</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2165909.12</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131</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132</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19°03'19.81"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27.74</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132</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501391.45</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2165882.90</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132</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133</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23°28'41.45"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9.53</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133</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501387.66</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2165874.16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133</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134</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20°39'34.22"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28.00</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134</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501377.78</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2165847.96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134</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135</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18°21'37.37"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10.25</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135</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501374.55</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2165838.23</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135</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136</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19°34'37.89"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27.32</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136</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501365.40</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2165812.49</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136</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137</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16°32'27.98"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10.13</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137</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501362.51</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2165802.77</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137</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138</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18°16'45.25"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27.69</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138</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501353.83</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2165776.48</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138</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139</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22°09'24.10"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9.16</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139</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501350.37</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2165767.99</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139</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140</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18°39'48.55"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27.83</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140</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501341.46</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2165741.63</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140</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141</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18°38'27.45"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2.69</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141</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501340.61</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2165739.08</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141</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142</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18°38'27.45"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7.52</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142</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501338.20</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2165731.96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142</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143</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18°54'42.01"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27.21</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143</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501329.38</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2165706.22</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143</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144</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20°31'21.07"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9.80</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144</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501325.95</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2165697.04</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144</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145</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20°18'08.28"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27.70</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145</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501316.34</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2165671.06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lastRenderedPageBreak/>
              <w:t>145</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146</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20°12'22.84"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10.09</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146</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501312.85</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2165661.60</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146</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147</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19°49'19.64"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15.91</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147</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501307.46</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2165646.63</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147</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148</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19°49'19.64"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11.64</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148</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501303.51</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2165635.68</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148</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149</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20°34'55.66"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10.03</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149</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501299.99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2165626.29</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149</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150</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18°50'11.33"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25.39</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150</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501291.79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2165602.26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150</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151</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18°50'11.33"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2.05</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151</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501291.13</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2165600.33</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151</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152</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18°12'12.20"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3.15</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152</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501290.14</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2165597.33</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152</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153</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18°12'12.20"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4.44</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153</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501288.76</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2165593.12</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153</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154</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86°56'55.07"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6.56</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154</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501282.21</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2165593.46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154</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155</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20°19'27.16"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32.35</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155</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501270.98</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2165563.13</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155</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156</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 20°19'27.16"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30.59</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156</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501260.35</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2165534.45</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156</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157</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79°09'29.25"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5.65</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157</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501254.81</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2165535.51</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157</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158</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79°09'29.25"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2.82</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158</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501252.04</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2165536.04</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158</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159</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79°09'29.25"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19.90</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159</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501232.49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2165539.78</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159</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160</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79°09'29.25"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25.74</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160</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501207.21</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2165544.63</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160</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161</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79°09'29.25"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25.60</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161</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501182.07</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2165549.44</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161</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162</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79°09'29.25"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95.23</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162</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501088.54</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2165567.35</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162</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163</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79°09'29.25"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176.18</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163</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500915.51</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2165600.49</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163</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164</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79°09'29.25"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266.72</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164</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500653.55</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2165650.66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164</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165</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79°09'29.25"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196.06</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165</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500460.99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2165687.54</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165</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166</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79°09'29.25"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64.55</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166</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500397.60</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2165699.68</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166</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167</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79°09'29.25"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97.98</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167</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500301.36</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2165718.11</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167</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168</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79°09'29.25"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8.25</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168</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500293.26</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2165719.66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168</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169</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79°09'29.25"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9.27</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169</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500284.15</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2165721.41</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169</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170</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32°30'16.46"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12.95</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170</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500291.11</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2165732.33</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170</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171</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32°30'16.46"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97.94</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171</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500343.75</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2165814.93</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171</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172</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32°30'16.46"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81.52</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172</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500387.55</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2165883.68</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172</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173</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32°30'16.46"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237.47</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173</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500515.16</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2166083.95</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173</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174</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32°30'16.46"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26.05</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174</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500529.16</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2166105.92</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174</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175</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32°30'16.46"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129.54</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175</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500598.77</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2166215.16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175</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176</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32°39'36.46"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89.19</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176</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500646.90</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2166290.25</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176</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177</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32°39'36.46"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52.45</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177</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500675.21</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2166334.41</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177</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178</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32°01'32.57"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137.41</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178</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500748.08</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2166450.91</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178</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179</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34°21'04.91"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52.39</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179</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500777.64</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2166494.16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179</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180</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32°44'16.54"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872.26</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180</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501249.35</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2167227.87</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180</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181</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32°44'16.54"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83.27</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181</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501294.39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2167297.91</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181</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182</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32°18'34.63"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81.05</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182</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501337.71</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2167366.41</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182</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183</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32°26'48.45"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570.87</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183</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501643.99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2167848.16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183</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184</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09°55'31.32"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0.71</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184</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501644.11</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2167848.86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184</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185</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09°55'31.32"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640.89</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185</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501754.58</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2168480.16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185</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186</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14°29'22.80"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65.59</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186</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501770.99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2168543.66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186</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187</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11°38'43.49"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41.19</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187</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501779.30</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2168584.00</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187</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188</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11°38'43.49"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96.14</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188</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501798.71</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2168678.16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188</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189</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10°18'24.70"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172.29</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189</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501829.53</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2168847.67</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189</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190</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10°18'24.70"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5.84</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190</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501830.58</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2168853.41</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190</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191</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11°03'08.02"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222.37</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191</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501873.21</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2169071.66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191</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192</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09°28'54.16"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174.89</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192</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501902.02</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2169244.16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lastRenderedPageBreak/>
              <w:t>192</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193</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11°26'07.27"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165.79</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193</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501934.89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2169406.66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193</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194</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15°54'49.87"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229.55</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194</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501997.83</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2169627.41</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194</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195</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17°44'40.82"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116.02</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195</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502033.19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2169737.91</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195</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196</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17°44'40.82"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19.95</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196</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502039.27</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2169756.91</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196</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197</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13°19'58.02"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44.45</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197</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502049.52</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2169800.16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197</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198</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09°57'50.56"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95.19</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198</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502065.99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2169893.91</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198</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199</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15°09'02.33"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84.18</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199</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502087.99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2169975.16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199</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200</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17°21'50.38"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64.96</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200</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502107.37</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2170037.16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200</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201</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17°21'50.38"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34.61</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201</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502117.70</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2170070.19</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201</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202</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17°21'50.38"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12.24</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202</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502121.35</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2170081.87</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202</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203</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17°21'50.39"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1.32</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203</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502121.75</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2170083.13</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203</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204</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17°21'50.39"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111.40</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204</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502154.99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2170189.45</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204</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205</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17°21'50.34"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12.01</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205</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502158.58</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2170200.91</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205</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206</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15°32'11.08"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9.29</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206</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502161.06</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2170209.86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206</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207</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15°32'11.08"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11.40</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207</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502164.12</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2170220.84</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207</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208</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15°32'11.08"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20.73</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208</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502169.67</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2170240.82</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208</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209</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15°32'11.08"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42.53</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209</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502181.06</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2170281.79</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209</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210</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15°32'11.08"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21.41</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210</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502186.80</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2170302.43</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210</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211</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15°32'11.08"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0.87</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211</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502187.03</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2170303.27</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211</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212</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15°32'11.08"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26.63</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212</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502194.17</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2170328.92</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212</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213</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15°32'11.08"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0.79</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213</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502194.38</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2170329.68</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213</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214</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15°32'11.08"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25.05</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214</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502201.09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2170353.82</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214</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215</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15°32'11.08"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18.12</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215</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502205.94</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2170371.28</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215</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15°32'11.08"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10.19</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502208.67</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2170381.09</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216</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15°32'11.08"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8.79</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502211.02</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2170389.57</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218</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15°32'11.08"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11.20</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218</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502214.03</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2170400.36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218</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219</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15°32'11.08"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22.37</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219</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502220.02</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2170421.91</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219</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220</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00°40'50.84"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4.55</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220</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502219.96</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2170426.46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220</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221</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00°40'50.84"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50.21</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221</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502219.37</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2170476.67</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221</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222</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00°40'50.84"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19.51</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222</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502219.13</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2170496.18</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222</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223</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00°40'50.84"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64.16</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223</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502218.37</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2170560.33</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223</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224</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02°09'50.16"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15.46</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224</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502217.79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2170575.78</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224</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225</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02°09'50.16"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6.03</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225</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502217.56</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2170581.80</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225</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226</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02°46'59.54"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6.10</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226</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502217.26</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2170587.90</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226</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227</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02°46'59.54"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25.51</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227</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502216.03</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2170613.38</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227</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228</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02°46'59.54"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16.28</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228</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502215.23</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2170629.64</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228</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229</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02°46'59.54"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86.88</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229</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502211.02</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2170716.41</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229</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230</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01°50'21.99"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101.93</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230</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502207.74</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2170818.29</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230</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231</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01°50'22.17" W</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2.12</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231</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502207.68</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2170820.41</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231</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232</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18°33'02.67"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12.08</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232</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502211.52</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2170831.86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232</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233</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18°33'02.54"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15.39</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233</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502216.41</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2170846.45</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233</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234</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18°33'02.57"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50.12</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234</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502232.36</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2170893.97</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234</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235</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18°33'02.58"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8.65</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235</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502235.11</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2170902.17</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235</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236</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18°33'02.58"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34.27</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236</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502246.02</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2170934.66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236</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237</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10°12'14.32"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61.06</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237</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502256.83</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2170994.75</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237</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238</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10°12'14.27"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31.91</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238</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502262.49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2171026.16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238</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239</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13°45'15.12"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33.83</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239</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502270.53</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2171059.02</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lastRenderedPageBreak/>
              <w:t>239</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240</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13°45'15.12"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4.66</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240</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502271.64</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2171063.54</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240</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241</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13°45'15.12"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47.74</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241</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502282.99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2171109.91</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241</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242</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14°33'32.75"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73.36</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242</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502301.43</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2171180.91</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242</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243</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14°26'12.24"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10.76</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243</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502304.11</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2171191.33</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243</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244</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14°26'12.24"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1.64</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244</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502304.52</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2171192.92</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244</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245</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14°26'12.24"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102.62</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245</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502330.10</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2171292.31</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245</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246</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14°26'12.24"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80.93</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246</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502350.28</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2171370.68</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246</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247</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14°26'12.24"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62.33</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247</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502365.82</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2171431.05</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247</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248</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14°26'12.24"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57.97</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248</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502380.27</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2171487.18</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248</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249</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14°26'12.24"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16.50</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249</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502384.39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2171503.16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249</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250</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16°14'28.18"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122.73</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250</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502418.71</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2171620.99</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250</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251</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16°14'28.18"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41.54</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251</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502430.33</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2171660.87</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251</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252</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16°14'28.18"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23.12</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252</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502436.79</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2171683.06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252</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253</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16°14'28.18"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55.82</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253</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502452.40</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2171736.65</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253</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254</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16°14'28.18"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23.96</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254</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502459.11</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2171759.66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254</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255</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17°51'51.13"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153.03</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255</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502506.05</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2171905.31</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255</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256</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17°51'51.13"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38.71</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256</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502517.93</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2171942.16</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256</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257</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03°48'34.47"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47.02</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257</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502521.05</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2171989.08</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257</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258</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03°48'32.51"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12.34</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258</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502521.87</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2172001.39</w:t>
            </w:r>
          </w:p>
        </w:tc>
      </w:tr>
      <w:tr w:rsidR="000F603A" w:rsidRPr="00C25864" w:rsidTr="00F44C55">
        <w:trPr>
          <w:trHeight w:val="255"/>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258</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259</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03°48'35.72"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41.97</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259</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502524.66</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2172043.27</w:t>
            </w:r>
          </w:p>
        </w:tc>
      </w:tr>
      <w:tr w:rsidR="000F603A" w:rsidRPr="00C25864" w:rsidTr="00F44C55">
        <w:trPr>
          <w:trHeight w:val="270"/>
          <w:jc w:val="center"/>
        </w:trPr>
        <w:tc>
          <w:tcPr>
            <w:tcW w:w="805" w:type="dxa"/>
            <w:tcBorders>
              <w:top w:val="nil"/>
              <w:left w:val="single" w:sz="8" w:space="0" w:color="auto"/>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259</w:t>
            </w:r>
          </w:p>
        </w:tc>
        <w:tc>
          <w:tcPr>
            <w:tcW w:w="65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w:t>
            </w:r>
          </w:p>
        </w:tc>
        <w:tc>
          <w:tcPr>
            <w:tcW w:w="2504"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N 03°48'34.75" E</w:t>
            </w:r>
          </w:p>
        </w:tc>
        <w:tc>
          <w:tcPr>
            <w:tcW w:w="1487"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30.36</w:t>
            </w:r>
          </w:p>
        </w:tc>
        <w:tc>
          <w:tcPr>
            <w:tcW w:w="789" w:type="dxa"/>
            <w:tcBorders>
              <w:top w:val="nil"/>
              <w:left w:val="nil"/>
              <w:bottom w:val="single" w:sz="4" w:space="0" w:color="auto"/>
              <w:right w:val="single" w:sz="4" w:space="0" w:color="auto"/>
            </w:tcBorders>
            <w:noWrap/>
            <w:vAlign w:val="center"/>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1</w:t>
            </w:r>
          </w:p>
        </w:tc>
        <w:tc>
          <w:tcPr>
            <w:tcW w:w="1410" w:type="dxa"/>
            <w:tcBorders>
              <w:top w:val="nil"/>
              <w:left w:val="nil"/>
              <w:bottom w:val="single" w:sz="4" w:space="0" w:color="auto"/>
              <w:right w:val="single" w:sz="4"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502526.68</w:t>
            </w:r>
          </w:p>
        </w:tc>
        <w:tc>
          <w:tcPr>
            <w:tcW w:w="1701" w:type="dxa"/>
            <w:tcBorders>
              <w:top w:val="nil"/>
              <w:left w:val="nil"/>
              <w:bottom w:val="single" w:sz="4" w:space="0" w:color="auto"/>
              <w:right w:val="single" w:sz="8" w:space="0" w:color="auto"/>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2172073.56</w:t>
            </w:r>
          </w:p>
        </w:tc>
      </w:tr>
      <w:tr w:rsidR="000F603A" w:rsidRPr="00C25864" w:rsidTr="00F44C55">
        <w:trPr>
          <w:trHeight w:val="390"/>
          <w:jc w:val="center"/>
        </w:trPr>
        <w:tc>
          <w:tcPr>
            <w:tcW w:w="9346" w:type="dxa"/>
            <w:gridSpan w:val="7"/>
            <w:tcBorders>
              <w:top w:val="single" w:sz="8" w:space="0" w:color="auto"/>
              <w:left w:val="single" w:sz="8" w:space="0" w:color="auto"/>
              <w:bottom w:val="single" w:sz="8" w:space="0" w:color="auto"/>
              <w:right w:val="single" w:sz="8" w:space="0" w:color="000000"/>
            </w:tcBorders>
            <w:noWrap/>
            <w:vAlign w:val="bottom"/>
            <w:hideMark/>
          </w:tcPr>
          <w:p w:rsidR="000F603A" w:rsidRPr="00C25864" w:rsidRDefault="000F603A" w:rsidP="00C218FB">
            <w:pPr>
              <w:spacing w:after="0" w:line="240" w:lineRule="auto"/>
              <w:jc w:val="center"/>
              <w:rPr>
                <w:rFonts w:ascii="Times New Roman" w:eastAsia="Times New Roman" w:hAnsi="Times New Roman" w:cs="Times New Roman"/>
                <w:b/>
                <w:bCs/>
                <w:sz w:val="24"/>
                <w:szCs w:val="24"/>
                <w:lang w:eastAsia="es-MX"/>
              </w:rPr>
            </w:pPr>
            <w:r w:rsidRPr="00C25864">
              <w:rPr>
                <w:rFonts w:ascii="Times New Roman" w:eastAsia="Times New Roman" w:hAnsi="Times New Roman" w:cs="Times New Roman"/>
                <w:b/>
                <w:bCs/>
                <w:sz w:val="24"/>
                <w:szCs w:val="24"/>
                <w:lang w:eastAsia="es-MX"/>
              </w:rPr>
              <w:t>SUPERFICIE = 4,750,129.15 m</w:t>
            </w:r>
            <w:r w:rsidRPr="00C25864">
              <w:rPr>
                <w:rFonts w:ascii="Times New Roman" w:eastAsia="Times New Roman" w:hAnsi="Times New Roman" w:cs="Times New Roman"/>
                <w:b/>
                <w:bCs/>
                <w:sz w:val="24"/>
                <w:szCs w:val="24"/>
                <w:vertAlign w:val="superscript"/>
                <w:lang w:eastAsia="es-MX"/>
              </w:rPr>
              <w:t>2</w:t>
            </w:r>
          </w:p>
        </w:tc>
      </w:tr>
    </w:tbl>
    <w:p w:rsidR="000F603A" w:rsidRPr="00C218FB" w:rsidRDefault="000F603A" w:rsidP="00F44C55">
      <w:pPr>
        <w:spacing w:after="0" w:line="240" w:lineRule="auto"/>
        <w:jc w:val="both"/>
        <w:rPr>
          <w:rFonts w:ascii="Times New Roman" w:eastAsia="Arial" w:hAnsi="Times New Roman" w:cs="Times New Roman"/>
          <w:sz w:val="24"/>
          <w:szCs w:val="24"/>
        </w:rPr>
      </w:pPr>
    </w:p>
    <w:p w:rsidR="000F603A" w:rsidRPr="00C218FB" w:rsidRDefault="000F603A" w:rsidP="00F44C55">
      <w:pPr>
        <w:spacing w:after="0" w:line="240" w:lineRule="auto"/>
        <w:jc w:val="both"/>
        <w:rPr>
          <w:rFonts w:ascii="Times New Roman" w:eastAsia="Times New Roman" w:hAnsi="Times New Roman" w:cs="Times New Roman"/>
          <w:sz w:val="24"/>
          <w:szCs w:val="24"/>
        </w:rPr>
      </w:pPr>
      <w:r w:rsidRPr="00C218FB">
        <w:rPr>
          <w:rFonts w:ascii="Times New Roman" w:hAnsi="Times New Roman" w:cs="Times New Roman"/>
          <w:b/>
          <w:sz w:val="24"/>
          <w:szCs w:val="24"/>
        </w:rPr>
        <w:t>TERCERO.</w:t>
      </w:r>
      <w:r w:rsidRPr="00C218FB">
        <w:rPr>
          <w:rFonts w:ascii="Times New Roman" w:hAnsi="Times New Roman" w:cs="Times New Roman"/>
          <w:sz w:val="24"/>
          <w:szCs w:val="24"/>
        </w:rPr>
        <w:t xml:space="preserve"> Con fundamento en el artículo 43 de la Ley Reglamentaria de las Fracciones XXV y XXVI del artículo 61 de la Constitución Política del Estado Libre y Soberano de México, en atención a la solicitud formulada por la Diputada Beatriz García Villegas, integrante del Grupo Parlamentario de Movimiento de Regeneración Nacional (MORENA), del Procedimiento para la Solución de Diferendos Limítrofes Intermunicipales, entre los municipios de Acolman y Ecatepec de Morelos, ambos del Estado de México; la Comisión Legislativa de Límites Territoriales del Estado de México y sus Municipios de la “LXI” Legislatura, </w:t>
      </w:r>
      <w:r w:rsidRPr="00C218FB">
        <w:rPr>
          <w:rFonts w:ascii="Times New Roman" w:hAnsi="Times New Roman" w:cs="Times New Roman"/>
          <w:b/>
          <w:sz w:val="24"/>
          <w:szCs w:val="24"/>
          <w:u w:val="single"/>
        </w:rPr>
        <w:t>en fecha quince de marzo de dos mil veintidós</w:t>
      </w:r>
      <w:r w:rsidRPr="00C218FB">
        <w:rPr>
          <w:rFonts w:ascii="Times New Roman" w:hAnsi="Times New Roman" w:cs="Times New Roman"/>
          <w:sz w:val="24"/>
          <w:szCs w:val="24"/>
        </w:rPr>
        <w:t xml:space="preserve">, emitió el acuerdo de radicación, mediante el que </w:t>
      </w:r>
      <w:r w:rsidRPr="00C218FB">
        <w:rPr>
          <w:rFonts w:ascii="Times New Roman" w:hAnsi="Times New Roman" w:cs="Times New Roman"/>
          <w:sz w:val="24"/>
          <w:szCs w:val="24"/>
          <w:u w:val="single"/>
        </w:rPr>
        <w:t>se admite a trámite la Solicitud de Procedimiento para la Solución de Diferendos Limítrofes Intermunicipales</w:t>
      </w:r>
      <w:r w:rsidRPr="00C218FB">
        <w:rPr>
          <w:rFonts w:ascii="Times New Roman" w:hAnsi="Times New Roman" w:cs="Times New Roman"/>
          <w:sz w:val="24"/>
          <w:szCs w:val="24"/>
        </w:rPr>
        <w:t xml:space="preserve">, </w:t>
      </w:r>
      <w:r w:rsidRPr="00C218FB">
        <w:rPr>
          <w:rFonts w:ascii="Times New Roman" w:eastAsia="Times New Roman" w:hAnsi="Times New Roman" w:cs="Times New Roman"/>
          <w:sz w:val="24"/>
          <w:szCs w:val="24"/>
        </w:rPr>
        <w:t>y se ordenó notificar a las partes, asignando el polígono en disputa a la zona conocida como "Santa María Chiconautla".</w:t>
      </w:r>
    </w:p>
    <w:p w:rsidR="000F603A" w:rsidRPr="00C218FB" w:rsidRDefault="000F603A" w:rsidP="00F44C55">
      <w:pPr>
        <w:spacing w:after="0" w:line="240" w:lineRule="auto"/>
        <w:jc w:val="both"/>
        <w:rPr>
          <w:rFonts w:ascii="Times New Roman" w:hAnsi="Times New Roman" w:cs="Times New Roman"/>
          <w:sz w:val="24"/>
          <w:szCs w:val="24"/>
        </w:rPr>
      </w:pPr>
    </w:p>
    <w:p w:rsidR="000F603A" w:rsidRPr="00C218FB" w:rsidRDefault="000F603A" w:rsidP="00F44C55">
      <w:pPr>
        <w:spacing w:after="0" w:line="240" w:lineRule="auto"/>
        <w:jc w:val="both"/>
        <w:rPr>
          <w:rFonts w:ascii="Times New Roman" w:hAnsi="Times New Roman" w:cs="Times New Roman"/>
          <w:sz w:val="24"/>
          <w:szCs w:val="24"/>
        </w:rPr>
      </w:pPr>
      <w:r w:rsidRPr="00C218FB">
        <w:rPr>
          <w:rFonts w:ascii="Times New Roman" w:eastAsia="Times New Roman" w:hAnsi="Times New Roman" w:cs="Times New Roman"/>
          <w:b/>
          <w:bCs/>
          <w:sz w:val="24"/>
          <w:szCs w:val="24"/>
        </w:rPr>
        <w:t>CUARTO</w:t>
      </w:r>
      <w:r w:rsidRPr="00C218FB">
        <w:rPr>
          <w:rFonts w:ascii="Times New Roman" w:eastAsia="Times New Roman" w:hAnsi="Times New Roman" w:cs="Times New Roman"/>
          <w:b/>
          <w:bCs/>
          <w:sz w:val="24"/>
          <w:szCs w:val="24"/>
          <w:u w:val="single"/>
        </w:rPr>
        <w:t>. En fecha siete de abril de dos mil veintidó</w:t>
      </w:r>
      <w:r w:rsidRPr="00C218FB">
        <w:rPr>
          <w:rFonts w:ascii="Times New Roman" w:eastAsia="Times New Roman" w:hAnsi="Times New Roman" w:cs="Times New Roman"/>
          <w:bCs/>
          <w:sz w:val="24"/>
          <w:szCs w:val="24"/>
        </w:rPr>
        <w:t xml:space="preserve">s, </w:t>
      </w:r>
      <w:r w:rsidRPr="00C218FB">
        <w:rPr>
          <w:rFonts w:ascii="Times New Roman" w:hAnsi="Times New Roman" w:cs="Times New Roman"/>
          <w:sz w:val="24"/>
          <w:szCs w:val="24"/>
        </w:rPr>
        <w:t xml:space="preserve">la Comisión Legislativa de Límites Territoriales del Estado de México y sus Municipios de la “LXI” Legislatura, emitió el acuerdo por el que se señalaron las 13:00 trece </w:t>
      </w:r>
      <w:r w:rsidRPr="00C218FB">
        <w:rPr>
          <w:rFonts w:ascii="Times New Roman" w:hAnsi="Times New Roman" w:cs="Times New Roman"/>
          <w:b/>
          <w:sz w:val="24"/>
          <w:szCs w:val="24"/>
          <w:u w:val="single"/>
        </w:rPr>
        <w:t>horas del veintinueve de abril de dos mil veintidós</w:t>
      </w:r>
      <w:r w:rsidRPr="00C218FB">
        <w:rPr>
          <w:rFonts w:ascii="Times New Roman" w:hAnsi="Times New Roman" w:cs="Times New Roman"/>
          <w:sz w:val="24"/>
          <w:szCs w:val="24"/>
        </w:rPr>
        <w:t>, para la celebración de la garantía de audiencia en la que los municipios involucrados, exponen sus argumentos respecto del diferendo limítrofe en cuestión.</w:t>
      </w:r>
    </w:p>
    <w:p w:rsidR="000F603A" w:rsidRPr="00C218FB" w:rsidRDefault="000F603A" w:rsidP="00F44C55">
      <w:pPr>
        <w:spacing w:after="0" w:line="240" w:lineRule="auto"/>
        <w:jc w:val="both"/>
        <w:rPr>
          <w:rFonts w:ascii="Times New Roman" w:hAnsi="Times New Roman" w:cs="Times New Roman"/>
          <w:sz w:val="24"/>
          <w:szCs w:val="24"/>
        </w:rPr>
      </w:pPr>
    </w:p>
    <w:p w:rsidR="000F603A" w:rsidRPr="00C218FB" w:rsidRDefault="000F603A" w:rsidP="00F44C55">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No obstante, por falta de asistencia de los representantes del municipio de Acolman y de los municipios de Tecámac y Atenco como terceros interesados, se señaló nueva fecha para la celebración de la audiencia de ley.</w:t>
      </w:r>
    </w:p>
    <w:p w:rsidR="000F603A" w:rsidRPr="00C218FB" w:rsidRDefault="000F603A" w:rsidP="00F44C55">
      <w:pPr>
        <w:spacing w:after="0" w:line="240" w:lineRule="auto"/>
        <w:ind w:right="67"/>
        <w:jc w:val="both"/>
        <w:rPr>
          <w:rFonts w:ascii="Times New Roman" w:hAnsi="Times New Roman" w:cs="Times New Roman"/>
          <w:b/>
          <w:sz w:val="24"/>
          <w:szCs w:val="24"/>
        </w:rPr>
      </w:pPr>
    </w:p>
    <w:p w:rsidR="000F603A" w:rsidRPr="00C218FB" w:rsidRDefault="000F603A" w:rsidP="00F44C55">
      <w:pPr>
        <w:spacing w:after="0" w:line="240" w:lineRule="auto"/>
        <w:ind w:right="67"/>
        <w:jc w:val="both"/>
        <w:rPr>
          <w:rFonts w:ascii="Times New Roman" w:hAnsi="Times New Roman" w:cs="Times New Roman"/>
          <w:sz w:val="24"/>
          <w:szCs w:val="24"/>
        </w:rPr>
      </w:pPr>
      <w:r w:rsidRPr="00C218FB">
        <w:rPr>
          <w:rFonts w:ascii="Times New Roman" w:hAnsi="Times New Roman" w:cs="Times New Roman"/>
          <w:b/>
          <w:sz w:val="24"/>
          <w:szCs w:val="24"/>
        </w:rPr>
        <w:t xml:space="preserve">QUINTO. </w:t>
      </w:r>
      <w:r w:rsidRPr="00C218FB">
        <w:rPr>
          <w:rFonts w:ascii="Times New Roman" w:hAnsi="Times New Roman" w:cs="Times New Roman"/>
          <w:sz w:val="24"/>
          <w:szCs w:val="24"/>
        </w:rPr>
        <w:t xml:space="preserve">Con fundamento en los artículos 44 y 45 de la Ley Reglamentaria, la Comisión Legislativa de Límites Territoriales del Estado de México y sus Municipios, </w:t>
      </w:r>
      <w:r w:rsidRPr="00C218FB">
        <w:rPr>
          <w:rFonts w:ascii="Times New Roman" w:hAnsi="Times New Roman" w:cs="Times New Roman"/>
          <w:b/>
          <w:sz w:val="24"/>
          <w:szCs w:val="24"/>
          <w:u w:val="single"/>
        </w:rPr>
        <w:t>en fecha trece de mayo de dos mil veintidós,</w:t>
      </w:r>
      <w:r w:rsidRPr="00C218FB">
        <w:rPr>
          <w:rFonts w:ascii="Times New Roman" w:hAnsi="Times New Roman" w:cs="Times New Roman"/>
          <w:sz w:val="24"/>
          <w:szCs w:val="24"/>
        </w:rPr>
        <w:t xml:space="preserve"> se llevó a cabo la garantía de audiencia, respecto de la solicitud para </w:t>
      </w:r>
      <w:r w:rsidRPr="00C218FB">
        <w:rPr>
          <w:rFonts w:ascii="Times New Roman" w:hAnsi="Times New Roman" w:cs="Times New Roman"/>
          <w:sz w:val="24"/>
          <w:szCs w:val="24"/>
        </w:rPr>
        <w:lastRenderedPageBreak/>
        <w:t>la solución del Diferendo Limítrofe Intermunicipal presentada por la Diputada Beatriz García Villegas, en contra de los municipios de Acolman y Ecatepec de Morelos, en donde podrían verse involucrados los municipios de Tecámac y Atenco; en la que intervinieron los representantes de los Municipios de Acolman y Ecatepec de Morelos, en términos de lo dispuesto en el artículo 6 de la Ley Reglamentaria, los CC. Rigoberto Cortés Melgoza y Blanca Guadalupe Sánchez Osorio, Presidente Municipal y Síndico Municipal respectivamente del Municipio de Acolman y los C.C. Luis Fernando Vilchis Contreras y Ciudadana María Elena Germán Rivero, Presidente Municipal y Síndico Municipal respectivamente de Ecatepec de Morelos quienes en uso de la palabra, además de manifestar lo que convenía a sus intereses, ratificaron la solicitud de Procedimiento de Diferendo Limítrofe Intermunicipal, de conformidad con lo establecido en los párrafos tercero y cuarto del artículo 41 de la Ley Reglamentaria, y en el caso del municipio de Ecatepec de Morelos, presentaron ampliación de escrito de solicitud de diferendo limítrofe.</w:t>
      </w:r>
    </w:p>
    <w:p w:rsidR="000F603A" w:rsidRPr="00C218FB" w:rsidRDefault="000F603A" w:rsidP="00F44C55">
      <w:pPr>
        <w:spacing w:after="0" w:line="240" w:lineRule="auto"/>
        <w:jc w:val="both"/>
        <w:rPr>
          <w:rFonts w:ascii="Times New Roman" w:hAnsi="Times New Roman" w:cs="Times New Roman"/>
          <w:sz w:val="24"/>
          <w:szCs w:val="24"/>
        </w:rPr>
      </w:pPr>
    </w:p>
    <w:p w:rsidR="000F603A" w:rsidRPr="00C218FB" w:rsidRDefault="000F603A" w:rsidP="00F44C55">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 xml:space="preserve">La presidencia de la Comisión Legislativa de Límites Territoriales del Estado de México y sus Municipios de la “LXI” Legislatura, informó y exhortó a los comparecientes a celebrar por convenio amistoso sus respectivos límites territoriales. </w:t>
      </w:r>
    </w:p>
    <w:p w:rsidR="000F603A" w:rsidRPr="00C218FB" w:rsidRDefault="000F603A" w:rsidP="00F44C55">
      <w:pPr>
        <w:spacing w:after="0" w:line="240" w:lineRule="auto"/>
        <w:jc w:val="both"/>
        <w:rPr>
          <w:rFonts w:ascii="Times New Roman" w:hAnsi="Times New Roman" w:cs="Times New Roman"/>
          <w:sz w:val="24"/>
          <w:szCs w:val="24"/>
        </w:rPr>
      </w:pPr>
    </w:p>
    <w:p w:rsidR="000F603A" w:rsidRPr="00C218FB" w:rsidRDefault="000F603A" w:rsidP="00F44C55">
      <w:pPr>
        <w:spacing w:after="0" w:line="240" w:lineRule="auto"/>
        <w:jc w:val="both"/>
        <w:rPr>
          <w:rFonts w:ascii="Times New Roman" w:eastAsia="Arial" w:hAnsi="Times New Roman" w:cs="Times New Roman"/>
          <w:sz w:val="24"/>
          <w:szCs w:val="24"/>
        </w:rPr>
      </w:pPr>
      <w:r w:rsidRPr="00C218FB">
        <w:rPr>
          <w:rFonts w:ascii="Times New Roman" w:eastAsia="Arial" w:hAnsi="Times New Roman" w:cs="Times New Roman"/>
          <w:sz w:val="24"/>
          <w:szCs w:val="24"/>
        </w:rPr>
        <w:t>Al respecto, la Diputada Beatriz García Villegas y las autoridades municipales partes del procedimiento, manifestaron lo siguiente:</w:t>
      </w:r>
    </w:p>
    <w:p w:rsidR="000F603A" w:rsidRPr="00C218FB" w:rsidRDefault="000F603A" w:rsidP="00C218FB">
      <w:pPr>
        <w:spacing w:after="0" w:line="240" w:lineRule="auto"/>
        <w:jc w:val="both"/>
        <w:rPr>
          <w:rFonts w:ascii="Times New Roman" w:eastAsia="Arial" w:hAnsi="Times New Roman" w:cs="Times New Roman"/>
          <w:sz w:val="24"/>
          <w:szCs w:val="24"/>
        </w:rPr>
      </w:pPr>
    </w:p>
    <w:p w:rsidR="000F603A" w:rsidRPr="00C218FB" w:rsidRDefault="000F603A" w:rsidP="00C218FB">
      <w:pPr>
        <w:spacing w:after="0" w:line="240" w:lineRule="auto"/>
        <w:jc w:val="both"/>
        <w:rPr>
          <w:rFonts w:ascii="Times New Roman" w:eastAsia="Arial" w:hAnsi="Times New Roman" w:cs="Times New Roman"/>
          <w:b/>
          <w:bCs/>
          <w:sz w:val="24"/>
          <w:szCs w:val="24"/>
        </w:rPr>
      </w:pPr>
      <w:r w:rsidRPr="00C218FB">
        <w:rPr>
          <w:rFonts w:ascii="Times New Roman" w:eastAsia="Arial" w:hAnsi="Times New Roman" w:cs="Times New Roman"/>
          <w:b/>
          <w:bCs/>
          <w:sz w:val="24"/>
          <w:szCs w:val="24"/>
        </w:rPr>
        <w:t xml:space="preserve">DIPUTADA BEATRIZ GARCÍA VILLEGAS: </w:t>
      </w:r>
    </w:p>
    <w:p w:rsidR="000F603A" w:rsidRPr="00C218FB" w:rsidRDefault="000F603A" w:rsidP="00C218FB">
      <w:pPr>
        <w:spacing w:after="0" w:line="240" w:lineRule="auto"/>
        <w:ind w:left="851" w:right="918"/>
        <w:jc w:val="both"/>
        <w:rPr>
          <w:rFonts w:ascii="Times New Roman" w:eastAsia="Arial" w:hAnsi="Times New Roman" w:cs="Times New Roman"/>
          <w:i/>
          <w:sz w:val="24"/>
          <w:szCs w:val="24"/>
        </w:rPr>
      </w:pPr>
      <w:r w:rsidRPr="00C218FB">
        <w:rPr>
          <w:rFonts w:ascii="Times New Roman" w:eastAsia="Arial" w:hAnsi="Times New Roman" w:cs="Times New Roman"/>
          <w:i/>
          <w:sz w:val="24"/>
          <w:szCs w:val="24"/>
        </w:rPr>
        <w:t>“…</w:t>
      </w:r>
    </w:p>
    <w:p w:rsidR="000F603A" w:rsidRPr="00C218FB" w:rsidRDefault="000F603A" w:rsidP="00C218FB">
      <w:pPr>
        <w:spacing w:after="0" w:line="240" w:lineRule="auto"/>
        <w:ind w:left="851" w:right="918"/>
        <w:jc w:val="both"/>
        <w:rPr>
          <w:rFonts w:ascii="Times New Roman" w:eastAsia="Arial" w:hAnsi="Times New Roman" w:cs="Times New Roman"/>
          <w:i/>
          <w:sz w:val="24"/>
          <w:szCs w:val="24"/>
        </w:rPr>
      </w:pPr>
      <w:r w:rsidRPr="00C218FB">
        <w:rPr>
          <w:rFonts w:ascii="Times New Roman" w:eastAsia="Arial" w:hAnsi="Times New Roman" w:cs="Times New Roman"/>
          <w:i/>
          <w:sz w:val="24"/>
          <w:szCs w:val="24"/>
        </w:rPr>
        <w:t>EN MI CARÁCTER DE DIPUTADA PRESENTANTE, POR PROPIO DERECHO Y COMO PRESIDENTA DE LA COMISIÓN LEGISLATIVA DE RECURSOS HIDRÁULICOS DE ESTE CONGRESO, COMPAREZCO A FIN DE FORMULAR MIS PLANTEAMIENTOS PARA INICIAR EL PROCEDIMIENTO DE INTERVENCIÓN LEGISLATIVA EN MATERIA DE SOLUCIÓN DEL DIFERENDO LIMÍTROFE ENTRE LOS MUNICIPIOS DE ACOLMAN Y ECATEPEC DE MORELOS, SOMETIENDO A CONSIDERACIÓN MI SOLICITUD PARA EFECTOS DE SU ANÁLISIS, DISCUSIÓN Y SUBSTANCIACIÓN POR TODOS LOS MIEMBROS DE LA COMISIÓN.</w:t>
      </w:r>
    </w:p>
    <w:p w:rsidR="000F603A" w:rsidRPr="00C218FB" w:rsidRDefault="000F603A" w:rsidP="00C218FB">
      <w:pPr>
        <w:spacing w:after="0" w:line="240" w:lineRule="auto"/>
        <w:ind w:left="851" w:right="918"/>
        <w:jc w:val="both"/>
        <w:rPr>
          <w:rFonts w:ascii="Times New Roman" w:eastAsia="Arial" w:hAnsi="Times New Roman" w:cs="Times New Roman"/>
          <w:i/>
          <w:sz w:val="24"/>
          <w:szCs w:val="24"/>
        </w:rPr>
      </w:pPr>
    </w:p>
    <w:p w:rsidR="000F603A" w:rsidRPr="00C218FB" w:rsidRDefault="000F603A" w:rsidP="00C218FB">
      <w:pPr>
        <w:spacing w:after="0" w:line="240" w:lineRule="auto"/>
        <w:ind w:left="851" w:right="918"/>
        <w:jc w:val="both"/>
        <w:rPr>
          <w:rFonts w:ascii="Times New Roman" w:eastAsia="Arial" w:hAnsi="Times New Roman" w:cs="Times New Roman"/>
          <w:i/>
          <w:sz w:val="24"/>
          <w:szCs w:val="24"/>
        </w:rPr>
      </w:pPr>
      <w:r w:rsidRPr="00C218FB">
        <w:rPr>
          <w:rFonts w:ascii="Times New Roman" w:eastAsia="Arial" w:hAnsi="Times New Roman" w:cs="Times New Roman"/>
          <w:i/>
          <w:sz w:val="24"/>
          <w:szCs w:val="24"/>
        </w:rPr>
        <w:t>LO ANTERIOR, CONFORME A LA EXPOSICIÓN DE MOTIVOS PLANTEADA EN LA SOLICITUD PRESENTADA ANTE EL PLENO DE ESTA HONORABLE ASAMBLEA EL 15 DE FEBRERO DEL AÑO EN CURSO.</w:t>
      </w:r>
    </w:p>
    <w:p w:rsidR="000F603A" w:rsidRPr="00C218FB" w:rsidRDefault="000F603A" w:rsidP="00C218FB">
      <w:pPr>
        <w:spacing w:after="0" w:line="240" w:lineRule="auto"/>
        <w:ind w:left="851" w:right="918"/>
        <w:jc w:val="both"/>
        <w:rPr>
          <w:rFonts w:ascii="Times New Roman" w:eastAsia="Arial" w:hAnsi="Times New Roman" w:cs="Times New Roman"/>
          <w:i/>
          <w:sz w:val="24"/>
          <w:szCs w:val="24"/>
        </w:rPr>
      </w:pPr>
    </w:p>
    <w:p w:rsidR="000F603A" w:rsidRPr="00C218FB" w:rsidRDefault="000F603A" w:rsidP="00C218FB">
      <w:pPr>
        <w:spacing w:after="0" w:line="240" w:lineRule="auto"/>
        <w:ind w:left="851" w:right="918"/>
        <w:jc w:val="both"/>
        <w:rPr>
          <w:rFonts w:ascii="Times New Roman" w:eastAsia="Arial" w:hAnsi="Times New Roman" w:cs="Times New Roman"/>
          <w:i/>
          <w:sz w:val="24"/>
          <w:szCs w:val="24"/>
        </w:rPr>
      </w:pPr>
      <w:r w:rsidRPr="00C218FB">
        <w:rPr>
          <w:rFonts w:ascii="Times New Roman" w:eastAsia="Arial" w:hAnsi="Times New Roman" w:cs="Times New Roman"/>
          <w:i/>
          <w:sz w:val="24"/>
          <w:szCs w:val="24"/>
        </w:rPr>
        <w:t xml:space="preserve">COMO PLANTEAMIENTOS PRELIMINARES, EXPONGO QUE NUESTRO CONGRESO LOCAL, EN NINGÚN MOMENTO, HA APROBADO Y PUBLICADO ALGÚN DECRETO QUE PRECISE DE FORMA TÉCNICA Y EXHAUSTIVA LA DELIMITACIÓN TERRITORIAL ENTRE LOS MUNICIPIOS DE ACOLMAN Y ECATEPEC DE MORELOS; POR LO QUE, ESTO ES MOTIVO SUFICIENTE PARA AFIRMAR QUE MI SOLICITUD ES PROCEDENTE PARA INICIAR EL PROCEDIMIENTO QUE FIJE O PRECISE LOS LÍMITES TERRITORIALES ENTRE LOS DOS MUNICIPIOS DE NUESTRO ESTADO, APORTANDO LOS MEDIOS DE PRUEBA CORRESPONDIENTES, CON LA INTENCIÓN DE AUXILIAR A LA POBLACIÓN EN SITUACIÓN DE VULNERABILIDAD Y HACER VALER LA JUSTICIA TERRITORIAL MUNICIPAL, REFORZANDO ASÍ NUESTRO </w:t>
      </w:r>
      <w:r w:rsidRPr="00C218FB">
        <w:rPr>
          <w:rFonts w:ascii="Times New Roman" w:eastAsia="Arial" w:hAnsi="Times New Roman" w:cs="Times New Roman"/>
          <w:i/>
          <w:sz w:val="24"/>
          <w:szCs w:val="24"/>
        </w:rPr>
        <w:lastRenderedPageBreak/>
        <w:t>ESTADO CONSTITUCIONAL Y DEMOCRÁTICO DE DERECHO. AFIRMO QUE NO SÓLO TENGO UN COMPROMISO CON LA COMUNIDAD QUE ME ELIGIÓ COMO SU REPRESENTANTE POPULAR, SINO QUE TAMBIÉN TENGO EL DEBER DE PROTEGER LOS INTERESES Y ATENDER TODAS LAS DEMANDAS SOCIALES QUE EXIGE EL RESTO DE LA POBLACIÓN MEXIQUENSE.</w:t>
      </w:r>
    </w:p>
    <w:p w:rsidR="000F603A" w:rsidRPr="00C218FB" w:rsidRDefault="000F603A" w:rsidP="00C218FB">
      <w:pPr>
        <w:spacing w:after="0" w:line="240" w:lineRule="auto"/>
        <w:ind w:left="851" w:right="918"/>
        <w:jc w:val="both"/>
        <w:rPr>
          <w:rFonts w:ascii="Times New Roman" w:eastAsia="Arial" w:hAnsi="Times New Roman" w:cs="Times New Roman"/>
          <w:i/>
          <w:sz w:val="24"/>
          <w:szCs w:val="24"/>
        </w:rPr>
      </w:pPr>
    </w:p>
    <w:p w:rsidR="000F603A" w:rsidRPr="00C218FB" w:rsidRDefault="000F603A" w:rsidP="00C218FB">
      <w:pPr>
        <w:spacing w:after="0" w:line="240" w:lineRule="auto"/>
        <w:ind w:left="851" w:right="918"/>
        <w:jc w:val="both"/>
        <w:rPr>
          <w:rFonts w:ascii="Times New Roman" w:eastAsia="Arial" w:hAnsi="Times New Roman" w:cs="Times New Roman"/>
          <w:i/>
          <w:sz w:val="24"/>
          <w:szCs w:val="24"/>
        </w:rPr>
      </w:pPr>
      <w:r w:rsidRPr="00C218FB">
        <w:rPr>
          <w:rFonts w:ascii="Times New Roman" w:eastAsia="Arial" w:hAnsi="Times New Roman" w:cs="Times New Roman"/>
          <w:i/>
          <w:sz w:val="24"/>
          <w:szCs w:val="24"/>
        </w:rPr>
        <w:t>ES EVIDENTE QUE SE HA VULNERADO EL DERECHO HUMANO DE TODA PERSONA AL ACCESO, DISPOSICIÓN Y SANEAMIENTO DE AGUA PARA CONSUMO PERSONAL Y DOMÉSTICO EN FORMA SUFICIENTE, SALUBRE, ACEPTABLE Y ASEQUIBLE.</w:t>
      </w:r>
    </w:p>
    <w:p w:rsidR="000F603A" w:rsidRPr="00C218FB" w:rsidRDefault="000F603A" w:rsidP="00C218FB">
      <w:pPr>
        <w:spacing w:after="0" w:line="240" w:lineRule="auto"/>
        <w:ind w:left="851" w:right="918"/>
        <w:jc w:val="both"/>
        <w:rPr>
          <w:rFonts w:ascii="Times New Roman" w:eastAsia="Arial" w:hAnsi="Times New Roman" w:cs="Times New Roman"/>
          <w:i/>
          <w:sz w:val="24"/>
          <w:szCs w:val="24"/>
        </w:rPr>
      </w:pPr>
    </w:p>
    <w:p w:rsidR="000F603A" w:rsidRPr="00C218FB" w:rsidRDefault="000F603A" w:rsidP="00C218FB">
      <w:pPr>
        <w:spacing w:after="0" w:line="240" w:lineRule="auto"/>
        <w:ind w:left="851" w:right="918"/>
        <w:jc w:val="both"/>
        <w:rPr>
          <w:rFonts w:ascii="Times New Roman" w:eastAsia="Arial" w:hAnsi="Times New Roman" w:cs="Times New Roman"/>
          <w:i/>
          <w:sz w:val="24"/>
          <w:szCs w:val="24"/>
        </w:rPr>
      </w:pPr>
      <w:r w:rsidRPr="00C218FB">
        <w:rPr>
          <w:rFonts w:ascii="Times New Roman" w:eastAsia="Arial" w:hAnsi="Times New Roman" w:cs="Times New Roman"/>
          <w:i/>
          <w:sz w:val="24"/>
          <w:szCs w:val="24"/>
        </w:rPr>
        <w:t>EL PROBLEMA CON ESTE CONFLICTO DE LÍMITE INTERMUNICIPAL ES QUE UNA AUTORIDAD MUNICIPAL Y OTRA, LAS QUE ESTÁN EN CONFLICTO, SE NIEGAN A PRESENTAR LOS SERVICIOS PÚBLICOS MUNICIPALES INDISPENSABLES EN BENEFICIO DE LA POBLACIÓN QUE RESIDE EN ESTA ZONA DE CONFLICTO LIMITROFE; ES DECIR, NADIE SE HACE CARGO DE LA PAVIMENTACIÓN, DEL ALUMBRADO PÚBLICO, DE LA SEGURIDAD PÚBLICA Y DE LOS SERVICIOS BÁSICOS DE LOS CIUDADANOS. ENTONCES ACLARO: LO QUE ESTAMOS BUSCANDO NO ES DIVIDIR A NINGUN MUNICIPIO, SINO QUE LA POBLACIÓN QUE RESIDE EN ESTA ZONA LIMÍTROFE SE BENEFICIE POR COMPLETO SOBRE TODO EN LA PRESTACIÓN DE LOS RECURSOS HIDRÁULICOS SUFICIENTES, PORQUE DESDE AQUÍ LEGISLAMOS PARA TODAS Y TODOS LOS MEXIQUENSES…”</w:t>
      </w:r>
    </w:p>
    <w:p w:rsidR="000F603A" w:rsidRPr="00C218FB" w:rsidRDefault="000F603A" w:rsidP="00C218FB">
      <w:pPr>
        <w:spacing w:after="0" w:line="240" w:lineRule="auto"/>
        <w:ind w:left="708" w:right="616"/>
        <w:jc w:val="both"/>
        <w:rPr>
          <w:rFonts w:ascii="Times New Roman" w:eastAsia="Arial" w:hAnsi="Times New Roman" w:cs="Times New Roman"/>
          <w:b/>
          <w:bCs/>
          <w:sz w:val="24"/>
          <w:szCs w:val="24"/>
        </w:rPr>
      </w:pPr>
    </w:p>
    <w:p w:rsidR="000F603A" w:rsidRPr="00C218FB" w:rsidRDefault="000F603A" w:rsidP="00C218FB">
      <w:pPr>
        <w:spacing w:after="0" w:line="240" w:lineRule="auto"/>
        <w:ind w:right="616"/>
        <w:jc w:val="both"/>
        <w:rPr>
          <w:rFonts w:ascii="Times New Roman" w:eastAsia="Arial" w:hAnsi="Times New Roman" w:cs="Times New Roman"/>
          <w:b/>
          <w:bCs/>
          <w:sz w:val="24"/>
          <w:szCs w:val="24"/>
        </w:rPr>
      </w:pPr>
      <w:r w:rsidRPr="00C218FB">
        <w:rPr>
          <w:rFonts w:ascii="Times New Roman" w:eastAsia="Arial" w:hAnsi="Times New Roman" w:cs="Times New Roman"/>
          <w:b/>
          <w:bCs/>
          <w:sz w:val="24"/>
          <w:szCs w:val="24"/>
        </w:rPr>
        <w:t>POR EL MUNICIPIO DE ACOLMAN, PRESIDENTE MUNICIPAL C. RIGOBERTO CORTÉS MELGOZA:</w:t>
      </w:r>
    </w:p>
    <w:p w:rsidR="000F603A" w:rsidRPr="00C218FB" w:rsidRDefault="000F603A" w:rsidP="00C218FB">
      <w:pPr>
        <w:spacing w:after="0" w:line="240" w:lineRule="auto"/>
        <w:ind w:left="851" w:right="616"/>
        <w:jc w:val="both"/>
        <w:rPr>
          <w:rFonts w:ascii="Times New Roman" w:eastAsia="Arial" w:hAnsi="Times New Roman" w:cs="Times New Roman"/>
          <w:i/>
          <w:sz w:val="24"/>
          <w:szCs w:val="24"/>
        </w:rPr>
      </w:pPr>
      <w:r w:rsidRPr="00C218FB">
        <w:rPr>
          <w:rFonts w:ascii="Times New Roman" w:eastAsia="Arial" w:hAnsi="Times New Roman" w:cs="Times New Roman"/>
          <w:i/>
          <w:sz w:val="24"/>
          <w:szCs w:val="24"/>
        </w:rPr>
        <w:t>“...QUIERO MANIFESTAR QUE LO EXPUESTO ES SOLO SÓLIDO FUNDAMENTO PARA ACREDITAR QUE EXISTEN ANTECEDENTES TÉCNICOS, HISTÓRICOS Y JURÍDICOS QUE FORTALECEN QUE EL TERRITORIO EN CONFLICTO PRADOS SAN JUAN, GUERRERO, PIRULES, LÁZARO CÁRDENAS Y LA LAGUNA SON PARTE DEL TERRITORIO MUNICIPAL DE ACOLMAN. ASIMISMO, EN ESTE ACTO SE RATIFICA CON TODOS SUS TÉRMINOS EL ESCRITO DE SOLICITUD POR EL QUE SE DEMANDA LA INTERVENCIÓN DE ESTA LEGISLATURA DEL ESTADO DE MÉXICO PARA LA SOLUCIÓN DEL DIFERENDO LIMÍTROFE ENTRE LOS MUNICIPIOS DE ACOLMAN Y ECATEPEC, ASÍ COMO LAS PRUEBAS PRESENTADAS POR LA DIPUTADA BEATRIZ GARCÍA VILLEGAS, PRESIDENTA DE LA COMISIÓN LEGISLATIVA DE RECURSOS HIDRÁULICOS, DE FECHA 15 DE FEBRERO...”</w:t>
      </w:r>
    </w:p>
    <w:p w:rsidR="000F603A" w:rsidRPr="00C218FB" w:rsidRDefault="000F603A" w:rsidP="00C218FB">
      <w:pPr>
        <w:spacing w:after="0" w:line="240" w:lineRule="auto"/>
        <w:ind w:left="708" w:right="616"/>
        <w:jc w:val="both"/>
        <w:rPr>
          <w:rFonts w:ascii="Times New Roman" w:eastAsia="Arial" w:hAnsi="Times New Roman" w:cs="Times New Roman"/>
          <w:sz w:val="24"/>
          <w:szCs w:val="24"/>
        </w:rPr>
      </w:pPr>
    </w:p>
    <w:p w:rsidR="000F603A" w:rsidRPr="00C218FB" w:rsidRDefault="000F603A" w:rsidP="00C218FB">
      <w:pPr>
        <w:spacing w:after="0" w:line="240" w:lineRule="auto"/>
        <w:ind w:right="616"/>
        <w:jc w:val="both"/>
        <w:rPr>
          <w:rFonts w:ascii="Times New Roman" w:eastAsia="Arial" w:hAnsi="Times New Roman" w:cs="Times New Roman"/>
          <w:b/>
          <w:bCs/>
          <w:sz w:val="24"/>
          <w:szCs w:val="24"/>
        </w:rPr>
      </w:pPr>
      <w:r w:rsidRPr="00C218FB">
        <w:rPr>
          <w:rFonts w:ascii="Times New Roman" w:eastAsia="Arial" w:hAnsi="Times New Roman" w:cs="Times New Roman"/>
          <w:b/>
          <w:bCs/>
          <w:sz w:val="24"/>
          <w:szCs w:val="24"/>
        </w:rPr>
        <w:t>SÍNDICO DE ACOLMAN, BLANCA GUADALUPE SÁNCHEZ OSORIO:</w:t>
      </w:r>
    </w:p>
    <w:p w:rsidR="000F603A" w:rsidRPr="00C218FB" w:rsidRDefault="000F603A" w:rsidP="00C218FB">
      <w:pPr>
        <w:spacing w:after="0" w:line="240" w:lineRule="auto"/>
        <w:ind w:left="851" w:right="918" w:firstLine="14"/>
        <w:jc w:val="both"/>
        <w:rPr>
          <w:rFonts w:ascii="Times New Roman" w:eastAsia="Arial" w:hAnsi="Times New Roman" w:cs="Times New Roman"/>
          <w:i/>
          <w:sz w:val="24"/>
          <w:szCs w:val="24"/>
        </w:rPr>
      </w:pPr>
      <w:r w:rsidRPr="00C218FB">
        <w:rPr>
          <w:rFonts w:ascii="Times New Roman" w:eastAsia="Arial" w:hAnsi="Times New Roman" w:cs="Times New Roman"/>
          <w:bCs/>
          <w:i/>
          <w:sz w:val="24"/>
          <w:szCs w:val="24"/>
        </w:rPr>
        <w:t>“…</w:t>
      </w:r>
      <w:r w:rsidRPr="00C218FB">
        <w:rPr>
          <w:rFonts w:ascii="Times New Roman" w:eastAsia="Arial" w:hAnsi="Times New Roman" w:cs="Times New Roman"/>
          <w:i/>
          <w:sz w:val="24"/>
          <w:szCs w:val="24"/>
        </w:rPr>
        <w:t xml:space="preserve">BUENAS TARDES A TODOS, PUES TAMBIÉN </w:t>
      </w:r>
      <w:r w:rsidRPr="00C218FB">
        <w:rPr>
          <w:rFonts w:ascii="Times New Roman" w:eastAsia="Arial" w:hAnsi="Times New Roman" w:cs="Times New Roman"/>
          <w:i/>
          <w:sz w:val="24"/>
          <w:szCs w:val="24"/>
          <w:u w:val="single"/>
        </w:rPr>
        <w:t xml:space="preserve">RATIFICAR LO QUE YA COMENTÓ AQUÍ LA DIPUTADA BEATRIZ GARCÍA VILLEGAS, RATIFICANDO CADA UNA DE LAS DOCUMENTALES QUE OBRAN EN EL ARCHIVO </w:t>
      </w:r>
      <w:r w:rsidRPr="00C218FB">
        <w:rPr>
          <w:rFonts w:ascii="Times New Roman" w:eastAsia="Arial" w:hAnsi="Times New Roman" w:cs="Times New Roman"/>
          <w:i/>
          <w:sz w:val="24"/>
          <w:szCs w:val="24"/>
        </w:rPr>
        <w:t xml:space="preserve">Y TAMBIÉN EXHORTANDO A QUE SE PUDIERA LLEGAR A UN ACUERDO ENTRE LOS ALCALDES PORQUE DE VERDAD ES UNA TRISTEZA VER A LOS HABITANTES DE ESTAS COLONIAS, ENTONCES, YO </w:t>
      </w:r>
      <w:r w:rsidRPr="00C218FB">
        <w:rPr>
          <w:rFonts w:ascii="Times New Roman" w:eastAsia="Arial" w:hAnsi="Times New Roman" w:cs="Times New Roman"/>
          <w:i/>
          <w:sz w:val="24"/>
          <w:szCs w:val="24"/>
        </w:rPr>
        <w:lastRenderedPageBreak/>
        <w:t>SI LES EXHORTARÍA A QUE PUDIERAN LLEGAR A UN ACUERDO, ES CUÁNTO...”</w:t>
      </w:r>
    </w:p>
    <w:p w:rsidR="000F603A" w:rsidRPr="00C218FB" w:rsidRDefault="000F603A" w:rsidP="00C218FB">
      <w:pPr>
        <w:spacing w:after="0" w:line="240" w:lineRule="auto"/>
        <w:ind w:left="815" w:right="616" w:firstLine="14"/>
        <w:jc w:val="both"/>
        <w:rPr>
          <w:rFonts w:ascii="Times New Roman" w:eastAsia="Arial" w:hAnsi="Times New Roman" w:cs="Times New Roman"/>
          <w:sz w:val="24"/>
          <w:szCs w:val="24"/>
        </w:rPr>
      </w:pPr>
    </w:p>
    <w:p w:rsidR="000F603A" w:rsidRPr="00C218FB" w:rsidRDefault="000F603A" w:rsidP="00C218FB">
      <w:pPr>
        <w:spacing w:after="0" w:line="240" w:lineRule="auto"/>
        <w:ind w:right="616"/>
        <w:jc w:val="both"/>
        <w:rPr>
          <w:rFonts w:ascii="Times New Roman" w:eastAsia="Arial" w:hAnsi="Times New Roman" w:cs="Times New Roman"/>
          <w:b/>
          <w:bCs/>
          <w:sz w:val="24"/>
          <w:szCs w:val="24"/>
        </w:rPr>
      </w:pPr>
      <w:r w:rsidRPr="00C218FB">
        <w:rPr>
          <w:rFonts w:ascii="Times New Roman" w:eastAsia="Arial" w:hAnsi="Times New Roman" w:cs="Times New Roman"/>
          <w:b/>
          <w:bCs/>
          <w:sz w:val="24"/>
          <w:szCs w:val="24"/>
        </w:rPr>
        <w:t>POR EL MUNICIPIO DE ECATEPEC, PRESIDENTE MUNICIPAL C. LUIS FERNANDO VILCHIS CONTRERAS:</w:t>
      </w:r>
    </w:p>
    <w:p w:rsidR="000F603A" w:rsidRPr="00C218FB" w:rsidRDefault="000F603A" w:rsidP="00C218FB">
      <w:pPr>
        <w:spacing w:after="0" w:line="240" w:lineRule="auto"/>
        <w:ind w:left="851" w:right="918"/>
        <w:jc w:val="both"/>
        <w:rPr>
          <w:rFonts w:ascii="Times New Roman" w:eastAsia="Arial" w:hAnsi="Times New Roman" w:cs="Times New Roman"/>
          <w:i/>
          <w:sz w:val="24"/>
          <w:szCs w:val="24"/>
        </w:rPr>
      </w:pPr>
      <w:r w:rsidRPr="00C218FB">
        <w:rPr>
          <w:rFonts w:ascii="Times New Roman" w:eastAsia="Arial" w:hAnsi="Times New Roman" w:cs="Times New Roman"/>
          <w:i/>
          <w:sz w:val="24"/>
          <w:szCs w:val="24"/>
        </w:rPr>
        <w:t>“...EN ESTE ACTO VENGO A MANIFESTAR LOS PLANTEAMIENTOS EN RELACIÓN CON EL PRESENTE PROCEDIMIENTO, HACIÉNDOLO DE LA SIGUIENTE MANERA. EN ESTE ACTO HACEMOS NUESTRO EL ESCRITO DE SOLICITUD PRESENTADO POR LA DIPUTADA PROMOVENTE...”</w:t>
      </w:r>
    </w:p>
    <w:p w:rsidR="000F603A" w:rsidRPr="00C218FB" w:rsidRDefault="000F603A" w:rsidP="00C218FB">
      <w:pPr>
        <w:spacing w:after="0" w:line="240" w:lineRule="auto"/>
        <w:ind w:left="708" w:right="616"/>
        <w:jc w:val="both"/>
        <w:rPr>
          <w:rFonts w:ascii="Times New Roman" w:eastAsia="Arial" w:hAnsi="Times New Roman" w:cs="Times New Roman"/>
          <w:b/>
          <w:bCs/>
          <w:sz w:val="24"/>
          <w:szCs w:val="24"/>
        </w:rPr>
      </w:pPr>
    </w:p>
    <w:p w:rsidR="000F603A" w:rsidRPr="00C218FB" w:rsidRDefault="000F603A" w:rsidP="00C218FB">
      <w:pPr>
        <w:spacing w:after="0" w:line="240" w:lineRule="auto"/>
        <w:ind w:right="616"/>
        <w:jc w:val="both"/>
        <w:rPr>
          <w:rFonts w:ascii="Times New Roman" w:eastAsia="Arial" w:hAnsi="Times New Roman" w:cs="Times New Roman"/>
          <w:sz w:val="24"/>
          <w:szCs w:val="24"/>
        </w:rPr>
      </w:pPr>
      <w:r w:rsidRPr="00C218FB">
        <w:rPr>
          <w:rFonts w:ascii="Times New Roman" w:eastAsia="Arial" w:hAnsi="Times New Roman" w:cs="Times New Roman"/>
          <w:b/>
          <w:bCs/>
          <w:sz w:val="24"/>
          <w:szCs w:val="24"/>
        </w:rPr>
        <w:t>SÍNDICO DE ECATEPEC, MARÍA ELENA GERMÁN RIVERO:</w:t>
      </w:r>
    </w:p>
    <w:p w:rsidR="000F603A" w:rsidRPr="00C218FB" w:rsidRDefault="000F603A" w:rsidP="00C218FB">
      <w:pPr>
        <w:spacing w:after="0" w:line="240" w:lineRule="auto"/>
        <w:ind w:left="851" w:right="918"/>
        <w:jc w:val="both"/>
        <w:rPr>
          <w:rFonts w:ascii="Times New Roman" w:eastAsia="Arial" w:hAnsi="Times New Roman" w:cs="Times New Roman"/>
          <w:i/>
          <w:sz w:val="24"/>
          <w:szCs w:val="24"/>
        </w:rPr>
      </w:pPr>
      <w:r w:rsidRPr="00C218FB">
        <w:rPr>
          <w:rFonts w:ascii="Times New Roman" w:eastAsia="Arial" w:hAnsi="Times New Roman" w:cs="Times New Roman"/>
          <w:bCs/>
          <w:i/>
          <w:sz w:val="24"/>
          <w:szCs w:val="24"/>
        </w:rPr>
        <w:t xml:space="preserve">“... </w:t>
      </w:r>
      <w:r w:rsidRPr="00C218FB">
        <w:rPr>
          <w:rFonts w:ascii="Times New Roman" w:eastAsia="Arial" w:hAnsi="Times New Roman" w:cs="Times New Roman"/>
          <w:i/>
          <w:sz w:val="24"/>
          <w:szCs w:val="24"/>
        </w:rPr>
        <w:t>EN ESE SENTIDO, PUES ME ADHIERO A LO QUE EL SEÑOR PRESIDENTE FERNANDO VILCHIS ESTÁ COMENTANDO, ESE TERRITORIO PUES REALMENTE EL GRAN NÚMERO DE POBLACIÓN QUE AHÍ HABITAN COMO COMENTAN 29,218 HABITANTES; PUES ESTOY CASI SEGURA QUE TODOS TIENEN UNA IDENTIDAD O SE SIENTEN IDENTIFICADOS MÁS CON EL MUNICIPIO DE ECATEPEC QUE CON EL MUNICIPIO DE ACOLMAN...”</w:t>
      </w:r>
    </w:p>
    <w:p w:rsidR="000F603A" w:rsidRPr="00C218FB" w:rsidRDefault="000F603A" w:rsidP="00C218FB">
      <w:pPr>
        <w:spacing w:after="0" w:line="240" w:lineRule="auto"/>
        <w:ind w:left="708" w:right="616"/>
        <w:jc w:val="both"/>
        <w:rPr>
          <w:rFonts w:ascii="Times New Roman" w:eastAsia="Arial" w:hAnsi="Times New Roman" w:cs="Times New Roman"/>
          <w:b/>
          <w:sz w:val="24"/>
          <w:szCs w:val="24"/>
        </w:rPr>
      </w:pPr>
    </w:p>
    <w:p w:rsidR="000F603A" w:rsidRPr="00C218FB" w:rsidRDefault="000F603A" w:rsidP="00C218FB">
      <w:pPr>
        <w:spacing w:after="0" w:line="240" w:lineRule="auto"/>
        <w:ind w:right="616"/>
        <w:jc w:val="both"/>
        <w:rPr>
          <w:rFonts w:ascii="Times New Roman" w:eastAsia="Arial" w:hAnsi="Times New Roman" w:cs="Times New Roman"/>
          <w:b/>
          <w:bCs/>
          <w:sz w:val="24"/>
          <w:szCs w:val="24"/>
        </w:rPr>
      </w:pPr>
      <w:r w:rsidRPr="00C218FB">
        <w:rPr>
          <w:rFonts w:ascii="Times New Roman" w:eastAsia="Arial" w:hAnsi="Times New Roman" w:cs="Times New Roman"/>
          <w:b/>
          <w:bCs/>
          <w:sz w:val="24"/>
          <w:szCs w:val="24"/>
        </w:rPr>
        <w:t>POR EL MUNICIPIO DE ATENCO, PRESIDENTA MUNICIPAL C. TALIA CITLALLI CRUZ SÁNCHEZ:</w:t>
      </w:r>
    </w:p>
    <w:p w:rsidR="000F603A" w:rsidRPr="00C218FB" w:rsidRDefault="000F603A" w:rsidP="00C218FB">
      <w:pPr>
        <w:spacing w:after="0" w:line="240" w:lineRule="auto"/>
        <w:ind w:left="851" w:right="918"/>
        <w:jc w:val="both"/>
        <w:rPr>
          <w:rFonts w:ascii="Times New Roman" w:eastAsia="Arial" w:hAnsi="Times New Roman" w:cs="Times New Roman"/>
          <w:i/>
          <w:sz w:val="24"/>
          <w:szCs w:val="24"/>
        </w:rPr>
      </w:pPr>
      <w:r w:rsidRPr="00C218FB">
        <w:rPr>
          <w:rFonts w:ascii="Times New Roman" w:eastAsia="Arial" w:hAnsi="Times New Roman" w:cs="Times New Roman"/>
          <w:i/>
          <w:sz w:val="24"/>
          <w:szCs w:val="24"/>
        </w:rPr>
        <w:t>“...MANIFIESTO Y RATIFICO QUE ES MI DESEO GENERAR LA AMPLIACIÓN DEL MISMO PARA EFECTOS DE QUE SE HAGAN LOS SEÑALAMIENTOS OFICIALES QUE FIJEN LOS LIMITES TERRITORIALES DE LA AVENIDA SAN SALVADOR ATENCO A EFECTO DE TENER UN DERECHO DE VÍA CONFORME A LO ESTABLECIDO EN EL ARTÍCULO 60 DE LA LEY REGLAMENTARIA DE LAS FRACCIONES XXV Y XXVI DEL ARTÍCULO 61 DE LA CONSTITUCIÓN POLÍTICA DEL ESTADO LIBRE Y SOBERANO DE MÉXICO...”</w:t>
      </w:r>
    </w:p>
    <w:p w:rsidR="000F603A" w:rsidRPr="00C218FB" w:rsidRDefault="000F603A" w:rsidP="00C218FB">
      <w:pPr>
        <w:spacing w:after="0" w:line="240" w:lineRule="auto"/>
        <w:ind w:right="616"/>
        <w:jc w:val="both"/>
        <w:rPr>
          <w:rFonts w:ascii="Times New Roman" w:eastAsia="Arial" w:hAnsi="Times New Roman" w:cs="Times New Roman"/>
          <w:b/>
          <w:bCs/>
          <w:sz w:val="24"/>
          <w:szCs w:val="24"/>
        </w:rPr>
      </w:pPr>
    </w:p>
    <w:p w:rsidR="000F603A" w:rsidRPr="00C218FB" w:rsidRDefault="000F603A" w:rsidP="00C218FB">
      <w:pPr>
        <w:spacing w:after="0" w:line="240" w:lineRule="auto"/>
        <w:ind w:right="616"/>
        <w:jc w:val="both"/>
        <w:rPr>
          <w:rFonts w:ascii="Times New Roman" w:eastAsia="Arial" w:hAnsi="Times New Roman" w:cs="Times New Roman"/>
          <w:b/>
          <w:bCs/>
          <w:sz w:val="24"/>
          <w:szCs w:val="24"/>
        </w:rPr>
      </w:pPr>
      <w:r w:rsidRPr="00C218FB">
        <w:rPr>
          <w:rFonts w:ascii="Times New Roman" w:eastAsia="Arial" w:hAnsi="Times New Roman" w:cs="Times New Roman"/>
          <w:b/>
          <w:bCs/>
          <w:sz w:val="24"/>
          <w:szCs w:val="24"/>
        </w:rPr>
        <w:t>SÍNDICO DE ATENCO, C. JUAN RAMÓN PINEDA TORRES:</w:t>
      </w:r>
    </w:p>
    <w:p w:rsidR="000F603A" w:rsidRPr="00C218FB" w:rsidRDefault="000F603A" w:rsidP="00C218FB">
      <w:pPr>
        <w:spacing w:after="0" w:line="240" w:lineRule="auto"/>
        <w:ind w:left="851" w:right="918"/>
        <w:jc w:val="both"/>
        <w:rPr>
          <w:rFonts w:ascii="Times New Roman" w:eastAsia="Arial" w:hAnsi="Times New Roman" w:cs="Times New Roman"/>
          <w:i/>
          <w:sz w:val="24"/>
          <w:szCs w:val="24"/>
        </w:rPr>
      </w:pPr>
      <w:r w:rsidRPr="00C218FB">
        <w:rPr>
          <w:rFonts w:ascii="Times New Roman" w:eastAsia="Arial" w:hAnsi="Times New Roman" w:cs="Times New Roman"/>
          <w:i/>
          <w:sz w:val="24"/>
          <w:szCs w:val="24"/>
        </w:rPr>
        <w:t>“...PIDO SE AMPLÍE EL ESCRITO QUE PRESENTA LA DIPUTADA CON EL QUE SE INICIA EL DIFERENDO LIMÍTROFE.</w:t>
      </w:r>
    </w:p>
    <w:p w:rsidR="000F603A" w:rsidRPr="00C218FB" w:rsidRDefault="000F603A" w:rsidP="00C218FB">
      <w:pPr>
        <w:spacing w:after="0" w:line="240" w:lineRule="auto"/>
        <w:ind w:left="851" w:right="918"/>
        <w:jc w:val="both"/>
        <w:rPr>
          <w:rFonts w:ascii="Times New Roman" w:eastAsia="Arial" w:hAnsi="Times New Roman" w:cs="Times New Roman"/>
          <w:i/>
          <w:sz w:val="24"/>
          <w:szCs w:val="24"/>
        </w:rPr>
      </w:pPr>
      <w:r w:rsidRPr="00C218FB">
        <w:rPr>
          <w:rFonts w:ascii="Times New Roman" w:eastAsia="Arial" w:hAnsi="Times New Roman" w:cs="Times New Roman"/>
          <w:i/>
          <w:sz w:val="24"/>
          <w:szCs w:val="24"/>
        </w:rPr>
        <w:t>…”</w:t>
      </w:r>
    </w:p>
    <w:p w:rsidR="000F603A" w:rsidRPr="00C218FB" w:rsidRDefault="000F603A" w:rsidP="00C218FB">
      <w:pPr>
        <w:spacing w:after="0" w:line="240" w:lineRule="auto"/>
        <w:ind w:left="851" w:right="918"/>
        <w:jc w:val="both"/>
        <w:rPr>
          <w:rFonts w:ascii="Times New Roman" w:eastAsia="Arial" w:hAnsi="Times New Roman" w:cs="Times New Roman"/>
          <w:b/>
          <w:bCs/>
          <w:i/>
          <w:sz w:val="24"/>
          <w:szCs w:val="24"/>
        </w:rPr>
      </w:pPr>
    </w:p>
    <w:p w:rsidR="000F603A" w:rsidRPr="00C218FB" w:rsidRDefault="000F603A" w:rsidP="00C218FB">
      <w:pPr>
        <w:spacing w:after="0" w:line="240" w:lineRule="auto"/>
        <w:ind w:right="918"/>
        <w:jc w:val="both"/>
        <w:rPr>
          <w:rFonts w:ascii="Times New Roman" w:eastAsia="Arial" w:hAnsi="Times New Roman" w:cs="Times New Roman"/>
          <w:b/>
          <w:bCs/>
          <w:sz w:val="24"/>
          <w:szCs w:val="24"/>
        </w:rPr>
      </w:pPr>
      <w:r w:rsidRPr="00C218FB">
        <w:rPr>
          <w:rFonts w:ascii="Times New Roman" w:eastAsia="Arial" w:hAnsi="Times New Roman" w:cs="Times New Roman"/>
          <w:b/>
          <w:bCs/>
          <w:sz w:val="24"/>
          <w:szCs w:val="24"/>
        </w:rPr>
        <w:t>Presidente Municipal de Ecatepec</w:t>
      </w:r>
    </w:p>
    <w:p w:rsidR="000F603A" w:rsidRPr="00C218FB" w:rsidRDefault="000F603A" w:rsidP="00C218FB">
      <w:pPr>
        <w:spacing w:after="0" w:line="240" w:lineRule="auto"/>
        <w:ind w:left="851" w:right="918"/>
        <w:jc w:val="both"/>
        <w:rPr>
          <w:rFonts w:ascii="Times New Roman" w:eastAsia="Arial" w:hAnsi="Times New Roman" w:cs="Times New Roman"/>
          <w:i/>
          <w:sz w:val="24"/>
          <w:szCs w:val="24"/>
        </w:rPr>
      </w:pPr>
      <w:r w:rsidRPr="00C218FB">
        <w:rPr>
          <w:rFonts w:ascii="Times New Roman" w:eastAsia="Arial" w:hAnsi="Times New Roman" w:cs="Times New Roman"/>
          <w:i/>
          <w:sz w:val="24"/>
          <w:szCs w:val="24"/>
        </w:rPr>
        <w:t>“CEDO EL USO DE LA VOZ A MI REPRESENTANTE LEGAL EL LICENCIADO LUIS IBARRA, POR FAVOR, PARA HACER LOS COMENTARIOS NECESARIOS EN ESTE ESCRITO QUE PRESENTAMOS.</w:t>
      </w:r>
    </w:p>
    <w:p w:rsidR="000F603A" w:rsidRPr="00C218FB" w:rsidRDefault="000F603A" w:rsidP="00C218FB">
      <w:pPr>
        <w:spacing w:after="0" w:line="240" w:lineRule="auto"/>
        <w:ind w:left="851" w:right="918"/>
        <w:jc w:val="both"/>
        <w:rPr>
          <w:rFonts w:ascii="Times New Roman" w:eastAsia="Arial" w:hAnsi="Times New Roman" w:cs="Times New Roman"/>
          <w:b/>
          <w:bCs/>
          <w:i/>
          <w:sz w:val="24"/>
          <w:szCs w:val="24"/>
        </w:rPr>
      </w:pPr>
    </w:p>
    <w:p w:rsidR="000F603A" w:rsidRPr="00C218FB" w:rsidRDefault="000F603A" w:rsidP="00C218FB">
      <w:pPr>
        <w:spacing w:after="0" w:line="240" w:lineRule="auto"/>
        <w:ind w:right="918"/>
        <w:jc w:val="both"/>
        <w:rPr>
          <w:rFonts w:ascii="Times New Roman" w:eastAsia="Arial" w:hAnsi="Times New Roman" w:cs="Times New Roman"/>
          <w:b/>
          <w:bCs/>
          <w:sz w:val="24"/>
          <w:szCs w:val="24"/>
        </w:rPr>
      </w:pPr>
      <w:r w:rsidRPr="00C218FB">
        <w:rPr>
          <w:rFonts w:ascii="Times New Roman" w:eastAsia="Arial" w:hAnsi="Times New Roman" w:cs="Times New Roman"/>
          <w:b/>
          <w:bCs/>
          <w:sz w:val="24"/>
          <w:szCs w:val="24"/>
        </w:rPr>
        <w:t>Profesionista autorizado por el ciudadano Presidente del Municipio de Ecatepec de Morelos:</w:t>
      </w:r>
    </w:p>
    <w:p w:rsidR="000F603A" w:rsidRPr="00C218FB" w:rsidRDefault="000F603A" w:rsidP="00C218FB">
      <w:pPr>
        <w:spacing w:after="0" w:line="240" w:lineRule="auto"/>
        <w:ind w:left="851" w:right="918"/>
        <w:jc w:val="both"/>
        <w:rPr>
          <w:rFonts w:ascii="Times New Roman" w:eastAsia="Arial" w:hAnsi="Times New Roman" w:cs="Times New Roman"/>
          <w:i/>
          <w:sz w:val="24"/>
          <w:szCs w:val="24"/>
        </w:rPr>
      </w:pPr>
      <w:r w:rsidRPr="00C218FB">
        <w:rPr>
          <w:rFonts w:ascii="Times New Roman" w:eastAsia="Arial" w:hAnsi="Times New Roman" w:cs="Times New Roman"/>
          <w:i/>
          <w:sz w:val="24"/>
          <w:szCs w:val="24"/>
        </w:rPr>
        <w:t xml:space="preserve">“EN ESTE ACTO Y CON FUNDAMENTO EN LO DISPUESTO POR EL ARTÍCULO 41, PÁRRAFO CUARTO DE LA LEY REGLAMENTARIA DE LAS FRACCIONES XXV Y XXVI DEL ARTÍCULO 61 DE LA CONSTITUCIÓN POLÍTICA DEL ESTADO LIBRE Y SOBERANO DE MÉXICO, EN ESTE ACTO Y A NOMBRE DEL MUNICIPIO DE ECATEPEC DE MORELOS, </w:t>
      </w:r>
      <w:r w:rsidRPr="00C218FB">
        <w:rPr>
          <w:rFonts w:ascii="Times New Roman" w:eastAsia="Arial" w:hAnsi="Times New Roman" w:cs="Times New Roman"/>
          <w:i/>
          <w:sz w:val="24"/>
          <w:szCs w:val="24"/>
          <w:u w:val="single"/>
        </w:rPr>
        <w:t xml:space="preserve">VENIMOS A AMPLIAR EL ESCRITO DE SOLICITUD DE DIFERENDOS LIMÍTROFES </w:t>
      </w:r>
      <w:r w:rsidRPr="00C218FB">
        <w:rPr>
          <w:rFonts w:ascii="Times New Roman" w:eastAsia="Arial" w:hAnsi="Times New Roman" w:cs="Times New Roman"/>
          <w:i/>
          <w:sz w:val="24"/>
          <w:szCs w:val="24"/>
          <w:u w:val="single"/>
        </w:rPr>
        <w:lastRenderedPageBreak/>
        <w:t>INTERMUNICIPALES PRESENTADO POR LA DIPUTADA BEATRIZ GARCÍA VILLEGA</w:t>
      </w:r>
      <w:r w:rsidRPr="00C218FB">
        <w:rPr>
          <w:rFonts w:ascii="Times New Roman" w:eastAsia="Arial" w:hAnsi="Times New Roman" w:cs="Times New Roman"/>
          <w:i/>
          <w:sz w:val="24"/>
          <w:szCs w:val="24"/>
        </w:rPr>
        <w:t>S”.</w:t>
      </w:r>
    </w:p>
    <w:p w:rsidR="000F603A" w:rsidRPr="00C218FB" w:rsidRDefault="000F603A" w:rsidP="00C218FB">
      <w:pPr>
        <w:spacing w:after="0" w:line="240" w:lineRule="auto"/>
        <w:ind w:left="851" w:right="918"/>
        <w:jc w:val="both"/>
        <w:rPr>
          <w:rFonts w:ascii="Times New Roman" w:eastAsia="Arial" w:hAnsi="Times New Roman" w:cs="Times New Roman"/>
          <w:i/>
          <w:sz w:val="24"/>
          <w:szCs w:val="24"/>
        </w:rPr>
      </w:pPr>
    </w:p>
    <w:p w:rsidR="000F603A" w:rsidRPr="00C218FB" w:rsidRDefault="000F603A" w:rsidP="00C218FB">
      <w:pPr>
        <w:pStyle w:val="Prrafodelista"/>
        <w:ind w:left="851" w:right="918"/>
        <w:rPr>
          <w:rFonts w:ascii="Times New Roman" w:hAnsi="Times New Roman" w:cs="Times New Roman"/>
          <w:i/>
          <w:sz w:val="24"/>
          <w:szCs w:val="24"/>
        </w:rPr>
      </w:pPr>
      <w:r w:rsidRPr="00C218FB">
        <w:rPr>
          <w:rFonts w:ascii="Times New Roman" w:hAnsi="Times New Roman" w:cs="Times New Roman"/>
          <w:i/>
          <w:sz w:val="24"/>
          <w:szCs w:val="24"/>
        </w:rPr>
        <w:t>El municipio de Ecatepec, por conducto de su Presidente Municipal y Segunda Síndica, presentaron escrito mediante el cual amplían la Solicitud Inicial Presentada por la Diputada Beatriz García Villegas en fecha 15 de febrero de 2022.</w:t>
      </w:r>
    </w:p>
    <w:p w:rsidR="000F603A" w:rsidRPr="00C218FB" w:rsidRDefault="000F603A" w:rsidP="00C218FB">
      <w:pPr>
        <w:pStyle w:val="Prrafodelista"/>
        <w:ind w:left="851" w:right="918"/>
        <w:rPr>
          <w:rFonts w:ascii="Times New Roman" w:hAnsi="Times New Roman" w:cs="Times New Roman"/>
          <w:i/>
          <w:sz w:val="24"/>
          <w:szCs w:val="24"/>
        </w:rPr>
      </w:pPr>
    </w:p>
    <w:p w:rsidR="000F603A" w:rsidRPr="00C218FB" w:rsidRDefault="000F603A" w:rsidP="00C218FB">
      <w:pPr>
        <w:spacing w:after="0" w:line="240" w:lineRule="auto"/>
        <w:ind w:right="918"/>
        <w:jc w:val="both"/>
        <w:rPr>
          <w:rFonts w:ascii="Times New Roman" w:hAnsi="Times New Roman" w:cs="Times New Roman"/>
          <w:i/>
          <w:sz w:val="24"/>
          <w:szCs w:val="24"/>
        </w:rPr>
      </w:pPr>
      <w:r w:rsidRPr="00C218FB">
        <w:rPr>
          <w:rFonts w:ascii="Times New Roman" w:eastAsia="Arial" w:hAnsi="Times New Roman" w:cs="Times New Roman"/>
          <w:b/>
          <w:bCs/>
          <w:sz w:val="24"/>
          <w:szCs w:val="24"/>
        </w:rPr>
        <w:t xml:space="preserve">Síndico del Municipio de Ecatepec de Morelos: </w:t>
      </w:r>
    </w:p>
    <w:p w:rsidR="000F603A" w:rsidRPr="00C218FB" w:rsidRDefault="000F603A" w:rsidP="00C218FB">
      <w:pPr>
        <w:spacing w:after="0" w:line="240" w:lineRule="auto"/>
        <w:ind w:left="851" w:right="918"/>
        <w:jc w:val="both"/>
        <w:rPr>
          <w:rFonts w:ascii="Times New Roman" w:eastAsia="Arial" w:hAnsi="Times New Roman" w:cs="Times New Roman"/>
          <w:i/>
          <w:sz w:val="24"/>
          <w:szCs w:val="24"/>
        </w:rPr>
      </w:pPr>
      <w:r w:rsidRPr="00C218FB">
        <w:rPr>
          <w:rFonts w:ascii="Times New Roman" w:eastAsia="Arial" w:hAnsi="Times New Roman" w:cs="Times New Roman"/>
          <w:i/>
          <w:sz w:val="24"/>
          <w:szCs w:val="24"/>
        </w:rPr>
        <w:t xml:space="preserve">“MUCHAS GRACIAS, </w:t>
      </w:r>
      <w:r w:rsidRPr="00C218FB">
        <w:rPr>
          <w:rFonts w:ascii="Times New Roman" w:eastAsia="Arial" w:hAnsi="Times New Roman" w:cs="Times New Roman"/>
          <w:i/>
          <w:sz w:val="24"/>
          <w:szCs w:val="24"/>
          <w:u w:val="single"/>
        </w:rPr>
        <w:t>IGUAL RATIFICO LO YA DICHO</w:t>
      </w:r>
      <w:r w:rsidRPr="00C218FB">
        <w:rPr>
          <w:rFonts w:ascii="Times New Roman" w:eastAsia="Arial" w:hAnsi="Times New Roman" w:cs="Times New Roman"/>
          <w:i/>
          <w:sz w:val="24"/>
          <w:szCs w:val="24"/>
        </w:rPr>
        <w:t>”.</w:t>
      </w:r>
    </w:p>
    <w:p w:rsidR="000F603A" w:rsidRPr="00C218FB" w:rsidRDefault="000F603A" w:rsidP="00C218FB">
      <w:pPr>
        <w:spacing w:after="0" w:line="240" w:lineRule="auto"/>
        <w:ind w:right="918"/>
        <w:jc w:val="both"/>
        <w:rPr>
          <w:rFonts w:ascii="Times New Roman" w:hAnsi="Times New Roman" w:cs="Times New Roman"/>
          <w:b/>
          <w:bCs/>
          <w:sz w:val="24"/>
          <w:szCs w:val="24"/>
        </w:rPr>
      </w:pPr>
      <w:r w:rsidRPr="00C218FB">
        <w:rPr>
          <w:rFonts w:ascii="Times New Roman" w:hAnsi="Times New Roman" w:cs="Times New Roman"/>
          <w:b/>
          <w:bCs/>
          <w:sz w:val="24"/>
          <w:szCs w:val="24"/>
        </w:rPr>
        <w:t>Presidente Municipal de Acolman:</w:t>
      </w:r>
    </w:p>
    <w:p w:rsidR="000F603A" w:rsidRPr="00C218FB" w:rsidRDefault="000F603A" w:rsidP="00C218FB">
      <w:pPr>
        <w:spacing w:after="0" w:line="240" w:lineRule="auto"/>
        <w:ind w:left="851" w:right="918"/>
        <w:jc w:val="both"/>
        <w:rPr>
          <w:rFonts w:ascii="Times New Roman" w:eastAsia="Arial" w:hAnsi="Times New Roman" w:cs="Times New Roman"/>
          <w:i/>
          <w:iCs/>
          <w:sz w:val="24"/>
          <w:szCs w:val="24"/>
        </w:rPr>
      </w:pPr>
      <w:r w:rsidRPr="00C218FB">
        <w:rPr>
          <w:rFonts w:ascii="Times New Roman" w:eastAsia="Arial" w:hAnsi="Times New Roman" w:cs="Times New Roman"/>
          <w:i/>
          <w:iCs/>
          <w:sz w:val="24"/>
          <w:szCs w:val="24"/>
        </w:rPr>
        <w:t xml:space="preserve">“EN ESTE ACTO EL GOBIERNO MUNICIPAL DE ACOLMAN </w:t>
      </w:r>
      <w:r w:rsidRPr="00C218FB">
        <w:rPr>
          <w:rFonts w:ascii="Times New Roman" w:eastAsia="Arial" w:hAnsi="Times New Roman" w:cs="Times New Roman"/>
          <w:b/>
          <w:bCs/>
          <w:i/>
          <w:iCs/>
          <w:sz w:val="24"/>
          <w:szCs w:val="24"/>
          <w:u w:val="single"/>
        </w:rPr>
        <w:t>RATIFICA</w:t>
      </w:r>
      <w:r w:rsidRPr="00C218FB">
        <w:rPr>
          <w:rFonts w:ascii="Times New Roman" w:eastAsia="Arial" w:hAnsi="Times New Roman" w:cs="Times New Roman"/>
          <w:i/>
          <w:iCs/>
          <w:sz w:val="24"/>
          <w:szCs w:val="24"/>
          <w:u w:val="single"/>
        </w:rPr>
        <w:t xml:space="preserve"> </w:t>
      </w:r>
      <w:r w:rsidRPr="00C218FB">
        <w:rPr>
          <w:rFonts w:ascii="Times New Roman" w:eastAsia="Arial" w:hAnsi="Times New Roman" w:cs="Times New Roman"/>
          <w:i/>
          <w:iCs/>
          <w:sz w:val="24"/>
          <w:szCs w:val="24"/>
        </w:rPr>
        <w:t>EN TODOS SUS TÉRMINOS EL ESCRITO DE SOLICITUD POR EL CUAL SE DEMANDA LA INTERVENCIÓN DE LA “LXI” LEGISLATURA DEL ESTADO DE MÉXICO, PARA LA SOLUCIÓN DEL DIFERENDO LIMÍTROFE ENTRE LOS AYUNTAMIENTOS DE ACOLMAN Y ECATEPEC, ASÍ COMO LAS PRUEBAS PRESENTADAS POR LA DIPUTADA PROMOVENTE BEATRIZ GARCÍA VILLEGAS”.</w:t>
      </w:r>
    </w:p>
    <w:p w:rsidR="000F603A" w:rsidRPr="00C218FB" w:rsidRDefault="000F603A" w:rsidP="00C218FB">
      <w:pPr>
        <w:spacing w:after="0" w:line="240" w:lineRule="auto"/>
        <w:ind w:left="851" w:right="918"/>
        <w:jc w:val="both"/>
        <w:rPr>
          <w:rFonts w:ascii="Times New Roman" w:hAnsi="Times New Roman" w:cs="Times New Roman"/>
          <w:b/>
          <w:bCs/>
          <w:i/>
          <w:sz w:val="24"/>
          <w:szCs w:val="24"/>
        </w:rPr>
      </w:pPr>
    </w:p>
    <w:p w:rsidR="000F603A" w:rsidRPr="00C218FB" w:rsidRDefault="000F603A" w:rsidP="00C218FB">
      <w:pPr>
        <w:spacing w:after="0" w:line="240" w:lineRule="auto"/>
        <w:ind w:right="918"/>
        <w:jc w:val="both"/>
        <w:rPr>
          <w:rFonts w:ascii="Times New Roman" w:hAnsi="Times New Roman" w:cs="Times New Roman"/>
          <w:b/>
          <w:bCs/>
          <w:sz w:val="24"/>
          <w:szCs w:val="24"/>
        </w:rPr>
      </w:pPr>
      <w:r w:rsidRPr="00C218FB">
        <w:rPr>
          <w:rFonts w:ascii="Times New Roman" w:hAnsi="Times New Roman" w:cs="Times New Roman"/>
          <w:b/>
          <w:bCs/>
          <w:sz w:val="24"/>
          <w:szCs w:val="24"/>
        </w:rPr>
        <w:t>Síndico Municipal de Acolman:</w:t>
      </w:r>
    </w:p>
    <w:p w:rsidR="000F603A" w:rsidRPr="00C218FB" w:rsidRDefault="000F603A" w:rsidP="00C218FB">
      <w:pPr>
        <w:spacing w:after="0" w:line="240" w:lineRule="auto"/>
        <w:ind w:left="851" w:right="918"/>
        <w:jc w:val="both"/>
        <w:rPr>
          <w:rFonts w:ascii="Times New Roman" w:hAnsi="Times New Roman" w:cs="Times New Roman"/>
          <w:i/>
          <w:sz w:val="24"/>
          <w:szCs w:val="24"/>
        </w:rPr>
      </w:pPr>
      <w:r w:rsidRPr="00C218FB">
        <w:rPr>
          <w:rFonts w:ascii="Times New Roman" w:eastAsia="Arial" w:hAnsi="Times New Roman" w:cs="Times New Roman"/>
          <w:i/>
          <w:sz w:val="24"/>
          <w:szCs w:val="24"/>
        </w:rPr>
        <w:t xml:space="preserve">“TAMBIÉN </w:t>
      </w:r>
      <w:r w:rsidRPr="00C218FB">
        <w:rPr>
          <w:rFonts w:ascii="Times New Roman" w:eastAsia="Arial" w:hAnsi="Times New Roman" w:cs="Times New Roman"/>
          <w:i/>
          <w:sz w:val="24"/>
          <w:szCs w:val="24"/>
          <w:u w:val="single"/>
        </w:rPr>
        <w:t>RATIFICAR LO MANIFESTADO</w:t>
      </w:r>
      <w:r w:rsidRPr="00C218FB">
        <w:rPr>
          <w:rFonts w:ascii="Times New Roman" w:eastAsia="Arial" w:hAnsi="Times New Roman" w:cs="Times New Roman"/>
          <w:i/>
          <w:sz w:val="24"/>
          <w:szCs w:val="24"/>
        </w:rPr>
        <w:t xml:space="preserve"> EN EL ESCRITO DE SOLICITUD Y PRUEBAS </w:t>
      </w:r>
      <w:r w:rsidRPr="00C218FB">
        <w:rPr>
          <w:rFonts w:ascii="Times New Roman" w:hAnsi="Times New Roman" w:cs="Times New Roman"/>
          <w:i/>
          <w:sz w:val="24"/>
          <w:szCs w:val="24"/>
        </w:rPr>
        <w:tab/>
      </w:r>
      <w:r w:rsidRPr="00C218FB">
        <w:rPr>
          <w:rFonts w:ascii="Times New Roman" w:eastAsia="Arial" w:hAnsi="Times New Roman" w:cs="Times New Roman"/>
          <w:i/>
          <w:sz w:val="24"/>
          <w:szCs w:val="24"/>
        </w:rPr>
        <w:t>QUE PRESENTO LA DIPUTADA PROMOVENTE, LA CIUDADANA BEATRIZ GARCÍA VILLEGAS”.</w:t>
      </w:r>
    </w:p>
    <w:p w:rsidR="000F603A" w:rsidRPr="00C218FB" w:rsidRDefault="000F603A" w:rsidP="00C218FB">
      <w:pPr>
        <w:spacing w:after="0" w:line="240" w:lineRule="auto"/>
        <w:ind w:left="851" w:right="918"/>
        <w:jc w:val="both"/>
        <w:rPr>
          <w:rFonts w:ascii="Times New Roman" w:eastAsia="Arial" w:hAnsi="Times New Roman" w:cs="Times New Roman"/>
          <w:i/>
          <w:sz w:val="24"/>
          <w:szCs w:val="24"/>
        </w:rPr>
      </w:pPr>
    </w:p>
    <w:p w:rsidR="000F603A" w:rsidRPr="00C218FB" w:rsidRDefault="000F603A" w:rsidP="00C218FB">
      <w:pPr>
        <w:spacing w:after="0" w:line="240" w:lineRule="auto"/>
        <w:ind w:right="918"/>
        <w:jc w:val="both"/>
        <w:rPr>
          <w:rFonts w:ascii="Times New Roman" w:eastAsia="Arial" w:hAnsi="Times New Roman" w:cs="Times New Roman"/>
          <w:b/>
          <w:bCs/>
          <w:sz w:val="24"/>
          <w:szCs w:val="24"/>
        </w:rPr>
      </w:pPr>
      <w:r w:rsidRPr="00C218FB">
        <w:rPr>
          <w:rFonts w:ascii="Times New Roman" w:eastAsia="Arial" w:hAnsi="Times New Roman" w:cs="Times New Roman"/>
          <w:b/>
          <w:bCs/>
          <w:sz w:val="24"/>
          <w:szCs w:val="24"/>
        </w:rPr>
        <w:t>Presidenta del Municipio de Atenco:</w:t>
      </w:r>
    </w:p>
    <w:p w:rsidR="000F603A" w:rsidRPr="00C218FB" w:rsidRDefault="000F603A" w:rsidP="00C218FB">
      <w:pPr>
        <w:spacing w:after="0" w:line="240" w:lineRule="auto"/>
        <w:ind w:left="851" w:right="918"/>
        <w:jc w:val="both"/>
        <w:rPr>
          <w:rFonts w:ascii="Times New Roman" w:eastAsia="Arial" w:hAnsi="Times New Roman" w:cs="Times New Roman"/>
          <w:b/>
          <w:bCs/>
          <w:i/>
          <w:sz w:val="24"/>
          <w:szCs w:val="24"/>
        </w:rPr>
      </w:pPr>
      <w:r w:rsidRPr="00C218FB">
        <w:rPr>
          <w:rFonts w:ascii="Times New Roman" w:eastAsia="Arial" w:hAnsi="Times New Roman" w:cs="Times New Roman"/>
          <w:i/>
          <w:sz w:val="24"/>
          <w:szCs w:val="24"/>
        </w:rPr>
        <w:t>“MANIFIESTO Y RATIFICO QUE ES MI DESEO GENERAR LA AMPLIACIÓN DEL MISMO PARA EFECTOS DE QUE SE HAGAN LOS SEÑALAMIENTOS OFICIALES QUE FIJEN LOS LIMITES TERRITORIALES DE LA AVENIDA SAN SALVADOR ATENCO A EFECTO DE TENER UN DERECHO DE VÍA CONFORME A LO ESTABLECIDO EN EL ARTÍCULO 60 DE LA LEY REGLAMENTARIA DE LAS FRACCIONES XXV Y XXVI DEL ARTÍCULO 61 DE LA CONSTITUCIÓN POLÍTICA DEL ESTADO LIBRE Y SOBERANO DE MÉXICO”.</w:t>
      </w:r>
    </w:p>
    <w:p w:rsidR="000F603A" w:rsidRPr="00C218FB" w:rsidRDefault="000F603A" w:rsidP="00C218FB">
      <w:pPr>
        <w:spacing w:after="0" w:line="240" w:lineRule="auto"/>
        <w:ind w:left="851" w:right="918"/>
        <w:jc w:val="both"/>
        <w:rPr>
          <w:rFonts w:ascii="Times New Roman" w:eastAsia="Arial" w:hAnsi="Times New Roman" w:cs="Times New Roman"/>
          <w:b/>
          <w:bCs/>
          <w:i/>
          <w:sz w:val="24"/>
          <w:szCs w:val="24"/>
        </w:rPr>
      </w:pPr>
    </w:p>
    <w:p w:rsidR="000F603A" w:rsidRPr="00C218FB" w:rsidRDefault="000F603A" w:rsidP="00C218FB">
      <w:pPr>
        <w:spacing w:after="0" w:line="240" w:lineRule="auto"/>
        <w:ind w:right="918"/>
        <w:jc w:val="both"/>
        <w:rPr>
          <w:rFonts w:ascii="Times New Roman" w:eastAsia="Arial" w:hAnsi="Times New Roman" w:cs="Times New Roman"/>
          <w:b/>
          <w:bCs/>
          <w:sz w:val="24"/>
          <w:szCs w:val="24"/>
        </w:rPr>
      </w:pPr>
      <w:r w:rsidRPr="00C218FB">
        <w:rPr>
          <w:rFonts w:ascii="Times New Roman" w:eastAsia="Arial" w:hAnsi="Times New Roman" w:cs="Times New Roman"/>
          <w:b/>
          <w:bCs/>
          <w:sz w:val="24"/>
          <w:szCs w:val="24"/>
        </w:rPr>
        <w:t>Síndico del Municipio de Atenco:</w:t>
      </w:r>
    </w:p>
    <w:p w:rsidR="000F603A" w:rsidRPr="00C218FB" w:rsidRDefault="000F603A" w:rsidP="00C218FB">
      <w:pPr>
        <w:spacing w:after="0" w:line="240" w:lineRule="auto"/>
        <w:ind w:left="851" w:right="918"/>
        <w:jc w:val="both"/>
        <w:rPr>
          <w:rFonts w:ascii="Times New Roman" w:eastAsia="Arial" w:hAnsi="Times New Roman" w:cs="Times New Roman"/>
          <w:i/>
          <w:iCs/>
          <w:sz w:val="24"/>
          <w:szCs w:val="24"/>
        </w:rPr>
      </w:pPr>
      <w:r w:rsidRPr="00C218FB">
        <w:rPr>
          <w:rFonts w:ascii="Times New Roman" w:eastAsia="Arial" w:hAnsi="Times New Roman" w:cs="Times New Roman"/>
          <w:i/>
          <w:iCs/>
          <w:sz w:val="24"/>
          <w:szCs w:val="24"/>
        </w:rPr>
        <w:t>“PIDO SE AMPLÍE EL ESCRITO QUE PRESENTA LA DIPUTADA CON EL QUE SE INICIA EL DIFERENDO LIMÍTROFE”.</w:t>
      </w:r>
    </w:p>
    <w:p w:rsidR="000F603A" w:rsidRPr="00C218FB" w:rsidRDefault="000F603A" w:rsidP="00C218FB">
      <w:pPr>
        <w:spacing w:after="0" w:line="240" w:lineRule="auto"/>
        <w:ind w:left="851" w:right="918"/>
        <w:jc w:val="both"/>
        <w:rPr>
          <w:rFonts w:ascii="Times New Roman" w:eastAsia="Arial" w:hAnsi="Times New Roman" w:cs="Times New Roman"/>
          <w:i/>
          <w:sz w:val="24"/>
          <w:szCs w:val="24"/>
        </w:rPr>
      </w:pPr>
    </w:p>
    <w:p w:rsidR="000F603A" w:rsidRPr="00C218FB" w:rsidRDefault="000F603A" w:rsidP="00C218FB">
      <w:pPr>
        <w:spacing w:after="0" w:line="240" w:lineRule="auto"/>
        <w:ind w:right="918"/>
        <w:jc w:val="both"/>
        <w:rPr>
          <w:rFonts w:ascii="Times New Roman" w:eastAsia="Arial" w:hAnsi="Times New Roman" w:cs="Times New Roman"/>
          <w:b/>
          <w:bCs/>
          <w:sz w:val="24"/>
          <w:szCs w:val="24"/>
        </w:rPr>
      </w:pPr>
      <w:r w:rsidRPr="00C218FB">
        <w:rPr>
          <w:rFonts w:ascii="Times New Roman" w:eastAsia="Arial" w:hAnsi="Times New Roman" w:cs="Times New Roman"/>
          <w:b/>
          <w:bCs/>
          <w:sz w:val="24"/>
          <w:szCs w:val="24"/>
        </w:rPr>
        <w:t>Presidente Municipal de Tecámac:</w:t>
      </w:r>
    </w:p>
    <w:p w:rsidR="000F603A" w:rsidRPr="00C218FB" w:rsidRDefault="000F603A" w:rsidP="00C218FB">
      <w:pPr>
        <w:spacing w:after="0" w:line="240" w:lineRule="auto"/>
        <w:ind w:left="851" w:right="918"/>
        <w:jc w:val="both"/>
        <w:rPr>
          <w:rFonts w:ascii="Times New Roman" w:eastAsia="Arial" w:hAnsi="Times New Roman" w:cs="Times New Roman"/>
          <w:sz w:val="24"/>
          <w:szCs w:val="24"/>
        </w:rPr>
      </w:pPr>
      <w:r w:rsidRPr="00C218FB">
        <w:rPr>
          <w:rFonts w:ascii="Times New Roman" w:eastAsia="Arial" w:hAnsi="Times New Roman" w:cs="Times New Roman"/>
          <w:sz w:val="24"/>
          <w:szCs w:val="24"/>
        </w:rPr>
        <w:t>Mediante escrito de fecha 21 de septiembre 2022, el Presidente Municipal de Tecámac, ratifica la solicitud del diferendo limítrofe presentada por la Diputada Beatriz García Villegas, en fecha 15 de febrero de dos mil veintidós.</w:t>
      </w:r>
    </w:p>
    <w:p w:rsidR="000F603A" w:rsidRPr="00C218FB" w:rsidRDefault="000F603A" w:rsidP="00C218FB">
      <w:pPr>
        <w:spacing w:after="0" w:line="240" w:lineRule="auto"/>
        <w:jc w:val="both"/>
        <w:rPr>
          <w:rFonts w:ascii="Times New Roman" w:eastAsia="Arial"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eastAsia="Yu Mincho" w:hAnsi="Times New Roman" w:cs="Times New Roman"/>
          <w:sz w:val="24"/>
          <w:szCs w:val="24"/>
        </w:rPr>
        <w:t xml:space="preserve">Asimismo, de conformidad con lo previsto en los artículos 41 y 42 de la </w:t>
      </w:r>
      <w:r w:rsidRPr="00C218FB">
        <w:rPr>
          <w:rFonts w:ascii="Times New Roman" w:hAnsi="Times New Roman" w:cs="Times New Roman"/>
          <w:sz w:val="24"/>
          <w:szCs w:val="24"/>
        </w:rPr>
        <w:t xml:space="preserve">Ley Reglamentaria de las Fracciones XXV y XXVI del artículo 61 de la Constitución Política del Estado Libre y Soberano de México, en fecha trece de mayo de dos mil veintidós, se recibió la comparecencia del C. RIGOBERTO CORTES MELGOZA: Presidente del Ayuntamiento de Acolman, Estado de México en la que ratificó el escrito de solicitud de diferendo limítrofe en los términos siguientes: </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ind w:left="851" w:right="851"/>
        <w:jc w:val="both"/>
        <w:rPr>
          <w:rFonts w:ascii="Times New Roman" w:hAnsi="Times New Roman" w:cs="Times New Roman"/>
          <w:i/>
          <w:sz w:val="24"/>
          <w:szCs w:val="24"/>
        </w:rPr>
      </w:pPr>
      <w:r w:rsidRPr="00C218FB">
        <w:rPr>
          <w:rFonts w:ascii="Times New Roman" w:hAnsi="Times New Roman" w:cs="Times New Roman"/>
          <w:i/>
          <w:sz w:val="24"/>
          <w:szCs w:val="24"/>
        </w:rPr>
        <w:lastRenderedPageBreak/>
        <w:t>“(…)</w:t>
      </w:r>
    </w:p>
    <w:p w:rsidR="000F603A" w:rsidRPr="00C218FB" w:rsidRDefault="000F603A" w:rsidP="00C218FB">
      <w:pPr>
        <w:spacing w:after="0" w:line="240" w:lineRule="auto"/>
        <w:ind w:left="851" w:right="851"/>
        <w:jc w:val="both"/>
        <w:rPr>
          <w:rFonts w:ascii="Times New Roman" w:hAnsi="Times New Roman" w:cs="Times New Roman"/>
          <w:i/>
          <w:sz w:val="24"/>
          <w:szCs w:val="24"/>
        </w:rPr>
      </w:pPr>
      <w:r w:rsidRPr="00C218FB">
        <w:rPr>
          <w:rFonts w:ascii="Times New Roman" w:hAnsi="Times New Roman" w:cs="Times New Roman"/>
          <w:i/>
          <w:sz w:val="24"/>
          <w:szCs w:val="24"/>
        </w:rPr>
        <w:t>PRESIDENCIA: COMO ANTERIORMENTE LO REFERÍ, CONTINUAREMOS CON LA INTERVENCIÓN DE LOS CIUDADANOS DEL MUNICIPIO DE ACOLMAN; ASÍ QUE, SIGUIENDO EL ORDEN ANUNCIADO, DOY EL USO DE LA PALABRA AL CIUDADANO RIGOBERTO CORTÉS MELGOZA PARA QUE MANIFIESTE SUS PLANTEAMIENTOS EN RELACIÓN CON EL INICIO DE ESTE PROCEDIMIENTO. ADELANTE, PRESIDENTE.</w:t>
      </w:r>
    </w:p>
    <w:p w:rsidR="000F603A" w:rsidRPr="00C218FB" w:rsidRDefault="000F603A" w:rsidP="00C218FB">
      <w:pPr>
        <w:spacing w:after="0" w:line="240" w:lineRule="auto"/>
        <w:ind w:left="851" w:right="851"/>
        <w:jc w:val="both"/>
        <w:rPr>
          <w:rFonts w:ascii="Times New Roman" w:hAnsi="Times New Roman" w:cs="Times New Roman"/>
          <w:i/>
          <w:sz w:val="24"/>
          <w:szCs w:val="24"/>
        </w:rPr>
      </w:pPr>
    </w:p>
    <w:p w:rsidR="000F603A" w:rsidRPr="00C218FB" w:rsidRDefault="000F603A" w:rsidP="00C218FB">
      <w:pPr>
        <w:spacing w:after="0" w:line="240" w:lineRule="auto"/>
        <w:ind w:left="851" w:right="851"/>
        <w:jc w:val="both"/>
        <w:rPr>
          <w:rFonts w:ascii="Times New Roman" w:hAnsi="Times New Roman" w:cs="Times New Roman"/>
          <w:i/>
          <w:sz w:val="24"/>
          <w:szCs w:val="24"/>
        </w:rPr>
      </w:pPr>
      <w:r w:rsidRPr="00C218FB">
        <w:rPr>
          <w:rFonts w:ascii="Times New Roman" w:hAnsi="Times New Roman" w:cs="Times New Roman"/>
          <w:i/>
          <w:sz w:val="24"/>
          <w:szCs w:val="24"/>
        </w:rPr>
        <w:t>PRESIDENTE RIGOBERTO CORTES MELGOZA: MUCHAS GRACIAS, DIPUTADA PRESIDENTA ELBA ALDANA DUARTE. SALUDO CON APRECIO A LA DIPUTADA BEATRIZ GARCÍA VILLEGAS POR ESTE АСТО QUE SIN DUDA ALGUNA VA ENCAMINADO A QUE TENGAN LOS SERVICIOS LOS CIUDADANOS DE ESTA PARTE DEL TERRITORIO EN CONFLICTO. SALUDO POR SUPUESTO A LA PRESIDENTA CITLALLI CRUZ SÁNCHEZ, PRESIDENTA MUNICIPAL DE ATENCO, PRESIDENTA MUCHAS GRACIAS POR ACOMPAÑARNOS. Y POR SUPUESTO, A NUESTRO AMIGO FERNANDO VILCHIS CONTRERAS; SALUDO TAMBIÉN CON APRECIO, DIPUTADOS DE ESTA COMISIÓN, MUY BUENAS TARDES A TODOS.</w:t>
      </w:r>
    </w:p>
    <w:p w:rsidR="000F603A" w:rsidRPr="00C218FB" w:rsidRDefault="000F603A" w:rsidP="00C218FB">
      <w:pPr>
        <w:spacing w:after="0" w:line="240" w:lineRule="auto"/>
        <w:ind w:left="851" w:right="851"/>
        <w:jc w:val="both"/>
        <w:rPr>
          <w:rFonts w:ascii="Times New Roman" w:hAnsi="Times New Roman" w:cs="Times New Roman"/>
          <w:i/>
          <w:sz w:val="24"/>
          <w:szCs w:val="24"/>
        </w:rPr>
      </w:pPr>
    </w:p>
    <w:p w:rsidR="000F603A" w:rsidRPr="00C218FB" w:rsidRDefault="000F603A" w:rsidP="00C218FB">
      <w:pPr>
        <w:spacing w:after="0" w:line="240" w:lineRule="auto"/>
        <w:ind w:left="851" w:right="851"/>
        <w:jc w:val="both"/>
        <w:rPr>
          <w:rFonts w:ascii="Times New Roman" w:hAnsi="Times New Roman" w:cs="Times New Roman"/>
          <w:i/>
          <w:sz w:val="24"/>
          <w:szCs w:val="24"/>
        </w:rPr>
      </w:pPr>
      <w:r w:rsidRPr="00C218FB">
        <w:rPr>
          <w:rFonts w:ascii="Times New Roman" w:hAnsi="Times New Roman" w:cs="Times New Roman"/>
          <w:i/>
          <w:sz w:val="24"/>
          <w:szCs w:val="24"/>
        </w:rPr>
        <w:t>QUIERO MANIFESTAR QUE LO EXPUESTO ES SOLO SÓLIDO FUNDAMENTO PARA ACREDITAR QUE EXISTEN ANTECEDENTES TÉCNICOS, HISTÓRICOS Y JURÍDICOS QUE FORTALECEN QUE EL TERRITORIO EN CONFLICTO PRADOS SAN JUAN, GUERRERO, PIRULES, LÁZARO CÁRDENAS Y LA LAGUNA SON PARTE DEL TERRITORIO MUNICIPAL DE ACOLMAN. ASIMISMO EN ESTE ACTO SE RATIFICA CON TODOS SUS TÉRMINOS EL ESCRITO DE SOLICITUD POR EL QUE SE DEMANDA LA INTERVENCIÓN DE ESTA LEGISLATURA DEL ESTADO DE MÉXICO PARA LA SOLUCIÓN DEL DIFERENDO LIMÍTROFE ENTRE LOS MUNICIPIOS DE ACOLMAN Y ECATEPEC, ASÍ COMO LAS PRUEBAS PRESENTADAS POR LA DIPUTADA BEATRIZ GARCÍA VILLEGAS, PRESIDENTA DE LA COMISIÓN LEGISLATIVA DE RECURSOS HIDRÁULICOS, DE FECHA 15 DE FEBRERO, POR LO CUAL VOY A SOLICITAR EN ESTE ACTO, UNA AMPLIACIÓN DEL TÉRMINO PARA QUE PODAMOS APORTAR AUNQUE YA LO HAYAMOS HECНО, QUIERO INFORMAR QUE YA OBRA EN LOS EXPEDIENTES, UNA DOCUMENTAL PÚBLICA QUE CONSISTE EN UNA COPIA CERTIFICADA EXPEDIDA POR EL REGISTRO AGRARIO</w:t>
      </w:r>
      <w:r w:rsidRPr="00C218FB">
        <w:rPr>
          <w:rFonts w:ascii="Times New Roman" w:hAnsi="Times New Roman" w:cs="Times New Roman"/>
          <w:sz w:val="24"/>
          <w:szCs w:val="24"/>
        </w:rPr>
        <w:t xml:space="preserve"> </w:t>
      </w:r>
      <w:r w:rsidRPr="00C218FB">
        <w:rPr>
          <w:rFonts w:ascii="Times New Roman" w:hAnsi="Times New Roman" w:cs="Times New Roman"/>
          <w:i/>
          <w:sz w:val="24"/>
          <w:szCs w:val="24"/>
        </w:rPr>
        <w:t xml:space="preserve">NACIONAL RELATIVO A LA RESOLUCIÓN SOBRE EL EXPEDIENTE DE DOTACIÓN DE TIERRAS DEL POBLADO DE SANTA MARÍA CHICONAUTLA, PUBLICADO EL 15 DE OCTUBRE DE 1934, 26 DE NOVIEMBRE DEL MISMO AÑO EN EL DIARIO OFICIAL DE LA FEDERACIÓN, DOCUMENTAL PÚBLICA, COPIA CERTIFICADA EXPEDIDA POR EL REGISTRO AGRARIO NACIONAL RELATIVO A LA AMPLIACIÓN DEL EJIDO DE SANTA MARÍA CHICONAUTLA PUBLICADO EL 9 DE NOVIEMBRE DEL AÑO DE 1937 EN EL DIARIO OFICIAL DE LA FEDERACIÓN, DOCUMENTAL PÚBLICA, COPIA CERTIFICADA EXPEDIDA POR EL REGISTRO AGRARIO NACIONAL RELATIVO A LA RESOLUCIÓN DE TIERRAS REVERTIDA POR LA SEGUNDA AMPLIACIÓN DEL POBLADO DE SANTA MARÍA CHICONAUTLA PUBLICADO EL 1 DE </w:t>
      </w:r>
      <w:r w:rsidRPr="00C218FB">
        <w:rPr>
          <w:rFonts w:ascii="Times New Roman" w:hAnsi="Times New Roman" w:cs="Times New Roman"/>
          <w:i/>
          <w:sz w:val="24"/>
          <w:szCs w:val="24"/>
        </w:rPr>
        <w:lastRenderedPageBreak/>
        <w:t>ABRIL DE 1948 EN EL DIARIO OFICIAL DE LA FEDERACIÓN, DICTAMEN, DOCUMENTAL PÚBLICA, DE LA COMISIÓN ESTATAL DE LÍMITES TERRITORIALES DEL ESTADO DE MÉXICO SOBRE EL DIFERENDO LIMÍTROFE ENTRE LOS MUNICIPIOS DE ACOLMAN Y ECAТЕРЕС, ЕMITIDO Y SUSCRITO POR EL PRESIDENTE Y VOCALES EL 12 DE JULIO DE 2022, ES DECIR, DESDE EL 12 DE JULIO DEL 2002 EXISTÍA YA ESTE DICTAMEN DE LA COMISIÓN DE LÍMITES DONDE LE DAВА LA RAZÓN AL MUNICIPIO DE ACOLMAN, EN SU MOMENTO YO TUVE TAMBIÉN LA OPORTUNIDAD DE PRESIDIR ESTE MUNICIPIO Y FUE CUANDO SE EMITIÓ ESTA RESOLUCIÓN, ES DECIR, A DOCUMENTAL PÚBLICA QUE APORTAMOS NUEVAMENTE QUE OBRA EN LOS EXPEDIENTES O EN EL EXPEDIENTE TAMBIÉN FUE ACREDITADO EN SU MOMENTO. POR ESO ES POR LO QUE EL 12 DE JULIO DE 2002 FUE CUANDO SALIÓ EL DICTAMEN DE LA COMISIÓN DE LÍMITES Y FINALMENTE, DOCUMENTAL PÚBLICA CONSISTENTE EN EL PLAN DE DESARROLLO URBANO PUBLICADO EN LA GACETA DE GOBIERNO DE AÑO 2008 DEL 2 DE OCTUBRE EN EL МАРА МUNICIPAL DE ACOLMAN CERTIFICADO POR EL IGECEM.</w:t>
      </w:r>
    </w:p>
    <w:p w:rsidR="000F603A" w:rsidRPr="00C218FB" w:rsidRDefault="000F603A" w:rsidP="00C218FB">
      <w:pPr>
        <w:spacing w:after="0" w:line="240" w:lineRule="auto"/>
        <w:jc w:val="both"/>
        <w:rPr>
          <w:rFonts w:ascii="Times New Roman" w:eastAsia="Arial" w:hAnsi="Times New Roman" w:cs="Times New Roman"/>
          <w:sz w:val="24"/>
          <w:szCs w:val="24"/>
        </w:rPr>
      </w:pPr>
    </w:p>
    <w:p w:rsidR="000F603A" w:rsidRPr="00C218FB" w:rsidRDefault="000F603A" w:rsidP="00C218FB">
      <w:pPr>
        <w:pStyle w:val="NormalWeb"/>
        <w:spacing w:before="0" w:beforeAutospacing="0" w:after="0" w:afterAutospacing="0"/>
        <w:jc w:val="both"/>
        <w:rPr>
          <w:rFonts w:eastAsia="Arial"/>
        </w:rPr>
      </w:pPr>
      <w:r w:rsidRPr="00C218FB">
        <w:rPr>
          <w:rFonts w:eastAsia="Arial"/>
        </w:rPr>
        <w:t>Concluidas las intervenciones en el desahogo de la garantía de audiencia de los municipios de Acolman y Ecatepec y como terceros interesados a los Municipios de Tecámac y Atenco, la presidencia de la Comisión de Límites Territoriales del Estado de México y sus Municipios, con fundamento en lo señalado en los artículos 45 fracción IV, 46, 47, 48, 49, 50, 51, 52, 53 y 54 de la Ley Reglamentaria, requirió a los municipios involucrados para que en un plazo de 30 días hábiles posteriores a esa audiencia remitieran los escritos de ratificación y/o ampliación de conformidad con lo dispuesto en el artículo 42 de la Ley Reglamentaria, así como las pruebas que considerarán suficientes para acreditar sus manifestaciones.</w:t>
      </w:r>
    </w:p>
    <w:p w:rsidR="000F603A" w:rsidRPr="00C218FB" w:rsidRDefault="000F603A" w:rsidP="00C218FB">
      <w:pPr>
        <w:pStyle w:val="NormalWeb"/>
        <w:spacing w:before="0" w:beforeAutospacing="0" w:after="0" w:afterAutospacing="0"/>
        <w:ind w:right="49"/>
        <w:jc w:val="both"/>
        <w:rPr>
          <w:b/>
        </w:rPr>
      </w:pPr>
    </w:p>
    <w:p w:rsidR="000F603A" w:rsidRPr="00C218FB" w:rsidRDefault="000F603A" w:rsidP="00C218FB">
      <w:pPr>
        <w:pStyle w:val="NormalWeb"/>
        <w:spacing w:before="0" w:beforeAutospacing="0" w:after="0" w:afterAutospacing="0"/>
        <w:ind w:right="49"/>
        <w:jc w:val="both"/>
        <w:rPr>
          <w:rFonts w:eastAsia="Yu Mincho"/>
        </w:rPr>
      </w:pPr>
      <w:r w:rsidRPr="00C218FB">
        <w:rPr>
          <w:b/>
          <w:bCs/>
        </w:rPr>
        <w:t>SEXTO.-</w:t>
      </w:r>
      <w:r w:rsidRPr="00C218FB">
        <w:t xml:space="preserve"> El municipio de Acolman, a través de sus representantes los C.C. RIGOBERTO CORTÉS MELGOZA, Presidente Municipal y BLANCA GUADALUPE SÁNCHEZ OSORIO, Síndica Municipal, mediante escrito presentado en fecha veinticuatro de junio de dos mil veintidós ante el Presidente de la Comisión Legislativa de Límites Territoriales del Estado de México y sus Municipios, ofreció las pruebas que a sus intereses convinieron consistentes en </w:t>
      </w:r>
      <w:r w:rsidRPr="00C218FB">
        <w:rPr>
          <w:rFonts w:eastAsia="Yu Mincho"/>
        </w:rPr>
        <w:t>11 probanzas para demostrar que el polígono en conflicto (Santa María Chiconautla), le es propio en territorio.</w:t>
      </w:r>
    </w:p>
    <w:p w:rsidR="000F603A" w:rsidRPr="00C218FB" w:rsidRDefault="000F603A" w:rsidP="00C218FB">
      <w:pPr>
        <w:spacing w:after="0" w:line="240" w:lineRule="auto"/>
        <w:jc w:val="both"/>
        <w:rPr>
          <w:rFonts w:ascii="Times New Roman" w:eastAsia="Yu Mincho" w:hAnsi="Times New Roman" w:cs="Times New Roman"/>
          <w:sz w:val="24"/>
          <w:szCs w:val="24"/>
        </w:rPr>
      </w:pPr>
    </w:p>
    <w:p w:rsidR="000F603A" w:rsidRPr="00C218FB" w:rsidRDefault="000F603A" w:rsidP="00C218FB">
      <w:pPr>
        <w:spacing w:after="0" w:line="240" w:lineRule="auto"/>
        <w:ind w:left="567" w:right="851"/>
        <w:jc w:val="both"/>
        <w:rPr>
          <w:rFonts w:ascii="Times New Roman" w:hAnsi="Times New Roman" w:cs="Times New Roman"/>
          <w:sz w:val="24"/>
          <w:szCs w:val="24"/>
        </w:rPr>
      </w:pPr>
      <w:r w:rsidRPr="00C218FB">
        <w:rPr>
          <w:rFonts w:ascii="Times New Roman" w:hAnsi="Times New Roman" w:cs="Times New Roman"/>
          <w:b/>
          <w:bCs/>
          <w:i/>
          <w:iCs/>
          <w:sz w:val="24"/>
          <w:szCs w:val="24"/>
        </w:rPr>
        <w:t>1.</w:t>
      </w:r>
      <w:r w:rsidRPr="00C218FB">
        <w:rPr>
          <w:rFonts w:ascii="Times New Roman" w:hAnsi="Times New Roman" w:cs="Times New Roman"/>
          <w:b/>
          <w:i/>
          <w:iCs/>
          <w:sz w:val="24"/>
          <w:szCs w:val="24"/>
        </w:rPr>
        <w:t>-</w:t>
      </w:r>
      <w:r w:rsidRPr="00C218FB">
        <w:rPr>
          <w:rFonts w:ascii="Times New Roman" w:hAnsi="Times New Roman" w:cs="Times New Roman"/>
          <w:i/>
          <w:iCs/>
          <w:sz w:val="24"/>
          <w:szCs w:val="24"/>
        </w:rPr>
        <w:t xml:space="preserve"> </w:t>
      </w:r>
      <w:r w:rsidRPr="00C218FB">
        <w:rPr>
          <w:rFonts w:ascii="Times New Roman" w:hAnsi="Times New Roman" w:cs="Times New Roman"/>
          <w:sz w:val="24"/>
          <w:szCs w:val="24"/>
        </w:rPr>
        <w:t>La documental pública marcada con el numeral uno (1) en el escrito en comento, consistente en el acuerdo de cabildo de fecha 2 de febrero del año 2022, mediante el acta de cabildo número 006, sesión ordinaria número 004.</w:t>
      </w:r>
    </w:p>
    <w:p w:rsidR="000F603A" w:rsidRPr="00C218FB" w:rsidRDefault="000F603A" w:rsidP="00C218FB">
      <w:pPr>
        <w:spacing w:after="0" w:line="240" w:lineRule="auto"/>
        <w:ind w:left="567" w:right="851"/>
        <w:jc w:val="both"/>
        <w:rPr>
          <w:rFonts w:ascii="Times New Roman" w:eastAsia="Yu Mincho" w:hAnsi="Times New Roman" w:cs="Times New Roman"/>
          <w:b/>
          <w:bCs/>
          <w:i/>
          <w:sz w:val="24"/>
          <w:szCs w:val="24"/>
        </w:rPr>
      </w:pPr>
    </w:p>
    <w:p w:rsidR="000F603A" w:rsidRPr="00C218FB" w:rsidRDefault="000F603A" w:rsidP="00C218FB">
      <w:pPr>
        <w:spacing w:after="0" w:line="240" w:lineRule="auto"/>
        <w:ind w:left="567" w:right="851"/>
        <w:jc w:val="both"/>
        <w:rPr>
          <w:rFonts w:ascii="Times New Roman" w:eastAsia="Yu Mincho" w:hAnsi="Times New Roman" w:cs="Times New Roman"/>
          <w:i/>
          <w:iCs/>
          <w:sz w:val="24"/>
          <w:szCs w:val="24"/>
        </w:rPr>
      </w:pPr>
      <w:r w:rsidRPr="00C218FB">
        <w:rPr>
          <w:rFonts w:ascii="Times New Roman" w:eastAsia="Yu Mincho" w:hAnsi="Times New Roman" w:cs="Times New Roman"/>
          <w:b/>
          <w:bCs/>
          <w:i/>
          <w:iCs/>
          <w:sz w:val="24"/>
          <w:szCs w:val="24"/>
        </w:rPr>
        <w:t xml:space="preserve">2.- </w:t>
      </w:r>
      <w:r w:rsidRPr="00C218FB">
        <w:rPr>
          <w:rFonts w:ascii="Times New Roman" w:hAnsi="Times New Roman" w:cs="Times New Roman"/>
          <w:sz w:val="24"/>
          <w:szCs w:val="24"/>
        </w:rPr>
        <w:t>La documental pública marcada con el numeral dos (2) en el escrito en comento, consistente en escrito dirigido a la Diputada Elba Aldana Duarte, Presidenta de la Comisión Legislativa de Límites Territoriales del Estado de México y Municipios del Estado de México, signado por el L. C. Rigoberto Cortes Melgoza, en su carácter de Presidente Constitucional del Municipio de Acolman de Nezahualcóyotl, así como la L. A. Blanca Guadalupe Sánchez Osorio, en su calidad de Síndica Municipal, por las que hacen la exposición de motivos para la solución de diferendo limítrofe, entre los Municipios de Acolman de Nezahualcóyotl y el Municipio de Ecatepec de Morelos, ambos del Estado de México, así como la ratificación del mismo.</w:t>
      </w:r>
    </w:p>
    <w:p w:rsidR="000F603A" w:rsidRPr="00C218FB" w:rsidRDefault="000F603A" w:rsidP="00C218FB">
      <w:pPr>
        <w:spacing w:after="0" w:line="240" w:lineRule="auto"/>
        <w:ind w:left="567" w:right="851"/>
        <w:jc w:val="both"/>
        <w:rPr>
          <w:rFonts w:ascii="Times New Roman" w:eastAsia="Yu Mincho" w:hAnsi="Times New Roman" w:cs="Times New Roman"/>
          <w:i/>
          <w:sz w:val="24"/>
          <w:szCs w:val="24"/>
        </w:rPr>
      </w:pPr>
    </w:p>
    <w:p w:rsidR="000F603A" w:rsidRPr="00C218FB" w:rsidRDefault="000F603A" w:rsidP="00C218FB">
      <w:pPr>
        <w:spacing w:after="0" w:line="240" w:lineRule="auto"/>
        <w:ind w:left="567" w:right="851"/>
        <w:jc w:val="both"/>
        <w:rPr>
          <w:rFonts w:ascii="Times New Roman" w:eastAsia="Yu Mincho" w:hAnsi="Times New Roman" w:cs="Times New Roman"/>
          <w:i/>
          <w:sz w:val="24"/>
          <w:szCs w:val="24"/>
        </w:rPr>
      </w:pPr>
      <w:r w:rsidRPr="00C218FB">
        <w:rPr>
          <w:rFonts w:ascii="Times New Roman" w:eastAsia="Yu Mincho" w:hAnsi="Times New Roman" w:cs="Times New Roman"/>
          <w:b/>
          <w:bCs/>
          <w:i/>
          <w:sz w:val="24"/>
          <w:szCs w:val="24"/>
        </w:rPr>
        <w:t xml:space="preserve">3.- </w:t>
      </w:r>
      <w:r w:rsidRPr="00C218FB">
        <w:rPr>
          <w:rFonts w:ascii="Times New Roman" w:hAnsi="Times New Roman" w:cs="Times New Roman"/>
          <w:sz w:val="24"/>
          <w:szCs w:val="24"/>
        </w:rPr>
        <w:t>La documental pública marcada con el numeral tres (3) en el escrito en comento, consistente en Gaceta del Gobierno del Estado de México de fecha jueves 2 de octubre de 2008, referente a su apartado 1.3. Delimitación del Municipio donde hace alusión a la localización con coordenadas geográficas del territorio municipal, así como las zonas con diferendo limítrofe con el municipio de Ecatepec</w:t>
      </w:r>
      <w:r w:rsidRPr="00C218FB">
        <w:rPr>
          <w:rFonts w:ascii="Times New Roman" w:eastAsia="Yu Mincho" w:hAnsi="Times New Roman" w:cs="Times New Roman"/>
          <w:i/>
          <w:sz w:val="24"/>
          <w:szCs w:val="24"/>
        </w:rPr>
        <w:t>.</w:t>
      </w:r>
    </w:p>
    <w:p w:rsidR="000F603A" w:rsidRPr="00C218FB" w:rsidRDefault="000F603A" w:rsidP="00C218FB">
      <w:pPr>
        <w:spacing w:after="0" w:line="240" w:lineRule="auto"/>
        <w:ind w:left="567" w:right="851"/>
        <w:jc w:val="both"/>
        <w:rPr>
          <w:rFonts w:ascii="Times New Roman" w:eastAsia="Yu Mincho" w:hAnsi="Times New Roman" w:cs="Times New Roman"/>
          <w:i/>
          <w:sz w:val="24"/>
          <w:szCs w:val="24"/>
        </w:rPr>
      </w:pPr>
    </w:p>
    <w:p w:rsidR="000F603A" w:rsidRPr="00C218FB" w:rsidRDefault="000F603A" w:rsidP="00C218FB">
      <w:pPr>
        <w:spacing w:after="0" w:line="240" w:lineRule="auto"/>
        <w:ind w:left="567" w:right="851"/>
        <w:jc w:val="both"/>
        <w:rPr>
          <w:rFonts w:ascii="Times New Roman" w:eastAsia="Yu Mincho" w:hAnsi="Times New Roman" w:cs="Times New Roman"/>
          <w:i/>
          <w:sz w:val="24"/>
          <w:szCs w:val="24"/>
        </w:rPr>
      </w:pPr>
      <w:r w:rsidRPr="00C218FB">
        <w:rPr>
          <w:rFonts w:ascii="Times New Roman" w:eastAsia="Yu Mincho" w:hAnsi="Times New Roman" w:cs="Times New Roman"/>
          <w:b/>
          <w:bCs/>
          <w:i/>
          <w:sz w:val="24"/>
          <w:szCs w:val="24"/>
        </w:rPr>
        <w:t>4</w:t>
      </w:r>
      <w:r w:rsidRPr="00C218FB">
        <w:rPr>
          <w:rFonts w:ascii="Times New Roman" w:hAnsi="Times New Roman" w:cs="Times New Roman"/>
          <w:b/>
          <w:sz w:val="24"/>
          <w:szCs w:val="24"/>
        </w:rPr>
        <w:t>.-</w:t>
      </w:r>
      <w:r w:rsidRPr="00C218FB">
        <w:rPr>
          <w:rFonts w:ascii="Times New Roman" w:hAnsi="Times New Roman" w:cs="Times New Roman"/>
          <w:sz w:val="24"/>
          <w:szCs w:val="24"/>
        </w:rPr>
        <w:t xml:space="preserve"> La documental pública marcada con el numeral cuatro (4) en el escrito en comento, consistente en el oficio original de búsqueda realizado en el Sistema denominado SIFREM, expedido por el Instituto de la Función Registral del Estado de México (IFREM)</w:t>
      </w:r>
      <w:r w:rsidRPr="00C218FB">
        <w:rPr>
          <w:rFonts w:ascii="Times New Roman" w:eastAsia="Yu Mincho" w:hAnsi="Times New Roman" w:cs="Times New Roman"/>
          <w:i/>
          <w:sz w:val="24"/>
          <w:szCs w:val="24"/>
        </w:rPr>
        <w:t>.</w:t>
      </w:r>
    </w:p>
    <w:p w:rsidR="000F603A" w:rsidRPr="00C218FB" w:rsidRDefault="000F603A" w:rsidP="00C218FB">
      <w:pPr>
        <w:spacing w:after="0" w:line="240" w:lineRule="auto"/>
        <w:ind w:left="567" w:right="851"/>
        <w:jc w:val="both"/>
        <w:rPr>
          <w:rFonts w:ascii="Times New Roman" w:eastAsia="Yu Mincho" w:hAnsi="Times New Roman" w:cs="Times New Roman"/>
          <w:i/>
          <w:sz w:val="24"/>
          <w:szCs w:val="24"/>
        </w:rPr>
      </w:pPr>
    </w:p>
    <w:p w:rsidR="000F603A" w:rsidRPr="00C218FB" w:rsidRDefault="000F603A" w:rsidP="00C218FB">
      <w:pPr>
        <w:spacing w:after="0" w:line="240" w:lineRule="auto"/>
        <w:ind w:left="567" w:right="851"/>
        <w:jc w:val="both"/>
        <w:rPr>
          <w:rFonts w:ascii="Times New Roman" w:eastAsia="Yu Mincho" w:hAnsi="Times New Roman" w:cs="Times New Roman"/>
          <w:b/>
          <w:bCs/>
          <w:i/>
          <w:sz w:val="24"/>
          <w:szCs w:val="24"/>
        </w:rPr>
      </w:pPr>
      <w:r w:rsidRPr="00C218FB">
        <w:rPr>
          <w:rFonts w:ascii="Times New Roman" w:eastAsia="Yu Mincho" w:hAnsi="Times New Roman" w:cs="Times New Roman"/>
          <w:b/>
          <w:bCs/>
          <w:i/>
          <w:sz w:val="24"/>
          <w:szCs w:val="24"/>
        </w:rPr>
        <w:t xml:space="preserve">5.- </w:t>
      </w:r>
      <w:r w:rsidRPr="00C218FB">
        <w:rPr>
          <w:rFonts w:ascii="Times New Roman" w:hAnsi="Times New Roman" w:cs="Times New Roman"/>
          <w:sz w:val="24"/>
          <w:szCs w:val="24"/>
        </w:rPr>
        <w:t>La documental pública marcada con el numeral cinco (5) en el escrito en comento, consistente en un legajo de copias certificadas emitidas por el Instituto de la Función Registral del Estado de México (IFREM), de la solicitud de inscripción de la modificación del Plan Municipal de Desarrollo Urbano de Acolman.</w:t>
      </w:r>
      <w:r w:rsidRPr="00C218FB">
        <w:rPr>
          <w:rFonts w:ascii="Times New Roman" w:eastAsia="Yu Mincho" w:hAnsi="Times New Roman" w:cs="Times New Roman"/>
          <w:b/>
          <w:bCs/>
          <w:i/>
          <w:sz w:val="24"/>
          <w:szCs w:val="24"/>
        </w:rPr>
        <w:t xml:space="preserve"> </w:t>
      </w:r>
    </w:p>
    <w:p w:rsidR="000F603A" w:rsidRPr="00C218FB" w:rsidRDefault="000F603A" w:rsidP="00C218FB">
      <w:pPr>
        <w:spacing w:after="0" w:line="240" w:lineRule="auto"/>
        <w:ind w:left="567" w:right="851"/>
        <w:jc w:val="both"/>
        <w:rPr>
          <w:rFonts w:ascii="Times New Roman" w:eastAsia="Yu Mincho" w:hAnsi="Times New Roman" w:cs="Times New Roman"/>
          <w:b/>
          <w:bCs/>
          <w:i/>
          <w:sz w:val="24"/>
          <w:szCs w:val="24"/>
        </w:rPr>
      </w:pPr>
    </w:p>
    <w:p w:rsidR="000F603A" w:rsidRPr="00C218FB" w:rsidRDefault="000F603A" w:rsidP="00C218FB">
      <w:pPr>
        <w:spacing w:after="0" w:line="240" w:lineRule="auto"/>
        <w:ind w:left="567" w:right="851"/>
        <w:jc w:val="both"/>
        <w:rPr>
          <w:rFonts w:ascii="Times New Roman" w:hAnsi="Times New Roman" w:cs="Times New Roman"/>
          <w:sz w:val="24"/>
          <w:szCs w:val="24"/>
        </w:rPr>
      </w:pPr>
      <w:r w:rsidRPr="00C218FB">
        <w:rPr>
          <w:rFonts w:ascii="Times New Roman" w:eastAsia="Yu Mincho" w:hAnsi="Times New Roman" w:cs="Times New Roman"/>
          <w:b/>
          <w:bCs/>
          <w:i/>
          <w:iCs/>
          <w:sz w:val="24"/>
          <w:szCs w:val="24"/>
        </w:rPr>
        <w:t xml:space="preserve">6.- </w:t>
      </w:r>
      <w:r w:rsidRPr="00C218FB">
        <w:rPr>
          <w:rFonts w:ascii="Times New Roman" w:hAnsi="Times New Roman" w:cs="Times New Roman"/>
          <w:sz w:val="24"/>
          <w:szCs w:val="24"/>
        </w:rPr>
        <w:t>La documental pública marcada con el numeral seis (6) en el escrito en comento, consistente en cuatro oficios que tienen asignados los números siguientes PTM-CVTC-298/2009 y PTM-CVTC-197/2009, PTM-CVCT-225/2009, referentes a permisos solicitados por la empresa de Petróleos Mexicanos (PEMEX).</w:t>
      </w:r>
    </w:p>
    <w:p w:rsidR="000F603A" w:rsidRPr="00C218FB" w:rsidRDefault="000F603A" w:rsidP="00C218FB">
      <w:pPr>
        <w:spacing w:after="0" w:line="240" w:lineRule="auto"/>
        <w:ind w:left="567" w:right="851"/>
        <w:jc w:val="both"/>
        <w:rPr>
          <w:rFonts w:ascii="Times New Roman" w:eastAsia="Yu Mincho" w:hAnsi="Times New Roman" w:cs="Times New Roman"/>
          <w:i/>
          <w:sz w:val="24"/>
          <w:szCs w:val="24"/>
        </w:rPr>
      </w:pPr>
    </w:p>
    <w:p w:rsidR="000F603A" w:rsidRPr="00C218FB" w:rsidRDefault="000F603A" w:rsidP="00C218FB">
      <w:pPr>
        <w:spacing w:after="0" w:line="240" w:lineRule="auto"/>
        <w:ind w:left="567" w:right="851"/>
        <w:jc w:val="both"/>
        <w:rPr>
          <w:rFonts w:ascii="Times New Roman" w:eastAsia="Yu Mincho" w:hAnsi="Times New Roman" w:cs="Times New Roman"/>
          <w:i/>
          <w:sz w:val="24"/>
          <w:szCs w:val="24"/>
        </w:rPr>
      </w:pPr>
      <w:r w:rsidRPr="00C218FB">
        <w:rPr>
          <w:rFonts w:ascii="Times New Roman" w:eastAsia="Yu Mincho" w:hAnsi="Times New Roman" w:cs="Times New Roman"/>
          <w:b/>
          <w:bCs/>
          <w:i/>
          <w:sz w:val="24"/>
          <w:szCs w:val="24"/>
        </w:rPr>
        <w:t>7.-</w:t>
      </w:r>
      <w:r w:rsidRPr="00C218FB">
        <w:rPr>
          <w:rFonts w:ascii="Times New Roman" w:hAnsi="Times New Roman" w:cs="Times New Roman"/>
          <w:sz w:val="24"/>
          <w:szCs w:val="24"/>
        </w:rPr>
        <w:t xml:space="preserve"> La documental pública marcada con el numeral siete (7) en el escrito en comento, consistente en la certificación de la impresión en papel bond del mapa municipal de Acolman, expedida por el Director de Geografía del Instituto de Información e Investigación Geográfica, Estadística y Catastral del Estado de México.</w:t>
      </w:r>
      <w:r w:rsidRPr="00C218FB">
        <w:rPr>
          <w:rFonts w:ascii="Times New Roman" w:eastAsia="Yu Mincho" w:hAnsi="Times New Roman" w:cs="Times New Roman"/>
          <w:i/>
          <w:sz w:val="24"/>
          <w:szCs w:val="24"/>
        </w:rPr>
        <w:t xml:space="preserve"> </w:t>
      </w:r>
    </w:p>
    <w:p w:rsidR="000F603A" w:rsidRPr="00C218FB" w:rsidRDefault="000F603A" w:rsidP="00C218FB">
      <w:pPr>
        <w:spacing w:after="0" w:line="240" w:lineRule="auto"/>
        <w:ind w:left="567" w:right="851"/>
        <w:jc w:val="both"/>
        <w:rPr>
          <w:rFonts w:ascii="Times New Roman" w:eastAsia="Yu Mincho" w:hAnsi="Times New Roman" w:cs="Times New Roman"/>
          <w:i/>
          <w:sz w:val="24"/>
          <w:szCs w:val="24"/>
        </w:rPr>
      </w:pPr>
    </w:p>
    <w:p w:rsidR="000F603A" w:rsidRPr="00C218FB" w:rsidRDefault="000F603A" w:rsidP="00C218FB">
      <w:pPr>
        <w:spacing w:after="0" w:line="240" w:lineRule="auto"/>
        <w:ind w:left="567" w:right="851"/>
        <w:jc w:val="both"/>
        <w:rPr>
          <w:rFonts w:ascii="Times New Roman" w:eastAsia="Yu Mincho" w:hAnsi="Times New Roman" w:cs="Times New Roman"/>
          <w:i/>
          <w:sz w:val="24"/>
          <w:szCs w:val="24"/>
        </w:rPr>
      </w:pPr>
      <w:r w:rsidRPr="00C218FB">
        <w:rPr>
          <w:rFonts w:ascii="Times New Roman" w:eastAsia="Yu Mincho" w:hAnsi="Times New Roman" w:cs="Times New Roman"/>
          <w:b/>
          <w:bCs/>
          <w:i/>
          <w:sz w:val="24"/>
          <w:szCs w:val="24"/>
        </w:rPr>
        <w:t xml:space="preserve">8.- </w:t>
      </w:r>
      <w:r w:rsidRPr="00C218FB">
        <w:rPr>
          <w:rFonts w:ascii="Times New Roman" w:hAnsi="Times New Roman" w:cs="Times New Roman"/>
          <w:sz w:val="24"/>
          <w:szCs w:val="24"/>
        </w:rPr>
        <w:t>La documental pública marcada con el numeral ocho (8) en el escrito en comento, consistente en copias del inventario simplificado de predios, el cual obra en el Sistema de Gestión Catastral (dependiente del Instituto de Información e Investigación Geográfica, Estadística y Catastral del Estado de México.</w:t>
      </w:r>
    </w:p>
    <w:p w:rsidR="000F603A" w:rsidRPr="00C218FB" w:rsidRDefault="000F603A" w:rsidP="00C218FB">
      <w:pPr>
        <w:spacing w:after="0" w:line="240" w:lineRule="auto"/>
        <w:ind w:left="567" w:right="851"/>
        <w:jc w:val="both"/>
        <w:rPr>
          <w:rFonts w:ascii="Times New Roman" w:eastAsia="Yu Mincho" w:hAnsi="Times New Roman" w:cs="Times New Roman"/>
          <w:i/>
          <w:sz w:val="24"/>
          <w:szCs w:val="24"/>
        </w:rPr>
      </w:pPr>
    </w:p>
    <w:p w:rsidR="000F603A" w:rsidRPr="00C218FB" w:rsidRDefault="000F603A" w:rsidP="00C218FB">
      <w:pPr>
        <w:spacing w:after="0" w:line="240" w:lineRule="auto"/>
        <w:ind w:left="567" w:right="851"/>
        <w:jc w:val="both"/>
        <w:rPr>
          <w:rFonts w:ascii="Times New Roman" w:eastAsia="Yu Mincho" w:hAnsi="Times New Roman" w:cs="Times New Roman"/>
          <w:i/>
          <w:sz w:val="24"/>
          <w:szCs w:val="24"/>
        </w:rPr>
      </w:pPr>
      <w:r w:rsidRPr="00C218FB">
        <w:rPr>
          <w:rFonts w:ascii="Times New Roman" w:eastAsia="Yu Mincho" w:hAnsi="Times New Roman" w:cs="Times New Roman"/>
          <w:b/>
          <w:bCs/>
          <w:i/>
          <w:sz w:val="24"/>
          <w:szCs w:val="24"/>
        </w:rPr>
        <w:t>9.-</w:t>
      </w:r>
      <w:r w:rsidRPr="00C218FB">
        <w:rPr>
          <w:rFonts w:ascii="Times New Roman" w:eastAsia="Yu Mincho" w:hAnsi="Times New Roman" w:cs="Times New Roman"/>
          <w:i/>
          <w:sz w:val="24"/>
          <w:szCs w:val="24"/>
        </w:rPr>
        <w:t xml:space="preserve"> </w:t>
      </w:r>
      <w:r w:rsidRPr="00C218FB">
        <w:rPr>
          <w:rFonts w:ascii="Times New Roman" w:hAnsi="Times New Roman" w:cs="Times New Roman"/>
          <w:sz w:val="24"/>
          <w:szCs w:val="24"/>
        </w:rPr>
        <w:t>La documental pública marcada con el numeral nueve (9) consistente en copias, de las escrituras 30 516, 132 379 y 10 803 de un predio</w:t>
      </w:r>
      <w:r w:rsidRPr="00C218FB">
        <w:rPr>
          <w:rFonts w:ascii="Times New Roman" w:eastAsia="Yu Mincho" w:hAnsi="Times New Roman" w:cs="Times New Roman"/>
          <w:i/>
          <w:sz w:val="24"/>
          <w:szCs w:val="24"/>
        </w:rPr>
        <w:t>.</w:t>
      </w:r>
    </w:p>
    <w:p w:rsidR="000F603A" w:rsidRPr="00C218FB" w:rsidRDefault="000F603A" w:rsidP="00C218FB">
      <w:pPr>
        <w:spacing w:after="0" w:line="240" w:lineRule="auto"/>
        <w:ind w:left="567" w:right="851"/>
        <w:jc w:val="both"/>
        <w:rPr>
          <w:rFonts w:ascii="Times New Roman" w:eastAsia="Yu Mincho" w:hAnsi="Times New Roman" w:cs="Times New Roman"/>
          <w:i/>
          <w:sz w:val="24"/>
          <w:szCs w:val="24"/>
        </w:rPr>
      </w:pPr>
    </w:p>
    <w:p w:rsidR="000F603A" w:rsidRPr="00C218FB" w:rsidRDefault="000F603A" w:rsidP="00C218FB">
      <w:pPr>
        <w:spacing w:after="0" w:line="240" w:lineRule="auto"/>
        <w:ind w:left="567" w:right="851"/>
        <w:jc w:val="both"/>
        <w:rPr>
          <w:rFonts w:ascii="Times New Roman" w:eastAsia="Yu Mincho" w:hAnsi="Times New Roman" w:cs="Times New Roman"/>
          <w:b/>
          <w:bCs/>
          <w:i/>
          <w:iCs/>
          <w:sz w:val="24"/>
          <w:szCs w:val="24"/>
        </w:rPr>
      </w:pPr>
      <w:r w:rsidRPr="00C218FB">
        <w:rPr>
          <w:rFonts w:ascii="Times New Roman" w:eastAsia="Yu Mincho" w:hAnsi="Times New Roman" w:cs="Times New Roman"/>
          <w:b/>
          <w:bCs/>
          <w:i/>
          <w:iCs/>
          <w:sz w:val="24"/>
          <w:szCs w:val="24"/>
        </w:rPr>
        <w:t xml:space="preserve">10.- </w:t>
      </w:r>
      <w:r w:rsidRPr="00C218FB">
        <w:rPr>
          <w:rFonts w:ascii="Times New Roman" w:eastAsia="Yu Mincho" w:hAnsi="Times New Roman" w:cs="Times New Roman"/>
          <w:b/>
          <w:i/>
          <w:sz w:val="24"/>
          <w:szCs w:val="24"/>
        </w:rPr>
        <w:t>LA TESTIMONIAL</w:t>
      </w:r>
      <w:r w:rsidRPr="00C218FB">
        <w:rPr>
          <w:rFonts w:ascii="Times New Roman" w:eastAsia="Yu Mincho" w:hAnsi="Times New Roman" w:cs="Times New Roman"/>
          <w:sz w:val="24"/>
          <w:szCs w:val="24"/>
        </w:rPr>
        <w:t xml:space="preserve"> </w:t>
      </w:r>
      <w:r w:rsidRPr="00C218FB">
        <w:rPr>
          <w:rFonts w:ascii="Times New Roman" w:hAnsi="Times New Roman" w:cs="Times New Roman"/>
          <w:sz w:val="24"/>
          <w:szCs w:val="24"/>
        </w:rPr>
        <w:t xml:space="preserve">marcada con el numeral diez (10), a cargo de María de Jesús Castañeda Fernández, Marina Rojas García, José Gregorio Caín Gabriel, Ma. Feliz Ocampo </w:t>
      </w:r>
      <w:proofErr w:type="spellStart"/>
      <w:r w:rsidRPr="00C218FB">
        <w:rPr>
          <w:rFonts w:ascii="Times New Roman" w:hAnsi="Times New Roman" w:cs="Times New Roman"/>
          <w:sz w:val="24"/>
          <w:szCs w:val="24"/>
        </w:rPr>
        <w:t>Noveron</w:t>
      </w:r>
      <w:proofErr w:type="spellEnd"/>
      <w:r w:rsidRPr="00C218FB">
        <w:rPr>
          <w:rFonts w:ascii="Times New Roman" w:hAnsi="Times New Roman" w:cs="Times New Roman"/>
          <w:sz w:val="24"/>
          <w:szCs w:val="24"/>
        </w:rPr>
        <w:t xml:space="preserve"> y Flor Alcaraz Espina.</w:t>
      </w:r>
      <w:r w:rsidRPr="00C218FB">
        <w:rPr>
          <w:rFonts w:ascii="Times New Roman" w:eastAsia="Yu Mincho" w:hAnsi="Times New Roman" w:cs="Times New Roman"/>
          <w:b/>
          <w:bCs/>
          <w:i/>
          <w:iCs/>
          <w:sz w:val="24"/>
          <w:szCs w:val="24"/>
        </w:rPr>
        <w:t xml:space="preserve"> </w:t>
      </w:r>
    </w:p>
    <w:p w:rsidR="000F603A" w:rsidRPr="00C218FB" w:rsidRDefault="000F603A" w:rsidP="00C218FB">
      <w:pPr>
        <w:spacing w:after="0" w:line="240" w:lineRule="auto"/>
        <w:ind w:left="567" w:right="851"/>
        <w:jc w:val="both"/>
        <w:rPr>
          <w:rFonts w:ascii="Times New Roman" w:eastAsia="Yu Mincho" w:hAnsi="Times New Roman" w:cs="Times New Roman"/>
          <w:i/>
          <w:sz w:val="24"/>
          <w:szCs w:val="24"/>
        </w:rPr>
      </w:pPr>
    </w:p>
    <w:p w:rsidR="000F603A" w:rsidRPr="00C218FB" w:rsidRDefault="000F603A" w:rsidP="00C218FB">
      <w:pPr>
        <w:spacing w:after="0" w:line="240" w:lineRule="auto"/>
        <w:ind w:left="567" w:right="851"/>
        <w:jc w:val="both"/>
        <w:rPr>
          <w:rFonts w:ascii="Times New Roman" w:eastAsia="Yu Mincho" w:hAnsi="Times New Roman" w:cs="Times New Roman"/>
          <w:sz w:val="24"/>
          <w:szCs w:val="24"/>
        </w:rPr>
      </w:pPr>
      <w:r w:rsidRPr="00C218FB">
        <w:rPr>
          <w:rFonts w:ascii="Times New Roman" w:eastAsia="Yu Mincho" w:hAnsi="Times New Roman" w:cs="Times New Roman"/>
          <w:b/>
          <w:bCs/>
          <w:sz w:val="24"/>
          <w:szCs w:val="24"/>
        </w:rPr>
        <w:t xml:space="preserve">11.- </w:t>
      </w:r>
      <w:r w:rsidRPr="00C218FB">
        <w:rPr>
          <w:rFonts w:ascii="Times New Roman" w:hAnsi="Times New Roman" w:cs="Times New Roman"/>
          <w:sz w:val="24"/>
          <w:szCs w:val="24"/>
        </w:rPr>
        <w:t>En relación con la pericial marcada con el numeral once (11), consistente en el dictamen técnico, probanza que se describe por el Municipio oferente en los términos que se indican a continuación:</w:t>
      </w:r>
    </w:p>
    <w:p w:rsidR="000F603A" w:rsidRPr="00C218FB" w:rsidRDefault="000F603A" w:rsidP="00C218FB">
      <w:pPr>
        <w:spacing w:after="0" w:line="240" w:lineRule="auto"/>
        <w:ind w:left="567" w:right="851"/>
        <w:jc w:val="both"/>
        <w:rPr>
          <w:rFonts w:ascii="Times New Roman" w:eastAsia="Yu Mincho" w:hAnsi="Times New Roman" w:cs="Times New Roman"/>
          <w:i/>
          <w:sz w:val="24"/>
          <w:szCs w:val="24"/>
        </w:rPr>
      </w:pPr>
    </w:p>
    <w:p w:rsidR="000F603A" w:rsidRPr="00C218FB" w:rsidRDefault="000F603A" w:rsidP="00C218FB">
      <w:pPr>
        <w:spacing w:after="0" w:line="240" w:lineRule="auto"/>
        <w:ind w:left="567" w:right="851"/>
        <w:jc w:val="both"/>
        <w:rPr>
          <w:rFonts w:ascii="Times New Roman" w:eastAsia="Yu Mincho" w:hAnsi="Times New Roman" w:cs="Times New Roman"/>
          <w:i/>
          <w:iCs/>
          <w:sz w:val="24"/>
          <w:szCs w:val="24"/>
        </w:rPr>
      </w:pPr>
      <w:r w:rsidRPr="00C218FB">
        <w:rPr>
          <w:rFonts w:ascii="Times New Roman" w:hAnsi="Times New Roman" w:cs="Times New Roman"/>
          <w:i/>
          <w:iCs/>
          <w:sz w:val="24"/>
          <w:szCs w:val="24"/>
        </w:rPr>
        <w:t xml:space="preserve">- [...] "que debe tomar en cuenta la comisión Legislativa para el caso de que dentro de los informes o aclaraciones determine que sean necesarios, ya que es de vital importancia la valoración técnica de un especialista en urbanismo у cartografía para determinar los puntos exactos de los límites territoriales, tomando en cuenta todo documento histórico, como gacetas publicadas, y si establecer un cuadro de coordenadas y plano de referencia, haciendo las comparativas con las </w:t>
      </w:r>
      <w:r w:rsidRPr="00C218FB">
        <w:rPr>
          <w:rFonts w:ascii="Times New Roman" w:hAnsi="Times New Roman" w:cs="Times New Roman"/>
          <w:i/>
          <w:iCs/>
          <w:sz w:val="24"/>
          <w:szCs w:val="24"/>
        </w:rPr>
        <w:lastRenderedPageBreak/>
        <w:t>documentales publicadas y ofrecidas y que nos de una apreciación exacta e históricas del espacio que cuenta el Municipio de Acolman, en relación con las ocupadas por el Municipio de Ecatepec; observando que la comisión estatal tiene las facultades de emitir un dictamen técnico en relación al diferendo, anexando todo lo acto en el expediente que al rubro se indica" [...]</w:t>
      </w:r>
    </w:p>
    <w:p w:rsidR="000F603A" w:rsidRPr="00C218FB" w:rsidRDefault="000F603A" w:rsidP="00C218FB">
      <w:pPr>
        <w:spacing w:after="0" w:line="240" w:lineRule="auto"/>
        <w:ind w:left="567" w:right="851"/>
        <w:jc w:val="both"/>
        <w:rPr>
          <w:rFonts w:ascii="Times New Roman" w:hAnsi="Times New Roman" w:cs="Times New Roman"/>
          <w:i/>
          <w:iCs/>
          <w:sz w:val="24"/>
          <w:szCs w:val="24"/>
        </w:rPr>
      </w:pPr>
    </w:p>
    <w:p w:rsidR="000F603A" w:rsidRPr="00C218FB" w:rsidRDefault="000F603A" w:rsidP="00C218FB">
      <w:pPr>
        <w:pStyle w:val="NormalWeb"/>
        <w:spacing w:before="0" w:beforeAutospacing="0" w:after="0" w:afterAutospacing="0"/>
        <w:ind w:right="49"/>
        <w:jc w:val="both"/>
      </w:pPr>
      <w:r w:rsidRPr="00C218FB">
        <w:rPr>
          <w:b/>
        </w:rPr>
        <w:t xml:space="preserve">SÉPTIMO. </w:t>
      </w:r>
      <w:r w:rsidRPr="00C218FB">
        <w:t>El municipio de Ecatepec de Morelos, a través de sus representantes los C.C. LUIS FERNANDO VILCHIS CONTRERAS, Presidente Municipal y MARÍA ELENA GERMÁN RIVERO, Síndico Municipal, por medio del escrito presentado ante el Presidente de la Comisión Legislativa de Límites Territoriales del Poder Legislativo del Estado de México, en fecha veintidós de noviembre de dos mil veintidós, ofreció 15 pruebas, consistentes en:</w:t>
      </w:r>
    </w:p>
    <w:p w:rsidR="000F603A" w:rsidRPr="00C218FB" w:rsidRDefault="000F603A" w:rsidP="00C218FB">
      <w:pPr>
        <w:pStyle w:val="NormalWeb"/>
        <w:spacing w:before="0" w:beforeAutospacing="0" w:after="0" w:afterAutospacing="0"/>
        <w:ind w:right="49"/>
        <w:jc w:val="both"/>
      </w:pPr>
    </w:p>
    <w:p w:rsidR="000F603A" w:rsidRPr="00C218FB" w:rsidRDefault="000F603A" w:rsidP="00C218FB">
      <w:pPr>
        <w:spacing w:after="0" w:line="240" w:lineRule="auto"/>
        <w:jc w:val="both"/>
        <w:rPr>
          <w:rFonts w:ascii="Times New Roman" w:eastAsia="Yu Mincho" w:hAnsi="Times New Roman" w:cs="Times New Roman"/>
          <w:sz w:val="24"/>
          <w:szCs w:val="24"/>
        </w:rPr>
      </w:pPr>
      <w:r w:rsidRPr="00C218FB">
        <w:rPr>
          <w:rFonts w:ascii="Times New Roman" w:hAnsi="Times New Roman" w:cs="Times New Roman"/>
          <w:b/>
          <w:bCs/>
          <w:sz w:val="24"/>
          <w:szCs w:val="24"/>
        </w:rPr>
        <w:t>1.-</w:t>
      </w:r>
      <w:r w:rsidRPr="00C218FB">
        <w:rPr>
          <w:rFonts w:ascii="Times New Roman" w:hAnsi="Times New Roman" w:cs="Times New Roman"/>
          <w:sz w:val="24"/>
          <w:szCs w:val="24"/>
        </w:rPr>
        <w:t xml:space="preserve"> </w:t>
      </w:r>
      <w:r w:rsidRPr="00C218FB">
        <w:rPr>
          <w:rFonts w:ascii="Times New Roman" w:hAnsi="Times New Roman" w:cs="Times New Roman"/>
          <w:b/>
          <w:sz w:val="24"/>
          <w:szCs w:val="24"/>
        </w:rPr>
        <w:t>LAS DOCUMENTALES PÚBLICAS</w:t>
      </w:r>
      <w:r w:rsidRPr="00C218FB">
        <w:rPr>
          <w:rFonts w:ascii="Times New Roman" w:hAnsi="Times New Roman" w:cs="Times New Roman"/>
          <w:sz w:val="24"/>
          <w:szCs w:val="24"/>
        </w:rPr>
        <w:t xml:space="preserve"> marcadas con el numeral uno punto uno (1.1) en el escrito en comento, consistentes en un total de catorce oficios originales suscritos, respectivamente, por las personas titulares de las dependencias que integran la administración pública municipal de Ecatepec de Morelos, Estado de México, por lo cual, para todos los efectos legales a los que haya lugar, se desglosan de acuerdo al orden siguiente, mismo se indica a través del escrito recibido en fecha veintinueve (29) de abril, así como en fecha veintitrés (23) de junio, ambos del presente año:</w:t>
      </w:r>
    </w:p>
    <w:p w:rsidR="000F603A" w:rsidRPr="00C218FB" w:rsidRDefault="000F603A" w:rsidP="00C218FB">
      <w:pPr>
        <w:spacing w:after="0" w:line="240" w:lineRule="auto"/>
        <w:jc w:val="both"/>
        <w:rPr>
          <w:rFonts w:ascii="Times New Roman" w:eastAsia="Yu Mincho" w:hAnsi="Times New Roman" w:cs="Times New Roman"/>
          <w:sz w:val="24"/>
          <w:szCs w:val="24"/>
        </w:rPr>
      </w:pPr>
    </w:p>
    <w:p w:rsidR="000F603A" w:rsidRPr="00C218FB" w:rsidRDefault="000F603A" w:rsidP="00C218FB">
      <w:pPr>
        <w:spacing w:after="0" w:line="240" w:lineRule="auto"/>
        <w:ind w:left="567" w:right="709"/>
        <w:jc w:val="both"/>
        <w:rPr>
          <w:rFonts w:ascii="Times New Roman" w:hAnsi="Times New Roman" w:cs="Times New Roman"/>
          <w:sz w:val="24"/>
          <w:szCs w:val="24"/>
        </w:rPr>
      </w:pPr>
      <w:r w:rsidRPr="00C218FB">
        <w:rPr>
          <w:rFonts w:ascii="Times New Roman" w:eastAsia="Yu Mincho" w:hAnsi="Times New Roman" w:cs="Times New Roman"/>
          <w:b/>
          <w:sz w:val="24"/>
          <w:szCs w:val="24"/>
        </w:rPr>
        <w:t>a).-</w:t>
      </w:r>
      <w:r w:rsidRPr="00C218FB">
        <w:rPr>
          <w:rFonts w:ascii="Times New Roman" w:eastAsia="Yu Mincho" w:hAnsi="Times New Roman" w:cs="Times New Roman"/>
          <w:sz w:val="24"/>
          <w:szCs w:val="24"/>
        </w:rPr>
        <w:t xml:space="preserve"> </w:t>
      </w:r>
      <w:r w:rsidRPr="00C218FB">
        <w:rPr>
          <w:rFonts w:ascii="Times New Roman" w:hAnsi="Times New Roman" w:cs="Times New Roman"/>
          <w:sz w:val="24"/>
          <w:szCs w:val="24"/>
        </w:rPr>
        <w:t>Oficio registrado con el número DG/ECA/926/2022, emitido por la Dirección de Gobierno del Ayuntamiento de Ecatepec de Morelos, certificado por la Lic. Rocío Rivera Alcántara, Encargada de Despacho de la Secretaría Municipal, consistente en el nombramiento de Presidente de COPACI y Delegado de las colonias: Santa María Chiconautla, Lázaro Cárdenas, Termoeléctrica, Ampliación Lázaro Cárdenas, El Salado y el Plan de Arroyo.</w:t>
      </w:r>
    </w:p>
    <w:p w:rsidR="000F603A" w:rsidRPr="00C218FB" w:rsidRDefault="000F603A" w:rsidP="00C218FB">
      <w:pPr>
        <w:spacing w:after="0" w:line="240" w:lineRule="auto"/>
        <w:ind w:left="567" w:right="709"/>
        <w:jc w:val="both"/>
        <w:rPr>
          <w:rFonts w:ascii="Times New Roman" w:eastAsia="Yu Mincho" w:hAnsi="Times New Roman" w:cs="Times New Roman"/>
          <w:b/>
          <w:sz w:val="24"/>
          <w:szCs w:val="24"/>
        </w:rPr>
      </w:pPr>
    </w:p>
    <w:p w:rsidR="000F603A" w:rsidRPr="00C218FB" w:rsidRDefault="000F603A" w:rsidP="00C218FB">
      <w:pPr>
        <w:spacing w:after="0" w:line="240" w:lineRule="auto"/>
        <w:ind w:left="567" w:right="709"/>
        <w:jc w:val="both"/>
        <w:rPr>
          <w:rFonts w:ascii="Times New Roman" w:eastAsia="Yu Mincho" w:hAnsi="Times New Roman" w:cs="Times New Roman"/>
          <w:sz w:val="24"/>
          <w:szCs w:val="24"/>
        </w:rPr>
      </w:pPr>
      <w:r w:rsidRPr="00C218FB">
        <w:rPr>
          <w:rFonts w:ascii="Times New Roman" w:eastAsia="Yu Mincho" w:hAnsi="Times New Roman" w:cs="Times New Roman"/>
          <w:b/>
          <w:sz w:val="24"/>
          <w:szCs w:val="24"/>
        </w:rPr>
        <w:t>b).-</w:t>
      </w:r>
      <w:r w:rsidRPr="00C218FB">
        <w:rPr>
          <w:rFonts w:ascii="Times New Roman" w:eastAsia="Yu Mincho" w:hAnsi="Times New Roman" w:cs="Times New Roman"/>
          <w:sz w:val="24"/>
          <w:szCs w:val="24"/>
        </w:rPr>
        <w:t xml:space="preserve"> </w:t>
      </w:r>
      <w:r w:rsidRPr="00C218FB">
        <w:rPr>
          <w:rFonts w:ascii="Times New Roman" w:hAnsi="Times New Roman" w:cs="Times New Roman"/>
          <w:sz w:val="24"/>
          <w:szCs w:val="24"/>
        </w:rPr>
        <w:t>Oficio registrado con el número DG/ECA/926/2022, emitido por la Dirección de Gobierno del Ayuntamiento de Ecatepec de Morelos, certificado por la Lic. Rocío Rivera Alcántara, Encargada de Despacho de la Secretaría Municipal, consistente en copia del expediente formado con motivo de la solicitud del C. Rafael González Ventura, dirigido al C. Fernando Vilchis Contreras, Presidente Municipal de Ecatepec.</w:t>
      </w:r>
    </w:p>
    <w:p w:rsidR="000F603A" w:rsidRPr="00C218FB" w:rsidRDefault="000F603A" w:rsidP="00C218FB">
      <w:pPr>
        <w:spacing w:after="0" w:line="240" w:lineRule="auto"/>
        <w:ind w:left="567" w:right="709"/>
        <w:jc w:val="both"/>
        <w:rPr>
          <w:rFonts w:ascii="Times New Roman" w:eastAsia="Yu Mincho" w:hAnsi="Times New Roman" w:cs="Times New Roman"/>
          <w:sz w:val="24"/>
          <w:szCs w:val="24"/>
        </w:rPr>
      </w:pPr>
    </w:p>
    <w:p w:rsidR="000F603A" w:rsidRPr="00C218FB" w:rsidRDefault="000F603A" w:rsidP="00C218FB">
      <w:pPr>
        <w:spacing w:after="0" w:line="240" w:lineRule="auto"/>
        <w:ind w:left="567" w:right="709"/>
        <w:jc w:val="both"/>
        <w:rPr>
          <w:rFonts w:ascii="Times New Roman" w:eastAsia="Yu Mincho" w:hAnsi="Times New Roman" w:cs="Times New Roman"/>
          <w:sz w:val="24"/>
          <w:szCs w:val="24"/>
        </w:rPr>
      </w:pPr>
      <w:r w:rsidRPr="00C218FB">
        <w:rPr>
          <w:rFonts w:ascii="Times New Roman" w:eastAsia="Yu Mincho" w:hAnsi="Times New Roman" w:cs="Times New Roman"/>
          <w:b/>
          <w:sz w:val="24"/>
          <w:szCs w:val="24"/>
        </w:rPr>
        <w:t>c).-</w:t>
      </w:r>
      <w:r w:rsidRPr="00C218FB">
        <w:rPr>
          <w:rFonts w:ascii="Times New Roman" w:eastAsia="Yu Mincho" w:hAnsi="Times New Roman" w:cs="Times New Roman"/>
          <w:sz w:val="24"/>
          <w:szCs w:val="24"/>
        </w:rPr>
        <w:t xml:space="preserve"> </w:t>
      </w:r>
      <w:r w:rsidRPr="00C218FB">
        <w:rPr>
          <w:rFonts w:ascii="Times New Roman" w:hAnsi="Times New Roman" w:cs="Times New Roman"/>
          <w:sz w:val="24"/>
          <w:szCs w:val="24"/>
        </w:rPr>
        <w:t xml:space="preserve">Oficio registrado con el número SMDIF/DG/0339/2022, emitido por el Sistema Municipal para el Desarrollo Integral de la Familia (DIF Municipal) del Ayuntamiento de Ecatepec, certificado por el Lic. </w:t>
      </w:r>
      <w:proofErr w:type="spellStart"/>
      <w:r w:rsidRPr="00C218FB">
        <w:rPr>
          <w:rFonts w:ascii="Times New Roman" w:hAnsi="Times New Roman" w:cs="Times New Roman"/>
          <w:sz w:val="24"/>
          <w:szCs w:val="24"/>
        </w:rPr>
        <w:t>Yaid</w:t>
      </w:r>
      <w:proofErr w:type="spellEnd"/>
      <w:r w:rsidRPr="00C218FB">
        <w:rPr>
          <w:rFonts w:ascii="Times New Roman" w:hAnsi="Times New Roman" w:cs="Times New Roman"/>
          <w:sz w:val="24"/>
          <w:szCs w:val="24"/>
        </w:rPr>
        <w:t xml:space="preserve"> Iván Patiño Méndez, Director del Sistema Municipal para el Desarrollo Integral de la Familia de Ecatepec de Morelos, consistente en informe de jornada de servicios realizados de fechas de 1 y 3 de marzo del 2022.</w:t>
      </w:r>
      <w:r w:rsidRPr="00C218FB">
        <w:rPr>
          <w:rFonts w:ascii="Times New Roman" w:eastAsia="Yu Mincho" w:hAnsi="Times New Roman" w:cs="Times New Roman"/>
          <w:sz w:val="24"/>
          <w:szCs w:val="24"/>
        </w:rPr>
        <w:t xml:space="preserve"> </w:t>
      </w:r>
    </w:p>
    <w:p w:rsidR="000F603A" w:rsidRPr="00C218FB" w:rsidRDefault="000F603A" w:rsidP="00C218FB">
      <w:pPr>
        <w:spacing w:after="0" w:line="240" w:lineRule="auto"/>
        <w:ind w:left="567" w:right="709"/>
        <w:jc w:val="both"/>
        <w:rPr>
          <w:rFonts w:ascii="Times New Roman" w:eastAsia="Yu Mincho" w:hAnsi="Times New Roman" w:cs="Times New Roman"/>
          <w:sz w:val="24"/>
          <w:szCs w:val="24"/>
        </w:rPr>
      </w:pPr>
    </w:p>
    <w:p w:rsidR="000F603A" w:rsidRPr="00C218FB" w:rsidRDefault="000F603A" w:rsidP="00C218FB">
      <w:pPr>
        <w:spacing w:after="0" w:line="240" w:lineRule="auto"/>
        <w:ind w:left="567" w:right="709"/>
        <w:jc w:val="both"/>
        <w:rPr>
          <w:rFonts w:ascii="Times New Roman" w:eastAsia="Yu Mincho" w:hAnsi="Times New Roman" w:cs="Times New Roman"/>
          <w:sz w:val="24"/>
          <w:szCs w:val="24"/>
        </w:rPr>
      </w:pPr>
      <w:r w:rsidRPr="00C218FB">
        <w:rPr>
          <w:rFonts w:ascii="Times New Roman" w:eastAsia="Yu Mincho" w:hAnsi="Times New Roman" w:cs="Times New Roman"/>
          <w:b/>
          <w:sz w:val="24"/>
          <w:szCs w:val="24"/>
        </w:rPr>
        <w:t>d).-</w:t>
      </w:r>
      <w:r w:rsidRPr="00C218FB">
        <w:rPr>
          <w:rFonts w:ascii="Times New Roman" w:eastAsia="Yu Mincho" w:hAnsi="Times New Roman" w:cs="Times New Roman"/>
          <w:sz w:val="24"/>
          <w:szCs w:val="24"/>
        </w:rPr>
        <w:t xml:space="preserve"> </w:t>
      </w:r>
      <w:r w:rsidRPr="00C218FB">
        <w:rPr>
          <w:rFonts w:ascii="Times New Roman" w:hAnsi="Times New Roman" w:cs="Times New Roman"/>
          <w:sz w:val="24"/>
          <w:szCs w:val="24"/>
        </w:rPr>
        <w:t>Oficio registrado con el número DMYT/SJ/DPJ/ECA/623/2022, emitido por la Dirección de Movilidad y Transporte del Ayuntamiento de Ecatepec de Morelos, certificado por el Lic. César de Jesús García Pacheco, titular de la Secretaría Municipal, consistente en copia de los expedientes: 1) CMYT/1094/2019 de trece fojas; 2) NN/21/001173 de nueve fojas; 3) NN/21/001174 de siete fojas; 4) NN/21/001175 de siete fojas; 5)NN/21/001176 de siete fojas; 6) NN/20/00555 de diez fojas y 7) DMYT/0235/2020 de diez fojas.</w:t>
      </w:r>
    </w:p>
    <w:p w:rsidR="000F603A" w:rsidRPr="00C218FB" w:rsidRDefault="000F603A" w:rsidP="00C218FB">
      <w:pPr>
        <w:spacing w:after="0" w:line="240" w:lineRule="auto"/>
        <w:ind w:left="567" w:right="709"/>
        <w:jc w:val="both"/>
        <w:rPr>
          <w:rFonts w:ascii="Times New Roman" w:eastAsia="Yu Mincho" w:hAnsi="Times New Roman" w:cs="Times New Roman"/>
          <w:sz w:val="24"/>
          <w:szCs w:val="24"/>
        </w:rPr>
      </w:pPr>
    </w:p>
    <w:p w:rsidR="000F603A" w:rsidRPr="00C218FB" w:rsidRDefault="000F603A" w:rsidP="00C218FB">
      <w:pPr>
        <w:spacing w:after="0" w:line="240" w:lineRule="auto"/>
        <w:ind w:left="567" w:right="709"/>
        <w:jc w:val="both"/>
        <w:rPr>
          <w:rFonts w:ascii="Times New Roman" w:hAnsi="Times New Roman" w:cs="Times New Roman"/>
          <w:sz w:val="24"/>
          <w:szCs w:val="24"/>
        </w:rPr>
      </w:pPr>
      <w:r w:rsidRPr="00C218FB">
        <w:rPr>
          <w:rFonts w:ascii="Times New Roman" w:eastAsia="Yu Mincho" w:hAnsi="Times New Roman" w:cs="Times New Roman"/>
          <w:b/>
          <w:sz w:val="24"/>
          <w:szCs w:val="24"/>
        </w:rPr>
        <w:lastRenderedPageBreak/>
        <w:t>e).-</w:t>
      </w:r>
      <w:r w:rsidRPr="00C218FB">
        <w:rPr>
          <w:rFonts w:ascii="Times New Roman" w:hAnsi="Times New Roman" w:cs="Times New Roman"/>
          <w:sz w:val="24"/>
          <w:szCs w:val="24"/>
        </w:rPr>
        <w:t xml:space="preserve"> Oficio registrado con el número DPCB/ECA/1255/2022, expedido por la Dirección de Protección Civil y Bomberos del Ayuntamiento de Ecatepec de Morelos, certificado por la Lic. Rocío Rivera Alcántara, Encargada de Despacho de la Secretaría Municipal, consistente en copias de servicio del personal prehospitalario del rescate urbano con números de folio y fechas que se indican de manera consecutiva y en los términos siguientes: 615 de once de enero; 965 de dieciocho de enero; 1764 de treinta y uno de enero; 2182 de ocho de febrero; 2594 de quince de febrero; 2774 de diecisiete de febrero; 2872 de diecinueve de febrero; 3069 de veintidós de febrero; 4010 de diez de marzo; 4013 de diez de marzo, 4768 de catorce de marzo; 5352 de treinta y uno de marzo, todas las fechas anteriormente aludidas correspondientes al año dos mil veintidós; 151 de tres de enero; 411 de ocho de enero; 411 de ocho de enero; 485 de cuatro de enero; 579 de once de enero; 17M8 de uno de febrero, 1950 de seis de febrero; 2023 de siete de febrero; 2109 de ocho de febrero; 2293 de trece de febrero; 2635 de diecinueve de febrero; 3145 de veintiocho de febrero; 3145 de veintiocho de febrero; 3172 de uno de marzo; 3651 de diez de marzo; 3969 de dieciséis de marzo; 4262 de veintidós de marzo; 4280 de veintidós de marzo; 4383 de veinticuatro de marzo; 5346 de once de abril; 5614 de quince de abril; 5674 de dieciséis de abril; 5802 de diecinueve de abril; 6010 de veintitrés de abril; 6481 de dos de mayo; 6664 de cinco de mayo; 6665 de cinco de mayo; 6743 de siete de mayo; 6744 de siete de mayo; 8249 de cuatro de junio; 8289 de cinco de junio; 8488 de nueve de julio; 8657 de doce de junio; 8657 de doce de junio; 9212 de veintidós de junio; 9229 de veintidós de junio; 9402 de veinticinco de junio; 9977 de cinco de julio; 10207 de ocho de julio; 10237 de nueve de julio; 10460 de doce de julio; 10387 de dieciocho de julio; 11158 de veintitrés de mayo; 11440 de veintisiete de julio; 11978 de cuatro de agosto; 12237 de ocho de agosto; 13216 de veintidós de agosto; 13232 de veintitrés de agosto; 13444 de veintiséis de agosto; 13571 de veintiocho de agosto; 14434 de nueve de septiembre; 14509 diez de septiembre; 14526 diez de septiembre; 14581 de once de septiembre; 15020 de diecisiete de septiembre; 15569 de veintiséis de septiembre; 15794 de veintinueve de septiembre; 16139 de cuatro de octubre; 16754 de catorce de octubre; 17277 de veintitrés de octubre; 17601 de veintinueve de octubre; 17741 de treinta y uno de octubre; 17442 de treinta y uno de octubre; 18057 de siete de noviembre; 18376 de trece de noviembre; 18756 de veinte de noviembre; 18813 de veintiuno de noviembre; 18814 de veintiuno de noviembre; 18959 de veintitrés de noviembre; 18871 de veintitrés de noviembre; 19081 de veinticinco de noviembre; 19179 de veintiséis de noviembre; 19739 de cinco de diciembre; 19780 de seis de diciembre; 20992 de veinticinco de diciembre; 20993 de veintitrés de diciembre y 21046 de veinticinco de diciembre, todas las fechas previamente mencionadas correspondientes al año dos mil veintiuno.</w:t>
      </w:r>
    </w:p>
    <w:p w:rsidR="000F603A" w:rsidRPr="00C218FB" w:rsidRDefault="000F603A" w:rsidP="00C218FB">
      <w:pPr>
        <w:spacing w:after="0" w:line="240" w:lineRule="auto"/>
        <w:ind w:left="567" w:right="709"/>
        <w:jc w:val="both"/>
        <w:rPr>
          <w:rFonts w:ascii="Times New Roman" w:eastAsia="Yu Mincho" w:hAnsi="Times New Roman" w:cs="Times New Roman"/>
          <w:sz w:val="24"/>
          <w:szCs w:val="24"/>
        </w:rPr>
      </w:pPr>
    </w:p>
    <w:p w:rsidR="000F603A" w:rsidRPr="00C218FB" w:rsidRDefault="000F603A" w:rsidP="00C218FB">
      <w:pPr>
        <w:spacing w:after="0" w:line="240" w:lineRule="auto"/>
        <w:ind w:left="567" w:right="709"/>
        <w:jc w:val="both"/>
        <w:rPr>
          <w:rFonts w:ascii="Times New Roman" w:eastAsia="Yu Mincho" w:hAnsi="Times New Roman" w:cs="Times New Roman"/>
          <w:sz w:val="24"/>
          <w:szCs w:val="24"/>
        </w:rPr>
      </w:pPr>
      <w:r w:rsidRPr="00C218FB">
        <w:rPr>
          <w:rFonts w:ascii="Times New Roman" w:eastAsia="Yu Mincho" w:hAnsi="Times New Roman" w:cs="Times New Roman"/>
          <w:b/>
          <w:sz w:val="24"/>
          <w:szCs w:val="24"/>
        </w:rPr>
        <w:t>f).-</w:t>
      </w:r>
      <w:r w:rsidRPr="00C218FB">
        <w:rPr>
          <w:rFonts w:ascii="Times New Roman" w:hAnsi="Times New Roman" w:cs="Times New Roman"/>
          <w:sz w:val="24"/>
          <w:szCs w:val="24"/>
        </w:rPr>
        <w:t xml:space="preserve"> Oficio registrado con el número DMDH/408/2022, expedido por la Defensoría Municipal de Derechos Humanos del Ayuntamiento de Ecatepec de Morelos, consistente en copias de actas administrativas, acciones de gobierno, obras realizadas, así como servicios públicos y convenios de coordinación.</w:t>
      </w:r>
    </w:p>
    <w:p w:rsidR="000F603A" w:rsidRPr="00C218FB" w:rsidRDefault="000F603A" w:rsidP="00C218FB">
      <w:pPr>
        <w:spacing w:after="0" w:line="240" w:lineRule="auto"/>
        <w:ind w:left="567" w:right="709"/>
        <w:jc w:val="both"/>
        <w:rPr>
          <w:rFonts w:ascii="Times New Roman" w:eastAsia="Yu Mincho" w:hAnsi="Times New Roman" w:cs="Times New Roman"/>
          <w:sz w:val="24"/>
          <w:szCs w:val="24"/>
        </w:rPr>
      </w:pPr>
    </w:p>
    <w:p w:rsidR="000F603A" w:rsidRPr="00C218FB" w:rsidRDefault="000F603A" w:rsidP="00C218FB">
      <w:pPr>
        <w:spacing w:after="0" w:line="240" w:lineRule="auto"/>
        <w:ind w:left="567" w:right="709"/>
        <w:jc w:val="both"/>
        <w:rPr>
          <w:rFonts w:ascii="Times New Roman" w:eastAsia="Yu Mincho" w:hAnsi="Times New Roman" w:cs="Times New Roman"/>
          <w:sz w:val="24"/>
          <w:szCs w:val="24"/>
        </w:rPr>
      </w:pPr>
      <w:r w:rsidRPr="00C218FB">
        <w:rPr>
          <w:rFonts w:ascii="Times New Roman" w:hAnsi="Times New Roman" w:cs="Times New Roman"/>
          <w:b/>
          <w:sz w:val="24"/>
          <w:szCs w:val="24"/>
        </w:rPr>
        <w:t>g).-</w:t>
      </w:r>
      <w:r w:rsidRPr="00C218FB">
        <w:rPr>
          <w:rFonts w:ascii="Times New Roman" w:hAnsi="Times New Roman" w:cs="Times New Roman"/>
          <w:sz w:val="24"/>
          <w:szCs w:val="24"/>
        </w:rPr>
        <w:t xml:space="preserve"> Oficio registrado con el número SAPASE/DG/CJ/0453/2021, expedido por el Organismo Público Descentralizado para la Prestación del Servicio del Agua Potable Alcantarillado y Saneamiento (O.P.D.S.A.P.A.S.E.) del Ayuntamiento de Ecatepec de Morelos, consistente en copias y archivos digitales de las acciones realizada por </w:t>
      </w:r>
      <w:r w:rsidRPr="00C218FB">
        <w:rPr>
          <w:rFonts w:ascii="Times New Roman" w:hAnsi="Times New Roman" w:cs="Times New Roman"/>
          <w:sz w:val="24"/>
          <w:szCs w:val="24"/>
        </w:rPr>
        <w:lastRenderedPageBreak/>
        <w:t>parte del Organismo Operador de Agua mencionado, desde el año 2019 a la fecha de presentación del ocurso en referencia.</w:t>
      </w:r>
    </w:p>
    <w:p w:rsidR="000F603A" w:rsidRPr="00C218FB" w:rsidRDefault="000F603A" w:rsidP="00C218FB">
      <w:pPr>
        <w:spacing w:after="0" w:line="240" w:lineRule="auto"/>
        <w:ind w:left="567" w:right="709"/>
        <w:jc w:val="both"/>
        <w:rPr>
          <w:rFonts w:ascii="Times New Roman" w:eastAsia="Yu Mincho" w:hAnsi="Times New Roman" w:cs="Times New Roman"/>
          <w:sz w:val="24"/>
          <w:szCs w:val="24"/>
        </w:rPr>
      </w:pPr>
    </w:p>
    <w:p w:rsidR="000F603A" w:rsidRPr="00C218FB" w:rsidRDefault="000F603A" w:rsidP="00C218FB">
      <w:pPr>
        <w:spacing w:after="0" w:line="240" w:lineRule="auto"/>
        <w:ind w:left="567" w:right="709"/>
        <w:jc w:val="both"/>
        <w:rPr>
          <w:rFonts w:ascii="Times New Roman" w:eastAsia="Yu Mincho" w:hAnsi="Times New Roman" w:cs="Times New Roman"/>
          <w:sz w:val="24"/>
          <w:szCs w:val="24"/>
        </w:rPr>
      </w:pPr>
      <w:r w:rsidRPr="00C218FB">
        <w:rPr>
          <w:rFonts w:ascii="Times New Roman" w:eastAsia="Yu Mincho" w:hAnsi="Times New Roman" w:cs="Times New Roman"/>
          <w:b/>
          <w:sz w:val="24"/>
          <w:szCs w:val="24"/>
        </w:rPr>
        <w:t>h).-</w:t>
      </w:r>
      <w:r w:rsidRPr="00C218FB">
        <w:rPr>
          <w:rFonts w:ascii="Times New Roman" w:eastAsia="Yu Mincho" w:hAnsi="Times New Roman" w:cs="Times New Roman"/>
          <w:sz w:val="24"/>
          <w:szCs w:val="24"/>
        </w:rPr>
        <w:t xml:space="preserve"> </w:t>
      </w:r>
      <w:r w:rsidRPr="00C218FB">
        <w:rPr>
          <w:rFonts w:ascii="Times New Roman" w:hAnsi="Times New Roman" w:cs="Times New Roman"/>
          <w:sz w:val="24"/>
          <w:szCs w:val="24"/>
        </w:rPr>
        <w:t>Oficio registrado con el número DEYC/MOD/556/202, expedido por la Dirección de Educación y Cultura del Ayuntamiento de Ecatepec de Morelos, certificado por la Lic. Rocío Rivera Alcántara, Encargada de Despacho de la Secretaría Municipal, consistente en copia del informe suscrito por la propia Dirección de Educación.</w:t>
      </w:r>
    </w:p>
    <w:p w:rsidR="000F603A" w:rsidRPr="00C218FB" w:rsidRDefault="000F603A" w:rsidP="00C218FB">
      <w:pPr>
        <w:spacing w:after="0" w:line="240" w:lineRule="auto"/>
        <w:ind w:left="567" w:right="709"/>
        <w:jc w:val="both"/>
        <w:rPr>
          <w:rFonts w:ascii="Times New Roman" w:eastAsia="Yu Mincho" w:hAnsi="Times New Roman" w:cs="Times New Roman"/>
          <w:sz w:val="24"/>
          <w:szCs w:val="24"/>
        </w:rPr>
      </w:pPr>
    </w:p>
    <w:p w:rsidR="000F603A" w:rsidRPr="00C218FB" w:rsidRDefault="000F603A" w:rsidP="00C218FB">
      <w:pPr>
        <w:spacing w:after="0" w:line="240" w:lineRule="auto"/>
        <w:ind w:left="567" w:right="709"/>
        <w:jc w:val="both"/>
        <w:rPr>
          <w:rFonts w:ascii="Times New Roman" w:hAnsi="Times New Roman" w:cs="Times New Roman"/>
          <w:sz w:val="24"/>
          <w:szCs w:val="24"/>
        </w:rPr>
      </w:pPr>
      <w:r w:rsidRPr="00C218FB">
        <w:rPr>
          <w:rFonts w:ascii="Times New Roman" w:eastAsia="Yu Mincho" w:hAnsi="Times New Roman" w:cs="Times New Roman"/>
          <w:b/>
          <w:sz w:val="24"/>
          <w:szCs w:val="24"/>
        </w:rPr>
        <w:t xml:space="preserve">i).- </w:t>
      </w:r>
      <w:r w:rsidRPr="00C218FB">
        <w:rPr>
          <w:rFonts w:ascii="Times New Roman" w:hAnsi="Times New Roman" w:cs="Times New Roman"/>
          <w:sz w:val="24"/>
          <w:szCs w:val="24"/>
        </w:rPr>
        <w:t>Oficio registrado con el número DDUYOP/SDU/AC/ECA//2022, expedido por la Dirección de Desarrollo Urbano y Obras Públicas del Ayuntamiento de Ecatepec de Morelos, consistente en copia del informe suscrito por la propia Dirección de Desarrollo Urbano y Obras Públicas, donde se menciona el acompañamiento de:</w:t>
      </w:r>
    </w:p>
    <w:p w:rsidR="000F603A" w:rsidRPr="00C218FB" w:rsidRDefault="000F603A" w:rsidP="00C218FB">
      <w:pPr>
        <w:spacing w:after="0" w:line="240" w:lineRule="auto"/>
        <w:ind w:left="567" w:right="709"/>
        <w:jc w:val="both"/>
        <w:rPr>
          <w:rFonts w:ascii="Times New Roman" w:hAnsi="Times New Roman" w:cs="Times New Roman"/>
          <w:sz w:val="24"/>
          <w:szCs w:val="24"/>
        </w:rPr>
      </w:pPr>
    </w:p>
    <w:p w:rsidR="000F603A" w:rsidRPr="00C218FB" w:rsidRDefault="000F603A" w:rsidP="00C218FB">
      <w:pPr>
        <w:pStyle w:val="Prrafodelista"/>
        <w:widowControl/>
        <w:numPr>
          <w:ilvl w:val="0"/>
          <w:numId w:val="36"/>
        </w:numPr>
        <w:autoSpaceDE/>
        <w:autoSpaceDN/>
        <w:ind w:left="1276" w:right="709" w:hanging="425"/>
        <w:contextualSpacing/>
        <w:rPr>
          <w:rFonts w:ascii="Times New Roman" w:hAnsi="Times New Roman" w:cs="Times New Roman"/>
          <w:sz w:val="24"/>
          <w:szCs w:val="24"/>
        </w:rPr>
      </w:pPr>
      <w:r w:rsidRPr="00C218FB">
        <w:rPr>
          <w:rFonts w:ascii="Times New Roman" w:hAnsi="Times New Roman" w:cs="Times New Roman"/>
          <w:sz w:val="24"/>
          <w:szCs w:val="24"/>
        </w:rPr>
        <w:t>Expediente de origen C-1249-2022 expediente certificado E12409092, contiene cédula informativa de zonificación, 13 fojas y un legado expediente.</w:t>
      </w:r>
    </w:p>
    <w:p w:rsidR="000F603A" w:rsidRPr="00C218FB" w:rsidRDefault="000F603A" w:rsidP="00C218FB">
      <w:pPr>
        <w:spacing w:after="0" w:line="240" w:lineRule="auto"/>
        <w:ind w:left="1276" w:right="709" w:hanging="425"/>
        <w:jc w:val="both"/>
        <w:rPr>
          <w:rFonts w:ascii="Times New Roman" w:hAnsi="Times New Roman" w:cs="Times New Roman"/>
          <w:sz w:val="24"/>
          <w:szCs w:val="24"/>
        </w:rPr>
      </w:pPr>
    </w:p>
    <w:p w:rsidR="000F603A" w:rsidRPr="00C218FB" w:rsidRDefault="000F603A" w:rsidP="00C218FB">
      <w:pPr>
        <w:pStyle w:val="Prrafodelista"/>
        <w:widowControl/>
        <w:numPr>
          <w:ilvl w:val="0"/>
          <w:numId w:val="36"/>
        </w:numPr>
        <w:autoSpaceDE/>
        <w:autoSpaceDN/>
        <w:ind w:left="1276" w:right="709" w:hanging="425"/>
        <w:contextualSpacing/>
        <w:rPr>
          <w:rFonts w:ascii="Times New Roman" w:hAnsi="Times New Roman" w:cs="Times New Roman"/>
          <w:sz w:val="24"/>
          <w:szCs w:val="24"/>
        </w:rPr>
      </w:pPr>
      <w:r w:rsidRPr="00C218FB">
        <w:rPr>
          <w:rFonts w:ascii="Times New Roman" w:hAnsi="Times New Roman" w:cs="Times New Roman"/>
          <w:sz w:val="24"/>
          <w:szCs w:val="24"/>
        </w:rPr>
        <w:t>Gaceta de Gobierno no. 109 de fecha 3 de diciembre de 2015, Plan de Municipal de Desarrollo Urbano de Ecatepec de Morelos, Estado de México, 1 legajo y 130 fojas útiles.</w:t>
      </w:r>
    </w:p>
    <w:p w:rsidR="000F603A" w:rsidRPr="00C218FB" w:rsidRDefault="000F603A" w:rsidP="00C218FB">
      <w:pPr>
        <w:spacing w:after="0" w:line="240" w:lineRule="auto"/>
        <w:ind w:left="1276" w:right="709" w:hanging="425"/>
        <w:jc w:val="both"/>
        <w:rPr>
          <w:rFonts w:ascii="Times New Roman" w:hAnsi="Times New Roman" w:cs="Times New Roman"/>
          <w:sz w:val="24"/>
          <w:szCs w:val="24"/>
        </w:rPr>
      </w:pPr>
    </w:p>
    <w:p w:rsidR="000F603A" w:rsidRPr="00C218FB" w:rsidRDefault="000F603A" w:rsidP="00C218FB">
      <w:pPr>
        <w:pStyle w:val="Prrafodelista"/>
        <w:widowControl/>
        <w:numPr>
          <w:ilvl w:val="0"/>
          <w:numId w:val="36"/>
        </w:numPr>
        <w:autoSpaceDE/>
        <w:autoSpaceDN/>
        <w:ind w:left="1276" w:right="709" w:hanging="425"/>
        <w:contextualSpacing/>
        <w:rPr>
          <w:rFonts w:ascii="Times New Roman" w:hAnsi="Times New Roman" w:cs="Times New Roman"/>
          <w:sz w:val="24"/>
          <w:szCs w:val="24"/>
        </w:rPr>
      </w:pPr>
      <w:r w:rsidRPr="00C218FB">
        <w:rPr>
          <w:rFonts w:ascii="Times New Roman" w:hAnsi="Times New Roman" w:cs="Times New Roman"/>
          <w:sz w:val="24"/>
          <w:szCs w:val="24"/>
        </w:rPr>
        <w:t xml:space="preserve">5 planos de 90 х 60 cm. correspondientes al Municipio de Ecatepec de Morelos. </w:t>
      </w:r>
    </w:p>
    <w:p w:rsidR="000F603A" w:rsidRPr="00C218FB" w:rsidRDefault="000F603A" w:rsidP="00C218FB">
      <w:pPr>
        <w:spacing w:after="0" w:line="240" w:lineRule="auto"/>
        <w:ind w:left="1276" w:right="709" w:hanging="425"/>
        <w:jc w:val="both"/>
        <w:rPr>
          <w:rFonts w:ascii="Times New Roman" w:hAnsi="Times New Roman" w:cs="Times New Roman"/>
          <w:sz w:val="24"/>
          <w:szCs w:val="24"/>
        </w:rPr>
      </w:pPr>
    </w:p>
    <w:p w:rsidR="000F603A" w:rsidRPr="00C218FB" w:rsidRDefault="000F603A" w:rsidP="00C218FB">
      <w:pPr>
        <w:pStyle w:val="Prrafodelista"/>
        <w:widowControl/>
        <w:numPr>
          <w:ilvl w:val="0"/>
          <w:numId w:val="36"/>
        </w:numPr>
        <w:autoSpaceDE/>
        <w:autoSpaceDN/>
        <w:ind w:left="1276" w:right="709" w:hanging="425"/>
        <w:contextualSpacing/>
        <w:rPr>
          <w:rFonts w:ascii="Times New Roman" w:hAnsi="Times New Roman" w:cs="Times New Roman"/>
          <w:sz w:val="24"/>
          <w:szCs w:val="24"/>
        </w:rPr>
      </w:pPr>
      <w:r w:rsidRPr="00C218FB">
        <w:rPr>
          <w:rFonts w:ascii="Times New Roman" w:hAnsi="Times New Roman" w:cs="Times New Roman"/>
          <w:sz w:val="24"/>
          <w:szCs w:val="24"/>
        </w:rPr>
        <w:t>Tarjeta informativa referente a acciones y/o servicios sobre diversas colonias.</w:t>
      </w:r>
    </w:p>
    <w:p w:rsidR="000F603A" w:rsidRPr="00C218FB" w:rsidRDefault="000F603A" w:rsidP="00C218FB">
      <w:pPr>
        <w:spacing w:after="0" w:line="240" w:lineRule="auto"/>
        <w:ind w:left="567" w:right="709"/>
        <w:jc w:val="both"/>
        <w:rPr>
          <w:rFonts w:ascii="Times New Roman" w:eastAsia="Yu Mincho" w:hAnsi="Times New Roman" w:cs="Times New Roman"/>
          <w:sz w:val="24"/>
          <w:szCs w:val="24"/>
        </w:rPr>
      </w:pPr>
    </w:p>
    <w:p w:rsidR="000F603A" w:rsidRPr="00C218FB" w:rsidRDefault="000F603A" w:rsidP="00C218FB">
      <w:pPr>
        <w:spacing w:after="0" w:line="240" w:lineRule="auto"/>
        <w:ind w:left="567" w:right="709"/>
        <w:jc w:val="both"/>
        <w:rPr>
          <w:rFonts w:ascii="Times New Roman" w:eastAsia="Yu Mincho" w:hAnsi="Times New Roman" w:cs="Times New Roman"/>
          <w:sz w:val="24"/>
          <w:szCs w:val="24"/>
        </w:rPr>
      </w:pPr>
      <w:r w:rsidRPr="00C218FB">
        <w:rPr>
          <w:rFonts w:ascii="Times New Roman" w:eastAsia="Yu Mincho" w:hAnsi="Times New Roman" w:cs="Times New Roman"/>
          <w:b/>
          <w:sz w:val="24"/>
          <w:szCs w:val="24"/>
        </w:rPr>
        <w:t>j).-</w:t>
      </w:r>
      <w:r w:rsidRPr="00C218FB">
        <w:rPr>
          <w:rFonts w:ascii="Times New Roman" w:eastAsia="Yu Mincho" w:hAnsi="Times New Roman" w:cs="Times New Roman"/>
          <w:sz w:val="24"/>
          <w:szCs w:val="24"/>
        </w:rPr>
        <w:t xml:space="preserve"> </w:t>
      </w:r>
      <w:r w:rsidRPr="00C218FB">
        <w:rPr>
          <w:rFonts w:ascii="Times New Roman" w:hAnsi="Times New Roman" w:cs="Times New Roman"/>
          <w:sz w:val="24"/>
          <w:szCs w:val="24"/>
        </w:rPr>
        <w:t>Oficio registrado con el número DG/ECA/864/2022, expedido por la Dirección General de Gobierno del Ayuntamiento de Ecatepec de Morelos, certificado por la Lic. Rocío Rivera Alcántara, Encargada de Despacho de la Secretaría Municipal, consistente en copias de dos constancias de nombramiento del Consejo de Participación Ciudadana (COPACI) de diversas colonias.</w:t>
      </w:r>
    </w:p>
    <w:p w:rsidR="000F603A" w:rsidRPr="00C218FB" w:rsidRDefault="000F603A" w:rsidP="00C218FB">
      <w:pPr>
        <w:spacing w:after="0" w:line="240" w:lineRule="auto"/>
        <w:ind w:left="567" w:right="709"/>
        <w:jc w:val="both"/>
        <w:rPr>
          <w:rFonts w:ascii="Times New Roman" w:eastAsia="Yu Mincho" w:hAnsi="Times New Roman" w:cs="Times New Roman"/>
          <w:sz w:val="24"/>
          <w:szCs w:val="24"/>
        </w:rPr>
      </w:pPr>
    </w:p>
    <w:p w:rsidR="000F603A" w:rsidRPr="00C218FB" w:rsidRDefault="000F603A" w:rsidP="00C218FB">
      <w:pPr>
        <w:spacing w:after="0" w:line="240" w:lineRule="auto"/>
        <w:ind w:left="567" w:right="709"/>
        <w:jc w:val="both"/>
        <w:rPr>
          <w:rFonts w:ascii="Times New Roman" w:hAnsi="Times New Roman" w:cs="Times New Roman"/>
          <w:sz w:val="24"/>
          <w:szCs w:val="24"/>
        </w:rPr>
      </w:pPr>
      <w:r w:rsidRPr="00C218FB">
        <w:rPr>
          <w:rFonts w:ascii="Times New Roman" w:eastAsia="Yu Mincho" w:hAnsi="Times New Roman" w:cs="Times New Roman"/>
          <w:b/>
          <w:sz w:val="24"/>
          <w:szCs w:val="24"/>
        </w:rPr>
        <w:t>k).-</w:t>
      </w:r>
      <w:r w:rsidRPr="00C218FB">
        <w:rPr>
          <w:rFonts w:ascii="Times New Roman" w:eastAsia="Yu Mincho" w:hAnsi="Times New Roman" w:cs="Times New Roman"/>
          <w:sz w:val="24"/>
          <w:szCs w:val="24"/>
        </w:rPr>
        <w:t xml:space="preserve"> </w:t>
      </w:r>
      <w:r w:rsidRPr="00C218FB">
        <w:rPr>
          <w:rFonts w:ascii="Times New Roman" w:hAnsi="Times New Roman" w:cs="Times New Roman"/>
          <w:sz w:val="24"/>
          <w:szCs w:val="24"/>
        </w:rPr>
        <w:t>Oficio sin registro alfanumérico, expedido por la Contraloría Interna (Municipal) del Ayuntamiento de Ecatepec de Morelos, certificado por la Lic. Rocío Rivera Alcántara, Encargada de Despacho de la Secretaría Municipal, consistente en copia de cuatro fojas respecto de la supervisión de colocación de luminarias en diversas colonias.</w:t>
      </w:r>
    </w:p>
    <w:p w:rsidR="000F603A" w:rsidRPr="00C218FB" w:rsidRDefault="000F603A" w:rsidP="00C218FB">
      <w:pPr>
        <w:spacing w:after="0" w:line="240" w:lineRule="auto"/>
        <w:ind w:left="567" w:right="709"/>
        <w:jc w:val="both"/>
        <w:rPr>
          <w:rFonts w:ascii="Times New Roman" w:eastAsia="Yu Mincho" w:hAnsi="Times New Roman" w:cs="Times New Roman"/>
          <w:sz w:val="24"/>
          <w:szCs w:val="24"/>
        </w:rPr>
      </w:pPr>
    </w:p>
    <w:p w:rsidR="000F603A" w:rsidRPr="00C218FB" w:rsidRDefault="000F603A" w:rsidP="00C218FB">
      <w:pPr>
        <w:spacing w:after="0" w:line="240" w:lineRule="auto"/>
        <w:ind w:left="567" w:right="709"/>
        <w:jc w:val="both"/>
        <w:rPr>
          <w:rFonts w:ascii="Times New Roman" w:eastAsia="Yu Mincho" w:hAnsi="Times New Roman" w:cs="Times New Roman"/>
          <w:sz w:val="24"/>
          <w:szCs w:val="24"/>
        </w:rPr>
      </w:pPr>
      <w:r w:rsidRPr="00C218FB">
        <w:rPr>
          <w:rFonts w:ascii="Times New Roman" w:eastAsia="Yu Mincho" w:hAnsi="Times New Roman" w:cs="Times New Roman"/>
          <w:b/>
          <w:sz w:val="24"/>
          <w:szCs w:val="24"/>
        </w:rPr>
        <w:t>l).-</w:t>
      </w:r>
      <w:r w:rsidRPr="00C218FB">
        <w:rPr>
          <w:rFonts w:ascii="Times New Roman" w:eastAsia="Yu Mincho" w:hAnsi="Times New Roman" w:cs="Times New Roman"/>
          <w:sz w:val="24"/>
          <w:szCs w:val="24"/>
        </w:rPr>
        <w:t xml:space="preserve"> </w:t>
      </w:r>
      <w:r w:rsidRPr="00C218FB">
        <w:rPr>
          <w:rFonts w:ascii="Times New Roman" w:hAnsi="Times New Roman" w:cs="Times New Roman"/>
          <w:sz w:val="24"/>
          <w:szCs w:val="24"/>
        </w:rPr>
        <w:t>Oficio sin registro alfanumérico, expedido por la Tesorería Municipal del Ayuntamiento de Ecatepec de Morelos y certificado por la L.C.P. Celia Díaz Olea, Tesorera Municipal, consistente en copia de 2 fojas de las siguientes claves catastrales (094 14 736 08 00 0000, 094 16 57 00 0000) de diversas colonias.</w:t>
      </w:r>
    </w:p>
    <w:p w:rsidR="000F603A" w:rsidRPr="00C218FB" w:rsidRDefault="000F603A" w:rsidP="00C218FB">
      <w:pPr>
        <w:spacing w:after="0" w:line="240" w:lineRule="auto"/>
        <w:ind w:left="567" w:right="709"/>
        <w:jc w:val="both"/>
        <w:rPr>
          <w:rFonts w:ascii="Times New Roman" w:eastAsia="Yu Mincho" w:hAnsi="Times New Roman" w:cs="Times New Roman"/>
          <w:sz w:val="24"/>
          <w:szCs w:val="24"/>
        </w:rPr>
      </w:pPr>
    </w:p>
    <w:p w:rsidR="000F603A" w:rsidRPr="00C218FB" w:rsidRDefault="000F603A" w:rsidP="00C218FB">
      <w:pPr>
        <w:spacing w:after="0" w:line="240" w:lineRule="auto"/>
        <w:ind w:left="567" w:right="709"/>
        <w:jc w:val="both"/>
        <w:rPr>
          <w:rFonts w:ascii="Times New Roman" w:eastAsia="Yu Mincho" w:hAnsi="Times New Roman" w:cs="Times New Roman"/>
          <w:sz w:val="24"/>
          <w:szCs w:val="24"/>
        </w:rPr>
      </w:pPr>
      <w:r w:rsidRPr="00C218FB">
        <w:rPr>
          <w:rFonts w:ascii="Times New Roman" w:eastAsia="Yu Mincho" w:hAnsi="Times New Roman" w:cs="Times New Roman"/>
          <w:b/>
          <w:sz w:val="24"/>
          <w:szCs w:val="24"/>
        </w:rPr>
        <w:t>m).-</w:t>
      </w:r>
      <w:r w:rsidRPr="00C218FB">
        <w:rPr>
          <w:rFonts w:ascii="Times New Roman" w:eastAsia="Yu Mincho" w:hAnsi="Times New Roman" w:cs="Times New Roman"/>
          <w:sz w:val="24"/>
          <w:szCs w:val="24"/>
        </w:rPr>
        <w:t xml:space="preserve"> </w:t>
      </w:r>
      <w:r w:rsidRPr="00C218FB">
        <w:rPr>
          <w:rFonts w:ascii="Times New Roman" w:hAnsi="Times New Roman" w:cs="Times New Roman"/>
          <w:sz w:val="24"/>
          <w:szCs w:val="24"/>
        </w:rPr>
        <w:t xml:space="preserve">Oficio con número de registro ECA/DCS/CA/215/2022, expedido por la Dirección de Comunicación Social del Ayuntamiento de Ecatepec de Morelos, consistente en copias respecto al reporte de evidencia fotográfica, así como material videográfico, el cual contiene 25 fotografías, así como 20 videos, ambas fotografías </w:t>
      </w:r>
      <w:r w:rsidRPr="00C218FB">
        <w:rPr>
          <w:rFonts w:ascii="Times New Roman" w:hAnsi="Times New Roman" w:cs="Times New Roman"/>
          <w:sz w:val="24"/>
          <w:szCs w:val="24"/>
        </w:rPr>
        <w:lastRenderedPageBreak/>
        <w:t>y videos certificados respectivamente por medio de la CDC, por la Lic. Rocío Rivera Alcántara, Encargada de Despacho de la Secretaría Municipal.</w:t>
      </w:r>
    </w:p>
    <w:p w:rsidR="000F603A" w:rsidRPr="00C218FB" w:rsidRDefault="000F603A" w:rsidP="00C218FB">
      <w:pPr>
        <w:spacing w:after="0" w:line="240" w:lineRule="auto"/>
        <w:ind w:left="567" w:right="709"/>
        <w:jc w:val="both"/>
        <w:rPr>
          <w:rFonts w:ascii="Times New Roman" w:eastAsia="Yu Mincho" w:hAnsi="Times New Roman" w:cs="Times New Roman"/>
          <w:sz w:val="24"/>
          <w:szCs w:val="24"/>
        </w:rPr>
      </w:pPr>
    </w:p>
    <w:p w:rsidR="000F603A" w:rsidRPr="00C218FB" w:rsidRDefault="000F603A" w:rsidP="00C218FB">
      <w:pPr>
        <w:spacing w:after="0" w:line="240" w:lineRule="auto"/>
        <w:ind w:left="567" w:right="851"/>
        <w:jc w:val="both"/>
        <w:rPr>
          <w:rFonts w:ascii="Times New Roman" w:eastAsia="Yu Mincho" w:hAnsi="Times New Roman" w:cs="Times New Roman"/>
          <w:sz w:val="24"/>
          <w:szCs w:val="24"/>
        </w:rPr>
      </w:pPr>
      <w:r w:rsidRPr="00C218FB">
        <w:rPr>
          <w:rFonts w:ascii="Times New Roman" w:eastAsia="Yu Mincho" w:hAnsi="Times New Roman" w:cs="Times New Roman"/>
          <w:b/>
          <w:sz w:val="24"/>
          <w:szCs w:val="24"/>
        </w:rPr>
        <w:t xml:space="preserve">n).- </w:t>
      </w:r>
      <w:r w:rsidRPr="00C218FB">
        <w:rPr>
          <w:rFonts w:ascii="Times New Roman" w:hAnsi="Times New Roman" w:cs="Times New Roman"/>
          <w:sz w:val="24"/>
          <w:szCs w:val="24"/>
        </w:rPr>
        <w:t>Oficio con número de registro SHA/SMI/CERT/0591/2022, expedido por la Dirección General del Instituto Municipal de las Mujeres e Igualdad de Género del Ayuntamiento de Ecatepec de Morelos, certificado por la Lic. Rocío Rivera Alcántara, Encargada de Despacho de la Secretaría Municipal, consistente en padrón de beneficiarias y/o usuarias de la Defensoría que consta del año 2020 al presente año 2022, asimismo, constancias y reportes fotográficos.</w:t>
      </w:r>
    </w:p>
    <w:p w:rsidR="000F603A" w:rsidRPr="00C218FB" w:rsidRDefault="000F603A" w:rsidP="00C218FB">
      <w:pPr>
        <w:spacing w:after="0" w:line="240" w:lineRule="auto"/>
        <w:jc w:val="both"/>
        <w:rPr>
          <w:rFonts w:ascii="Times New Roman" w:eastAsia="Yu Mincho" w:hAnsi="Times New Roman" w:cs="Times New Roman"/>
          <w:sz w:val="24"/>
          <w:szCs w:val="24"/>
        </w:rPr>
      </w:pPr>
    </w:p>
    <w:p w:rsidR="000F603A" w:rsidRPr="00C218FB" w:rsidRDefault="000F603A" w:rsidP="00C218FB">
      <w:pPr>
        <w:spacing w:after="0" w:line="240" w:lineRule="auto"/>
        <w:jc w:val="both"/>
        <w:rPr>
          <w:rFonts w:ascii="Times New Roman" w:eastAsia="Yu Mincho" w:hAnsi="Times New Roman" w:cs="Times New Roman"/>
          <w:sz w:val="24"/>
          <w:szCs w:val="24"/>
        </w:rPr>
      </w:pPr>
      <w:r w:rsidRPr="00C218FB">
        <w:rPr>
          <w:rFonts w:ascii="Times New Roman" w:hAnsi="Times New Roman" w:cs="Times New Roman"/>
          <w:b/>
          <w:bCs/>
          <w:sz w:val="24"/>
          <w:szCs w:val="24"/>
        </w:rPr>
        <w:t xml:space="preserve">2.- LA </w:t>
      </w:r>
      <w:r w:rsidRPr="00C218FB">
        <w:rPr>
          <w:rFonts w:ascii="Times New Roman" w:eastAsia="Yu Mincho" w:hAnsi="Times New Roman" w:cs="Times New Roman"/>
          <w:b/>
          <w:bCs/>
          <w:sz w:val="24"/>
          <w:szCs w:val="24"/>
        </w:rPr>
        <w:t>DOCUMENTAL PÚBLICA.</w:t>
      </w:r>
      <w:r w:rsidRPr="00C218FB">
        <w:rPr>
          <w:rFonts w:ascii="Times New Roman" w:eastAsia="Yu Mincho" w:hAnsi="Times New Roman" w:cs="Times New Roman"/>
          <w:sz w:val="24"/>
          <w:szCs w:val="24"/>
        </w:rPr>
        <w:t xml:space="preserve"> </w:t>
      </w:r>
      <w:r w:rsidRPr="00C218FB">
        <w:rPr>
          <w:rFonts w:ascii="Times New Roman" w:hAnsi="Times New Roman" w:cs="Times New Roman"/>
          <w:sz w:val="24"/>
          <w:szCs w:val="24"/>
        </w:rPr>
        <w:t>La documental pública marcada con el numeral dos puntos uno (2.1) consistente en el Bando Municipal de Ecatepec de Morelos, Estado de México 2022, aprobado por el Ayuntamiento de Ecatepec de Morelos en fecha 4 de febrero del 2022 en la quinta sesión extraordinaria de Cabildo y publicado el 5 de febrero de 2022.</w:t>
      </w:r>
    </w:p>
    <w:p w:rsidR="000F603A" w:rsidRPr="00C218FB" w:rsidRDefault="000F603A" w:rsidP="00C218FB">
      <w:pPr>
        <w:spacing w:after="0" w:line="240" w:lineRule="auto"/>
        <w:jc w:val="both"/>
        <w:rPr>
          <w:rFonts w:ascii="Times New Roman" w:eastAsia="Yu Mincho" w:hAnsi="Times New Roman" w:cs="Times New Roman"/>
          <w:sz w:val="24"/>
          <w:szCs w:val="24"/>
        </w:rPr>
      </w:pPr>
    </w:p>
    <w:p w:rsidR="000F603A" w:rsidRPr="00C218FB" w:rsidRDefault="000F603A" w:rsidP="00C218FB">
      <w:pPr>
        <w:spacing w:after="0" w:line="240" w:lineRule="auto"/>
        <w:jc w:val="both"/>
        <w:rPr>
          <w:rFonts w:ascii="Times New Roman" w:eastAsia="Yu Mincho" w:hAnsi="Times New Roman" w:cs="Times New Roman"/>
          <w:b/>
          <w:bCs/>
          <w:sz w:val="24"/>
          <w:szCs w:val="24"/>
        </w:rPr>
      </w:pPr>
      <w:r w:rsidRPr="00C218FB">
        <w:rPr>
          <w:rFonts w:ascii="Times New Roman" w:eastAsia="Yu Mincho" w:hAnsi="Times New Roman" w:cs="Times New Roman"/>
          <w:b/>
          <w:bCs/>
          <w:sz w:val="24"/>
          <w:szCs w:val="24"/>
        </w:rPr>
        <w:t xml:space="preserve">3.- LA DOCUMENTAL PRIVADA. </w:t>
      </w:r>
      <w:r w:rsidRPr="00C218FB">
        <w:rPr>
          <w:rFonts w:ascii="Times New Roman" w:hAnsi="Times New Roman" w:cs="Times New Roman"/>
          <w:sz w:val="24"/>
          <w:szCs w:val="24"/>
        </w:rPr>
        <w:t>marcada con el numeral tres puntos uno (3.1) en el escrito en mención, consistente en dieciséis (16) planos y/o cartas cartográficas del Estado de México, de acuerdo con el orden siguiente:</w:t>
      </w:r>
    </w:p>
    <w:p w:rsidR="000F603A" w:rsidRPr="00C218FB" w:rsidRDefault="000F603A" w:rsidP="00C218FB">
      <w:pPr>
        <w:spacing w:after="0" w:line="240" w:lineRule="auto"/>
        <w:jc w:val="both"/>
        <w:rPr>
          <w:rFonts w:ascii="Times New Roman" w:eastAsia="Yu Mincho"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sz w:val="24"/>
          <w:szCs w:val="24"/>
        </w:rPr>
        <w:t>(a)</w:t>
      </w:r>
      <w:r w:rsidRPr="00C218FB">
        <w:rPr>
          <w:rFonts w:ascii="Times New Roman" w:hAnsi="Times New Roman" w:cs="Times New Roman"/>
          <w:sz w:val="24"/>
          <w:szCs w:val="24"/>
        </w:rPr>
        <w:t xml:space="preserve"> ilustración 51. Carta General del Estado de México, 1962. Gobernador Constitucional Dr. Gustavo Baz, Secretario General Jorge Jiménez Cantú. Recopilación y preparación bajo la dirección del Ing. Jorge L. Tamayo. Colección General del Estado de México, Mapoteca Manuel Orozco y Berra (pág. 1 y pág. 2).</w:t>
      </w:r>
    </w:p>
    <w:p w:rsidR="000F603A" w:rsidRPr="00C218FB" w:rsidRDefault="000F603A" w:rsidP="00C218FB">
      <w:pPr>
        <w:spacing w:after="0" w:line="240" w:lineRule="auto"/>
        <w:jc w:val="both"/>
        <w:rPr>
          <w:rFonts w:ascii="Times New Roman" w:eastAsia="Yu Mincho"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sz w:val="24"/>
          <w:szCs w:val="24"/>
        </w:rPr>
        <w:t>(b)</w:t>
      </w:r>
      <w:r w:rsidRPr="00C218FB">
        <w:rPr>
          <w:rFonts w:ascii="Times New Roman" w:hAnsi="Times New Roman" w:cs="Times New Roman"/>
          <w:sz w:val="24"/>
          <w:szCs w:val="24"/>
        </w:rPr>
        <w:t xml:space="preserve"> ilustración 50. - Carta General del Estado de México, 1958, Secretaría de Agricultura y Ganadería. Dirección de Geografía y Meteorología. Construyo (sic) Ing. Luis G. Becerril; Colección General del Estado de México, Mapoteca Manuel Orozco y Berra.</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sz w:val="24"/>
          <w:szCs w:val="24"/>
        </w:rPr>
        <w:t>(c)</w:t>
      </w:r>
      <w:r w:rsidRPr="00C218FB">
        <w:rPr>
          <w:rFonts w:ascii="Times New Roman" w:hAnsi="Times New Roman" w:cs="Times New Roman"/>
          <w:sz w:val="24"/>
          <w:szCs w:val="24"/>
        </w:rPr>
        <w:t xml:space="preserve"> ilustración 43. - Carta General del Estado de México publicada el 9 de enero de 1903. Autor Ignacio P. Guzmán de la Escuela de Artes de Toluca, Mapoteca Manuel Orozco y Berra.</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sz w:val="24"/>
          <w:szCs w:val="24"/>
        </w:rPr>
        <w:t>(d)</w:t>
      </w:r>
      <w:r w:rsidRPr="00C218FB">
        <w:rPr>
          <w:rFonts w:ascii="Times New Roman" w:hAnsi="Times New Roman" w:cs="Times New Roman"/>
          <w:sz w:val="24"/>
          <w:szCs w:val="24"/>
        </w:rPr>
        <w:t xml:space="preserve"> ilustración 53. - Plano del Estado de México, mandado a hacer por disposición del Gobernador José Vicente Villada. Este plano fue ordenado que se realizara al Ing. Luis G. Becerril en el año 1900, Mapoteca Manuel Orozco y Berra.</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sz w:val="24"/>
          <w:szCs w:val="24"/>
        </w:rPr>
        <w:t>(e)</w:t>
      </w:r>
      <w:r w:rsidRPr="00C218FB">
        <w:rPr>
          <w:rFonts w:ascii="Times New Roman" w:hAnsi="Times New Roman" w:cs="Times New Roman"/>
          <w:sz w:val="24"/>
          <w:szCs w:val="24"/>
        </w:rPr>
        <w:t xml:space="preserve"> ilustración 17. - Carta General del Arzobispado de México. Formada con los datos más exactos de la orden del I. S, D. Pelágico A. de Labastida. Y Dávalos. 1872. Dibujo por Antonio García Cubas, Mapoteca Manuel Orozco y Berra.</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sz w:val="24"/>
          <w:szCs w:val="24"/>
        </w:rPr>
        <w:t>(f)</w:t>
      </w:r>
      <w:r w:rsidRPr="00C218FB">
        <w:rPr>
          <w:rFonts w:ascii="Times New Roman" w:hAnsi="Times New Roman" w:cs="Times New Roman"/>
          <w:sz w:val="24"/>
          <w:szCs w:val="24"/>
        </w:rPr>
        <w:t xml:space="preserve"> ilustración 42. - Plano del Estado de México, elaborado por el Geógrafo Antonio García Cubas, 1858, Mapoteca Manuel Orozco y Berra.</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sz w:val="24"/>
          <w:szCs w:val="24"/>
        </w:rPr>
        <w:t>(g)</w:t>
      </w:r>
      <w:r w:rsidRPr="00C218FB">
        <w:rPr>
          <w:rFonts w:ascii="Times New Roman" w:hAnsi="Times New Roman" w:cs="Times New Roman"/>
          <w:sz w:val="24"/>
          <w:szCs w:val="24"/>
        </w:rPr>
        <w:t xml:space="preserve"> ilustración 49. - Distrito Oeste de Tlalnepantla en que está incluido el Distrito Federal, Tomás Ramón del Moral; Sociedad Geográfica у Estadística del Estado de México; año 1852; realizado por orden del Gobernador D. Mariano Riva Palacio, Mapoteca Manuel Orozco y Berra.</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sz w:val="24"/>
          <w:szCs w:val="24"/>
        </w:rPr>
        <w:t>(h)</w:t>
      </w:r>
      <w:r w:rsidRPr="00C218FB">
        <w:rPr>
          <w:rFonts w:ascii="Times New Roman" w:hAnsi="Times New Roman" w:cs="Times New Roman"/>
          <w:sz w:val="24"/>
          <w:szCs w:val="24"/>
        </w:rPr>
        <w:t xml:space="preserve"> Ilustración 47. - Distrito de Tula; Tomas Ramón del Moral, Placido Blanco, M. Fernández; sociedad Geográfica y estadística del Estado de México; año 1851; realizado por orden del Gobernador D. Mariano Riva Palacio, Mapoteca Manuel Orozco y Berra.</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sz w:val="24"/>
          <w:szCs w:val="24"/>
        </w:rPr>
        <w:t>(i)</w:t>
      </w:r>
      <w:r w:rsidRPr="00C218FB">
        <w:rPr>
          <w:rFonts w:ascii="Times New Roman" w:hAnsi="Times New Roman" w:cs="Times New Roman"/>
          <w:sz w:val="24"/>
          <w:szCs w:val="24"/>
        </w:rPr>
        <w:t xml:space="preserve"> ilustración 10. - Carta Geográfica del Estado de México del año 1862, levantada por el Ing. Geógrafo militar D. Tomás Ramón del Moral, Mapoteca Manuel Orozco y Berra.</w:t>
      </w:r>
    </w:p>
    <w:p w:rsidR="000F603A" w:rsidRPr="00C218FB" w:rsidRDefault="000F603A" w:rsidP="00C218FB">
      <w:pPr>
        <w:spacing w:after="0" w:line="240" w:lineRule="auto"/>
        <w:jc w:val="both"/>
        <w:rPr>
          <w:rFonts w:ascii="Times New Roman" w:eastAsia="Yu Mincho"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sz w:val="24"/>
          <w:szCs w:val="24"/>
        </w:rPr>
        <w:t>(j)</w:t>
      </w:r>
      <w:r w:rsidRPr="00C218FB">
        <w:rPr>
          <w:rFonts w:ascii="Times New Roman" w:hAnsi="Times New Roman" w:cs="Times New Roman"/>
          <w:sz w:val="24"/>
          <w:szCs w:val="24"/>
        </w:rPr>
        <w:t xml:space="preserve"> ilustración 44. - Mapa General del Estado de México, levantado por el Ing. Tomás Ramón del Moral, corregido por la Sociedad de Geografía y Estadística del Estado de México, este mapa se realizó entre 18271833.</w:t>
      </w:r>
    </w:p>
    <w:p w:rsidR="000F603A" w:rsidRPr="00C218FB" w:rsidRDefault="000F603A" w:rsidP="00C218FB">
      <w:pPr>
        <w:spacing w:after="0" w:line="240" w:lineRule="auto"/>
        <w:jc w:val="both"/>
        <w:rPr>
          <w:rFonts w:ascii="Times New Roman" w:eastAsia="Yu Mincho" w:hAnsi="Times New Roman" w:cs="Times New Roman"/>
          <w:sz w:val="24"/>
          <w:szCs w:val="24"/>
        </w:rPr>
      </w:pPr>
    </w:p>
    <w:p w:rsidR="000F603A" w:rsidRPr="00C218FB" w:rsidRDefault="000F603A" w:rsidP="00C218FB">
      <w:pPr>
        <w:spacing w:after="0" w:line="240" w:lineRule="auto"/>
        <w:jc w:val="both"/>
        <w:rPr>
          <w:rFonts w:ascii="Times New Roman" w:eastAsia="Yu Mincho" w:hAnsi="Times New Roman" w:cs="Times New Roman"/>
          <w:sz w:val="24"/>
          <w:szCs w:val="24"/>
        </w:rPr>
      </w:pPr>
      <w:r w:rsidRPr="00C218FB">
        <w:rPr>
          <w:rFonts w:ascii="Times New Roman" w:eastAsia="Yu Mincho" w:hAnsi="Times New Roman" w:cs="Times New Roman"/>
          <w:sz w:val="24"/>
          <w:szCs w:val="24"/>
        </w:rPr>
        <w:t>Documentales que haremos llegar a esta H. Legislatura una vez que se tengan a la mano en copias certificadas, para su debido análisis y desahogo del valor probatorio que pretendemos darles.</w:t>
      </w:r>
    </w:p>
    <w:p w:rsidR="000F603A" w:rsidRPr="00C218FB" w:rsidRDefault="000F603A" w:rsidP="00C218FB">
      <w:pPr>
        <w:spacing w:after="0" w:line="240" w:lineRule="auto"/>
        <w:jc w:val="both"/>
        <w:rPr>
          <w:rFonts w:ascii="Times New Roman" w:eastAsia="Yu Mincho" w:hAnsi="Times New Roman" w:cs="Times New Roman"/>
          <w:sz w:val="24"/>
          <w:szCs w:val="24"/>
        </w:rPr>
      </w:pPr>
    </w:p>
    <w:p w:rsidR="000F603A" w:rsidRPr="00C218FB" w:rsidRDefault="000F603A" w:rsidP="00C218FB">
      <w:pPr>
        <w:spacing w:after="0" w:line="240" w:lineRule="auto"/>
        <w:jc w:val="both"/>
        <w:rPr>
          <w:rFonts w:ascii="Times New Roman" w:eastAsia="Yu Mincho" w:hAnsi="Times New Roman" w:cs="Times New Roman"/>
          <w:sz w:val="24"/>
          <w:szCs w:val="24"/>
        </w:rPr>
      </w:pPr>
      <w:r w:rsidRPr="00C218FB">
        <w:rPr>
          <w:rFonts w:ascii="Times New Roman" w:eastAsia="Yu Mincho" w:hAnsi="Times New Roman" w:cs="Times New Roman"/>
          <w:b/>
          <w:bCs/>
          <w:sz w:val="24"/>
          <w:szCs w:val="24"/>
        </w:rPr>
        <w:t xml:space="preserve">4.- LA DOCUMENTAL PRIVADA, </w:t>
      </w:r>
      <w:r w:rsidRPr="00C218FB">
        <w:rPr>
          <w:rFonts w:ascii="Times New Roman" w:hAnsi="Times New Roman" w:cs="Times New Roman"/>
          <w:sz w:val="24"/>
          <w:szCs w:val="24"/>
        </w:rPr>
        <w:t>marcada con el numeral cuatro puntos uno (4.1) a la que se hace referencia en el escrito en comento, consistente en tres planos que representan el Lago de Texcoco y sus alrededores.</w:t>
      </w:r>
    </w:p>
    <w:p w:rsidR="000F603A" w:rsidRPr="00C218FB" w:rsidRDefault="000F603A" w:rsidP="00C218FB">
      <w:pPr>
        <w:spacing w:after="0" w:line="240" w:lineRule="auto"/>
        <w:jc w:val="both"/>
        <w:rPr>
          <w:rFonts w:ascii="Times New Roman" w:eastAsia="Yu Mincho" w:hAnsi="Times New Roman" w:cs="Times New Roman"/>
          <w:sz w:val="24"/>
          <w:szCs w:val="24"/>
        </w:rPr>
      </w:pPr>
    </w:p>
    <w:p w:rsidR="000F603A" w:rsidRPr="00C218FB" w:rsidRDefault="000F603A" w:rsidP="00C218FB">
      <w:pPr>
        <w:spacing w:after="0" w:line="240" w:lineRule="auto"/>
        <w:jc w:val="both"/>
        <w:rPr>
          <w:rFonts w:ascii="Times New Roman" w:eastAsia="Yu Mincho" w:hAnsi="Times New Roman" w:cs="Times New Roman"/>
          <w:sz w:val="24"/>
          <w:szCs w:val="24"/>
        </w:rPr>
      </w:pPr>
      <w:r w:rsidRPr="00C218FB">
        <w:rPr>
          <w:rFonts w:ascii="Times New Roman" w:eastAsia="Yu Mincho" w:hAnsi="Times New Roman" w:cs="Times New Roman"/>
          <w:sz w:val="24"/>
          <w:szCs w:val="24"/>
        </w:rPr>
        <w:t>De la misma forma ratificamos las pruebas ofrecidas en nuestro escrito de ampliación de contestación, de fecha 22 de junio del 2022, mismas que obran en autos del presente procedimiento bajo los incisos "ñ" y "o" y que corren como anexo 1 al escrito de referencia, consistentes en:</w:t>
      </w:r>
    </w:p>
    <w:p w:rsidR="000F603A" w:rsidRPr="00C218FB" w:rsidRDefault="000F603A" w:rsidP="00C218FB">
      <w:pPr>
        <w:spacing w:after="0" w:line="240" w:lineRule="auto"/>
        <w:jc w:val="both"/>
        <w:rPr>
          <w:rFonts w:ascii="Times New Roman" w:eastAsia="Yu Mincho" w:hAnsi="Times New Roman" w:cs="Times New Roman"/>
          <w:b/>
          <w:bCs/>
          <w:sz w:val="24"/>
          <w:szCs w:val="24"/>
        </w:rPr>
      </w:pPr>
    </w:p>
    <w:p w:rsidR="000F603A" w:rsidRPr="00C218FB" w:rsidRDefault="000F603A" w:rsidP="00C218FB">
      <w:pPr>
        <w:spacing w:after="0" w:line="240" w:lineRule="auto"/>
        <w:jc w:val="both"/>
        <w:rPr>
          <w:rFonts w:ascii="Times New Roman" w:eastAsia="Yu Mincho" w:hAnsi="Times New Roman" w:cs="Times New Roman"/>
          <w:sz w:val="24"/>
          <w:szCs w:val="24"/>
        </w:rPr>
      </w:pPr>
      <w:r w:rsidRPr="00C218FB">
        <w:rPr>
          <w:rFonts w:ascii="Times New Roman" w:eastAsia="Yu Mincho" w:hAnsi="Times New Roman" w:cs="Times New Roman"/>
          <w:b/>
          <w:bCs/>
          <w:sz w:val="24"/>
          <w:szCs w:val="24"/>
        </w:rPr>
        <w:t>5.- LA DOCUMENTAL PÚBLICA.</w:t>
      </w:r>
      <w:r w:rsidRPr="00C218FB">
        <w:rPr>
          <w:rFonts w:ascii="Times New Roman" w:eastAsia="Yu Mincho" w:hAnsi="Times New Roman" w:cs="Times New Roman"/>
          <w:sz w:val="24"/>
          <w:szCs w:val="24"/>
        </w:rPr>
        <w:t xml:space="preserve"> </w:t>
      </w:r>
      <w:r w:rsidRPr="00C218FB">
        <w:rPr>
          <w:rFonts w:ascii="Times New Roman" w:hAnsi="Times New Roman" w:cs="Times New Roman"/>
          <w:sz w:val="24"/>
          <w:szCs w:val="24"/>
        </w:rPr>
        <w:t>marcada con el numeral dos (2) a la que hace referencia en el escrito en comento, consistente en 2 oficios originales suscritos por las personas titulares de las dependencias que integran la Administración Pública Municipal de Ecatepec de Morelos, Estado de México.</w:t>
      </w:r>
    </w:p>
    <w:p w:rsidR="000F603A" w:rsidRPr="00C218FB" w:rsidRDefault="000F603A" w:rsidP="00C218FB">
      <w:pPr>
        <w:spacing w:after="0" w:line="240" w:lineRule="auto"/>
        <w:jc w:val="both"/>
        <w:rPr>
          <w:rFonts w:ascii="Times New Roman" w:eastAsia="Yu Mincho" w:hAnsi="Times New Roman" w:cs="Times New Roman"/>
          <w:sz w:val="24"/>
          <w:szCs w:val="24"/>
        </w:rPr>
      </w:pPr>
    </w:p>
    <w:p w:rsidR="000F603A" w:rsidRPr="00C218FB" w:rsidRDefault="000F603A" w:rsidP="00C218FB">
      <w:pPr>
        <w:spacing w:after="0" w:line="240" w:lineRule="auto"/>
        <w:jc w:val="both"/>
        <w:rPr>
          <w:rFonts w:ascii="Times New Roman" w:eastAsia="Yu Mincho" w:hAnsi="Times New Roman" w:cs="Times New Roman"/>
          <w:sz w:val="24"/>
          <w:szCs w:val="24"/>
        </w:rPr>
      </w:pPr>
      <w:r w:rsidRPr="00C218FB">
        <w:rPr>
          <w:rFonts w:ascii="Times New Roman" w:eastAsia="Yu Mincho" w:hAnsi="Times New Roman" w:cs="Times New Roman"/>
          <w:b/>
          <w:bCs/>
          <w:sz w:val="24"/>
          <w:szCs w:val="24"/>
        </w:rPr>
        <w:t>6.- LA TESTIMONIAL</w:t>
      </w:r>
      <w:r w:rsidRPr="00C218FB">
        <w:rPr>
          <w:rFonts w:ascii="Times New Roman" w:eastAsia="Yu Mincho" w:hAnsi="Times New Roman" w:cs="Times New Roman"/>
          <w:sz w:val="24"/>
          <w:szCs w:val="24"/>
        </w:rPr>
        <w:t xml:space="preserve"> </w:t>
      </w:r>
      <w:r w:rsidRPr="00C218FB">
        <w:rPr>
          <w:rFonts w:ascii="Times New Roman" w:hAnsi="Times New Roman" w:cs="Times New Roman"/>
          <w:sz w:val="24"/>
          <w:szCs w:val="24"/>
        </w:rPr>
        <w:t xml:space="preserve">con el numeral tres (3) a la que hace referencia en el escrito en comento, a cargo de los C.C. Elizabeth Gabriela </w:t>
      </w:r>
      <w:proofErr w:type="spellStart"/>
      <w:r w:rsidRPr="00C218FB">
        <w:rPr>
          <w:rFonts w:ascii="Times New Roman" w:hAnsi="Times New Roman" w:cs="Times New Roman"/>
          <w:sz w:val="24"/>
          <w:szCs w:val="24"/>
        </w:rPr>
        <w:t>Martinez</w:t>
      </w:r>
      <w:proofErr w:type="spellEnd"/>
      <w:r w:rsidRPr="00C218FB">
        <w:rPr>
          <w:rFonts w:ascii="Times New Roman" w:hAnsi="Times New Roman" w:cs="Times New Roman"/>
          <w:sz w:val="24"/>
          <w:szCs w:val="24"/>
        </w:rPr>
        <w:t xml:space="preserve"> Herrera, Angélica Juárez Sánchez y Alma Delia </w:t>
      </w:r>
      <w:proofErr w:type="spellStart"/>
      <w:r w:rsidRPr="00C218FB">
        <w:rPr>
          <w:rFonts w:ascii="Times New Roman" w:hAnsi="Times New Roman" w:cs="Times New Roman"/>
          <w:sz w:val="24"/>
          <w:szCs w:val="24"/>
        </w:rPr>
        <w:t>Martinez</w:t>
      </w:r>
      <w:proofErr w:type="spellEnd"/>
      <w:r w:rsidRPr="00C218FB">
        <w:rPr>
          <w:rFonts w:ascii="Times New Roman" w:hAnsi="Times New Roman" w:cs="Times New Roman"/>
          <w:sz w:val="24"/>
          <w:szCs w:val="24"/>
        </w:rPr>
        <w:t xml:space="preserve"> Alonso; Olga Lidia Vázquez </w:t>
      </w:r>
      <w:proofErr w:type="spellStart"/>
      <w:r w:rsidRPr="00C218FB">
        <w:rPr>
          <w:rFonts w:ascii="Times New Roman" w:hAnsi="Times New Roman" w:cs="Times New Roman"/>
          <w:sz w:val="24"/>
          <w:szCs w:val="24"/>
        </w:rPr>
        <w:t>Vázquez</w:t>
      </w:r>
      <w:proofErr w:type="spellEnd"/>
      <w:r w:rsidRPr="00C218FB">
        <w:rPr>
          <w:rFonts w:ascii="Times New Roman" w:hAnsi="Times New Roman" w:cs="Times New Roman"/>
          <w:sz w:val="24"/>
          <w:szCs w:val="24"/>
        </w:rPr>
        <w:t xml:space="preserve">, Alondra Valeria </w:t>
      </w:r>
      <w:proofErr w:type="spellStart"/>
      <w:r w:rsidRPr="00C218FB">
        <w:rPr>
          <w:rFonts w:ascii="Times New Roman" w:hAnsi="Times New Roman" w:cs="Times New Roman"/>
          <w:sz w:val="24"/>
          <w:szCs w:val="24"/>
        </w:rPr>
        <w:t>Martinez</w:t>
      </w:r>
      <w:proofErr w:type="spellEnd"/>
      <w:r w:rsidRPr="00C218FB">
        <w:rPr>
          <w:rFonts w:ascii="Times New Roman" w:hAnsi="Times New Roman" w:cs="Times New Roman"/>
          <w:sz w:val="24"/>
          <w:szCs w:val="24"/>
        </w:rPr>
        <w:t xml:space="preserve"> Vázquez y Guillermo Pérez Hernández; Julio Adrián López Chávez, Teresa López Diaz y Aurelio García Ojeda.</w:t>
      </w:r>
    </w:p>
    <w:p w:rsidR="000F603A" w:rsidRPr="00C218FB" w:rsidRDefault="000F603A" w:rsidP="00C218FB">
      <w:pPr>
        <w:spacing w:after="0" w:line="240" w:lineRule="auto"/>
        <w:jc w:val="both"/>
        <w:rPr>
          <w:rFonts w:ascii="Times New Roman" w:eastAsia="Yu Mincho" w:hAnsi="Times New Roman" w:cs="Times New Roman"/>
          <w:sz w:val="24"/>
          <w:szCs w:val="24"/>
        </w:rPr>
      </w:pPr>
    </w:p>
    <w:p w:rsidR="000F603A" w:rsidRPr="00C218FB" w:rsidRDefault="000F603A" w:rsidP="00C218FB">
      <w:pPr>
        <w:spacing w:after="0" w:line="240" w:lineRule="auto"/>
        <w:jc w:val="both"/>
        <w:rPr>
          <w:rFonts w:ascii="Times New Roman" w:eastAsia="Yu Mincho" w:hAnsi="Times New Roman" w:cs="Times New Roman"/>
          <w:sz w:val="24"/>
          <w:szCs w:val="24"/>
        </w:rPr>
      </w:pPr>
      <w:r w:rsidRPr="00C218FB">
        <w:rPr>
          <w:rFonts w:ascii="Times New Roman" w:eastAsia="Yu Mincho" w:hAnsi="Times New Roman" w:cs="Times New Roman"/>
          <w:b/>
          <w:bCs/>
          <w:sz w:val="24"/>
          <w:szCs w:val="24"/>
        </w:rPr>
        <w:t>7.- LA DOCUMENTAL PRIVADA.</w:t>
      </w:r>
      <w:r w:rsidRPr="00C218FB">
        <w:rPr>
          <w:rFonts w:ascii="Times New Roman" w:hAnsi="Times New Roman" w:cs="Times New Roman"/>
          <w:sz w:val="24"/>
          <w:szCs w:val="24"/>
        </w:rPr>
        <w:t xml:space="preserve"> La documental privada marcada con el numeral cuatro (4) en el escrito en comento, consistente en el informe técnico del estudio sociodemográfico de identidad y auto adscripción que tendrá a bien rendir la Universidad Autónoma Metropolitana, </w:t>
      </w:r>
      <w:r w:rsidRPr="00C218FB">
        <w:rPr>
          <w:rFonts w:ascii="Times New Roman" w:eastAsia="Yu Mincho" w:hAnsi="Times New Roman" w:cs="Times New Roman"/>
          <w:sz w:val="24"/>
          <w:szCs w:val="24"/>
        </w:rPr>
        <w:t>mismo que se llevara a cabo en las 469 hectáreas materia del presente diferendo limítrofe intermunicipal en el plazo que establezca esta Comisión Legislativa de Límites Territoriales para el desahogo de dicha probanza y que solicitamos oportunamente a la institución referida, aprobándose mediante oficio de fecha 16 de noviembre del 2022, suscrito por el Mtro. Mario Alejandro Carrillo Livianos, Profesor Investigador del Área De Gestión Estatal y Sistema Político De La Universidad Autónoma Metropolitana-Unidad Xochimilco, mismo que se recibió mediante nuestro correo institucional anexando copia simple del mismo, consistente de dos fojas y que corre como nexo 2 al presente escrito, cuyo objeto de dicha probanza es acreditar y hacer valer los argumentos, manifestaciones y defensas que hemos interpuesto en el presente procedimiento, en especial a acreditar los aspectos de orden político, social, cultural e identidad y demográfico.</w:t>
      </w:r>
    </w:p>
    <w:p w:rsidR="000F603A" w:rsidRPr="00C218FB" w:rsidRDefault="000F603A" w:rsidP="00C218FB">
      <w:pPr>
        <w:spacing w:after="0" w:line="240" w:lineRule="auto"/>
        <w:jc w:val="both"/>
        <w:rPr>
          <w:rFonts w:ascii="Times New Roman" w:eastAsia="Yu Mincho" w:hAnsi="Times New Roman" w:cs="Times New Roman"/>
          <w:sz w:val="24"/>
          <w:szCs w:val="24"/>
        </w:rPr>
      </w:pPr>
    </w:p>
    <w:p w:rsidR="000F603A" w:rsidRPr="00C218FB" w:rsidRDefault="000F603A" w:rsidP="00C218FB">
      <w:pPr>
        <w:spacing w:after="0" w:line="240" w:lineRule="auto"/>
        <w:jc w:val="both"/>
        <w:rPr>
          <w:rFonts w:ascii="Times New Roman" w:eastAsia="Yu Mincho" w:hAnsi="Times New Roman" w:cs="Times New Roman"/>
          <w:sz w:val="24"/>
          <w:szCs w:val="24"/>
        </w:rPr>
      </w:pPr>
      <w:r w:rsidRPr="00C218FB">
        <w:rPr>
          <w:rFonts w:ascii="Times New Roman" w:eastAsia="Yu Mincho" w:hAnsi="Times New Roman" w:cs="Times New Roman"/>
          <w:b/>
          <w:bCs/>
          <w:sz w:val="24"/>
          <w:szCs w:val="24"/>
        </w:rPr>
        <w:t xml:space="preserve">8.- LA DOCUMENTAL PÚBLICA. </w:t>
      </w:r>
      <w:r w:rsidRPr="00C218FB">
        <w:rPr>
          <w:rFonts w:ascii="Times New Roman" w:eastAsia="Yu Mincho" w:hAnsi="Times New Roman" w:cs="Times New Roman"/>
          <w:sz w:val="24"/>
          <w:szCs w:val="24"/>
        </w:rPr>
        <w:t>Consistente en el informe que tenga a bien rendir el Lic. Jesús de la Cruz Martínez, Delegado del Registro Agrario Nacional en el Estado de México en el que entre otras cosas deberán versar y obrar lo siguiente:</w:t>
      </w:r>
    </w:p>
    <w:p w:rsidR="000F603A" w:rsidRPr="00C218FB" w:rsidRDefault="000F603A" w:rsidP="00C218FB">
      <w:pPr>
        <w:spacing w:after="0" w:line="240" w:lineRule="auto"/>
        <w:jc w:val="both"/>
        <w:rPr>
          <w:rFonts w:ascii="Times New Roman" w:eastAsia="Yu Mincho" w:hAnsi="Times New Roman" w:cs="Times New Roman"/>
          <w:sz w:val="24"/>
          <w:szCs w:val="24"/>
        </w:rPr>
      </w:pPr>
    </w:p>
    <w:p w:rsidR="000F603A" w:rsidRPr="00C218FB" w:rsidRDefault="000F603A" w:rsidP="00C218FB">
      <w:pPr>
        <w:spacing w:after="0" w:line="240" w:lineRule="auto"/>
        <w:ind w:left="567" w:right="851"/>
        <w:jc w:val="both"/>
        <w:rPr>
          <w:rFonts w:ascii="Times New Roman" w:eastAsia="Yu Mincho" w:hAnsi="Times New Roman" w:cs="Times New Roman"/>
          <w:sz w:val="24"/>
          <w:szCs w:val="24"/>
        </w:rPr>
      </w:pPr>
      <w:r w:rsidRPr="00C218FB">
        <w:rPr>
          <w:rFonts w:ascii="Times New Roman" w:hAnsi="Times New Roman" w:cs="Times New Roman"/>
          <w:sz w:val="24"/>
          <w:szCs w:val="24"/>
        </w:rPr>
        <w:t xml:space="preserve">I. - Se expida a costa del Municipio de Ecatepec de Morelos copia certificada de la resolución presidencial de fecha 15 de octubre de 1934, así mismo, del acta de </w:t>
      </w:r>
      <w:r w:rsidRPr="00C218FB">
        <w:rPr>
          <w:rFonts w:ascii="Times New Roman" w:hAnsi="Times New Roman" w:cs="Times New Roman"/>
          <w:sz w:val="24"/>
          <w:szCs w:val="24"/>
        </w:rPr>
        <w:lastRenderedPageBreak/>
        <w:t>posesión definitiva de fecha 01 de mayo de 1936 y plano definitivo relativos a la dotación de tierras que obran en la carpeta de documentos básicos número 8/33 correspondientes al poblado de Santa María Chiconautla, Ecatepec de Morelos, Estado de México.</w:t>
      </w:r>
    </w:p>
    <w:p w:rsidR="000F603A" w:rsidRPr="00C218FB" w:rsidRDefault="000F603A" w:rsidP="00C218FB">
      <w:pPr>
        <w:spacing w:after="0" w:line="240" w:lineRule="auto"/>
        <w:ind w:left="567" w:right="851"/>
        <w:jc w:val="both"/>
        <w:rPr>
          <w:rFonts w:ascii="Times New Roman" w:hAnsi="Times New Roman" w:cs="Times New Roman"/>
          <w:sz w:val="24"/>
          <w:szCs w:val="24"/>
        </w:rPr>
      </w:pPr>
    </w:p>
    <w:p w:rsidR="000F603A" w:rsidRPr="00C218FB" w:rsidRDefault="000F603A" w:rsidP="00C218FB">
      <w:pPr>
        <w:spacing w:after="0" w:line="240" w:lineRule="auto"/>
        <w:ind w:left="567" w:right="851"/>
        <w:jc w:val="both"/>
        <w:rPr>
          <w:rFonts w:ascii="Times New Roman" w:eastAsia="Yu Mincho" w:hAnsi="Times New Roman" w:cs="Times New Roman"/>
          <w:sz w:val="24"/>
          <w:szCs w:val="24"/>
        </w:rPr>
      </w:pPr>
      <w:r w:rsidRPr="00C218FB">
        <w:rPr>
          <w:rFonts w:ascii="Times New Roman" w:hAnsi="Times New Roman" w:cs="Times New Roman"/>
          <w:sz w:val="24"/>
          <w:szCs w:val="24"/>
        </w:rPr>
        <w:t>II. - Se expida a costa del Municipio de Ecatepec de Morelos copia certificada del Diario Oficial de la Federación de fecha 09 de noviembre de 1937, así mismo de la resolución presidencial de fecha 20 de octubre de 1937, acta de posesión y deslinde de fecha 12 de noviembre de 1937 y plano definitivo relativos a la ampliación de ejidos que obran en la carpeta de documentos básicos número 8/33 correspondientes al poblado de Santa María Chiconautla, Ecatepec De Morelos, Estado de México.</w:t>
      </w:r>
    </w:p>
    <w:p w:rsidR="000F603A" w:rsidRPr="00C218FB" w:rsidRDefault="000F603A" w:rsidP="00C218FB">
      <w:pPr>
        <w:spacing w:after="0" w:line="240" w:lineRule="auto"/>
        <w:ind w:left="567" w:right="851"/>
        <w:jc w:val="both"/>
        <w:rPr>
          <w:rFonts w:ascii="Times New Roman" w:eastAsia="Yu Mincho" w:hAnsi="Times New Roman" w:cs="Times New Roman"/>
          <w:sz w:val="24"/>
          <w:szCs w:val="24"/>
        </w:rPr>
      </w:pPr>
    </w:p>
    <w:p w:rsidR="000F603A" w:rsidRPr="00C218FB" w:rsidRDefault="000F603A" w:rsidP="00C218FB">
      <w:pPr>
        <w:spacing w:after="0" w:line="240" w:lineRule="auto"/>
        <w:ind w:left="567" w:right="851"/>
        <w:jc w:val="both"/>
        <w:rPr>
          <w:rFonts w:ascii="Times New Roman" w:eastAsia="Yu Mincho" w:hAnsi="Times New Roman" w:cs="Times New Roman"/>
          <w:sz w:val="24"/>
          <w:szCs w:val="24"/>
        </w:rPr>
      </w:pPr>
      <w:r w:rsidRPr="00C218FB">
        <w:rPr>
          <w:rFonts w:ascii="Times New Roman" w:hAnsi="Times New Roman" w:cs="Times New Roman"/>
          <w:sz w:val="24"/>
          <w:szCs w:val="24"/>
        </w:rPr>
        <w:t>III. - Se expida a costa del Municipio de Ecatepec de Morelos copia certificada de los planos realizados mediante el Programa de Certificación de Derechos Agrarios (PROCEDE) del ejido correspondiente al poblado de Santa María Chiconautla, Ecatepec de Morelos, Estado de México.</w:t>
      </w:r>
    </w:p>
    <w:p w:rsidR="000F603A" w:rsidRPr="00C218FB" w:rsidRDefault="000F603A" w:rsidP="00C218FB">
      <w:pPr>
        <w:spacing w:after="0" w:line="240" w:lineRule="auto"/>
        <w:ind w:left="567" w:right="851"/>
        <w:jc w:val="both"/>
        <w:rPr>
          <w:rFonts w:ascii="Times New Roman" w:eastAsia="Yu Mincho" w:hAnsi="Times New Roman" w:cs="Times New Roman"/>
          <w:sz w:val="24"/>
          <w:szCs w:val="24"/>
        </w:rPr>
      </w:pPr>
    </w:p>
    <w:p w:rsidR="000F603A" w:rsidRPr="00C218FB" w:rsidRDefault="000F603A" w:rsidP="00C218FB">
      <w:pPr>
        <w:spacing w:after="0" w:line="240" w:lineRule="auto"/>
        <w:ind w:left="567" w:right="851"/>
        <w:jc w:val="both"/>
        <w:rPr>
          <w:rFonts w:ascii="Times New Roman" w:hAnsi="Times New Roman" w:cs="Times New Roman"/>
          <w:sz w:val="24"/>
          <w:szCs w:val="24"/>
        </w:rPr>
      </w:pPr>
      <w:r w:rsidRPr="00C218FB">
        <w:rPr>
          <w:rFonts w:ascii="Times New Roman" w:hAnsi="Times New Roman" w:cs="Times New Roman"/>
          <w:sz w:val="24"/>
          <w:szCs w:val="24"/>
        </w:rPr>
        <w:t>IV. - Se expida a costa del Municipio de Ecatepec de Morelos copia certificada de los certificados parcelarios que se hayan expedido a favor de persona alguna de las parcelas que se enlistan en el oficio número DJC/2568/11/2022STT/ESC/0306/11/2022, previamente aludido.</w:t>
      </w:r>
    </w:p>
    <w:p w:rsidR="000F603A" w:rsidRPr="00C218FB" w:rsidRDefault="000F603A" w:rsidP="00C218FB">
      <w:pPr>
        <w:spacing w:after="0" w:line="240" w:lineRule="auto"/>
        <w:ind w:left="567" w:right="851"/>
        <w:jc w:val="both"/>
        <w:rPr>
          <w:rFonts w:ascii="Times New Roman" w:hAnsi="Times New Roman" w:cs="Times New Roman"/>
          <w:sz w:val="24"/>
          <w:szCs w:val="24"/>
        </w:rPr>
      </w:pPr>
    </w:p>
    <w:p w:rsidR="000F603A" w:rsidRPr="00C218FB" w:rsidRDefault="000F603A" w:rsidP="00C218FB">
      <w:pPr>
        <w:spacing w:after="0" w:line="240" w:lineRule="auto"/>
        <w:ind w:left="567" w:right="851"/>
        <w:jc w:val="both"/>
        <w:rPr>
          <w:rFonts w:ascii="Times New Roman" w:hAnsi="Times New Roman" w:cs="Times New Roman"/>
          <w:sz w:val="24"/>
          <w:szCs w:val="24"/>
        </w:rPr>
      </w:pPr>
      <w:r w:rsidRPr="00C218FB">
        <w:rPr>
          <w:rFonts w:ascii="Times New Roman" w:hAnsi="Times New Roman" w:cs="Times New Roman"/>
          <w:sz w:val="24"/>
          <w:szCs w:val="24"/>
        </w:rPr>
        <w:t>V. - Se expida a costa del Municipio de Ecatepec de Morelos copia certificada de los títulos de propiedad que se hubiesen expedido a favor de persona alguna de las parcelas que se enlistan en el oficio número DJC/2568/11/2022STT/ESC/0306/11/2022, previamente aludido.</w:t>
      </w:r>
    </w:p>
    <w:p w:rsidR="000F603A" w:rsidRPr="00C218FB" w:rsidRDefault="000F603A" w:rsidP="00C218FB">
      <w:pPr>
        <w:spacing w:after="0" w:line="240" w:lineRule="auto"/>
        <w:ind w:left="567" w:right="851"/>
        <w:jc w:val="both"/>
        <w:rPr>
          <w:rFonts w:ascii="Times New Roman" w:hAnsi="Times New Roman" w:cs="Times New Roman"/>
          <w:sz w:val="24"/>
          <w:szCs w:val="24"/>
        </w:rPr>
      </w:pPr>
    </w:p>
    <w:p w:rsidR="000F603A" w:rsidRPr="00C218FB" w:rsidRDefault="000F603A" w:rsidP="00C218FB">
      <w:pPr>
        <w:spacing w:after="0" w:line="240" w:lineRule="auto"/>
        <w:ind w:left="567" w:right="851"/>
        <w:jc w:val="both"/>
        <w:rPr>
          <w:rFonts w:ascii="Times New Roman" w:hAnsi="Times New Roman" w:cs="Times New Roman"/>
          <w:sz w:val="24"/>
          <w:szCs w:val="24"/>
        </w:rPr>
      </w:pPr>
      <w:r w:rsidRPr="00C218FB">
        <w:rPr>
          <w:rFonts w:ascii="Times New Roman" w:hAnsi="Times New Roman" w:cs="Times New Roman"/>
          <w:sz w:val="24"/>
          <w:szCs w:val="24"/>
        </w:rPr>
        <w:t>VI. - Para el caso de que se encuentren imposibilitados de expedir copias certificadas de los certificados parcelarios o títulos de propiedad ya referidos, se informe al Municipio de Ecatepec de Morelos, así como al Poder Legislativo del Estado de México, por conducto de la Presidencia de esta Comisión Legislativa, si se expidieron certificados parcelarios o títulos de propiedad de las parcelas que se enlistan en el oficio número DJC/2568/11/2022STT/ESC/0306/11/2022, previamente aludido.</w:t>
      </w:r>
    </w:p>
    <w:p w:rsidR="000F603A" w:rsidRPr="00C218FB" w:rsidRDefault="000F603A" w:rsidP="00C218FB">
      <w:pPr>
        <w:spacing w:after="0" w:line="240" w:lineRule="auto"/>
        <w:ind w:left="567" w:right="851"/>
        <w:jc w:val="both"/>
        <w:rPr>
          <w:rFonts w:ascii="Times New Roman" w:eastAsia="Yu Mincho" w:hAnsi="Times New Roman" w:cs="Times New Roman"/>
          <w:sz w:val="24"/>
          <w:szCs w:val="24"/>
        </w:rPr>
      </w:pPr>
    </w:p>
    <w:p w:rsidR="000F603A" w:rsidRPr="00C218FB" w:rsidRDefault="000F603A" w:rsidP="00C218FB">
      <w:pPr>
        <w:spacing w:after="0" w:line="240" w:lineRule="auto"/>
        <w:ind w:left="567" w:right="851"/>
        <w:jc w:val="both"/>
        <w:rPr>
          <w:rFonts w:ascii="Times New Roman" w:eastAsia="Yu Mincho" w:hAnsi="Times New Roman" w:cs="Times New Roman"/>
          <w:sz w:val="24"/>
          <w:szCs w:val="24"/>
        </w:rPr>
      </w:pPr>
      <w:r w:rsidRPr="00C218FB">
        <w:rPr>
          <w:rFonts w:ascii="Times New Roman" w:hAnsi="Times New Roman" w:cs="Times New Roman"/>
          <w:sz w:val="24"/>
          <w:szCs w:val="24"/>
        </w:rPr>
        <w:t>VII. - Se informe el nombre del titular de los derechos agrarios o nombre del propietario según sea el caso, así como el nombre del núcleo agrario ejidal, nombre del poblado, nombre del Municipio y Estado que obra en el apartado designado para ello en el formato de certificado parcelario o título de propiedad de las parcelas que se enlistan en el oficio número DJC/2568/11/2022STT/ESC/0306/11/2022, previamente aludido.</w:t>
      </w:r>
    </w:p>
    <w:p w:rsidR="000F603A" w:rsidRPr="00C218FB" w:rsidRDefault="000F603A" w:rsidP="00C218FB">
      <w:pPr>
        <w:spacing w:after="0" w:line="240" w:lineRule="auto"/>
        <w:jc w:val="both"/>
        <w:rPr>
          <w:rFonts w:ascii="Times New Roman" w:eastAsia="Yu Mincho"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eastAsia="Yu Mincho" w:hAnsi="Times New Roman" w:cs="Times New Roman"/>
          <w:b/>
          <w:bCs/>
          <w:sz w:val="24"/>
          <w:szCs w:val="24"/>
        </w:rPr>
        <w:t>9.- LA DOCUMENTAL PÚBLICA.</w:t>
      </w:r>
      <w:r w:rsidRPr="00C218FB">
        <w:rPr>
          <w:rFonts w:ascii="Times New Roman" w:eastAsia="Yu Mincho" w:hAnsi="Times New Roman" w:cs="Times New Roman"/>
          <w:sz w:val="24"/>
          <w:szCs w:val="24"/>
        </w:rPr>
        <w:t xml:space="preserve"> </w:t>
      </w:r>
      <w:r w:rsidRPr="00C218FB">
        <w:rPr>
          <w:rFonts w:ascii="Times New Roman" w:hAnsi="Times New Roman" w:cs="Times New Roman"/>
          <w:sz w:val="24"/>
          <w:szCs w:val="24"/>
        </w:rPr>
        <w:t>marcada con el numeral seis (6) consistente en el oficio suscrito por el Ingeniero Rodolfo Jonathan Arellano Banda Treviño, Director de Desarrollo Urbano y Obras Públicas del Municipio de Ecatepec de Morelos, por medio del cual remite dos expedientes certificados, misma que se tiene por desahogada por su propia y especial naturaleza.</w:t>
      </w:r>
    </w:p>
    <w:p w:rsidR="000F603A" w:rsidRPr="00C218FB" w:rsidRDefault="000F603A" w:rsidP="00C218FB">
      <w:pPr>
        <w:spacing w:after="0" w:line="240" w:lineRule="auto"/>
        <w:jc w:val="both"/>
        <w:rPr>
          <w:rFonts w:ascii="Times New Roman" w:eastAsia="Yu Mincho" w:hAnsi="Times New Roman" w:cs="Times New Roman"/>
          <w:sz w:val="24"/>
          <w:szCs w:val="24"/>
        </w:rPr>
      </w:pPr>
    </w:p>
    <w:p w:rsidR="000F603A" w:rsidRPr="00C218FB" w:rsidRDefault="000F603A" w:rsidP="00C218FB">
      <w:pPr>
        <w:spacing w:after="0" w:line="240" w:lineRule="auto"/>
        <w:jc w:val="both"/>
        <w:rPr>
          <w:rFonts w:ascii="Times New Roman" w:eastAsia="Yu Mincho" w:hAnsi="Times New Roman" w:cs="Times New Roman"/>
          <w:b/>
          <w:bCs/>
          <w:sz w:val="24"/>
          <w:szCs w:val="24"/>
        </w:rPr>
      </w:pPr>
      <w:r w:rsidRPr="00C218FB">
        <w:rPr>
          <w:rFonts w:ascii="Times New Roman" w:eastAsia="Yu Mincho" w:hAnsi="Times New Roman" w:cs="Times New Roman"/>
          <w:b/>
          <w:bCs/>
          <w:sz w:val="24"/>
          <w:szCs w:val="24"/>
        </w:rPr>
        <w:lastRenderedPageBreak/>
        <w:t xml:space="preserve">10.- LA DOCUMENTAL PÚBLICA. </w:t>
      </w:r>
      <w:r w:rsidRPr="00C218FB">
        <w:rPr>
          <w:rFonts w:ascii="Times New Roman" w:hAnsi="Times New Roman" w:cs="Times New Roman"/>
          <w:sz w:val="24"/>
          <w:szCs w:val="24"/>
        </w:rPr>
        <w:t>marcada con el numeral siete (7) consistente en el informe que tenga a bien rendir la Mtra. Erika Trejo Flores, Titular de la Oficina Registral de Ecatepec del Instituto de la Función Registral del Estado de México (IFREM).</w:t>
      </w:r>
    </w:p>
    <w:p w:rsidR="000F603A" w:rsidRPr="00C218FB" w:rsidRDefault="000F603A" w:rsidP="00C218FB">
      <w:pPr>
        <w:spacing w:after="0" w:line="240" w:lineRule="auto"/>
        <w:jc w:val="both"/>
        <w:rPr>
          <w:rFonts w:ascii="Times New Roman" w:eastAsia="Yu Mincho" w:hAnsi="Times New Roman" w:cs="Times New Roman"/>
          <w:b/>
          <w:bCs/>
          <w:sz w:val="24"/>
          <w:szCs w:val="24"/>
        </w:rPr>
      </w:pPr>
    </w:p>
    <w:p w:rsidR="000F603A" w:rsidRPr="00C218FB" w:rsidRDefault="000F603A" w:rsidP="00C218FB">
      <w:pPr>
        <w:spacing w:after="0" w:line="240" w:lineRule="auto"/>
        <w:jc w:val="both"/>
        <w:rPr>
          <w:rFonts w:ascii="Times New Roman" w:eastAsia="Yu Mincho" w:hAnsi="Times New Roman" w:cs="Times New Roman"/>
          <w:b/>
          <w:bCs/>
          <w:sz w:val="24"/>
          <w:szCs w:val="24"/>
        </w:rPr>
      </w:pPr>
      <w:r w:rsidRPr="00C218FB">
        <w:rPr>
          <w:rFonts w:ascii="Times New Roman" w:eastAsia="Yu Mincho" w:hAnsi="Times New Roman" w:cs="Times New Roman"/>
          <w:b/>
          <w:bCs/>
          <w:sz w:val="24"/>
          <w:szCs w:val="24"/>
        </w:rPr>
        <w:t xml:space="preserve">11.- LA DOCUMENTAL PRIVADA. </w:t>
      </w:r>
      <w:r w:rsidRPr="00C218FB">
        <w:rPr>
          <w:rFonts w:ascii="Times New Roman" w:hAnsi="Times New Roman" w:cs="Times New Roman"/>
          <w:sz w:val="24"/>
          <w:szCs w:val="24"/>
        </w:rPr>
        <w:t>marcada con el numeral ocho (8) consistente en el informe técnico de la delimitación territorial entre Ecatepec de Morelos y Acolman, recibido por la oficina de la Presidencia de esta Comisión con fecha veintitrés (23) de junio del presente año.</w:t>
      </w:r>
    </w:p>
    <w:p w:rsidR="000F603A" w:rsidRPr="00C218FB" w:rsidRDefault="000F603A" w:rsidP="00C218FB">
      <w:pPr>
        <w:spacing w:after="0" w:line="240" w:lineRule="auto"/>
        <w:jc w:val="both"/>
        <w:rPr>
          <w:rFonts w:ascii="Times New Roman" w:eastAsia="Yu Mincho" w:hAnsi="Times New Roman" w:cs="Times New Roman"/>
          <w:b/>
          <w:bCs/>
          <w:sz w:val="24"/>
          <w:szCs w:val="24"/>
        </w:rPr>
      </w:pPr>
    </w:p>
    <w:p w:rsidR="000F603A" w:rsidRPr="00C218FB" w:rsidRDefault="000F603A" w:rsidP="00C218FB">
      <w:pPr>
        <w:spacing w:after="0" w:line="240" w:lineRule="auto"/>
        <w:jc w:val="both"/>
        <w:rPr>
          <w:rFonts w:ascii="Times New Roman" w:eastAsia="Yu Mincho" w:hAnsi="Times New Roman" w:cs="Times New Roman"/>
          <w:sz w:val="24"/>
          <w:szCs w:val="24"/>
        </w:rPr>
      </w:pPr>
      <w:r w:rsidRPr="00C218FB">
        <w:rPr>
          <w:rFonts w:ascii="Times New Roman" w:eastAsia="Yu Mincho" w:hAnsi="Times New Roman" w:cs="Times New Roman"/>
          <w:sz w:val="24"/>
          <w:szCs w:val="24"/>
        </w:rPr>
        <w:t xml:space="preserve">Consistente en el informe técnico de la delimitación territorial entre Ecatepec de Morelos y Acolman agregado en autos mediante escrito recibido en fecha 23 de junio del 2022, del cual se desprenden los trabajos técnicos topográficos para la localización y ubicación de los vértices de colindancia entre los ejidos de Santa María Chiconautla del Municipio de Ecatepec de Morelos y San Miguel Totolcingo del Municipio de Acolman, ambos del Estado de México mismo que obra en autos del presente procedimiento y cuyo objeto es acreditar los límites territoriales que deberán ser reconocidos entre los municipios aquí demandados, dicha prueba se relaciona con todo y cada uno de los argumentos y manifestaciones que hemos vertido en el presente procedimiento, muy en especial a los relacionados con el aspecto demográfico y cartográfico. </w:t>
      </w:r>
    </w:p>
    <w:p w:rsidR="000F603A" w:rsidRPr="00C218FB" w:rsidRDefault="000F603A" w:rsidP="00C218FB">
      <w:pPr>
        <w:spacing w:after="0" w:line="240" w:lineRule="auto"/>
        <w:jc w:val="both"/>
        <w:rPr>
          <w:rFonts w:ascii="Times New Roman" w:eastAsia="Yu Mincho"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eastAsia="Yu Mincho" w:hAnsi="Times New Roman" w:cs="Times New Roman"/>
          <w:b/>
          <w:bCs/>
          <w:sz w:val="24"/>
          <w:szCs w:val="24"/>
        </w:rPr>
        <w:t xml:space="preserve">12.- LA PRESUNCIONAL LEGAL Y HUMANA. </w:t>
      </w:r>
      <w:r w:rsidRPr="00C218FB">
        <w:rPr>
          <w:rFonts w:ascii="Times New Roman" w:hAnsi="Times New Roman" w:cs="Times New Roman"/>
          <w:sz w:val="24"/>
          <w:szCs w:val="24"/>
        </w:rPr>
        <w:t>marcado con el numeral nueve (9) en el escrito en comento.</w:t>
      </w:r>
    </w:p>
    <w:p w:rsidR="000F603A" w:rsidRPr="00C218FB" w:rsidRDefault="000F603A" w:rsidP="00C218FB">
      <w:pPr>
        <w:spacing w:after="0" w:line="240" w:lineRule="auto"/>
        <w:jc w:val="both"/>
        <w:rPr>
          <w:rFonts w:ascii="Times New Roman" w:eastAsia="Yu Mincho" w:hAnsi="Times New Roman" w:cs="Times New Roman"/>
          <w:b/>
          <w:bCs/>
          <w:sz w:val="24"/>
          <w:szCs w:val="24"/>
        </w:rPr>
      </w:pPr>
    </w:p>
    <w:p w:rsidR="000F603A" w:rsidRPr="00C218FB" w:rsidRDefault="000F603A" w:rsidP="00C218FB">
      <w:pPr>
        <w:spacing w:after="0" w:line="240" w:lineRule="auto"/>
        <w:jc w:val="both"/>
        <w:rPr>
          <w:rFonts w:ascii="Times New Roman" w:eastAsia="Yu Mincho" w:hAnsi="Times New Roman" w:cs="Times New Roman"/>
          <w:sz w:val="24"/>
          <w:szCs w:val="24"/>
        </w:rPr>
      </w:pPr>
      <w:r w:rsidRPr="00C218FB">
        <w:rPr>
          <w:rFonts w:ascii="Times New Roman" w:eastAsia="Yu Mincho" w:hAnsi="Times New Roman" w:cs="Times New Roman"/>
          <w:sz w:val="24"/>
          <w:szCs w:val="24"/>
        </w:rPr>
        <w:t>Consistente en todas y cada una de las manifestaciones, excepciones, defensas y consideraciones de derecho que resulten favorable a los que suscriben. Dicha prueba se relaciona con todos los hechos y actuaciones del presente procedimiento.</w:t>
      </w:r>
    </w:p>
    <w:p w:rsidR="000F603A" w:rsidRPr="00C218FB" w:rsidRDefault="000F603A" w:rsidP="00C218FB">
      <w:pPr>
        <w:spacing w:after="0" w:line="240" w:lineRule="auto"/>
        <w:jc w:val="both"/>
        <w:rPr>
          <w:rFonts w:ascii="Times New Roman" w:eastAsia="Yu Mincho" w:hAnsi="Times New Roman" w:cs="Times New Roman"/>
          <w:b/>
          <w:bCs/>
          <w:sz w:val="24"/>
          <w:szCs w:val="24"/>
        </w:rPr>
      </w:pPr>
    </w:p>
    <w:p w:rsidR="000F603A" w:rsidRPr="00C218FB" w:rsidRDefault="000F603A" w:rsidP="00C218FB">
      <w:pPr>
        <w:spacing w:after="0" w:line="240" w:lineRule="auto"/>
        <w:jc w:val="both"/>
        <w:rPr>
          <w:rFonts w:ascii="Times New Roman" w:eastAsia="Yu Mincho" w:hAnsi="Times New Roman" w:cs="Times New Roman"/>
          <w:sz w:val="24"/>
          <w:szCs w:val="24"/>
        </w:rPr>
      </w:pPr>
      <w:r w:rsidRPr="00C218FB">
        <w:rPr>
          <w:rFonts w:ascii="Times New Roman" w:eastAsia="Yu Mincho" w:hAnsi="Times New Roman" w:cs="Times New Roman"/>
          <w:b/>
          <w:bCs/>
          <w:sz w:val="24"/>
          <w:szCs w:val="24"/>
        </w:rPr>
        <w:t>13.- LA INSPECCIÓN OCULAR.</w:t>
      </w:r>
      <w:r w:rsidRPr="00C218FB">
        <w:rPr>
          <w:rFonts w:ascii="Times New Roman" w:eastAsia="Yu Mincho" w:hAnsi="Times New Roman" w:cs="Times New Roman"/>
          <w:sz w:val="24"/>
          <w:szCs w:val="24"/>
        </w:rPr>
        <w:t xml:space="preserve"> </w:t>
      </w:r>
      <w:r w:rsidRPr="00C218FB">
        <w:rPr>
          <w:rFonts w:ascii="Times New Roman" w:hAnsi="Times New Roman" w:cs="Times New Roman"/>
          <w:sz w:val="24"/>
          <w:szCs w:val="24"/>
        </w:rPr>
        <w:t>marcada con el numeral diez (10) en el escrito en mención, respecto del área identificada como zona de diferendo limítrofe entre los Municipios de Acolman y Ecatepec de Morelos.</w:t>
      </w:r>
    </w:p>
    <w:p w:rsidR="000F603A" w:rsidRPr="00C218FB" w:rsidRDefault="000F603A" w:rsidP="00C218FB">
      <w:pPr>
        <w:spacing w:after="0" w:line="240" w:lineRule="auto"/>
        <w:jc w:val="both"/>
        <w:rPr>
          <w:rFonts w:ascii="Times New Roman" w:eastAsia="Yu Mincho" w:hAnsi="Times New Roman" w:cs="Times New Roman"/>
          <w:sz w:val="24"/>
          <w:szCs w:val="24"/>
        </w:rPr>
      </w:pPr>
    </w:p>
    <w:p w:rsidR="000F603A" w:rsidRPr="00C218FB" w:rsidRDefault="000F603A" w:rsidP="00C218FB">
      <w:pPr>
        <w:spacing w:after="0" w:line="240" w:lineRule="auto"/>
        <w:jc w:val="both"/>
        <w:rPr>
          <w:rFonts w:ascii="Times New Roman" w:eastAsia="Yu Mincho" w:hAnsi="Times New Roman" w:cs="Times New Roman"/>
          <w:sz w:val="24"/>
          <w:szCs w:val="24"/>
        </w:rPr>
      </w:pPr>
      <w:r w:rsidRPr="00C218FB">
        <w:rPr>
          <w:rFonts w:ascii="Times New Roman" w:eastAsia="Yu Mincho" w:hAnsi="Times New Roman" w:cs="Times New Roman"/>
          <w:sz w:val="24"/>
          <w:szCs w:val="24"/>
        </w:rPr>
        <w:t>En la zona identifica como zona de Diferendo Limítrofe entre los municipios de Acolman y Ecatepec de Morelos, a través de esta comisión legislativa o autoridad administrativa, judicial o fedatario público que estime pertinente, específicamente en el lado norte en el que se observará lo siguiente:</w:t>
      </w:r>
    </w:p>
    <w:p w:rsidR="000F603A" w:rsidRPr="00C218FB" w:rsidRDefault="000F603A" w:rsidP="00C218FB">
      <w:pPr>
        <w:spacing w:after="0" w:line="240" w:lineRule="auto"/>
        <w:jc w:val="both"/>
        <w:rPr>
          <w:rFonts w:ascii="Times New Roman" w:eastAsia="Yu Mincho" w:hAnsi="Times New Roman" w:cs="Times New Roman"/>
          <w:sz w:val="24"/>
          <w:szCs w:val="24"/>
        </w:rPr>
      </w:pPr>
    </w:p>
    <w:p w:rsidR="000F603A" w:rsidRPr="00C218FB" w:rsidRDefault="000F603A" w:rsidP="00C218FB">
      <w:pPr>
        <w:spacing w:after="0" w:line="240" w:lineRule="auto"/>
        <w:jc w:val="both"/>
        <w:rPr>
          <w:rFonts w:ascii="Times New Roman" w:eastAsia="Yu Mincho" w:hAnsi="Times New Roman" w:cs="Times New Roman"/>
          <w:sz w:val="24"/>
          <w:szCs w:val="24"/>
          <w:u w:val="single"/>
        </w:rPr>
      </w:pPr>
      <w:r w:rsidRPr="00C218FB">
        <w:rPr>
          <w:rFonts w:ascii="Times New Roman" w:eastAsia="Yu Mincho" w:hAnsi="Times New Roman" w:cs="Times New Roman"/>
          <w:sz w:val="24"/>
          <w:szCs w:val="24"/>
          <w:u w:val="single"/>
        </w:rPr>
        <w:t>Se observará lo siguiente:</w:t>
      </w:r>
    </w:p>
    <w:p w:rsidR="000F603A" w:rsidRPr="00C218FB" w:rsidRDefault="000F603A" w:rsidP="00C218FB">
      <w:pPr>
        <w:spacing w:after="0" w:line="240" w:lineRule="auto"/>
        <w:jc w:val="both"/>
        <w:rPr>
          <w:rFonts w:ascii="Times New Roman" w:eastAsia="Yu Mincho" w:hAnsi="Times New Roman" w:cs="Times New Roman"/>
          <w:sz w:val="24"/>
          <w:szCs w:val="24"/>
        </w:rPr>
      </w:pPr>
    </w:p>
    <w:p w:rsidR="000F603A" w:rsidRPr="00C218FB" w:rsidRDefault="000F603A" w:rsidP="00C218FB">
      <w:pPr>
        <w:pStyle w:val="Prrafodelista"/>
        <w:widowControl/>
        <w:numPr>
          <w:ilvl w:val="0"/>
          <w:numId w:val="35"/>
        </w:numPr>
        <w:autoSpaceDE/>
        <w:autoSpaceDN/>
        <w:ind w:right="0"/>
        <w:contextualSpacing/>
        <w:rPr>
          <w:rFonts w:ascii="Times New Roman" w:eastAsia="Yu Mincho" w:hAnsi="Times New Roman" w:cs="Times New Roman"/>
          <w:sz w:val="24"/>
          <w:szCs w:val="24"/>
        </w:rPr>
      </w:pPr>
      <w:r w:rsidRPr="00C218FB">
        <w:rPr>
          <w:rFonts w:ascii="Times New Roman" w:eastAsia="Yu Mincho" w:hAnsi="Times New Roman" w:cs="Times New Roman"/>
          <w:sz w:val="24"/>
          <w:szCs w:val="24"/>
        </w:rPr>
        <w:t>Que en el cerro denominado Chiconautla se aprecia una mojonera de piedra.</w:t>
      </w:r>
    </w:p>
    <w:p w:rsidR="000F603A" w:rsidRPr="00C218FB" w:rsidRDefault="000F603A" w:rsidP="00C218FB">
      <w:pPr>
        <w:spacing w:after="0" w:line="240" w:lineRule="auto"/>
        <w:jc w:val="both"/>
        <w:rPr>
          <w:rFonts w:ascii="Times New Roman" w:eastAsia="Yu Mincho" w:hAnsi="Times New Roman" w:cs="Times New Roman"/>
          <w:sz w:val="24"/>
          <w:szCs w:val="24"/>
        </w:rPr>
      </w:pPr>
    </w:p>
    <w:p w:rsidR="000F603A" w:rsidRPr="00C218FB" w:rsidRDefault="000F603A" w:rsidP="00C218FB">
      <w:pPr>
        <w:pStyle w:val="Prrafodelista"/>
        <w:widowControl/>
        <w:numPr>
          <w:ilvl w:val="0"/>
          <w:numId w:val="35"/>
        </w:numPr>
        <w:autoSpaceDE/>
        <w:autoSpaceDN/>
        <w:ind w:right="0"/>
        <w:contextualSpacing/>
        <w:rPr>
          <w:rFonts w:ascii="Times New Roman" w:eastAsia="Yu Mincho" w:hAnsi="Times New Roman" w:cs="Times New Roman"/>
          <w:sz w:val="24"/>
          <w:szCs w:val="24"/>
        </w:rPr>
      </w:pPr>
      <w:r w:rsidRPr="00C218FB">
        <w:rPr>
          <w:rFonts w:ascii="Times New Roman" w:eastAsia="Yu Mincho" w:hAnsi="Times New Roman" w:cs="Times New Roman"/>
          <w:sz w:val="24"/>
          <w:szCs w:val="24"/>
        </w:rPr>
        <w:t>Que en la zona de diferendo limítrofe se aprecia un vertedero.</w:t>
      </w:r>
    </w:p>
    <w:p w:rsidR="000F603A" w:rsidRPr="00C218FB" w:rsidRDefault="000F603A" w:rsidP="00C218FB">
      <w:pPr>
        <w:spacing w:after="0" w:line="240" w:lineRule="auto"/>
        <w:jc w:val="both"/>
        <w:rPr>
          <w:rFonts w:ascii="Times New Roman" w:eastAsia="Yu Mincho" w:hAnsi="Times New Roman" w:cs="Times New Roman"/>
          <w:sz w:val="24"/>
          <w:szCs w:val="24"/>
        </w:rPr>
      </w:pPr>
    </w:p>
    <w:p w:rsidR="000F603A" w:rsidRPr="00C218FB" w:rsidRDefault="000F603A" w:rsidP="00C218FB">
      <w:pPr>
        <w:pStyle w:val="Prrafodelista"/>
        <w:widowControl/>
        <w:numPr>
          <w:ilvl w:val="0"/>
          <w:numId w:val="35"/>
        </w:numPr>
        <w:autoSpaceDE/>
        <w:autoSpaceDN/>
        <w:ind w:right="0"/>
        <w:contextualSpacing/>
        <w:rPr>
          <w:rFonts w:ascii="Times New Roman" w:eastAsia="Yu Mincho" w:hAnsi="Times New Roman" w:cs="Times New Roman"/>
          <w:sz w:val="24"/>
          <w:szCs w:val="24"/>
        </w:rPr>
      </w:pPr>
      <w:r w:rsidRPr="00C218FB">
        <w:rPr>
          <w:rFonts w:ascii="Times New Roman" w:eastAsia="Yu Mincho" w:hAnsi="Times New Roman" w:cs="Times New Roman"/>
          <w:sz w:val="24"/>
          <w:szCs w:val="24"/>
        </w:rPr>
        <w:t>Que en la entrada del vertedero existe una placa metálica con el nombre de "VERTEDERO MUNICIPAL DE ECATEPEC DE MORELOS” Una construcción destinada a un Centro de Readaptación Social del Distrito Judicial de Ecatepec de Morelos Estado de México Una construcción destinada a oficinas del poder judicial del distrito judicial de Ecatepec de Morelos Estado de México.</w:t>
      </w:r>
    </w:p>
    <w:p w:rsidR="000F603A" w:rsidRPr="00C218FB" w:rsidRDefault="000F603A" w:rsidP="00C218FB">
      <w:pPr>
        <w:spacing w:after="0" w:line="240" w:lineRule="auto"/>
        <w:jc w:val="both"/>
        <w:rPr>
          <w:rFonts w:ascii="Times New Roman" w:eastAsia="Yu Mincho" w:hAnsi="Times New Roman" w:cs="Times New Roman"/>
          <w:sz w:val="24"/>
          <w:szCs w:val="24"/>
        </w:rPr>
      </w:pPr>
    </w:p>
    <w:p w:rsidR="000F603A" w:rsidRPr="00C218FB" w:rsidRDefault="000F603A" w:rsidP="00C218FB">
      <w:pPr>
        <w:spacing w:after="0" w:line="240" w:lineRule="auto"/>
        <w:jc w:val="both"/>
        <w:rPr>
          <w:rFonts w:ascii="Times New Roman" w:eastAsia="Yu Mincho" w:hAnsi="Times New Roman" w:cs="Times New Roman"/>
          <w:sz w:val="24"/>
          <w:szCs w:val="24"/>
        </w:rPr>
      </w:pPr>
      <w:r w:rsidRPr="00C218FB">
        <w:rPr>
          <w:rFonts w:ascii="Times New Roman" w:eastAsia="Yu Mincho" w:hAnsi="Times New Roman" w:cs="Times New Roman"/>
          <w:b/>
          <w:bCs/>
          <w:sz w:val="24"/>
          <w:szCs w:val="24"/>
        </w:rPr>
        <w:t>14.-LA PRUEBA PERICIAL, EN MATERIA DE GEOGRAFÍA</w:t>
      </w:r>
      <w:r w:rsidRPr="00C218FB">
        <w:rPr>
          <w:rFonts w:ascii="Times New Roman" w:eastAsia="Yu Mincho" w:hAnsi="Times New Roman" w:cs="Times New Roman"/>
          <w:sz w:val="24"/>
          <w:szCs w:val="24"/>
        </w:rPr>
        <w:t xml:space="preserve">. </w:t>
      </w:r>
      <w:r w:rsidRPr="00C218FB">
        <w:rPr>
          <w:rFonts w:ascii="Times New Roman" w:hAnsi="Times New Roman" w:cs="Times New Roman"/>
          <w:sz w:val="24"/>
          <w:szCs w:val="24"/>
        </w:rPr>
        <w:t xml:space="preserve">marcada con el numeral once (11) en el escrito en mención, toda vez que se presume que tiene correlación o relación directa con </w:t>
      </w:r>
      <w:r w:rsidRPr="00C218FB">
        <w:rPr>
          <w:rFonts w:ascii="Times New Roman" w:hAnsi="Times New Roman" w:cs="Times New Roman"/>
          <w:sz w:val="24"/>
          <w:szCs w:val="24"/>
        </w:rPr>
        <w:lastRenderedPageBreak/>
        <w:t>el presente asunto y a razón de que naturaleza de las cuestiones de la materia previamente aludida requieren de conocimientos científicos o tecnológicos o, bien, de experiencia práctica en un servicio u oficio determinados, con la finalidad de prestar el auxilio suficiente a esta Comisión.</w:t>
      </w:r>
    </w:p>
    <w:p w:rsidR="000F603A" w:rsidRPr="00C218FB" w:rsidRDefault="000F603A" w:rsidP="00C218FB">
      <w:pPr>
        <w:spacing w:after="0" w:line="240" w:lineRule="auto"/>
        <w:jc w:val="both"/>
        <w:rPr>
          <w:rFonts w:ascii="Times New Roman" w:eastAsia="Yu Mincho"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eastAsia="Yu Mincho" w:hAnsi="Times New Roman" w:cs="Times New Roman"/>
          <w:b/>
          <w:bCs/>
          <w:sz w:val="24"/>
          <w:szCs w:val="24"/>
        </w:rPr>
        <w:t xml:space="preserve">15.- LA PERICIAL EN COSTOS POR PRESTACIÓN DE SERVICIOS PÚBLICOS Y MANTENIMIENTO DE ZONA LIMÍTROFE DEL MUNICIPIO DE ECATEPEC DE MORELOS Y ACOLMAN, </w:t>
      </w:r>
      <w:r w:rsidRPr="00C218FB">
        <w:rPr>
          <w:rFonts w:ascii="Times New Roman" w:hAnsi="Times New Roman" w:cs="Times New Roman"/>
          <w:sz w:val="24"/>
          <w:szCs w:val="24"/>
        </w:rPr>
        <w:t xml:space="preserve">marcada con el numeral doce (12) en el escrito en mención, toda vez que se presume que tiene correlación o relación directa con el presente asunto y a razón de que la naturaleza de las cuestiones de la materia previamente aludida requieren de conocimientos científicos o tecnológicos o, bien, de experiencia práctica en un servicio u oficio determinados, con la finalidad de prestar el auxilio suficiente a esta Comisión. </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ind w:right="67"/>
        <w:jc w:val="both"/>
        <w:rPr>
          <w:rFonts w:ascii="Times New Roman" w:hAnsi="Times New Roman" w:cs="Times New Roman"/>
          <w:bCs/>
          <w:sz w:val="24"/>
          <w:szCs w:val="24"/>
        </w:rPr>
      </w:pPr>
      <w:r w:rsidRPr="00C218FB">
        <w:rPr>
          <w:rFonts w:ascii="Times New Roman" w:hAnsi="Times New Roman" w:cs="Times New Roman"/>
          <w:b/>
          <w:bCs/>
          <w:sz w:val="24"/>
          <w:szCs w:val="24"/>
        </w:rPr>
        <w:t>PRUEBAS SUPERVENIENTES PRESENTADAS POR EL MUNICIPIO DE ECATEPEC EN FECHA VEINTINUEVE DE SEPTIEMBRE DE DOS MIL VEINTITRÉS.</w:t>
      </w:r>
      <w:r w:rsidRPr="00C218FB">
        <w:rPr>
          <w:rFonts w:ascii="Times New Roman" w:hAnsi="Times New Roman" w:cs="Times New Roman"/>
          <w:bCs/>
          <w:sz w:val="24"/>
          <w:szCs w:val="24"/>
        </w:rPr>
        <w:t xml:space="preserve"> </w:t>
      </w:r>
    </w:p>
    <w:p w:rsidR="000F603A" w:rsidRPr="00C218FB" w:rsidRDefault="000F603A" w:rsidP="00C218FB">
      <w:pPr>
        <w:spacing w:after="0" w:line="240" w:lineRule="auto"/>
        <w:ind w:right="67"/>
        <w:jc w:val="both"/>
        <w:rPr>
          <w:rFonts w:ascii="Times New Roman" w:hAnsi="Times New Roman" w:cs="Times New Roman"/>
          <w:sz w:val="24"/>
          <w:szCs w:val="24"/>
        </w:rPr>
      </w:pPr>
    </w:p>
    <w:p w:rsidR="000F603A" w:rsidRPr="00C218FB" w:rsidRDefault="000F603A" w:rsidP="00C218FB">
      <w:pPr>
        <w:spacing w:after="0" w:line="240" w:lineRule="auto"/>
        <w:ind w:right="67"/>
        <w:jc w:val="both"/>
        <w:rPr>
          <w:rFonts w:ascii="Times New Roman" w:hAnsi="Times New Roman" w:cs="Times New Roman"/>
          <w:sz w:val="24"/>
          <w:szCs w:val="24"/>
        </w:rPr>
      </w:pPr>
      <w:r w:rsidRPr="00C218FB">
        <w:rPr>
          <w:rFonts w:ascii="Times New Roman" w:hAnsi="Times New Roman" w:cs="Times New Roman"/>
          <w:b/>
          <w:bCs/>
          <w:sz w:val="24"/>
          <w:szCs w:val="24"/>
        </w:rPr>
        <w:t>1.- LAS DOCUMENTALES PÚBLICAS</w:t>
      </w:r>
      <w:r w:rsidRPr="00C218FB">
        <w:rPr>
          <w:rFonts w:ascii="Times New Roman" w:hAnsi="Times New Roman" w:cs="Times New Roman"/>
          <w:sz w:val="24"/>
          <w:szCs w:val="24"/>
        </w:rPr>
        <w:t xml:space="preserve"> consisten en oficio número </w:t>
      </w:r>
      <w:r w:rsidRPr="00C218FB">
        <w:rPr>
          <w:rFonts w:ascii="Times New Roman" w:hAnsi="Times New Roman" w:cs="Times New Roman"/>
          <w:b/>
          <w:bCs/>
          <w:sz w:val="24"/>
          <w:szCs w:val="24"/>
        </w:rPr>
        <w:t>OF/DB/919/2023</w:t>
      </w:r>
      <w:r w:rsidRPr="00C218FB">
        <w:rPr>
          <w:rFonts w:ascii="Times New Roman" w:hAnsi="Times New Roman" w:cs="Times New Roman"/>
          <w:sz w:val="24"/>
          <w:szCs w:val="24"/>
        </w:rPr>
        <w:t xml:space="preserve"> de fecha </w:t>
      </w:r>
      <w:r w:rsidRPr="00C218FB">
        <w:rPr>
          <w:rFonts w:ascii="Times New Roman" w:hAnsi="Times New Roman" w:cs="Times New Roman"/>
          <w:b/>
          <w:bCs/>
          <w:sz w:val="24"/>
          <w:szCs w:val="24"/>
        </w:rPr>
        <w:t>11 de agosto de 2023</w:t>
      </w:r>
      <w:r w:rsidRPr="00C218FB">
        <w:rPr>
          <w:rFonts w:ascii="Times New Roman" w:hAnsi="Times New Roman" w:cs="Times New Roman"/>
          <w:sz w:val="24"/>
          <w:szCs w:val="24"/>
        </w:rPr>
        <w:t xml:space="preserve"> y anexos, suscrito por la </w:t>
      </w:r>
      <w:r w:rsidRPr="00C218FB">
        <w:rPr>
          <w:rFonts w:ascii="Times New Roman" w:hAnsi="Times New Roman" w:cs="Times New Roman"/>
          <w:b/>
          <w:bCs/>
          <w:sz w:val="24"/>
          <w:szCs w:val="24"/>
        </w:rPr>
        <w:t>Licenciada Brenda Alejandra Aguilar Martínez</w:t>
      </w:r>
      <w:r w:rsidRPr="00C218FB">
        <w:rPr>
          <w:rFonts w:ascii="Times New Roman" w:hAnsi="Times New Roman" w:cs="Times New Roman"/>
          <w:sz w:val="24"/>
          <w:szCs w:val="24"/>
        </w:rPr>
        <w:t>, directora de bienestar de Ecatepec de Morelos, mediante el cual remite listado de programas, acciones sociales y operativos que dicha dirección ha ejecutado en las colonias identificadas como zona limítrofe materia del presente procedimiento, en el periodo comprendido de Enero a Agosto del presente año mismo que se anexa al presente escrito.</w:t>
      </w:r>
    </w:p>
    <w:p w:rsidR="000F603A" w:rsidRPr="00C218FB" w:rsidRDefault="000F603A" w:rsidP="00C218FB">
      <w:pPr>
        <w:spacing w:after="0" w:line="240" w:lineRule="auto"/>
        <w:ind w:left="630" w:right="67"/>
        <w:jc w:val="both"/>
        <w:rPr>
          <w:rFonts w:ascii="Times New Roman" w:hAnsi="Times New Roman" w:cs="Times New Roman"/>
          <w:b/>
          <w:bCs/>
          <w:sz w:val="24"/>
          <w:szCs w:val="24"/>
        </w:rPr>
      </w:pPr>
    </w:p>
    <w:p w:rsidR="000F603A" w:rsidRPr="00C218FB" w:rsidRDefault="000F603A" w:rsidP="00C218FB">
      <w:pPr>
        <w:spacing w:after="0" w:line="240" w:lineRule="auto"/>
        <w:ind w:left="630" w:right="67"/>
        <w:jc w:val="both"/>
        <w:rPr>
          <w:rFonts w:ascii="Times New Roman" w:hAnsi="Times New Roman" w:cs="Times New Roman"/>
          <w:sz w:val="24"/>
          <w:szCs w:val="24"/>
        </w:rPr>
      </w:pPr>
      <w:r w:rsidRPr="00C218FB">
        <w:rPr>
          <w:rFonts w:ascii="Times New Roman" w:hAnsi="Times New Roman" w:cs="Times New Roman"/>
          <w:b/>
          <w:bCs/>
          <w:sz w:val="24"/>
          <w:szCs w:val="24"/>
        </w:rPr>
        <w:t xml:space="preserve">Antecedentes o hechos con los que se correlaciona la prueba: </w:t>
      </w:r>
      <w:r w:rsidRPr="00C218FB">
        <w:rPr>
          <w:rFonts w:ascii="Times New Roman" w:hAnsi="Times New Roman" w:cs="Times New Roman"/>
          <w:sz w:val="24"/>
          <w:szCs w:val="24"/>
        </w:rPr>
        <w:t>Con las documentales en comento se pretende acreditar la posesión efectiva y los actos y acciones de gobierno que el municipio de Ecatepec ha venido ejerciendo sobre dicho espacio territorial, mismo que relaciono con todos y cada uno de los argumentos, excepciones y defensas que hago valer en mi escrito de contestación a la solicitud presentada por la diputada Beatriz García Villegas, promovente del procedimiento que nos ocupa.</w:t>
      </w:r>
    </w:p>
    <w:p w:rsidR="000F603A" w:rsidRPr="00C218FB" w:rsidRDefault="000F603A" w:rsidP="00C218FB">
      <w:pPr>
        <w:spacing w:after="0" w:line="240" w:lineRule="auto"/>
        <w:ind w:left="630" w:right="67"/>
        <w:jc w:val="both"/>
        <w:rPr>
          <w:rFonts w:ascii="Times New Roman" w:hAnsi="Times New Roman" w:cs="Times New Roman"/>
          <w:sz w:val="24"/>
          <w:szCs w:val="24"/>
        </w:rPr>
      </w:pPr>
    </w:p>
    <w:p w:rsidR="000F603A" w:rsidRPr="00C218FB" w:rsidRDefault="000F603A" w:rsidP="00C218FB">
      <w:pPr>
        <w:spacing w:after="0" w:line="240" w:lineRule="auto"/>
        <w:ind w:left="630" w:right="67"/>
        <w:jc w:val="both"/>
        <w:rPr>
          <w:rFonts w:ascii="Times New Roman" w:hAnsi="Times New Roman" w:cs="Times New Roman"/>
          <w:sz w:val="24"/>
          <w:szCs w:val="24"/>
        </w:rPr>
      </w:pPr>
      <w:r w:rsidRPr="00C218FB">
        <w:rPr>
          <w:rFonts w:ascii="Times New Roman" w:hAnsi="Times New Roman" w:cs="Times New Roman"/>
          <w:b/>
          <w:bCs/>
          <w:sz w:val="24"/>
          <w:szCs w:val="24"/>
        </w:rPr>
        <w:t xml:space="preserve">Protesta de decir verdad que no se tenía conocimiento de la prueba: </w:t>
      </w:r>
      <w:r w:rsidRPr="00C218FB">
        <w:rPr>
          <w:rFonts w:ascii="Times New Roman" w:hAnsi="Times New Roman" w:cs="Times New Roman"/>
          <w:sz w:val="24"/>
          <w:szCs w:val="24"/>
        </w:rPr>
        <w:t>Bajo protesta de decir verdad manifiesto que no se tenía previo conocimiento de la existencia de dichas probanzas, pues ellas surgen con posterioridad al periodo de ofrecimiento de pruebas del presente procedimiento, derivado de las necesidades y servicios que tienen los vecinos de las colonias de la zona limítrofe con el Municipio de Ecatepec de Morelos, es decir se trata de servicios públicos que no pueden dejar de ofrecerse, cuyo servicio es continuo y constante y por lógica estábamos materialmente imposibilitados para ofrecerlas dentro del periodo ordinario de ofrecimiento de pruebas previsto en la Ley de la materia.</w:t>
      </w:r>
    </w:p>
    <w:p w:rsidR="000F603A" w:rsidRPr="00C218FB" w:rsidRDefault="000F603A" w:rsidP="00C218FB">
      <w:pPr>
        <w:spacing w:after="0" w:line="240" w:lineRule="auto"/>
        <w:ind w:left="630" w:right="67"/>
        <w:jc w:val="both"/>
        <w:rPr>
          <w:rFonts w:ascii="Times New Roman" w:hAnsi="Times New Roman" w:cs="Times New Roman"/>
          <w:sz w:val="24"/>
          <w:szCs w:val="24"/>
        </w:rPr>
      </w:pPr>
    </w:p>
    <w:p w:rsidR="000F603A" w:rsidRPr="00C218FB" w:rsidRDefault="000F603A" w:rsidP="00C218FB">
      <w:pPr>
        <w:spacing w:after="0" w:line="240" w:lineRule="auto"/>
        <w:ind w:right="67"/>
        <w:jc w:val="both"/>
        <w:rPr>
          <w:rFonts w:ascii="Times New Roman" w:hAnsi="Times New Roman" w:cs="Times New Roman"/>
          <w:sz w:val="24"/>
          <w:szCs w:val="24"/>
        </w:rPr>
      </w:pPr>
      <w:r w:rsidRPr="00C218FB">
        <w:rPr>
          <w:rFonts w:ascii="Times New Roman" w:hAnsi="Times New Roman" w:cs="Times New Roman"/>
          <w:b/>
          <w:bCs/>
          <w:sz w:val="24"/>
          <w:szCs w:val="24"/>
        </w:rPr>
        <w:t>2.- LAS DOCUMENTALES PÚBLICAS</w:t>
      </w:r>
      <w:r w:rsidRPr="00C218FB">
        <w:rPr>
          <w:rFonts w:ascii="Times New Roman" w:hAnsi="Times New Roman" w:cs="Times New Roman"/>
          <w:sz w:val="24"/>
          <w:szCs w:val="24"/>
        </w:rPr>
        <w:t xml:space="preserve"> consisten en oficio número </w:t>
      </w:r>
      <w:r w:rsidRPr="00C218FB">
        <w:rPr>
          <w:rFonts w:ascii="Times New Roman" w:hAnsi="Times New Roman" w:cs="Times New Roman"/>
          <w:b/>
          <w:bCs/>
          <w:sz w:val="24"/>
          <w:szCs w:val="24"/>
        </w:rPr>
        <w:t>SHA/ECA/SMI/4006/2023</w:t>
      </w:r>
      <w:r w:rsidRPr="00C218FB">
        <w:rPr>
          <w:rFonts w:ascii="Times New Roman" w:hAnsi="Times New Roman" w:cs="Times New Roman"/>
          <w:sz w:val="24"/>
          <w:szCs w:val="24"/>
        </w:rPr>
        <w:t xml:space="preserve"> de fecha </w:t>
      </w:r>
      <w:r w:rsidRPr="00C218FB">
        <w:rPr>
          <w:rFonts w:ascii="Times New Roman" w:hAnsi="Times New Roman" w:cs="Times New Roman"/>
          <w:b/>
          <w:bCs/>
          <w:sz w:val="24"/>
          <w:szCs w:val="24"/>
        </w:rPr>
        <w:t>14 de agosto de 2023</w:t>
      </w:r>
      <w:r w:rsidRPr="00C218FB">
        <w:rPr>
          <w:rFonts w:ascii="Times New Roman" w:hAnsi="Times New Roman" w:cs="Times New Roman"/>
          <w:sz w:val="24"/>
          <w:szCs w:val="24"/>
        </w:rPr>
        <w:t xml:space="preserve"> y anexos, suscrito por la </w:t>
      </w:r>
      <w:r w:rsidRPr="00C218FB">
        <w:rPr>
          <w:rFonts w:ascii="Times New Roman" w:hAnsi="Times New Roman" w:cs="Times New Roman"/>
          <w:b/>
          <w:bCs/>
          <w:sz w:val="24"/>
          <w:szCs w:val="24"/>
        </w:rPr>
        <w:t>Licenciada Rocío Rivera Alcántara</w:t>
      </w:r>
      <w:r w:rsidRPr="00C218FB">
        <w:rPr>
          <w:rFonts w:ascii="Times New Roman" w:hAnsi="Times New Roman" w:cs="Times New Roman"/>
          <w:sz w:val="24"/>
          <w:szCs w:val="24"/>
        </w:rPr>
        <w:t xml:space="preserve">, Secretaria del H. Ayuntamiento de Ecatepec, mediante el cual remite </w:t>
      </w:r>
      <w:r w:rsidRPr="00C218FB">
        <w:rPr>
          <w:rFonts w:ascii="Times New Roman" w:hAnsi="Times New Roman" w:cs="Times New Roman"/>
          <w:b/>
          <w:bCs/>
          <w:sz w:val="24"/>
          <w:szCs w:val="24"/>
        </w:rPr>
        <w:t>veintidós copias certificadas de constancias de identidad expedidas a favor de vecinos de las colonias que comprenden la zona limítrofe materia del presente procedimiento</w:t>
      </w:r>
      <w:r w:rsidRPr="00C218FB">
        <w:rPr>
          <w:rFonts w:ascii="Times New Roman" w:hAnsi="Times New Roman" w:cs="Times New Roman"/>
          <w:sz w:val="24"/>
          <w:szCs w:val="24"/>
        </w:rPr>
        <w:t>.</w:t>
      </w:r>
    </w:p>
    <w:p w:rsidR="000F603A" w:rsidRPr="00C218FB" w:rsidRDefault="000F603A" w:rsidP="00C218FB">
      <w:pPr>
        <w:spacing w:after="0" w:line="240" w:lineRule="auto"/>
        <w:ind w:left="630" w:right="67"/>
        <w:jc w:val="both"/>
        <w:rPr>
          <w:rFonts w:ascii="Times New Roman" w:hAnsi="Times New Roman" w:cs="Times New Roman"/>
          <w:b/>
          <w:bCs/>
          <w:sz w:val="24"/>
          <w:szCs w:val="24"/>
        </w:rPr>
      </w:pPr>
    </w:p>
    <w:p w:rsidR="000F603A" w:rsidRPr="00C218FB" w:rsidRDefault="000F603A" w:rsidP="00C218FB">
      <w:pPr>
        <w:spacing w:after="0" w:line="240" w:lineRule="auto"/>
        <w:ind w:left="630" w:right="67"/>
        <w:jc w:val="both"/>
        <w:rPr>
          <w:rFonts w:ascii="Times New Roman" w:hAnsi="Times New Roman" w:cs="Times New Roman"/>
          <w:sz w:val="24"/>
          <w:szCs w:val="24"/>
        </w:rPr>
      </w:pPr>
      <w:r w:rsidRPr="00C218FB">
        <w:rPr>
          <w:rFonts w:ascii="Times New Roman" w:hAnsi="Times New Roman" w:cs="Times New Roman"/>
          <w:b/>
          <w:bCs/>
          <w:sz w:val="24"/>
          <w:szCs w:val="24"/>
        </w:rPr>
        <w:t xml:space="preserve">Antecedentes o hechos con los que se correlaciona la prueba: </w:t>
      </w:r>
      <w:r w:rsidRPr="00C218FB">
        <w:rPr>
          <w:rFonts w:ascii="Times New Roman" w:hAnsi="Times New Roman" w:cs="Times New Roman"/>
          <w:sz w:val="24"/>
          <w:szCs w:val="24"/>
        </w:rPr>
        <w:t xml:space="preserve">Con las documentales en comento se pretende acreditar la posesión efectiva y los actos y acciones de gobierno que el municipio de Ecatepec ha venido ejerciendo sobre dicho espacio territorial, mismo que relaciono con todos y cada uno de los argumentos, excepciones y defensas que hago valer </w:t>
      </w:r>
      <w:r w:rsidRPr="00C218FB">
        <w:rPr>
          <w:rFonts w:ascii="Times New Roman" w:hAnsi="Times New Roman" w:cs="Times New Roman"/>
          <w:sz w:val="24"/>
          <w:szCs w:val="24"/>
        </w:rPr>
        <w:lastRenderedPageBreak/>
        <w:t>en mi escrito de contestación a la solicitud presentada por la diputada Beatriz García Villegas, promovente del procedimiento que nos ocupa.</w:t>
      </w:r>
    </w:p>
    <w:p w:rsidR="000F603A" w:rsidRPr="00C218FB" w:rsidRDefault="000F603A" w:rsidP="00C218FB">
      <w:pPr>
        <w:spacing w:after="0" w:line="240" w:lineRule="auto"/>
        <w:ind w:left="630" w:right="67"/>
        <w:jc w:val="both"/>
        <w:rPr>
          <w:rFonts w:ascii="Times New Roman" w:hAnsi="Times New Roman" w:cs="Times New Roman"/>
          <w:b/>
          <w:bCs/>
          <w:sz w:val="24"/>
          <w:szCs w:val="24"/>
        </w:rPr>
      </w:pPr>
    </w:p>
    <w:p w:rsidR="000F603A" w:rsidRPr="00C218FB" w:rsidRDefault="000F603A" w:rsidP="00C218FB">
      <w:pPr>
        <w:spacing w:after="0" w:line="240" w:lineRule="auto"/>
        <w:ind w:left="630" w:right="67"/>
        <w:jc w:val="both"/>
        <w:rPr>
          <w:rFonts w:ascii="Times New Roman" w:hAnsi="Times New Roman" w:cs="Times New Roman"/>
          <w:sz w:val="24"/>
          <w:szCs w:val="24"/>
        </w:rPr>
      </w:pPr>
      <w:r w:rsidRPr="00C218FB">
        <w:rPr>
          <w:rFonts w:ascii="Times New Roman" w:hAnsi="Times New Roman" w:cs="Times New Roman"/>
          <w:b/>
          <w:bCs/>
          <w:sz w:val="24"/>
          <w:szCs w:val="24"/>
        </w:rPr>
        <w:t xml:space="preserve">Protesta de decir verdad que no se tenía conocimiento de la prueba: </w:t>
      </w:r>
      <w:r w:rsidRPr="00C218FB">
        <w:rPr>
          <w:rFonts w:ascii="Times New Roman" w:hAnsi="Times New Roman" w:cs="Times New Roman"/>
          <w:sz w:val="24"/>
          <w:szCs w:val="24"/>
        </w:rPr>
        <w:t>Bajo protesta de decir verdad manifiesto que no se tenía previo conocimiento de la existencia de dichas probanzas, pues ellas surgen con posterioridad al periodo de ofrecimiento de pruebas del presente procedimiento, derivado de las necesidades y servicios que tienen los vecinos de las colonias de la zona limítrofe con el Municipio de Ecatepec de Morelos, es decir se trata de servicios públicos que no pueden dejar de ofrecerse, cuyo servicio es continuo y constante y por lógica estábamos materialmente imposibilitados para ofrecerlas dentro del periodo ordinario de ofrecimiento de pruebas previsto en la Ley de la materia.</w:t>
      </w:r>
    </w:p>
    <w:p w:rsidR="000F603A" w:rsidRPr="00C218FB" w:rsidRDefault="000F603A" w:rsidP="00C218FB">
      <w:pPr>
        <w:spacing w:after="0" w:line="240" w:lineRule="auto"/>
        <w:ind w:left="630" w:right="67"/>
        <w:jc w:val="both"/>
        <w:rPr>
          <w:rFonts w:ascii="Times New Roman" w:hAnsi="Times New Roman" w:cs="Times New Roman"/>
          <w:sz w:val="24"/>
          <w:szCs w:val="24"/>
        </w:rPr>
      </w:pPr>
    </w:p>
    <w:p w:rsidR="000F603A" w:rsidRPr="00C218FB" w:rsidRDefault="000F603A" w:rsidP="00C218FB">
      <w:pPr>
        <w:spacing w:after="0" w:line="240" w:lineRule="auto"/>
        <w:ind w:right="67"/>
        <w:jc w:val="both"/>
        <w:rPr>
          <w:rFonts w:ascii="Times New Roman" w:hAnsi="Times New Roman" w:cs="Times New Roman"/>
          <w:sz w:val="24"/>
          <w:szCs w:val="24"/>
        </w:rPr>
      </w:pPr>
      <w:r w:rsidRPr="00C218FB">
        <w:rPr>
          <w:rFonts w:ascii="Times New Roman" w:hAnsi="Times New Roman" w:cs="Times New Roman"/>
          <w:b/>
          <w:bCs/>
          <w:sz w:val="24"/>
          <w:szCs w:val="24"/>
        </w:rPr>
        <w:t>3.- LAS DOCUMENTALES PÚBLICAS</w:t>
      </w:r>
      <w:r w:rsidRPr="00C218FB">
        <w:rPr>
          <w:rFonts w:ascii="Times New Roman" w:hAnsi="Times New Roman" w:cs="Times New Roman"/>
          <w:sz w:val="24"/>
          <w:szCs w:val="24"/>
        </w:rPr>
        <w:t xml:space="preserve"> consisten en oficio número </w:t>
      </w:r>
      <w:r w:rsidRPr="00C218FB">
        <w:rPr>
          <w:rFonts w:ascii="Times New Roman" w:hAnsi="Times New Roman" w:cs="Times New Roman"/>
          <w:b/>
          <w:bCs/>
          <w:sz w:val="24"/>
          <w:szCs w:val="24"/>
        </w:rPr>
        <w:t>DG/ECA/1034/2023</w:t>
      </w:r>
      <w:r w:rsidRPr="00C218FB">
        <w:rPr>
          <w:rFonts w:ascii="Times New Roman" w:hAnsi="Times New Roman" w:cs="Times New Roman"/>
          <w:sz w:val="24"/>
          <w:szCs w:val="24"/>
        </w:rPr>
        <w:t xml:space="preserve"> de fecha </w:t>
      </w:r>
      <w:r w:rsidRPr="00C218FB">
        <w:rPr>
          <w:rFonts w:ascii="Times New Roman" w:hAnsi="Times New Roman" w:cs="Times New Roman"/>
          <w:b/>
          <w:bCs/>
          <w:sz w:val="24"/>
          <w:szCs w:val="24"/>
        </w:rPr>
        <w:t>15 de agosto de 2023</w:t>
      </w:r>
      <w:r w:rsidRPr="00C218FB">
        <w:rPr>
          <w:rFonts w:ascii="Times New Roman" w:hAnsi="Times New Roman" w:cs="Times New Roman"/>
          <w:sz w:val="24"/>
          <w:szCs w:val="24"/>
        </w:rPr>
        <w:t xml:space="preserve">, suscrito por la </w:t>
      </w:r>
      <w:r w:rsidRPr="00C218FB">
        <w:rPr>
          <w:rFonts w:ascii="Times New Roman" w:hAnsi="Times New Roman" w:cs="Times New Roman"/>
          <w:b/>
          <w:bCs/>
          <w:sz w:val="24"/>
          <w:szCs w:val="24"/>
        </w:rPr>
        <w:t>Dirección General de Gobierno del Ayuntamiento de Ecatepec de Morelos</w:t>
      </w:r>
      <w:r w:rsidRPr="00C218FB">
        <w:rPr>
          <w:rFonts w:ascii="Times New Roman" w:hAnsi="Times New Roman" w:cs="Times New Roman"/>
          <w:sz w:val="24"/>
          <w:szCs w:val="24"/>
        </w:rPr>
        <w:t xml:space="preserve">, mediante el cual se remiten </w:t>
      </w:r>
      <w:r w:rsidRPr="00C218FB">
        <w:rPr>
          <w:rFonts w:ascii="Times New Roman" w:hAnsi="Times New Roman" w:cs="Times New Roman"/>
          <w:b/>
          <w:bCs/>
          <w:sz w:val="24"/>
          <w:szCs w:val="24"/>
        </w:rPr>
        <w:t>copias certificadas de nombramientos de Delegados y Consejos de Participación Ciudadana (COPACI)</w:t>
      </w:r>
      <w:r w:rsidRPr="00C218FB">
        <w:rPr>
          <w:rFonts w:ascii="Times New Roman" w:hAnsi="Times New Roman" w:cs="Times New Roman"/>
          <w:sz w:val="24"/>
          <w:szCs w:val="24"/>
        </w:rPr>
        <w:t xml:space="preserve"> correspondientes a diversas colonias ubicadas dentro de la zona limítrofe materia del presente procedimiento.</w:t>
      </w:r>
    </w:p>
    <w:p w:rsidR="000F603A" w:rsidRPr="00C218FB" w:rsidRDefault="000F603A" w:rsidP="00C218FB">
      <w:pPr>
        <w:spacing w:after="0" w:line="240" w:lineRule="auto"/>
        <w:ind w:left="630" w:right="67"/>
        <w:jc w:val="both"/>
        <w:rPr>
          <w:rFonts w:ascii="Times New Roman" w:hAnsi="Times New Roman" w:cs="Times New Roman"/>
          <w:b/>
          <w:bCs/>
          <w:sz w:val="24"/>
          <w:szCs w:val="24"/>
        </w:rPr>
      </w:pPr>
    </w:p>
    <w:p w:rsidR="000F603A" w:rsidRPr="00C218FB" w:rsidRDefault="000F603A" w:rsidP="00C218FB">
      <w:pPr>
        <w:spacing w:after="0" w:line="240" w:lineRule="auto"/>
        <w:ind w:left="630" w:right="67"/>
        <w:jc w:val="both"/>
        <w:rPr>
          <w:rFonts w:ascii="Times New Roman" w:hAnsi="Times New Roman" w:cs="Times New Roman"/>
          <w:sz w:val="24"/>
          <w:szCs w:val="24"/>
        </w:rPr>
      </w:pPr>
      <w:r w:rsidRPr="00C218FB">
        <w:rPr>
          <w:rFonts w:ascii="Times New Roman" w:hAnsi="Times New Roman" w:cs="Times New Roman"/>
          <w:b/>
          <w:bCs/>
          <w:sz w:val="24"/>
          <w:szCs w:val="24"/>
        </w:rPr>
        <w:t xml:space="preserve">Antecedentes o hechos con los que se correlaciona la prueba: </w:t>
      </w:r>
      <w:r w:rsidRPr="00C218FB">
        <w:rPr>
          <w:rFonts w:ascii="Times New Roman" w:hAnsi="Times New Roman" w:cs="Times New Roman"/>
          <w:sz w:val="24"/>
          <w:szCs w:val="24"/>
        </w:rPr>
        <w:t>Con las documentales en comento se pretende acreditar los actos de gobierno, administración y representación vecinal ejercidos de manera constante por el Municipio de Ecatepec de Morelos en la zona limítrofe en controversia, mismos que se relacionan con los hechos narrados y las excepciones y defensas hechas valer en el escrito de contestación al procedimiento de diferendo limítrofe.</w:t>
      </w:r>
    </w:p>
    <w:p w:rsidR="000F603A" w:rsidRPr="00C218FB" w:rsidRDefault="000F603A" w:rsidP="00C218FB">
      <w:pPr>
        <w:spacing w:after="0" w:line="240" w:lineRule="auto"/>
        <w:ind w:left="630" w:right="67"/>
        <w:jc w:val="both"/>
        <w:rPr>
          <w:rFonts w:ascii="Times New Roman" w:hAnsi="Times New Roman" w:cs="Times New Roman"/>
          <w:b/>
          <w:bCs/>
          <w:sz w:val="24"/>
          <w:szCs w:val="24"/>
        </w:rPr>
      </w:pPr>
    </w:p>
    <w:p w:rsidR="000F603A" w:rsidRPr="00C218FB" w:rsidRDefault="000F603A" w:rsidP="00C218FB">
      <w:pPr>
        <w:spacing w:after="0" w:line="240" w:lineRule="auto"/>
        <w:ind w:left="630" w:right="67"/>
        <w:jc w:val="both"/>
        <w:rPr>
          <w:rFonts w:ascii="Times New Roman" w:hAnsi="Times New Roman" w:cs="Times New Roman"/>
          <w:sz w:val="24"/>
          <w:szCs w:val="24"/>
        </w:rPr>
      </w:pPr>
      <w:r w:rsidRPr="00C218FB">
        <w:rPr>
          <w:rFonts w:ascii="Times New Roman" w:hAnsi="Times New Roman" w:cs="Times New Roman"/>
          <w:b/>
          <w:bCs/>
          <w:sz w:val="24"/>
          <w:szCs w:val="24"/>
        </w:rPr>
        <w:t xml:space="preserve">Protesta de decir verdad que no se tenía conocimiento de la prueba: </w:t>
      </w:r>
      <w:r w:rsidRPr="00C218FB">
        <w:rPr>
          <w:rFonts w:ascii="Times New Roman" w:hAnsi="Times New Roman" w:cs="Times New Roman"/>
          <w:sz w:val="24"/>
          <w:szCs w:val="24"/>
        </w:rPr>
        <w:t>Bajo protesta de decir verdad se manifiesta que no se tenía conocimiento previo de la existencia de dichos documentales, toda vez que los nombramientos referidos fueron expedidos con posterioridad al cierre del periodo ordinario de ofrecimiento de pruebas, derivado de la continuidad de los actos de gobierno municipal.</w:t>
      </w:r>
    </w:p>
    <w:p w:rsidR="000F603A" w:rsidRPr="00C218FB" w:rsidRDefault="000F603A" w:rsidP="00C218FB">
      <w:pPr>
        <w:spacing w:after="0" w:line="240" w:lineRule="auto"/>
        <w:ind w:left="630" w:right="67"/>
        <w:jc w:val="both"/>
        <w:rPr>
          <w:rFonts w:ascii="Times New Roman" w:hAnsi="Times New Roman" w:cs="Times New Roman"/>
          <w:sz w:val="24"/>
          <w:szCs w:val="24"/>
        </w:rPr>
      </w:pPr>
    </w:p>
    <w:p w:rsidR="000F603A" w:rsidRPr="00C218FB" w:rsidRDefault="000F603A" w:rsidP="00C218FB">
      <w:pPr>
        <w:spacing w:after="0" w:line="240" w:lineRule="auto"/>
        <w:ind w:right="67"/>
        <w:jc w:val="both"/>
        <w:rPr>
          <w:rFonts w:ascii="Times New Roman" w:hAnsi="Times New Roman" w:cs="Times New Roman"/>
          <w:sz w:val="24"/>
          <w:szCs w:val="24"/>
        </w:rPr>
      </w:pPr>
      <w:r w:rsidRPr="00C218FB">
        <w:rPr>
          <w:rFonts w:ascii="Times New Roman" w:hAnsi="Times New Roman" w:cs="Times New Roman"/>
          <w:b/>
          <w:bCs/>
          <w:sz w:val="24"/>
          <w:szCs w:val="24"/>
        </w:rPr>
        <w:t>4.- LAS DOCUMENTALES PÚBLICAS</w:t>
      </w:r>
      <w:r w:rsidRPr="00C218FB">
        <w:rPr>
          <w:rFonts w:ascii="Times New Roman" w:hAnsi="Times New Roman" w:cs="Times New Roman"/>
          <w:sz w:val="24"/>
          <w:szCs w:val="24"/>
        </w:rPr>
        <w:t xml:space="preserve"> consisten en oficio número </w:t>
      </w:r>
      <w:r w:rsidRPr="00C218FB">
        <w:rPr>
          <w:rFonts w:ascii="Times New Roman" w:hAnsi="Times New Roman" w:cs="Times New Roman"/>
          <w:b/>
          <w:bCs/>
          <w:sz w:val="24"/>
          <w:szCs w:val="24"/>
        </w:rPr>
        <w:t>DPC/ECA/712/2023</w:t>
      </w:r>
      <w:r w:rsidRPr="00C218FB">
        <w:rPr>
          <w:rFonts w:ascii="Times New Roman" w:hAnsi="Times New Roman" w:cs="Times New Roman"/>
          <w:sz w:val="24"/>
          <w:szCs w:val="24"/>
        </w:rPr>
        <w:t xml:space="preserve"> de fecha </w:t>
      </w:r>
      <w:r w:rsidRPr="00C218FB">
        <w:rPr>
          <w:rFonts w:ascii="Times New Roman" w:hAnsi="Times New Roman" w:cs="Times New Roman"/>
          <w:b/>
          <w:bCs/>
          <w:sz w:val="24"/>
          <w:szCs w:val="24"/>
        </w:rPr>
        <w:t>16 de agosto de 2023</w:t>
      </w:r>
      <w:r w:rsidRPr="00C218FB">
        <w:rPr>
          <w:rFonts w:ascii="Times New Roman" w:hAnsi="Times New Roman" w:cs="Times New Roman"/>
          <w:sz w:val="24"/>
          <w:szCs w:val="24"/>
        </w:rPr>
        <w:t xml:space="preserve">, suscrito por la </w:t>
      </w:r>
      <w:r w:rsidRPr="00C218FB">
        <w:rPr>
          <w:rFonts w:ascii="Times New Roman" w:hAnsi="Times New Roman" w:cs="Times New Roman"/>
          <w:b/>
          <w:bCs/>
          <w:sz w:val="24"/>
          <w:szCs w:val="24"/>
        </w:rPr>
        <w:t>Dirección de Protección Civil y Bomberos del Ayuntamiento de Ecatepec de Morelos</w:t>
      </w:r>
      <w:r w:rsidRPr="00C218FB">
        <w:rPr>
          <w:rFonts w:ascii="Times New Roman" w:hAnsi="Times New Roman" w:cs="Times New Roman"/>
          <w:sz w:val="24"/>
          <w:szCs w:val="24"/>
        </w:rPr>
        <w:t xml:space="preserve">, mediante el cual se remiten </w:t>
      </w:r>
      <w:r w:rsidRPr="00C218FB">
        <w:rPr>
          <w:rFonts w:ascii="Times New Roman" w:hAnsi="Times New Roman" w:cs="Times New Roman"/>
          <w:b/>
          <w:bCs/>
          <w:sz w:val="24"/>
          <w:szCs w:val="24"/>
        </w:rPr>
        <w:t>reportes de atención de emergencias y servicios prehospitalarios</w:t>
      </w:r>
      <w:r w:rsidRPr="00C218FB">
        <w:rPr>
          <w:rFonts w:ascii="Times New Roman" w:hAnsi="Times New Roman" w:cs="Times New Roman"/>
          <w:sz w:val="24"/>
          <w:szCs w:val="24"/>
        </w:rPr>
        <w:t xml:space="preserve"> prestados en diversas colonias ubicadas en la zona limítrofe materia del presente procedimiento.</w:t>
      </w:r>
    </w:p>
    <w:p w:rsidR="000F603A" w:rsidRPr="00C218FB" w:rsidRDefault="000F603A" w:rsidP="00C218FB">
      <w:pPr>
        <w:spacing w:after="0" w:line="240" w:lineRule="auto"/>
        <w:ind w:left="630" w:right="67"/>
        <w:jc w:val="both"/>
        <w:rPr>
          <w:rFonts w:ascii="Times New Roman" w:hAnsi="Times New Roman" w:cs="Times New Roman"/>
          <w:b/>
          <w:bCs/>
          <w:sz w:val="24"/>
          <w:szCs w:val="24"/>
        </w:rPr>
      </w:pPr>
    </w:p>
    <w:p w:rsidR="000F603A" w:rsidRPr="00C218FB" w:rsidRDefault="000F603A" w:rsidP="00C218FB">
      <w:pPr>
        <w:spacing w:after="0" w:line="240" w:lineRule="auto"/>
        <w:ind w:left="630" w:right="67"/>
        <w:jc w:val="both"/>
        <w:rPr>
          <w:rFonts w:ascii="Times New Roman" w:hAnsi="Times New Roman" w:cs="Times New Roman"/>
          <w:sz w:val="24"/>
          <w:szCs w:val="24"/>
        </w:rPr>
      </w:pPr>
      <w:r w:rsidRPr="00C218FB">
        <w:rPr>
          <w:rFonts w:ascii="Times New Roman" w:hAnsi="Times New Roman" w:cs="Times New Roman"/>
          <w:b/>
          <w:bCs/>
          <w:sz w:val="24"/>
          <w:szCs w:val="24"/>
        </w:rPr>
        <w:t xml:space="preserve">Antecedentes o hechos con los que se correlaciona la prueba: </w:t>
      </w:r>
      <w:r w:rsidRPr="00C218FB">
        <w:rPr>
          <w:rFonts w:ascii="Times New Roman" w:hAnsi="Times New Roman" w:cs="Times New Roman"/>
          <w:sz w:val="24"/>
          <w:szCs w:val="24"/>
        </w:rPr>
        <w:t>Las documentales ofrecidas tienen como finalidad acreditar la prestación continua y permanente de servicios públicos esenciales por parte del Municipio de Ecatepec de Morelos dentro del territorio en controversia.</w:t>
      </w:r>
    </w:p>
    <w:p w:rsidR="000F603A" w:rsidRPr="00C218FB" w:rsidRDefault="000F603A" w:rsidP="00C218FB">
      <w:pPr>
        <w:spacing w:after="0" w:line="240" w:lineRule="auto"/>
        <w:ind w:left="630" w:right="67"/>
        <w:jc w:val="both"/>
        <w:rPr>
          <w:rFonts w:ascii="Times New Roman" w:hAnsi="Times New Roman" w:cs="Times New Roman"/>
          <w:b/>
          <w:bCs/>
          <w:sz w:val="24"/>
          <w:szCs w:val="24"/>
        </w:rPr>
      </w:pPr>
    </w:p>
    <w:p w:rsidR="000F603A" w:rsidRPr="00C218FB" w:rsidRDefault="000F603A" w:rsidP="00C218FB">
      <w:pPr>
        <w:spacing w:after="0" w:line="240" w:lineRule="auto"/>
        <w:ind w:left="630" w:right="67"/>
        <w:jc w:val="both"/>
        <w:rPr>
          <w:rFonts w:ascii="Times New Roman" w:hAnsi="Times New Roman" w:cs="Times New Roman"/>
          <w:sz w:val="24"/>
          <w:szCs w:val="24"/>
        </w:rPr>
      </w:pPr>
      <w:r w:rsidRPr="00C218FB">
        <w:rPr>
          <w:rFonts w:ascii="Times New Roman" w:hAnsi="Times New Roman" w:cs="Times New Roman"/>
          <w:b/>
          <w:bCs/>
          <w:sz w:val="24"/>
          <w:szCs w:val="24"/>
        </w:rPr>
        <w:t xml:space="preserve">Protesta de decir verdad que no se tenía conocimiento de la prueba: </w:t>
      </w:r>
      <w:r w:rsidRPr="00C218FB">
        <w:rPr>
          <w:rFonts w:ascii="Times New Roman" w:hAnsi="Times New Roman" w:cs="Times New Roman"/>
          <w:sz w:val="24"/>
          <w:szCs w:val="24"/>
        </w:rPr>
        <w:t>Bajo protesta de decir verdad se manifiesta que no se tuvo conocimiento previo de la existencia de dichos documentales, al tratarse de servicios que se generan de manera constante y permanente, con posterioridad al periodo ordinario de ofrecimiento de pruebas.</w:t>
      </w:r>
    </w:p>
    <w:p w:rsidR="000F603A" w:rsidRPr="00C218FB" w:rsidRDefault="000F603A" w:rsidP="00C218FB">
      <w:pPr>
        <w:spacing w:after="0" w:line="240" w:lineRule="auto"/>
        <w:ind w:left="630" w:right="67"/>
        <w:jc w:val="both"/>
        <w:rPr>
          <w:rFonts w:ascii="Times New Roman" w:hAnsi="Times New Roman" w:cs="Times New Roman"/>
          <w:sz w:val="24"/>
          <w:szCs w:val="24"/>
        </w:rPr>
      </w:pPr>
    </w:p>
    <w:p w:rsidR="000F603A" w:rsidRPr="00C218FB" w:rsidRDefault="000F603A" w:rsidP="00C218FB">
      <w:pPr>
        <w:spacing w:after="0" w:line="240" w:lineRule="auto"/>
        <w:ind w:right="67"/>
        <w:jc w:val="both"/>
        <w:rPr>
          <w:rFonts w:ascii="Times New Roman" w:hAnsi="Times New Roman" w:cs="Times New Roman"/>
          <w:sz w:val="24"/>
          <w:szCs w:val="24"/>
        </w:rPr>
      </w:pPr>
      <w:r w:rsidRPr="00C218FB">
        <w:rPr>
          <w:rFonts w:ascii="Times New Roman" w:hAnsi="Times New Roman" w:cs="Times New Roman"/>
          <w:b/>
          <w:bCs/>
          <w:sz w:val="24"/>
          <w:szCs w:val="24"/>
        </w:rPr>
        <w:t>5.- LAS DOCUMENTALES PÚBLICAS</w:t>
      </w:r>
      <w:r w:rsidRPr="00C218FB">
        <w:rPr>
          <w:rFonts w:ascii="Times New Roman" w:hAnsi="Times New Roman" w:cs="Times New Roman"/>
          <w:sz w:val="24"/>
          <w:szCs w:val="24"/>
        </w:rPr>
        <w:t xml:space="preserve"> consisten en oficio número </w:t>
      </w:r>
      <w:r w:rsidRPr="00C218FB">
        <w:rPr>
          <w:rFonts w:ascii="Times New Roman" w:hAnsi="Times New Roman" w:cs="Times New Roman"/>
          <w:b/>
          <w:bCs/>
          <w:sz w:val="24"/>
          <w:szCs w:val="24"/>
        </w:rPr>
        <w:t>TES/ECA/498/2023</w:t>
      </w:r>
      <w:r w:rsidRPr="00C218FB">
        <w:rPr>
          <w:rFonts w:ascii="Times New Roman" w:hAnsi="Times New Roman" w:cs="Times New Roman"/>
          <w:sz w:val="24"/>
          <w:szCs w:val="24"/>
        </w:rPr>
        <w:t xml:space="preserve"> de fecha </w:t>
      </w:r>
      <w:r w:rsidRPr="00C218FB">
        <w:rPr>
          <w:rFonts w:ascii="Times New Roman" w:hAnsi="Times New Roman" w:cs="Times New Roman"/>
          <w:b/>
          <w:bCs/>
          <w:sz w:val="24"/>
          <w:szCs w:val="24"/>
        </w:rPr>
        <w:t>17 de agosto de 2023</w:t>
      </w:r>
      <w:r w:rsidRPr="00C218FB">
        <w:rPr>
          <w:rFonts w:ascii="Times New Roman" w:hAnsi="Times New Roman" w:cs="Times New Roman"/>
          <w:sz w:val="24"/>
          <w:szCs w:val="24"/>
        </w:rPr>
        <w:t xml:space="preserve">, suscrito por la </w:t>
      </w:r>
      <w:r w:rsidRPr="00C218FB">
        <w:rPr>
          <w:rFonts w:ascii="Times New Roman" w:hAnsi="Times New Roman" w:cs="Times New Roman"/>
          <w:b/>
          <w:bCs/>
          <w:sz w:val="24"/>
          <w:szCs w:val="24"/>
        </w:rPr>
        <w:t xml:space="preserve">Tesorería Municipal del Ayuntamiento de Ecatepec </w:t>
      </w:r>
      <w:r w:rsidRPr="00C218FB">
        <w:rPr>
          <w:rFonts w:ascii="Times New Roman" w:hAnsi="Times New Roman" w:cs="Times New Roman"/>
          <w:b/>
          <w:bCs/>
          <w:sz w:val="24"/>
          <w:szCs w:val="24"/>
        </w:rPr>
        <w:lastRenderedPageBreak/>
        <w:t>de Morelos</w:t>
      </w:r>
      <w:r w:rsidRPr="00C218FB">
        <w:rPr>
          <w:rFonts w:ascii="Times New Roman" w:hAnsi="Times New Roman" w:cs="Times New Roman"/>
          <w:sz w:val="24"/>
          <w:szCs w:val="24"/>
        </w:rPr>
        <w:t xml:space="preserve">, mediante el cual se remiten </w:t>
      </w:r>
      <w:r w:rsidRPr="00C218FB">
        <w:rPr>
          <w:rFonts w:ascii="Times New Roman" w:hAnsi="Times New Roman" w:cs="Times New Roman"/>
          <w:b/>
          <w:bCs/>
          <w:sz w:val="24"/>
          <w:szCs w:val="24"/>
        </w:rPr>
        <w:t>copias certificadas de recibos de pago de impuesto predial y otros ingresos municipales</w:t>
      </w:r>
      <w:r w:rsidRPr="00C218FB">
        <w:rPr>
          <w:rFonts w:ascii="Times New Roman" w:hAnsi="Times New Roman" w:cs="Times New Roman"/>
          <w:sz w:val="24"/>
          <w:szCs w:val="24"/>
        </w:rPr>
        <w:t xml:space="preserve"> correspondientes a predios ubicados en la zona limítrofe materia del presente procedimiento.</w:t>
      </w:r>
    </w:p>
    <w:p w:rsidR="000F603A" w:rsidRPr="00C218FB" w:rsidRDefault="000F603A" w:rsidP="00C218FB">
      <w:pPr>
        <w:spacing w:after="0" w:line="240" w:lineRule="auto"/>
        <w:ind w:left="630" w:right="67"/>
        <w:jc w:val="both"/>
        <w:rPr>
          <w:rFonts w:ascii="Times New Roman" w:hAnsi="Times New Roman" w:cs="Times New Roman"/>
          <w:b/>
          <w:bCs/>
          <w:sz w:val="24"/>
          <w:szCs w:val="24"/>
        </w:rPr>
      </w:pPr>
    </w:p>
    <w:p w:rsidR="000F603A" w:rsidRPr="00C218FB" w:rsidRDefault="000F603A" w:rsidP="00C218FB">
      <w:pPr>
        <w:spacing w:after="0" w:line="240" w:lineRule="auto"/>
        <w:ind w:left="630" w:right="67"/>
        <w:jc w:val="both"/>
        <w:rPr>
          <w:rFonts w:ascii="Times New Roman" w:hAnsi="Times New Roman" w:cs="Times New Roman"/>
          <w:sz w:val="24"/>
          <w:szCs w:val="24"/>
        </w:rPr>
      </w:pPr>
      <w:r w:rsidRPr="00C218FB">
        <w:rPr>
          <w:rFonts w:ascii="Times New Roman" w:hAnsi="Times New Roman" w:cs="Times New Roman"/>
          <w:b/>
          <w:bCs/>
          <w:sz w:val="24"/>
          <w:szCs w:val="24"/>
        </w:rPr>
        <w:t xml:space="preserve">Antecedentes o hechos con los que se correlaciona la prueba: </w:t>
      </w:r>
      <w:r w:rsidRPr="00C218FB">
        <w:rPr>
          <w:rFonts w:ascii="Times New Roman" w:hAnsi="Times New Roman" w:cs="Times New Roman"/>
          <w:sz w:val="24"/>
          <w:szCs w:val="24"/>
        </w:rPr>
        <w:t>Con dichos documentales se pretende acreditar los actos de administración y recaudación fiscal ejercidos por el Municipio de Ecatepec de Morelos en el territorio en disputa.</w:t>
      </w:r>
    </w:p>
    <w:p w:rsidR="000F603A" w:rsidRPr="00C218FB" w:rsidRDefault="000F603A" w:rsidP="00C218FB">
      <w:pPr>
        <w:spacing w:after="0" w:line="240" w:lineRule="auto"/>
        <w:ind w:left="630" w:right="67"/>
        <w:jc w:val="both"/>
        <w:rPr>
          <w:rFonts w:ascii="Times New Roman" w:hAnsi="Times New Roman" w:cs="Times New Roman"/>
          <w:b/>
          <w:bCs/>
          <w:sz w:val="24"/>
          <w:szCs w:val="24"/>
        </w:rPr>
      </w:pPr>
    </w:p>
    <w:p w:rsidR="000F603A" w:rsidRPr="00C218FB" w:rsidRDefault="000F603A" w:rsidP="00C218FB">
      <w:pPr>
        <w:spacing w:after="0" w:line="240" w:lineRule="auto"/>
        <w:ind w:left="630" w:right="67"/>
        <w:jc w:val="both"/>
        <w:rPr>
          <w:rFonts w:ascii="Times New Roman" w:hAnsi="Times New Roman" w:cs="Times New Roman"/>
          <w:sz w:val="24"/>
          <w:szCs w:val="24"/>
        </w:rPr>
      </w:pPr>
      <w:r w:rsidRPr="00C218FB">
        <w:rPr>
          <w:rFonts w:ascii="Times New Roman" w:hAnsi="Times New Roman" w:cs="Times New Roman"/>
          <w:b/>
          <w:bCs/>
          <w:sz w:val="24"/>
          <w:szCs w:val="24"/>
        </w:rPr>
        <w:t xml:space="preserve">Protesta de decir verdad que no se tenía conocimiento de la prueba: </w:t>
      </w:r>
      <w:r w:rsidRPr="00C218FB">
        <w:rPr>
          <w:rFonts w:ascii="Times New Roman" w:hAnsi="Times New Roman" w:cs="Times New Roman"/>
          <w:sz w:val="24"/>
          <w:szCs w:val="24"/>
        </w:rPr>
        <w:t>Bajo protesta de decir verdad se manifiesta que no se tenía conocimiento previo de dichos documentales, ya que los ingresos municipales se generan de manera continua y posterior al periodo ordinario de ofrecimiento de pruebas.</w:t>
      </w:r>
    </w:p>
    <w:p w:rsidR="000F603A" w:rsidRPr="00C218FB" w:rsidRDefault="000F603A" w:rsidP="00C218FB">
      <w:pPr>
        <w:spacing w:after="0" w:line="240" w:lineRule="auto"/>
        <w:ind w:left="630" w:right="67"/>
        <w:jc w:val="both"/>
        <w:rPr>
          <w:rFonts w:ascii="Times New Roman" w:hAnsi="Times New Roman" w:cs="Times New Roman"/>
          <w:sz w:val="24"/>
          <w:szCs w:val="24"/>
        </w:rPr>
      </w:pPr>
    </w:p>
    <w:p w:rsidR="000F603A" w:rsidRPr="00C218FB" w:rsidRDefault="000F603A" w:rsidP="00C218FB">
      <w:pPr>
        <w:spacing w:after="0" w:line="240" w:lineRule="auto"/>
        <w:ind w:right="67"/>
        <w:jc w:val="both"/>
        <w:rPr>
          <w:rFonts w:ascii="Times New Roman" w:hAnsi="Times New Roman" w:cs="Times New Roman"/>
          <w:sz w:val="24"/>
          <w:szCs w:val="24"/>
        </w:rPr>
      </w:pPr>
      <w:r w:rsidRPr="00C218FB">
        <w:rPr>
          <w:rFonts w:ascii="Times New Roman" w:hAnsi="Times New Roman" w:cs="Times New Roman"/>
          <w:b/>
          <w:bCs/>
          <w:sz w:val="24"/>
          <w:szCs w:val="24"/>
        </w:rPr>
        <w:t>6.- LAS DOCUMENTALES PUBLICAS CONSISTENTE</w:t>
      </w:r>
      <w:r w:rsidRPr="00C218FB">
        <w:rPr>
          <w:rFonts w:ascii="Times New Roman" w:hAnsi="Times New Roman" w:cs="Times New Roman"/>
          <w:sz w:val="24"/>
          <w:szCs w:val="24"/>
        </w:rPr>
        <w:t xml:space="preserve"> en oficio número </w:t>
      </w:r>
      <w:r w:rsidRPr="00C218FB">
        <w:rPr>
          <w:rFonts w:ascii="Times New Roman" w:hAnsi="Times New Roman" w:cs="Times New Roman"/>
          <w:b/>
          <w:bCs/>
          <w:sz w:val="24"/>
          <w:szCs w:val="24"/>
        </w:rPr>
        <w:t>DSPYT/ECA/4613/2023</w:t>
      </w:r>
      <w:r w:rsidRPr="00C218FB">
        <w:rPr>
          <w:rFonts w:ascii="Times New Roman" w:hAnsi="Times New Roman" w:cs="Times New Roman"/>
          <w:sz w:val="24"/>
          <w:szCs w:val="24"/>
        </w:rPr>
        <w:t xml:space="preserve">, de fecha </w:t>
      </w:r>
      <w:r w:rsidRPr="00C218FB">
        <w:rPr>
          <w:rFonts w:ascii="Times New Roman" w:hAnsi="Times New Roman" w:cs="Times New Roman"/>
          <w:b/>
          <w:bCs/>
          <w:sz w:val="24"/>
          <w:szCs w:val="24"/>
        </w:rPr>
        <w:t>15 de agosto de 2023</w:t>
      </w:r>
      <w:r w:rsidRPr="00C218FB">
        <w:rPr>
          <w:rFonts w:ascii="Times New Roman" w:hAnsi="Times New Roman" w:cs="Times New Roman"/>
          <w:sz w:val="24"/>
          <w:szCs w:val="24"/>
        </w:rPr>
        <w:t xml:space="preserve"> y anexos, suscrito por </w:t>
      </w:r>
      <w:r w:rsidRPr="00C218FB">
        <w:rPr>
          <w:rFonts w:ascii="Times New Roman" w:hAnsi="Times New Roman" w:cs="Times New Roman"/>
          <w:b/>
          <w:bCs/>
          <w:sz w:val="24"/>
          <w:szCs w:val="24"/>
        </w:rPr>
        <w:t>Licenciado Cesar de Jesús García Pacheco</w:t>
      </w:r>
      <w:r w:rsidRPr="00C218FB">
        <w:rPr>
          <w:rFonts w:ascii="Times New Roman" w:hAnsi="Times New Roman" w:cs="Times New Roman"/>
          <w:sz w:val="24"/>
          <w:szCs w:val="24"/>
        </w:rPr>
        <w:t xml:space="preserve">, Director de Seguridad Pública y Tránsito Municipal, mediante el cual remite copias certificadas de las </w:t>
      </w:r>
      <w:r w:rsidRPr="00C218FB">
        <w:rPr>
          <w:rFonts w:ascii="Times New Roman" w:hAnsi="Times New Roman" w:cs="Times New Roman"/>
          <w:b/>
          <w:bCs/>
          <w:sz w:val="24"/>
          <w:szCs w:val="24"/>
        </w:rPr>
        <w:t>Acciones y Actos de Gobierno</w:t>
      </w:r>
      <w:r w:rsidRPr="00C218FB">
        <w:rPr>
          <w:rFonts w:ascii="Times New Roman" w:hAnsi="Times New Roman" w:cs="Times New Roman"/>
          <w:sz w:val="24"/>
          <w:szCs w:val="24"/>
        </w:rPr>
        <w:t xml:space="preserve"> que la dirección a su cargo ha ejercido sobre el territorio materia del presente procedimiento.</w:t>
      </w:r>
    </w:p>
    <w:p w:rsidR="000F603A" w:rsidRPr="00C218FB" w:rsidRDefault="000F603A" w:rsidP="00C218FB">
      <w:pPr>
        <w:spacing w:after="0" w:line="240" w:lineRule="auto"/>
        <w:ind w:left="630" w:right="67"/>
        <w:jc w:val="both"/>
        <w:rPr>
          <w:rFonts w:ascii="Times New Roman" w:hAnsi="Times New Roman" w:cs="Times New Roman"/>
          <w:b/>
          <w:bCs/>
          <w:sz w:val="24"/>
          <w:szCs w:val="24"/>
        </w:rPr>
      </w:pPr>
    </w:p>
    <w:p w:rsidR="000F603A" w:rsidRPr="00C218FB" w:rsidRDefault="000F603A" w:rsidP="00C218FB">
      <w:pPr>
        <w:spacing w:after="0" w:line="240" w:lineRule="auto"/>
        <w:ind w:left="630" w:right="67"/>
        <w:jc w:val="both"/>
        <w:rPr>
          <w:rFonts w:ascii="Times New Roman" w:hAnsi="Times New Roman" w:cs="Times New Roman"/>
          <w:sz w:val="24"/>
          <w:szCs w:val="24"/>
        </w:rPr>
      </w:pPr>
      <w:r w:rsidRPr="00C218FB">
        <w:rPr>
          <w:rFonts w:ascii="Times New Roman" w:hAnsi="Times New Roman" w:cs="Times New Roman"/>
          <w:b/>
          <w:bCs/>
          <w:sz w:val="24"/>
          <w:szCs w:val="24"/>
        </w:rPr>
        <w:t xml:space="preserve">Antecedentes o hechos con los que se correlaciona la prueba: </w:t>
      </w:r>
      <w:r w:rsidRPr="00C218FB">
        <w:rPr>
          <w:rFonts w:ascii="Times New Roman" w:hAnsi="Times New Roman" w:cs="Times New Roman"/>
          <w:sz w:val="24"/>
          <w:szCs w:val="24"/>
        </w:rPr>
        <w:t>Con las documentales en comento se pretende acreditar la posesión efectiva y los actos y acciones de gobierno que el municipio de Ecatepec ha venido ejerciendo sobre dicho espacio territorial, mismo que relaciono con todos y cada uno de los argumentos, excepciones y defensas que hago valer en mi escrito de contestación a la solicitud presentada por la diputada Beatriz García Villegas, promovente del procedimiento que nos ocupa.</w:t>
      </w:r>
    </w:p>
    <w:p w:rsidR="000F603A" w:rsidRPr="00C218FB" w:rsidRDefault="000F603A" w:rsidP="00C218FB">
      <w:pPr>
        <w:spacing w:after="0" w:line="240" w:lineRule="auto"/>
        <w:ind w:left="630" w:right="67"/>
        <w:jc w:val="both"/>
        <w:rPr>
          <w:rFonts w:ascii="Times New Roman" w:hAnsi="Times New Roman" w:cs="Times New Roman"/>
          <w:b/>
          <w:bCs/>
          <w:sz w:val="24"/>
          <w:szCs w:val="24"/>
        </w:rPr>
      </w:pPr>
    </w:p>
    <w:p w:rsidR="000F603A" w:rsidRPr="00C218FB" w:rsidRDefault="000F603A" w:rsidP="00C218FB">
      <w:pPr>
        <w:spacing w:after="0" w:line="240" w:lineRule="auto"/>
        <w:ind w:left="630" w:right="67"/>
        <w:jc w:val="both"/>
        <w:rPr>
          <w:rFonts w:ascii="Times New Roman" w:hAnsi="Times New Roman" w:cs="Times New Roman"/>
          <w:sz w:val="24"/>
          <w:szCs w:val="24"/>
        </w:rPr>
      </w:pPr>
      <w:r w:rsidRPr="00C218FB">
        <w:rPr>
          <w:rFonts w:ascii="Times New Roman" w:hAnsi="Times New Roman" w:cs="Times New Roman"/>
          <w:b/>
          <w:bCs/>
          <w:sz w:val="24"/>
          <w:szCs w:val="24"/>
        </w:rPr>
        <w:t xml:space="preserve">Protesta de decir verdad que no se tenía conocimiento de la prueba: </w:t>
      </w:r>
      <w:r w:rsidRPr="00C218FB">
        <w:rPr>
          <w:rFonts w:ascii="Times New Roman" w:hAnsi="Times New Roman" w:cs="Times New Roman"/>
          <w:sz w:val="24"/>
          <w:szCs w:val="24"/>
        </w:rPr>
        <w:t>Bajo protesta de decir verdad manifiesto que no se tenía previo conocimiento de la existencia de dichas probanzas, pues ellas surgen con posterioridad al periodo de ofrecimiento de pruebas del presente procedimiento, derivado de las necesidades y servicios que tienen los vecinos de las colonias de la zona limítrofe con el Municipio de Ecatepec de Morelos, es decir se trata de servicios públicos que no pueden dejar de ofrecerse, cuyo servicio es continuo y constante y por lógica estábamos materialmente imposibilitados para ofrecerlas dentro del periodo ordinario de ofrecimiento de pruebas previsto en la Ley de la materia.</w:t>
      </w:r>
    </w:p>
    <w:p w:rsidR="000F603A" w:rsidRPr="00C218FB" w:rsidRDefault="000F603A" w:rsidP="00C218FB">
      <w:pPr>
        <w:spacing w:after="0" w:line="240" w:lineRule="auto"/>
        <w:ind w:left="630" w:right="67"/>
        <w:jc w:val="both"/>
        <w:rPr>
          <w:rFonts w:ascii="Times New Roman" w:hAnsi="Times New Roman" w:cs="Times New Roman"/>
          <w:sz w:val="24"/>
          <w:szCs w:val="24"/>
        </w:rPr>
      </w:pPr>
    </w:p>
    <w:p w:rsidR="000F603A" w:rsidRPr="00C218FB" w:rsidRDefault="000F603A" w:rsidP="00C218FB">
      <w:pPr>
        <w:spacing w:after="0" w:line="240" w:lineRule="auto"/>
        <w:ind w:right="67"/>
        <w:jc w:val="both"/>
        <w:rPr>
          <w:rFonts w:ascii="Times New Roman" w:hAnsi="Times New Roman" w:cs="Times New Roman"/>
          <w:sz w:val="24"/>
          <w:szCs w:val="24"/>
        </w:rPr>
      </w:pPr>
      <w:r w:rsidRPr="00C218FB">
        <w:rPr>
          <w:rFonts w:ascii="Times New Roman" w:hAnsi="Times New Roman" w:cs="Times New Roman"/>
          <w:b/>
          <w:bCs/>
          <w:sz w:val="24"/>
          <w:szCs w:val="24"/>
        </w:rPr>
        <w:t>7.- LAS DOCUMENTALES PUBLICAS CONSISTENTE</w:t>
      </w:r>
      <w:r w:rsidRPr="00C218FB">
        <w:rPr>
          <w:rFonts w:ascii="Times New Roman" w:hAnsi="Times New Roman" w:cs="Times New Roman"/>
          <w:sz w:val="24"/>
          <w:szCs w:val="24"/>
        </w:rPr>
        <w:t xml:space="preserve"> en oficio número </w:t>
      </w:r>
      <w:r w:rsidRPr="00C218FB">
        <w:rPr>
          <w:rFonts w:ascii="Times New Roman" w:hAnsi="Times New Roman" w:cs="Times New Roman"/>
          <w:b/>
          <w:bCs/>
          <w:sz w:val="24"/>
          <w:szCs w:val="24"/>
        </w:rPr>
        <w:t>DDUYP/SOP/ECA/6173/2023</w:t>
      </w:r>
      <w:r w:rsidRPr="00C218FB">
        <w:rPr>
          <w:rFonts w:ascii="Times New Roman" w:hAnsi="Times New Roman" w:cs="Times New Roman"/>
          <w:sz w:val="24"/>
          <w:szCs w:val="24"/>
        </w:rPr>
        <w:t xml:space="preserve"> de fecha </w:t>
      </w:r>
      <w:r w:rsidRPr="00C218FB">
        <w:rPr>
          <w:rFonts w:ascii="Times New Roman" w:hAnsi="Times New Roman" w:cs="Times New Roman"/>
          <w:b/>
          <w:bCs/>
          <w:sz w:val="24"/>
          <w:szCs w:val="24"/>
        </w:rPr>
        <w:t>18 de agosto de 2023</w:t>
      </w:r>
      <w:r w:rsidRPr="00C218FB">
        <w:rPr>
          <w:rFonts w:ascii="Times New Roman" w:hAnsi="Times New Roman" w:cs="Times New Roman"/>
          <w:sz w:val="24"/>
          <w:szCs w:val="24"/>
        </w:rPr>
        <w:t xml:space="preserve"> y anexos, suscrito por el </w:t>
      </w:r>
      <w:r w:rsidRPr="00C218FB">
        <w:rPr>
          <w:rFonts w:ascii="Times New Roman" w:hAnsi="Times New Roman" w:cs="Times New Roman"/>
          <w:b/>
          <w:bCs/>
          <w:sz w:val="24"/>
          <w:szCs w:val="24"/>
        </w:rPr>
        <w:t>Ingeniero Rodolfo Jonathan Arellano Banda Treviño</w:t>
      </w:r>
      <w:r w:rsidRPr="00C218FB">
        <w:rPr>
          <w:rFonts w:ascii="Times New Roman" w:hAnsi="Times New Roman" w:cs="Times New Roman"/>
          <w:sz w:val="24"/>
          <w:szCs w:val="24"/>
        </w:rPr>
        <w:t>, Director de Desarrollo Urbano y Obras Públicas del Municipio de Ecatepec, mediante el cual informa de las acciones y actos de gobierno que la dirección a su cargo ha llevado a cabo en las colonias identificadas como zona limítrofe entre los municipios aquí demandados.</w:t>
      </w:r>
    </w:p>
    <w:p w:rsidR="000F603A" w:rsidRPr="00C218FB" w:rsidRDefault="000F603A" w:rsidP="00C218FB">
      <w:pPr>
        <w:spacing w:after="0" w:line="240" w:lineRule="auto"/>
        <w:ind w:left="630" w:right="67"/>
        <w:jc w:val="both"/>
        <w:rPr>
          <w:rFonts w:ascii="Times New Roman" w:hAnsi="Times New Roman" w:cs="Times New Roman"/>
          <w:b/>
          <w:bCs/>
          <w:sz w:val="24"/>
          <w:szCs w:val="24"/>
        </w:rPr>
      </w:pPr>
    </w:p>
    <w:p w:rsidR="000F603A" w:rsidRPr="00C218FB" w:rsidRDefault="000F603A" w:rsidP="00C218FB">
      <w:pPr>
        <w:spacing w:after="0" w:line="240" w:lineRule="auto"/>
        <w:ind w:left="630" w:right="67"/>
        <w:jc w:val="both"/>
        <w:rPr>
          <w:rFonts w:ascii="Times New Roman" w:hAnsi="Times New Roman" w:cs="Times New Roman"/>
          <w:sz w:val="24"/>
          <w:szCs w:val="24"/>
        </w:rPr>
      </w:pPr>
      <w:r w:rsidRPr="00C218FB">
        <w:rPr>
          <w:rFonts w:ascii="Times New Roman" w:hAnsi="Times New Roman" w:cs="Times New Roman"/>
          <w:b/>
          <w:bCs/>
          <w:sz w:val="24"/>
          <w:szCs w:val="24"/>
        </w:rPr>
        <w:t xml:space="preserve">Antecedentes o hechos con los que se correlaciona la prueba: </w:t>
      </w:r>
      <w:r w:rsidRPr="00C218FB">
        <w:rPr>
          <w:rFonts w:ascii="Times New Roman" w:hAnsi="Times New Roman" w:cs="Times New Roman"/>
          <w:sz w:val="24"/>
          <w:szCs w:val="24"/>
        </w:rPr>
        <w:t>Con las documentales en comento se pretende acreditar la posesión efectiva y los actos y acciones de gobierno que el municipio de Ecatepec ha venido ejerciendo sobre dicho espacio territorial, mismo que relaciono con todos y cada uno de los argumentos, excepciones y defensas que hago valer en mi escrito de contestación a la solicitud presentada por la diputada Beatriz García Villegas, promovente del procedimiento que nos ocupa.</w:t>
      </w:r>
    </w:p>
    <w:p w:rsidR="000F603A" w:rsidRPr="00C218FB" w:rsidRDefault="000F603A" w:rsidP="00C218FB">
      <w:pPr>
        <w:spacing w:after="0" w:line="240" w:lineRule="auto"/>
        <w:ind w:left="630" w:right="67"/>
        <w:jc w:val="both"/>
        <w:rPr>
          <w:rFonts w:ascii="Times New Roman" w:hAnsi="Times New Roman" w:cs="Times New Roman"/>
          <w:b/>
          <w:bCs/>
          <w:sz w:val="24"/>
          <w:szCs w:val="24"/>
        </w:rPr>
      </w:pPr>
    </w:p>
    <w:p w:rsidR="000F603A" w:rsidRPr="00C218FB" w:rsidRDefault="000F603A" w:rsidP="00C218FB">
      <w:pPr>
        <w:spacing w:after="0" w:line="240" w:lineRule="auto"/>
        <w:ind w:left="630" w:right="67"/>
        <w:jc w:val="both"/>
        <w:rPr>
          <w:rFonts w:ascii="Times New Roman" w:hAnsi="Times New Roman" w:cs="Times New Roman"/>
          <w:sz w:val="24"/>
          <w:szCs w:val="24"/>
        </w:rPr>
      </w:pPr>
      <w:r w:rsidRPr="00C218FB">
        <w:rPr>
          <w:rFonts w:ascii="Times New Roman" w:hAnsi="Times New Roman" w:cs="Times New Roman"/>
          <w:b/>
          <w:bCs/>
          <w:sz w:val="24"/>
          <w:szCs w:val="24"/>
        </w:rPr>
        <w:lastRenderedPageBreak/>
        <w:t xml:space="preserve">Protesta de decir verdad que no se tenía conocimiento de la prueba: </w:t>
      </w:r>
      <w:r w:rsidRPr="00C218FB">
        <w:rPr>
          <w:rFonts w:ascii="Times New Roman" w:hAnsi="Times New Roman" w:cs="Times New Roman"/>
          <w:sz w:val="24"/>
          <w:szCs w:val="24"/>
        </w:rPr>
        <w:t>Bajo protesta de decir verdad manifiesto que no se tenía previo conocimiento de la existencia de dichas probanzas, pues ellas surgen con posterioridad al periodo de ofrecimiento de pruebas del presente procedimiento, derivado de las necesidades y servicios que tienen los vecinos de las colonias de la zona limítrofe con el Municipio de Ecatepec de Morelos, es decir se trata de servicios públicos que no pueden dejar de ofrecerse, cuyo servicio es continuo y constante y por lógica estábamos materialmente imposibilitados para ofrecerlas dentro del periodo ordinario de ofrecimiento de pruebas previsto en la Ley de la materia.</w:t>
      </w:r>
    </w:p>
    <w:p w:rsidR="000F603A" w:rsidRPr="00C218FB" w:rsidRDefault="000F603A" w:rsidP="00C218FB">
      <w:pPr>
        <w:spacing w:after="0" w:line="240" w:lineRule="auto"/>
        <w:ind w:left="630" w:right="67"/>
        <w:jc w:val="both"/>
        <w:rPr>
          <w:rFonts w:ascii="Times New Roman" w:hAnsi="Times New Roman" w:cs="Times New Roman"/>
          <w:sz w:val="24"/>
          <w:szCs w:val="24"/>
        </w:rPr>
      </w:pPr>
    </w:p>
    <w:p w:rsidR="000F603A" w:rsidRPr="00C218FB" w:rsidRDefault="000F603A" w:rsidP="00C218FB">
      <w:pPr>
        <w:spacing w:after="0" w:line="240" w:lineRule="auto"/>
        <w:ind w:right="67"/>
        <w:jc w:val="both"/>
        <w:rPr>
          <w:rFonts w:ascii="Times New Roman" w:hAnsi="Times New Roman" w:cs="Times New Roman"/>
          <w:sz w:val="24"/>
          <w:szCs w:val="24"/>
        </w:rPr>
      </w:pPr>
      <w:r w:rsidRPr="00C218FB">
        <w:rPr>
          <w:rFonts w:ascii="Times New Roman" w:hAnsi="Times New Roman" w:cs="Times New Roman"/>
          <w:b/>
          <w:bCs/>
          <w:sz w:val="24"/>
          <w:szCs w:val="24"/>
        </w:rPr>
        <w:t>8.- LAS DOCUMENTALES PUBLICAS CONSISTENTE</w:t>
      </w:r>
      <w:r w:rsidRPr="00C218FB">
        <w:rPr>
          <w:rFonts w:ascii="Times New Roman" w:hAnsi="Times New Roman" w:cs="Times New Roman"/>
          <w:sz w:val="24"/>
          <w:szCs w:val="24"/>
        </w:rPr>
        <w:t xml:space="preserve"> en oficio número </w:t>
      </w:r>
      <w:r w:rsidRPr="00C218FB">
        <w:rPr>
          <w:rFonts w:ascii="Times New Roman" w:hAnsi="Times New Roman" w:cs="Times New Roman"/>
          <w:b/>
          <w:bCs/>
          <w:sz w:val="24"/>
          <w:szCs w:val="24"/>
        </w:rPr>
        <w:t>SHA/SMI/4086/2023</w:t>
      </w:r>
      <w:r w:rsidRPr="00C218FB">
        <w:rPr>
          <w:rFonts w:ascii="Times New Roman" w:hAnsi="Times New Roman" w:cs="Times New Roman"/>
          <w:sz w:val="24"/>
          <w:szCs w:val="24"/>
        </w:rPr>
        <w:t xml:space="preserve"> de fecha </w:t>
      </w:r>
      <w:r w:rsidRPr="00C218FB">
        <w:rPr>
          <w:rFonts w:ascii="Times New Roman" w:hAnsi="Times New Roman" w:cs="Times New Roman"/>
          <w:b/>
          <w:bCs/>
          <w:sz w:val="24"/>
          <w:szCs w:val="24"/>
        </w:rPr>
        <w:t>17 de agosto de 2023</w:t>
      </w:r>
      <w:r w:rsidRPr="00C218FB">
        <w:rPr>
          <w:rFonts w:ascii="Times New Roman" w:hAnsi="Times New Roman" w:cs="Times New Roman"/>
          <w:sz w:val="24"/>
          <w:szCs w:val="24"/>
        </w:rPr>
        <w:t xml:space="preserve"> y anexos, suscrito por la </w:t>
      </w:r>
      <w:r w:rsidRPr="00C218FB">
        <w:rPr>
          <w:rFonts w:ascii="Times New Roman" w:hAnsi="Times New Roman" w:cs="Times New Roman"/>
          <w:b/>
          <w:bCs/>
          <w:sz w:val="24"/>
          <w:szCs w:val="24"/>
        </w:rPr>
        <w:t>Licenciada Rocío Rivera Alcántara</w:t>
      </w:r>
      <w:r w:rsidRPr="00C218FB">
        <w:rPr>
          <w:rFonts w:ascii="Times New Roman" w:hAnsi="Times New Roman" w:cs="Times New Roman"/>
          <w:sz w:val="24"/>
          <w:szCs w:val="24"/>
        </w:rPr>
        <w:t xml:space="preserve">, Secretaria del H. Ayuntamiento de Ecatepec, mediante el cual remite listado para la obtención de matrículas de cartillas del Servicio Militar Nacional, así como </w:t>
      </w:r>
      <w:r w:rsidRPr="00C218FB">
        <w:rPr>
          <w:rFonts w:ascii="Times New Roman" w:hAnsi="Times New Roman" w:cs="Times New Roman"/>
          <w:b/>
          <w:bCs/>
          <w:sz w:val="24"/>
          <w:szCs w:val="24"/>
        </w:rPr>
        <w:t>veinticinco copias certificadas</w:t>
      </w:r>
      <w:r w:rsidRPr="00C218FB">
        <w:rPr>
          <w:rFonts w:ascii="Times New Roman" w:hAnsi="Times New Roman" w:cs="Times New Roman"/>
          <w:sz w:val="24"/>
          <w:szCs w:val="24"/>
        </w:rPr>
        <w:t xml:space="preserve"> de dichas cartillas, mismas que se anexan al presente escrito.</w:t>
      </w:r>
    </w:p>
    <w:p w:rsidR="000F603A" w:rsidRPr="00C218FB" w:rsidRDefault="000F603A" w:rsidP="00C218FB">
      <w:pPr>
        <w:spacing w:after="0" w:line="240" w:lineRule="auto"/>
        <w:ind w:left="630" w:right="67"/>
        <w:jc w:val="both"/>
        <w:rPr>
          <w:rFonts w:ascii="Times New Roman" w:hAnsi="Times New Roman" w:cs="Times New Roman"/>
          <w:b/>
          <w:bCs/>
          <w:sz w:val="24"/>
          <w:szCs w:val="24"/>
        </w:rPr>
      </w:pPr>
    </w:p>
    <w:p w:rsidR="000F603A" w:rsidRPr="00C218FB" w:rsidRDefault="000F603A" w:rsidP="00C218FB">
      <w:pPr>
        <w:spacing w:after="0" w:line="240" w:lineRule="auto"/>
        <w:ind w:left="630" w:right="67"/>
        <w:jc w:val="both"/>
        <w:rPr>
          <w:rFonts w:ascii="Times New Roman" w:hAnsi="Times New Roman" w:cs="Times New Roman"/>
          <w:sz w:val="24"/>
          <w:szCs w:val="24"/>
        </w:rPr>
      </w:pPr>
      <w:r w:rsidRPr="00C218FB">
        <w:rPr>
          <w:rFonts w:ascii="Times New Roman" w:hAnsi="Times New Roman" w:cs="Times New Roman"/>
          <w:b/>
          <w:bCs/>
          <w:sz w:val="24"/>
          <w:szCs w:val="24"/>
        </w:rPr>
        <w:t xml:space="preserve">Antecedentes o hechos con los que se correlaciona la prueba: </w:t>
      </w:r>
      <w:r w:rsidRPr="00C218FB">
        <w:rPr>
          <w:rFonts w:ascii="Times New Roman" w:hAnsi="Times New Roman" w:cs="Times New Roman"/>
          <w:sz w:val="24"/>
          <w:szCs w:val="24"/>
        </w:rPr>
        <w:t>Con las documentales en comento se pretende acreditar la posesión efectiva y los actos y acciones de gobierno que el municipio de Ecatepec ha venido ejerciendo sobre dicho espacio territorial, mismo que relaciono con todos y cada uno de los argumentos, excepciones y defensas que hago valer en mi escrito de contestación a la solicitud presentada por la diputada Beatriz García Villegas, promovente del procedimiento que nos ocupa.</w:t>
      </w:r>
    </w:p>
    <w:p w:rsidR="000F603A" w:rsidRPr="00C218FB" w:rsidRDefault="000F603A" w:rsidP="00C218FB">
      <w:pPr>
        <w:spacing w:after="0" w:line="240" w:lineRule="auto"/>
        <w:ind w:left="630" w:right="67"/>
        <w:jc w:val="both"/>
        <w:rPr>
          <w:rFonts w:ascii="Times New Roman" w:hAnsi="Times New Roman" w:cs="Times New Roman"/>
          <w:b/>
          <w:bCs/>
          <w:sz w:val="24"/>
          <w:szCs w:val="24"/>
        </w:rPr>
      </w:pPr>
    </w:p>
    <w:p w:rsidR="000F603A" w:rsidRPr="00C218FB" w:rsidRDefault="000F603A" w:rsidP="00C218FB">
      <w:pPr>
        <w:spacing w:after="0" w:line="240" w:lineRule="auto"/>
        <w:ind w:left="630" w:right="67"/>
        <w:jc w:val="both"/>
        <w:rPr>
          <w:rFonts w:ascii="Times New Roman" w:hAnsi="Times New Roman" w:cs="Times New Roman"/>
          <w:sz w:val="24"/>
          <w:szCs w:val="24"/>
        </w:rPr>
      </w:pPr>
      <w:r w:rsidRPr="00C218FB">
        <w:rPr>
          <w:rFonts w:ascii="Times New Roman" w:hAnsi="Times New Roman" w:cs="Times New Roman"/>
          <w:b/>
          <w:bCs/>
          <w:sz w:val="24"/>
          <w:szCs w:val="24"/>
        </w:rPr>
        <w:t xml:space="preserve">Protesta de decir verdad que no se tenía conocimiento de la prueba: </w:t>
      </w:r>
      <w:r w:rsidRPr="00C218FB">
        <w:rPr>
          <w:rFonts w:ascii="Times New Roman" w:hAnsi="Times New Roman" w:cs="Times New Roman"/>
          <w:sz w:val="24"/>
          <w:szCs w:val="24"/>
        </w:rPr>
        <w:t>Bajo protesta de decir verdad manifiesto que no se tenía previo conocimiento de la existencia de dichas probanzas, pues ellas surgen con posterioridad al periodo de ofrecimiento de pruebas del presente procedimiento, derivado de las necesidades y servicios que tienen los vecinos de las colonias de la zona limítrofe con el Municipio de Ecatepec de Morelos, es decir se trata de servicios públicos que no pueden dejar de ofrecerse, cuyo servicio es continuo y constante y por lógica estábamos materialmente imposibilitados para ofrecerlas dentro del periodo ordinario de ofrecimiento de pruebas previsto en la Ley de la materia.</w:t>
      </w:r>
    </w:p>
    <w:p w:rsidR="000F603A" w:rsidRPr="00C218FB" w:rsidRDefault="000F603A" w:rsidP="00C218FB">
      <w:pPr>
        <w:spacing w:after="0" w:line="240" w:lineRule="auto"/>
        <w:ind w:left="630" w:right="67"/>
        <w:jc w:val="both"/>
        <w:rPr>
          <w:rFonts w:ascii="Times New Roman" w:hAnsi="Times New Roman" w:cs="Times New Roman"/>
          <w:sz w:val="24"/>
          <w:szCs w:val="24"/>
        </w:rPr>
      </w:pPr>
    </w:p>
    <w:p w:rsidR="000F603A" w:rsidRPr="00C218FB" w:rsidRDefault="000F603A" w:rsidP="00C218FB">
      <w:pPr>
        <w:spacing w:after="0" w:line="240" w:lineRule="auto"/>
        <w:ind w:right="67"/>
        <w:jc w:val="both"/>
        <w:rPr>
          <w:rFonts w:ascii="Times New Roman" w:hAnsi="Times New Roman" w:cs="Times New Roman"/>
          <w:sz w:val="24"/>
          <w:szCs w:val="24"/>
        </w:rPr>
      </w:pPr>
      <w:r w:rsidRPr="00C218FB">
        <w:rPr>
          <w:rFonts w:ascii="Times New Roman" w:hAnsi="Times New Roman" w:cs="Times New Roman"/>
          <w:b/>
          <w:bCs/>
          <w:sz w:val="24"/>
          <w:szCs w:val="24"/>
        </w:rPr>
        <w:t>9.- LAS DOCUMENTALES PUBLICAS CONSISTENTE</w:t>
      </w:r>
      <w:r w:rsidRPr="00C218FB">
        <w:rPr>
          <w:rFonts w:ascii="Times New Roman" w:hAnsi="Times New Roman" w:cs="Times New Roman"/>
          <w:sz w:val="24"/>
          <w:szCs w:val="24"/>
        </w:rPr>
        <w:t xml:space="preserve"> en oficio número </w:t>
      </w:r>
      <w:r w:rsidRPr="00C218FB">
        <w:rPr>
          <w:rFonts w:ascii="Times New Roman" w:hAnsi="Times New Roman" w:cs="Times New Roman"/>
          <w:b/>
          <w:bCs/>
          <w:sz w:val="24"/>
          <w:szCs w:val="24"/>
        </w:rPr>
        <w:t>DPCB/ECA/1925/2023</w:t>
      </w:r>
      <w:r w:rsidRPr="00C218FB">
        <w:rPr>
          <w:rFonts w:ascii="Times New Roman" w:hAnsi="Times New Roman" w:cs="Times New Roman"/>
          <w:sz w:val="24"/>
          <w:szCs w:val="24"/>
        </w:rPr>
        <w:t xml:space="preserve"> de fecha </w:t>
      </w:r>
      <w:r w:rsidRPr="00C218FB">
        <w:rPr>
          <w:rFonts w:ascii="Times New Roman" w:hAnsi="Times New Roman" w:cs="Times New Roman"/>
          <w:b/>
          <w:bCs/>
          <w:sz w:val="24"/>
          <w:szCs w:val="24"/>
        </w:rPr>
        <w:t>17 de agosto de 2023</w:t>
      </w:r>
      <w:r w:rsidRPr="00C218FB">
        <w:rPr>
          <w:rFonts w:ascii="Times New Roman" w:hAnsi="Times New Roman" w:cs="Times New Roman"/>
          <w:sz w:val="24"/>
          <w:szCs w:val="24"/>
        </w:rPr>
        <w:t xml:space="preserve"> y anexos, suscrito por el </w:t>
      </w:r>
      <w:r w:rsidRPr="00C218FB">
        <w:rPr>
          <w:rFonts w:ascii="Times New Roman" w:hAnsi="Times New Roman" w:cs="Times New Roman"/>
          <w:b/>
          <w:bCs/>
          <w:sz w:val="24"/>
          <w:szCs w:val="24"/>
        </w:rPr>
        <w:t>Comandante Jesús Miranda Cárdenas</w:t>
      </w:r>
      <w:r w:rsidRPr="00C218FB">
        <w:rPr>
          <w:rFonts w:ascii="Times New Roman" w:hAnsi="Times New Roman" w:cs="Times New Roman"/>
          <w:sz w:val="24"/>
          <w:szCs w:val="24"/>
        </w:rPr>
        <w:t xml:space="preserve">, Director de Protección Civil y Bomberos de Ecatepec, mediante el cual remite copias certificadas de las </w:t>
      </w:r>
      <w:r w:rsidRPr="00C218FB">
        <w:rPr>
          <w:rFonts w:ascii="Times New Roman" w:hAnsi="Times New Roman" w:cs="Times New Roman"/>
          <w:b/>
          <w:bCs/>
          <w:sz w:val="24"/>
          <w:szCs w:val="24"/>
        </w:rPr>
        <w:t>partes de servicio de bomberos, rescate urbano y prehospitalarios</w:t>
      </w:r>
      <w:r w:rsidRPr="00C218FB">
        <w:rPr>
          <w:rFonts w:ascii="Times New Roman" w:hAnsi="Times New Roman" w:cs="Times New Roman"/>
          <w:sz w:val="24"/>
          <w:szCs w:val="24"/>
        </w:rPr>
        <w:t xml:space="preserve"> que la dirección a su cargo ha llevado a cabo en las colonias identificadas como zona limítrofe entre los municipios aquí demandados.</w:t>
      </w:r>
    </w:p>
    <w:p w:rsidR="000F603A" w:rsidRPr="00C218FB" w:rsidRDefault="000F603A" w:rsidP="00C218FB">
      <w:pPr>
        <w:spacing w:after="0" w:line="240" w:lineRule="auto"/>
        <w:ind w:left="630" w:right="67"/>
        <w:jc w:val="both"/>
        <w:rPr>
          <w:rFonts w:ascii="Times New Roman" w:hAnsi="Times New Roman" w:cs="Times New Roman"/>
          <w:sz w:val="24"/>
          <w:szCs w:val="24"/>
        </w:rPr>
      </w:pPr>
    </w:p>
    <w:p w:rsidR="000F603A" w:rsidRPr="00C218FB" w:rsidRDefault="000F603A" w:rsidP="00C218FB">
      <w:pPr>
        <w:spacing w:after="0" w:line="240" w:lineRule="auto"/>
        <w:ind w:left="630" w:right="67"/>
        <w:jc w:val="both"/>
        <w:rPr>
          <w:rFonts w:ascii="Times New Roman" w:hAnsi="Times New Roman" w:cs="Times New Roman"/>
          <w:sz w:val="24"/>
          <w:szCs w:val="24"/>
        </w:rPr>
      </w:pPr>
      <w:r w:rsidRPr="00C218FB">
        <w:rPr>
          <w:rFonts w:ascii="Times New Roman" w:hAnsi="Times New Roman" w:cs="Times New Roman"/>
          <w:b/>
          <w:bCs/>
          <w:sz w:val="24"/>
          <w:szCs w:val="24"/>
        </w:rPr>
        <w:t xml:space="preserve">Antecedentes o hechos con los que se correlaciona la prueba: </w:t>
      </w:r>
      <w:r w:rsidRPr="00C218FB">
        <w:rPr>
          <w:rFonts w:ascii="Times New Roman" w:hAnsi="Times New Roman" w:cs="Times New Roman"/>
          <w:sz w:val="24"/>
          <w:szCs w:val="24"/>
        </w:rPr>
        <w:t>Con las documentales en comento se pretende acreditar la posesión efectiva y los actos y acciones de gobierno que el municipio de Ecatepec ha venido ejerciendo sobre dicho espacio territorial, mismo que relaciono con todos y cada uno de los argumentos, excepciones y defensas que hago valer en mi escrito de contestación a la solicitud presentada por la diputada Beatriz García Villegas, promovente del procedimiento que nos ocupa.</w:t>
      </w:r>
    </w:p>
    <w:p w:rsidR="000F603A" w:rsidRPr="00C218FB" w:rsidRDefault="000F603A" w:rsidP="00C218FB">
      <w:pPr>
        <w:spacing w:after="0" w:line="240" w:lineRule="auto"/>
        <w:ind w:left="630" w:right="67"/>
        <w:jc w:val="both"/>
        <w:rPr>
          <w:rFonts w:ascii="Times New Roman" w:hAnsi="Times New Roman" w:cs="Times New Roman"/>
          <w:b/>
          <w:bCs/>
          <w:sz w:val="24"/>
          <w:szCs w:val="24"/>
        </w:rPr>
      </w:pPr>
    </w:p>
    <w:p w:rsidR="000F603A" w:rsidRPr="00C218FB" w:rsidRDefault="000F603A" w:rsidP="00C218FB">
      <w:pPr>
        <w:spacing w:after="0" w:line="240" w:lineRule="auto"/>
        <w:ind w:left="630" w:right="67"/>
        <w:jc w:val="both"/>
        <w:rPr>
          <w:rFonts w:ascii="Times New Roman" w:hAnsi="Times New Roman" w:cs="Times New Roman"/>
          <w:sz w:val="24"/>
          <w:szCs w:val="24"/>
        </w:rPr>
      </w:pPr>
      <w:r w:rsidRPr="00C218FB">
        <w:rPr>
          <w:rFonts w:ascii="Times New Roman" w:hAnsi="Times New Roman" w:cs="Times New Roman"/>
          <w:b/>
          <w:bCs/>
          <w:sz w:val="24"/>
          <w:szCs w:val="24"/>
        </w:rPr>
        <w:t xml:space="preserve">Protesta de decir verdad que no se tenía conocimiento de la prueba: </w:t>
      </w:r>
      <w:r w:rsidRPr="00C218FB">
        <w:rPr>
          <w:rFonts w:ascii="Times New Roman" w:hAnsi="Times New Roman" w:cs="Times New Roman"/>
          <w:sz w:val="24"/>
          <w:szCs w:val="24"/>
        </w:rPr>
        <w:t xml:space="preserve">Bajo protesta de decir verdad manifiesto que no se tenía previo conocimiento de la existencia de dichas probanzas, pues ellas surgen con posterioridad al periodo de ofrecimiento de pruebas del presente procedimiento, derivado de las necesidades y servicios que tienen los vecinos de </w:t>
      </w:r>
      <w:r w:rsidRPr="00C218FB">
        <w:rPr>
          <w:rFonts w:ascii="Times New Roman" w:hAnsi="Times New Roman" w:cs="Times New Roman"/>
          <w:sz w:val="24"/>
          <w:szCs w:val="24"/>
        </w:rPr>
        <w:lastRenderedPageBreak/>
        <w:t>las colonias de la zona limítrofe con el Municipio de Ecatepec de Morelos, es decir se trata de servicios públicos que no pueden dejar de ofrecerse, cuyo servicio es continuo y constante y por lógica estábamos materialmente imposibilitados para ofrecerlas dentro del periodo ordinario de ofrecimiento de pruebas previsto en la Ley de la materia.</w:t>
      </w:r>
    </w:p>
    <w:p w:rsidR="000F603A" w:rsidRPr="00C218FB" w:rsidRDefault="000F603A" w:rsidP="00C218FB">
      <w:pPr>
        <w:spacing w:after="0" w:line="240" w:lineRule="auto"/>
        <w:ind w:left="630" w:right="67"/>
        <w:jc w:val="both"/>
        <w:rPr>
          <w:rFonts w:ascii="Times New Roman" w:hAnsi="Times New Roman" w:cs="Times New Roman"/>
          <w:sz w:val="24"/>
          <w:szCs w:val="24"/>
        </w:rPr>
      </w:pPr>
    </w:p>
    <w:p w:rsidR="000F603A" w:rsidRPr="00C218FB" w:rsidRDefault="000F603A" w:rsidP="00C218FB">
      <w:pPr>
        <w:spacing w:after="0" w:line="240" w:lineRule="auto"/>
        <w:ind w:right="67"/>
        <w:jc w:val="both"/>
        <w:rPr>
          <w:rFonts w:ascii="Times New Roman" w:hAnsi="Times New Roman" w:cs="Times New Roman"/>
          <w:sz w:val="24"/>
          <w:szCs w:val="24"/>
        </w:rPr>
      </w:pPr>
      <w:r w:rsidRPr="00C218FB">
        <w:rPr>
          <w:rFonts w:ascii="Times New Roman" w:hAnsi="Times New Roman" w:cs="Times New Roman"/>
          <w:b/>
          <w:bCs/>
          <w:sz w:val="24"/>
          <w:szCs w:val="24"/>
        </w:rPr>
        <w:t>10.- LAS DOCUMENTALES PUBLICAS CONSISTENTE</w:t>
      </w:r>
      <w:r w:rsidRPr="00C218FB">
        <w:rPr>
          <w:rFonts w:ascii="Times New Roman" w:hAnsi="Times New Roman" w:cs="Times New Roman"/>
          <w:sz w:val="24"/>
          <w:szCs w:val="24"/>
        </w:rPr>
        <w:t xml:space="preserve"> en oficio número </w:t>
      </w:r>
      <w:r w:rsidRPr="00C218FB">
        <w:rPr>
          <w:rFonts w:ascii="Times New Roman" w:hAnsi="Times New Roman" w:cs="Times New Roman"/>
          <w:b/>
          <w:bCs/>
          <w:sz w:val="24"/>
          <w:szCs w:val="24"/>
        </w:rPr>
        <w:t>SAPASE/DG/0483/2023</w:t>
      </w:r>
      <w:r w:rsidRPr="00C218FB">
        <w:rPr>
          <w:rFonts w:ascii="Times New Roman" w:hAnsi="Times New Roman" w:cs="Times New Roman"/>
          <w:sz w:val="24"/>
          <w:szCs w:val="24"/>
        </w:rPr>
        <w:t xml:space="preserve"> de fecha </w:t>
      </w:r>
      <w:r w:rsidRPr="00C218FB">
        <w:rPr>
          <w:rFonts w:ascii="Times New Roman" w:hAnsi="Times New Roman" w:cs="Times New Roman"/>
          <w:b/>
          <w:bCs/>
          <w:sz w:val="24"/>
          <w:szCs w:val="24"/>
        </w:rPr>
        <w:t>15 de agosto de 2023</w:t>
      </w:r>
      <w:r w:rsidRPr="00C218FB">
        <w:rPr>
          <w:rFonts w:ascii="Times New Roman" w:hAnsi="Times New Roman" w:cs="Times New Roman"/>
          <w:sz w:val="24"/>
          <w:szCs w:val="24"/>
        </w:rPr>
        <w:t xml:space="preserve"> y anexos, suscrito por el </w:t>
      </w:r>
      <w:r w:rsidRPr="00C218FB">
        <w:rPr>
          <w:rFonts w:ascii="Times New Roman" w:hAnsi="Times New Roman" w:cs="Times New Roman"/>
          <w:b/>
          <w:bCs/>
          <w:sz w:val="24"/>
          <w:szCs w:val="24"/>
        </w:rPr>
        <w:t>C. Eli Benjamín Hernández Rodríguez</w:t>
      </w:r>
      <w:r w:rsidRPr="00C218FB">
        <w:rPr>
          <w:rFonts w:ascii="Times New Roman" w:hAnsi="Times New Roman" w:cs="Times New Roman"/>
          <w:sz w:val="24"/>
          <w:szCs w:val="24"/>
        </w:rPr>
        <w:t xml:space="preserve">, Director General del Organismo Público Descentralizado </w:t>
      </w:r>
      <w:r w:rsidRPr="00C218FB">
        <w:rPr>
          <w:rFonts w:ascii="Times New Roman" w:hAnsi="Times New Roman" w:cs="Times New Roman"/>
          <w:b/>
          <w:bCs/>
          <w:sz w:val="24"/>
          <w:szCs w:val="24"/>
        </w:rPr>
        <w:t>S.A.P.A.S.E.</w:t>
      </w:r>
      <w:r w:rsidRPr="00C218FB">
        <w:rPr>
          <w:rFonts w:ascii="Times New Roman" w:hAnsi="Times New Roman" w:cs="Times New Roman"/>
          <w:sz w:val="24"/>
          <w:szCs w:val="24"/>
        </w:rPr>
        <w:t>, mediante el cual informa de las acciones y actos de gobierno que el organismo que dirige ha realizado en las colonias identificadas como zona limítrofe entre los municipios demandados en el presente procedimiento, así mismo adjunto relación de trabajos de servicio de desazolve que se realizaron en las colonias ya referidas, lo cual se anexa al presente escrito.</w:t>
      </w:r>
    </w:p>
    <w:p w:rsidR="000F603A" w:rsidRPr="00C218FB" w:rsidRDefault="000F603A" w:rsidP="00C218FB">
      <w:pPr>
        <w:spacing w:after="0" w:line="240" w:lineRule="auto"/>
        <w:ind w:left="630" w:right="67"/>
        <w:jc w:val="both"/>
        <w:rPr>
          <w:rFonts w:ascii="Times New Roman" w:hAnsi="Times New Roman" w:cs="Times New Roman"/>
          <w:b/>
          <w:bCs/>
          <w:sz w:val="24"/>
          <w:szCs w:val="24"/>
        </w:rPr>
      </w:pPr>
    </w:p>
    <w:p w:rsidR="000F603A" w:rsidRPr="00C218FB" w:rsidRDefault="000F603A" w:rsidP="00C218FB">
      <w:pPr>
        <w:spacing w:after="0" w:line="240" w:lineRule="auto"/>
        <w:ind w:left="630" w:right="67"/>
        <w:jc w:val="both"/>
        <w:rPr>
          <w:rFonts w:ascii="Times New Roman" w:hAnsi="Times New Roman" w:cs="Times New Roman"/>
          <w:sz w:val="24"/>
          <w:szCs w:val="24"/>
        </w:rPr>
      </w:pPr>
      <w:r w:rsidRPr="00C218FB">
        <w:rPr>
          <w:rFonts w:ascii="Times New Roman" w:hAnsi="Times New Roman" w:cs="Times New Roman"/>
          <w:b/>
          <w:bCs/>
          <w:sz w:val="24"/>
          <w:szCs w:val="24"/>
        </w:rPr>
        <w:t xml:space="preserve">Antecedentes o hechos con los que se correlaciona la prueba: </w:t>
      </w:r>
      <w:r w:rsidRPr="00C218FB">
        <w:rPr>
          <w:rFonts w:ascii="Times New Roman" w:hAnsi="Times New Roman" w:cs="Times New Roman"/>
          <w:sz w:val="24"/>
          <w:szCs w:val="24"/>
        </w:rPr>
        <w:t>Con las documentales en comento se pretende acreditar la posesión efectiva y los actos y acciones de gobierno que el municipio de Ecatepec ha venido ejerciendo sobre dicho espacio territorial, mismo que relaciono con todos y cada uno de los argumentos, excepciones y defensas que hago valer en mi escrito de contestación a la solicitud presentada por la diputada Beatriz García Villegas, promovente del procedimiento que nos ocupa.</w:t>
      </w:r>
    </w:p>
    <w:p w:rsidR="000F603A" w:rsidRPr="00C218FB" w:rsidRDefault="000F603A" w:rsidP="00C218FB">
      <w:pPr>
        <w:spacing w:after="0" w:line="240" w:lineRule="auto"/>
        <w:ind w:left="630" w:right="67"/>
        <w:jc w:val="both"/>
        <w:rPr>
          <w:rFonts w:ascii="Times New Roman" w:hAnsi="Times New Roman" w:cs="Times New Roman"/>
          <w:b/>
          <w:bCs/>
          <w:sz w:val="24"/>
          <w:szCs w:val="24"/>
        </w:rPr>
      </w:pPr>
    </w:p>
    <w:p w:rsidR="000F603A" w:rsidRPr="00C218FB" w:rsidRDefault="000F603A" w:rsidP="00C218FB">
      <w:pPr>
        <w:spacing w:after="0" w:line="240" w:lineRule="auto"/>
        <w:ind w:left="630" w:right="67"/>
        <w:jc w:val="both"/>
        <w:rPr>
          <w:rFonts w:ascii="Times New Roman" w:hAnsi="Times New Roman" w:cs="Times New Roman"/>
          <w:sz w:val="24"/>
          <w:szCs w:val="24"/>
        </w:rPr>
      </w:pPr>
      <w:r w:rsidRPr="00C218FB">
        <w:rPr>
          <w:rFonts w:ascii="Times New Roman" w:hAnsi="Times New Roman" w:cs="Times New Roman"/>
          <w:b/>
          <w:bCs/>
          <w:sz w:val="24"/>
          <w:szCs w:val="24"/>
        </w:rPr>
        <w:t xml:space="preserve">Protesta de decir verdad que no se tenía conocimiento de la prueba: </w:t>
      </w:r>
      <w:r w:rsidRPr="00C218FB">
        <w:rPr>
          <w:rFonts w:ascii="Times New Roman" w:hAnsi="Times New Roman" w:cs="Times New Roman"/>
          <w:sz w:val="24"/>
          <w:szCs w:val="24"/>
        </w:rPr>
        <w:t>Bajo protesta de decir verdad manifiesto que no se tenía previo conocimiento de la existencia de dichas probanzas, pues ellas surgen con posterioridad al periodo de ofrecimiento de pruebas del presente procedimiento, derivado de las necesidades y servicios que tienen los vecinos de las colonias de la zona limítrofe con el Municipio de Ecatepec de Morelos, es decir se trata de servicios públicos que no pueden dejar de ofrecerse, cuyo servicio es continuo y constante y por lógica estábamos materialmente imposibilitados para ofrecerlas dentro del periodo ordinario de ofrecimiento de pruebas previsto en la Ley de la materia.</w:t>
      </w:r>
    </w:p>
    <w:p w:rsidR="000F603A" w:rsidRPr="00C218FB" w:rsidRDefault="000F603A" w:rsidP="00C218FB">
      <w:pPr>
        <w:spacing w:after="0" w:line="240" w:lineRule="auto"/>
        <w:ind w:left="630" w:right="67"/>
        <w:jc w:val="both"/>
        <w:rPr>
          <w:rFonts w:ascii="Times New Roman" w:hAnsi="Times New Roman" w:cs="Times New Roman"/>
          <w:sz w:val="24"/>
          <w:szCs w:val="24"/>
        </w:rPr>
      </w:pPr>
    </w:p>
    <w:p w:rsidR="000F603A" w:rsidRPr="00C218FB" w:rsidRDefault="000F603A" w:rsidP="00C218FB">
      <w:pPr>
        <w:spacing w:after="0" w:line="240" w:lineRule="auto"/>
        <w:ind w:right="67"/>
        <w:jc w:val="both"/>
        <w:rPr>
          <w:rFonts w:ascii="Times New Roman" w:hAnsi="Times New Roman" w:cs="Times New Roman"/>
          <w:sz w:val="24"/>
          <w:szCs w:val="24"/>
        </w:rPr>
      </w:pPr>
      <w:r w:rsidRPr="00C218FB">
        <w:rPr>
          <w:rFonts w:ascii="Times New Roman" w:hAnsi="Times New Roman" w:cs="Times New Roman"/>
          <w:b/>
          <w:bCs/>
          <w:sz w:val="24"/>
          <w:szCs w:val="24"/>
        </w:rPr>
        <w:t>11.- LAS DOCUMENTALES PUBLICAS CONSISTENTE</w:t>
      </w:r>
      <w:r w:rsidRPr="00C218FB">
        <w:rPr>
          <w:rFonts w:ascii="Times New Roman" w:hAnsi="Times New Roman" w:cs="Times New Roman"/>
          <w:sz w:val="24"/>
          <w:szCs w:val="24"/>
        </w:rPr>
        <w:t xml:space="preserve"> en oficio número </w:t>
      </w:r>
      <w:r w:rsidRPr="00C218FB">
        <w:rPr>
          <w:rFonts w:ascii="Times New Roman" w:hAnsi="Times New Roman" w:cs="Times New Roman"/>
          <w:b/>
          <w:bCs/>
          <w:sz w:val="24"/>
          <w:szCs w:val="24"/>
        </w:rPr>
        <w:t>DPCB/ECA/1902/2023</w:t>
      </w:r>
      <w:r w:rsidRPr="00C218FB">
        <w:rPr>
          <w:rFonts w:ascii="Times New Roman" w:hAnsi="Times New Roman" w:cs="Times New Roman"/>
          <w:sz w:val="24"/>
          <w:szCs w:val="24"/>
        </w:rPr>
        <w:t xml:space="preserve"> de fecha </w:t>
      </w:r>
      <w:r w:rsidRPr="00C218FB">
        <w:rPr>
          <w:rFonts w:ascii="Times New Roman" w:hAnsi="Times New Roman" w:cs="Times New Roman"/>
          <w:b/>
          <w:bCs/>
          <w:sz w:val="24"/>
          <w:szCs w:val="24"/>
        </w:rPr>
        <w:t>14 de agosto de 2023</w:t>
      </w:r>
      <w:r w:rsidRPr="00C218FB">
        <w:rPr>
          <w:rFonts w:ascii="Times New Roman" w:hAnsi="Times New Roman" w:cs="Times New Roman"/>
          <w:sz w:val="24"/>
          <w:szCs w:val="24"/>
        </w:rPr>
        <w:t xml:space="preserve"> y anexos, suscrito por el </w:t>
      </w:r>
      <w:r w:rsidRPr="00C218FB">
        <w:rPr>
          <w:rFonts w:ascii="Times New Roman" w:hAnsi="Times New Roman" w:cs="Times New Roman"/>
          <w:b/>
          <w:bCs/>
          <w:sz w:val="24"/>
          <w:szCs w:val="24"/>
        </w:rPr>
        <w:t>Comandante Jesús Miranda Cárdenas</w:t>
      </w:r>
      <w:r w:rsidRPr="00C218FB">
        <w:rPr>
          <w:rFonts w:ascii="Times New Roman" w:hAnsi="Times New Roman" w:cs="Times New Roman"/>
          <w:sz w:val="24"/>
          <w:szCs w:val="24"/>
        </w:rPr>
        <w:t>, Director de Protección Civil y Bomberos del Municipio de Ecatepec, por medio del cual remite copias simples de las partes de servicio de bomberos, y de rescate urbano prehospitalarios que la Dirección a su cargo ha llevado a cabo en las colonias materia del presente procedimiento de diferendo limítrofe municipal.</w:t>
      </w:r>
    </w:p>
    <w:p w:rsidR="000F603A" w:rsidRPr="00C218FB" w:rsidRDefault="000F603A" w:rsidP="00C218FB">
      <w:pPr>
        <w:spacing w:after="0" w:line="240" w:lineRule="auto"/>
        <w:ind w:left="630" w:right="67"/>
        <w:jc w:val="both"/>
        <w:rPr>
          <w:rFonts w:ascii="Times New Roman" w:hAnsi="Times New Roman" w:cs="Times New Roman"/>
          <w:b/>
          <w:bCs/>
          <w:sz w:val="24"/>
          <w:szCs w:val="24"/>
        </w:rPr>
      </w:pPr>
    </w:p>
    <w:p w:rsidR="000F603A" w:rsidRPr="00C218FB" w:rsidRDefault="000F603A" w:rsidP="00C218FB">
      <w:pPr>
        <w:spacing w:after="0" w:line="240" w:lineRule="auto"/>
        <w:ind w:left="630" w:right="67"/>
        <w:jc w:val="both"/>
        <w:rPr>
          <w:rFonts w:ascii="Times New Roman" w:hAnsi="Times New Roman" w:cs="Times New Roman"/>
          <w:sz w:val="24"/>
          <w:szCs w:val="24"/>
        </w:rPr>
      </w:pPr>
      <w:r w:rsidRPr="00C218FB">
        <w:rPr>
          <w:rFonts w:ascii="Times New Roman" w:hAnsi="Times New Roman" w:cs="Times New Roman"/>
          <w:b/>
          <w:bCs/>
          <w:sz w:val="24"/>
          <w:szCs w:val="24"/>
        </w:rPr>
        <w:t xml:space="preserve">Antecedentes o hechos con los que se correlaciona la prueba: </w:t>
      </w:r>
      <w:r w:rsidRPr="00C218FB">
        <w:rPr>
          <w:rFonts w:ascii="Times New Roman" w:hAnsi="Times New Roman" w:cs="Times New Roman"/>
          <w:sz w:val="24"/>
          <w:szCs w:val="24"/>
        </w:rPr>
        <w:t>Con las documentales en comento se pretende acreditar la posesión efectiva y los actos y acciones de gobierno que el municipio de Ecatepec ha venido ejerciendo sobre dicho espacio territorial, mismo que relaciono con todos y cada uno de los argumentos, excepciones y defensas que hago valer en mi escrito de contestación a la solicitud presentada por la diputada Beatriz García Villegas, promovente del procedimiento que nos ocupa.</w:t>
      </w:r>
    </w:p>
    <w:p w:rsidR="000F603A" w:rsidRPr="00C218FB" w:rsidRDefault="000F603A" w:rsidP="00C218FB">
      <w:pPr>
        <w:spacing w:after="0" w:line="240" w:lineRule="auto"/>
        <w:ind w:left="630" w:right="67"/>
        <w:jc w:val="both"/>
        <w:rPr>
          <w:rFonts w:ascii="Times New Roman" w:hAnsi="Times New Roman" w:cs="Times New Roman"/>
          <w:b/>
          <w:bCs/>
          <w:sz w:val="24"/>
          <w:szCs w:val="24"/>
        </w:rPr>
      </w:pPr>
    </w:p>
    <w:p w:rsidR="000F603A" w:rsidRPr="00C218FB" w:rsidRDefault="000F603A" w:rsidP="00C218FB">
      <w:pPr>
        <w:spacing w:after="0" w:line="240" w:lineRule="auto"/>
        <w:ind w:left="630" w:right="67"/>
        <w:jc w:val="both"/>
        <w:rPr>
          <w:rFonts w:ascii="Times New Roman" w:hAnsi="Times New Roman" w:cs="Times New Roman"/>
          <w:sz w:val="24"/>
          <w:szCs w:val="24"/>
        </w:rPr>
      </w:pPr>
      <w:r w:rsidRPr="00C218FB">
        <w:rPr>
          <w:rFonts w:ascii="Times New Roman" w:hAnsi="Times New Roman" w:cs="Times New Roman"/>
          <w:b/>
          <w:bCs/>
          <w:sz w:val="24"/>
          <w:szCs w:val="24"/>
        </w:rPr>
        <w:t xml:space="preserve">Protesta de decir verdad que no se tenía conocimiento de la prueba: </w:t>
      </w:r>
      <w:r w:rsidRPr="00C218FB">
        <w:rPr>
          <w:rFonts w:ascii="Times New Roman" w:hAnsi="Times New Roman" w:cs="Times New Roman"/>
          <w:sz w:val="24"/>
          <w:szCs w:val="24"/>
        </w:rPr>
        <w:t xml:space="preserve">Bajo protesta de decir verdad manifiesto que no se tenía previo conocimiento de la existencia de dichas probanzas, pues ellas surgen con posterioridad al periodo de ofrecimiento de pruebas del presente procedimiento, derivado de las necesidades y servicios que tienen los vecinos de las colonias de la zona limítrofe con el Municipio de Ecatepec de Morelos, es decir se trata de servicios públicos que no pueden dejar de ofrecerse, cuyo servicio es continuo y </w:t>
      </w:r>
      <w:r w:rsidRPr="00C218FB">
        <w:rPr>
          <w:rFonts w:ascii="Times New Roman" w:hAnsi="Times New Roman" w:cs="Times New Roman"/>
          <w:sz w:val="24"/>
          <w:szCs w:val="24"/>
        </w:rPr>
        <w:lastRenderedPageBreak/>
        <w:t>constante y por lógica estábamos materialmente imposibilitados para ofrecerlas dentro del periodo ordinario de ofrecimiento de pruebas previsto en la Ley de la materia.</w:t>
      </w:r>
    </w:p>
    <w:p w:rsidR="000F603A" w:rsidRPr="00C218FB" w:rsidRDefault="000F603A" w:rsidP="00C218FB">
      <w:pPr>
        <w:spacing w:after="0" w:line="240" w:lineRule="auto"/>
        <w:ind w:left="630" w:right="67"/>
        <w:jc w:val="both"/>
        <w:rPr>
          <w:rFonts w:ascii="Times New Roman" w:hAnsi="Times New Roman" w:cs="Times New Roman"/>
          <w:sz w:val="24"/>
          <w:szCs w:val="24"/>
        </w:rPr>
      </w:pPr>
    </w:p>
    <w:p w:rsidR="000F603A" w:rsidRPr="00C218FB" w:rsidRDefault="000F603A" w:rsidP="00C218FB">
      <w:pPr>
        <w:spacing w:after="0" w:line="240" w:lineRule="auto"/>
        <w:ind w:right="67"/>
        <w:jc w:val="both"/>
        <w:rPr>
          <w:rFonts w:ascii="Times New Roman" w:hAnsi="Times New Roman" w:cs="Times New Roman"/>
          <w:sz w:val="24"/>
          <w:szCs w:val="24"/>
        </w:rPr>
      </w:pPr>
      <w:r w:rsidRPr="00C218FB">
        <w:rPr>
          <w:rFonts w:ascii="Times New Roman" w:hAnsi="Times New Roman" w:cs="Times New Roman"/>
          <w:b/>
          <w:bCs/>
          <w:sz w:val="24"/>
          <w:szCs w:val="24"/>
        </w:rPr>
        <w:t>12.- LAS DOCUMENTALES PUBLICAS CONSISTENTE</w:t>
      </w:r>
      <w:r w:rsidRPr="00C218FB">
        <w:rPr>
          <w:rFonts w:ascii="Times New Roman" w:hAnsi="Times New Roman" w:cs="Times New Roman"/>
          <w:sz w:val="24"/>
          <w:szCs w:val="24"/>
        </w:rPr>
        <w:t xml:space="preserve"> en oficio número </w:t>
      </w:r>
      <w:r w:rsidRPr="00C218FB">
        <w:rPr>
          <w:rFonts w:ascii="Times New Roman" w:hAnsi="Times New Roman" w:cs="Times New Roman"/>
          <w:b/>
          <w:bCs/>
          <w:sz w:val="24"/>
          <w:szCs w:val="24"/>
        </w:rPr>
        <w:t>DSP/1041/2023</w:t>
      </w:r>
      <w:r w:rsidRPr="00C218FB">
        <w:rPr>
          <w:rFonts w:ascii="Times New Roman" w:hAnsi="Times New Roman" w:cs="Times New Roman"/>
          <w:sz w:val="24"/>
          <w:szCs w:val="24"/>
        </w:rPr>
        <w:t xml:space="preserve"> de fecha </w:t>
      </w:r>
      <w:r w:rsidRPr="00C218FB">
        <w:rPr>
          <w:rFonts w:ascii="Times New Roman" w:hAnsi="Times New Roman" w:cs="Times New Roman"/>
          <w:b/>
          <w:bCs/>
          <w:sz w:val="24"/>
          <w:szCs w:val="24"/>
        </w:rPr>
        <w:t>14 de agosto de 2023</w:t>
      </w:r>
      <w:r w:rsidRPr="00C218FB">
        <w:rPr>
          <w:rFonts w:ascii="Times New Roman" w:hAnsi="Times New Roman" w:cs="Times New Roman"/>
          <w:sz w:val="24"/>
          <w:szCs w:val="24"/>
        </w:rPr>
        <w:t xml:space="preserve"> y anexos, suscrito por el </w:t>
      </w:r>
      <w:r w:rsidRPr="00C218FB">
        <w:rPr>
          <w:rFonts w:ascii="Times New Roman" w:hAnsi="Times New Roman" w:cs="Times New Roman"/>
          <w:b/>
          <w:bCs/>
          <w:sz w:val="24"/>
          <w:szCs w:val="24"/>
        </w:rPr>
        <w:t>C. Luis Morales Villanueva</w:t>
      </w:r>
      <w:r w:rsidRPr="00C218FB">
        <w:rPr>
          <w:rFonts w:ascii="Times New Roman" w:hAnsi="Times New Roman" w:cs="Times New Roman"/>
          <w:sz w:val="24"/>
          <w:szCs w:val="24"/>
        </w:rPr>
        <w:t>, Director de Servicios Públicos del Municipio de Ecatepec, mediante el cual remite concentrado de actividades y servicios públicos prestados en las colonias que integran la zona limítrofe materia del presente diferendo.</w:t>
      </w:r>
    </w:p>
    <w:p w:rsidR="000F603A" w:rsidRPr="00C218FB" w:rsidRDefault="000F603A" w:rsidP="00C218FB">
      <w:pPr>
        <w:spacing w:after="0" w:line="240" w:lineRule="auto"/>
        <w:ind w:left="630" w:right="67"/>
        <w:jc w:val="both"/>
        <w:rPr>
          <w:rFonts w:ascii="Times New Roman" w:hAnsi="Times New Roman" w:cs="Times New Roman"/>
          <w:b/>
          <w:bCs/>
          <w:sz w:val="24"/>
          <w:szCs w:val="24"/>
        </w:rPr>
      </w:pPr>
    </w:p>
    <w:p w:rsidR="000F603A" w:rsidRPr="00C218FB" w:rsidRDefault="000F603A" w:rsidP="00C218FB">
      <w:pPr>
        <w:spacing w:after="0" w:line="240" w:lineRule="auto"/>
        <w:ind w:left="630" w:right="67"/>
        <w:jc w:val="both"/>
        <w:rPr>
          <w:rFonts w:ascii="Times New Roman" w:hAnsi="Times New Roman" w:cs="Times New Roman"/>
          <w:sz w:val="24"/>
          <w:szCs w:val="24"/>
        </w:rPr>
      </w:pPr>
      <w:r w:rsidRPr="00C218FB">
        <w:rPr>
          <w:rFonts w:ascii="Times New Roman" w:hAnsi="Times New Roman" w:cs="Times New Roman"/>
          <w:b/>
          <w:bCs/>
          <w:sz w:val="24"/>
          <w:szCs w:val="24"/>
        </w:rPr>
        <w:t xml:space="preserve">Antecedentes o hechos con los que se correlaciona la prueba: </w:t>
      </w:r>
      <w:r w:rsidRPr="00C218FB">
        <w:rPr>
          <w:rFonts w:ascii="Times New Roman" w:hAnsi="Times New Roman" w:cs="Times New Roman"/>
          <w:sz w:val="24"/>
          <w:szCs w:val="24"/>
        </w:rPr>
        <w:t>Con las documentales en comento se pretende acreditar la posesión efectiva y los actos y acciones de gobierno que el municipio de Ecatepec ha venido ejerciendo sobre dicho espacio territorial, mismo que relaciono con todos y cada uno de los argumentos, excepciones y defensas que hago valer en mi escrito de contestación a la solicitud presentada por la diputada Beatriz García Villegas, promovente del procedimiento que nos ocupa.</w:t>
      </w:r>
    </w:p>
    <w:p w:rsidR="000F603A" w:rsidRPr="00C218FB" w:rsidRDefault="000F603A" w:rsidP="00C218FB">
      <w:pPr>
        <w:spacing w:after="0" w:line="240" w:lineRule="auto"/>
        <w:ind w:left="630" w:right="67"/>
        <w:jc w:val="both"/>
        <w:rPr>
          <w:rFonts w:ascii="Times New Roman" w:hAnsi="Times New Roman" w:cs="Times New Roman"/>
          <w:b/>
          <w:bCs/>
          <w:sz w:val="24"/>
          <w:szCs w:val="24"/>
        </w:rPr>
      </w:pPr>
    </w:p>
    <w:p w:rsidR="000F603A" w:rsidRPr="00C218FB" w:rsidRDefault="000F603A" w:rsidP="00C218FB">
      <w:pPr>
        <w:spacing w:after="0" w:line="240" w:lineRule="auto"/>
        <w:ind w:left="630" w:right="67"/>
        <w:jc w:val="both"/>
        <w:rPr>
          <w:rFonts w:ascii="Times New Roman" w:hAnsi="Times New Roman" w:cs="Times New Roman"/>
          <w:sz w:val="24"/>
          <w:szCs w:val="24"/>
        </w:rPr>
      </w:pPr>
      <w:r w:rsidRPr="00C218FB">
        <w:rPr>
          <w:rFonts w:ascii="Times New Roman" w:hAnsi="Times New Roman" w:cs="Times New Roman"/>
          <w:b/>
          <w:bCs/>
          <w:sz w:val="24"/>
          <w:szCs w:val="24"/>
        </w:rPr>
        <w:t xml:space="preserve">Protesta de decir verdad que no se tenía conocimiento de la prueba: </w:t>
      </w:r>
      <w:r w:rsidRPr="00C218FB">
        <w:rPr>
          <w:rFonts w:ascii="Times New Roman" w:hAnsi="Times New Roman" w:cs="Times New Roman"/>
          <w:sz w:val="24"/>
          <w:szCs w:val="24"/>
        </w:rPr>
        <w:t>Bajo protesta de decir verdad manifiesto que no se tenía previo conocimiento de la existencia de dichas probanzas, pues ellas surgen con posterioridad al periodo de ofrecimiento de pruebas del presente procedimiento, derivado de las necesidades y servicios que tienen los vecinos de las colonias de la zona limítrofe con el Municipio de Ecatepec de Morelos, es decir se trata de servicios públicos que no pueden dejar de ofrecerse, cuyo servicio es continuo y constante y por lógica estábamos materialmente imposibilitados para ofrecerlas dentro del periodo ordinario de ofrecimiento de pruebas previsto en la Ley de la materia.</w:t>
      </w:r>
    </w:p>
    <w:p w:rsidR="000F603A" w:rsidRPr="00C218FB" w:rsidRDefault="000F603A" w:rsidP="00C218FB">
      <w:pPr>
        <w:spacing w:after="0" w:line="240" w:lineRule="auto"/>
        <w:ind w:left="630" w:right="67"/>
        <w:jc w:val="both"/>
        <w:rPr>
          <w:rFonts w:ascii="Times New Roman" w:hAnsi="Times New Roman" w:cs="Times New Roman"/>
          <w:sz w:val="24"/>
          <w:szCs w:val="24"/>
        </w:rPr>
      </w:pPr>
    </w:p>
    <w:p w:rsidR="000F603A" w:rsidRPr="00C218FB" w:rsidRDefault="000F603A" w:rsidP="00C218FB">
      <w:pPr>
        <w:spacing w:after="0" w:line="240" w:lineRule="auto"/>
        <w:ind w:left="630" w:right="67"/>
        <w:jc w:val="both"/>
        <w:rPr>
          <w:rFonts w:ascii="Times New Roman" w:hAnsi="Times New Roman" w:cs="Times New Roman"/>
          <w:sz w:val="24"/>
          <w:szCs w:val="24"/>
        </w:rPr>
      </w:pPr>
      <w:r w:rsidRPr="00C218FB">
        <w:rPr>
          <w:rFonts w:ascii="Times New Roman" w:hAnsi="Times New Roman" w:cs="Times New Roman"/>
          <w:sz w:val="24"/>
          <w:szCs w:val="24"/>
        </w:rPr>
        <w:t>colonias de la zona limítrofe con el Municipio de Ecatepec de Morelos, es decir se trata de servicios públicos que no pueden dejar de ofrecerse, cuyo servicio es continuo y constante y por lógica estábamos materialmente imposibilitados para ofrecerlas dentro del periodo ordinario de ofrecimiento de pruebas previsto en la Ley de la materia.</w:t>
      </w:r>
    </w:p>
    <w:p w:rsidR="000F603A" w:rsidRPr="00C218FB" w:rsidRDefault="000F603A" w:rsidP="00C218FB">
      <w:pPr>
        <w:spacing w:after="0" w:line="240" w:lineRule="auto"/>
        <w:ind w:left="630" w:right="67"/>
        <w:jc w:val="both"/>
        <w:rPr>
          <w:rFonts w:ascii="Times New Roman" w:hAnsi="Times New Roman" w:cs="Times New Roman"/>
          <w:sz w:val="24"/>
          <w:szCs w:val="24"/>
        </w:rPr>
      </w:pPr>
    </w:p>
    <w:p w:rsidR="000F603A" w:rsidRPr="00C218FB" w:rsidRDefault="000F603A" w:rsidP="00C218FB">
      <w:pPr>
        <w:spacing w:after="0" w:line="240" w:lineRule="auto"/>
        <w:ind w:right="67"/>
        <w:jc w:val="both"/>
        <w:rPr>
          <w:rFonts w:ascii="Times New Roman" w:hAnsi="Times New Roman" w:cs="Times New Roman"/>
          <w:sz w:val="24"/>
          <w:szCs w:val="24"/>
        </w:rPr>
      </w:pPr>
      <w:r w:rsidRPr="00C218FB">
        <w:rPr>
          <w:rFonts w:ascii="Times New Roman" w:hAnsi="Times New Roman" w:cs="Times New Roman"/>
          <w:b/>
          <w:bCs/>
          <w:sz w:val="24"/>
          <w:szCs w:val="24"/>
        </w:rPr>
        <w:t>13.- LAS DOCUMENTALES PUBLICAS CONSISTENTE</w:t>
      </w:r>
      <w:r w:rsidRPr="00C218FB">
        <w:rPr>
          <w:rFonts w:ascii="Times New Roman" w:hAnsi="Times New Roman" w:cs="Times New Roman"/>
          <w:sz w:val="24"/>
          <w:szCs w:val="24"/>
        </w:rPr>
        <w:t xml:space="preserve"> en oficio número </w:t>
      </w:r>
      <w:r w:rsidRPr="00C218FB">
        <w:rPr>
          <w:rFonts w:ascii="Times New Roman" w:hAnsi="Times New Roman" w:cs="Times New Roman"/>
          <w:b/>
          <w:bCs/>
          <w:sz w:val="24"/>
          <w:szCs w:val="24"/>
        </w:rPr>
        <w:t>SMDIF/D/0655/2023</w:t>
      </w:r>
      <w:r w:rsidRPr="00C218FB">
        <w:rPr>
          <w:rFonts w:ascii="Times New Roman" w:hAnsi="Times New Roman" w:cs="Times New Roman"/>
          <w:sz w:val="24"/>
          <w:szCs w:val="24"/>
        </w:rPr>
        <w:t xml:space="preserve"> de fecha </w:t>
      </w:r>
      <w:r w:rsidRPr="00C218FB">
        <w:rPr>
          <w:rFonts w:ascii="Times New Roman" w:hAnsi="Times New Roman" w:cs="Times New Roman"/>
          <w:b/>
          <w:bCs/>
          <w:sz w:val="24"/>
          <w:szCs w:val="24"/>
        </w:rPr>
        <w:t>15 de agosto del 2023</w:t>
      </w:r>
      <w:r w:rsidRPr="00C218FB">
        <w:rPr>
          <w:rFonts w:ascii="Times New Roman" w:hAnsi="Times New Roman" w:cs="Times New Roman"/>
          <w:sz w:val="24"/>
          <w:szCs w:val="24"/>
        </w:rPr>
        <w:t xml:space="preserve"> y anexos, suscrito por el </w:t>
      </w:r>
      <w:r w:rsidRPr="00C218FB">
        <w:rPr>
          <w:rFonts w:ascii="Times New Roman" w:hAnsi="Times New Roman" w:cs="Times New Roman"/>
          <w:b/>
          <w:bCs/>
          <w:sz w:val="24"/>
          <w:szCs w:val="24"/>
        </w:rPr>
        <w:t xml:space="preserve">Licenciado </w:t>
      </w:r>
      <w:proofErr w:type="spellStart"/>
      <w:r w:rsidRPr="00C218FB">
        <w:rPr>
          <w:rFonts w:ascii="Times New Roman" w:hAnsi="Times New Roman" w:cs="Times New Roman"/>
          <w:b/>
          <w:bCs/>
          <w:sz w:val="24"/>
          <w:szCs w:val="24"/>
        </w:rPr>
        <w:t>Yaid</w:t>
      </w:r>
      <w:proofErr w:type="spellEnd"/>
      <w:r w:rsidRPr="00C218FB">
        <w:rPr>
          <w:rFonts w:ascii="Times New Roman" w:hAnsi="Times New Roman" w:cs="Times New Roman"/>
          <w:b/>
          <w:bCs/>
          <w:sz w:val="24"/>
          <w:szCs w:val="24"/>
        </w:rPr>
        <w:t xml:space="preserve"> Iván Patiño Méndez</w:t>
      </w:r>
      <w:r w:rsidRPr="00C218FB">
        <w:rPr>
          <w:rFonts w:ascii="Times New Roman" w:hAnsi="Times New Roman" w:cs="Times New Roman"/>
          <w:sz w:val="24"/>
          <w:szCs w:val="24"/>
        </w:rPr>
        <w:t>, Director del Sistema Municipal para el Desarrollo Integral de la Familia (DIF) de Ecatepec, por medio del cual remite concentrado de las diversas actividades que el Sistema DIF ha realizado en las colonias materia del procedimiento de diferendo limítrofe que nos ocupa.</w:t>
      </w:r>
    </w:p>
    <w:p w:rsidR="000F603A" w:rsidRPr="00C218FB" w:rsidRDefault="000F603A" w:rsidP="00C218FB">
      <w:pPr>
        <w:spacing w:after="0" w:line="240" w:lineRule="auto"/>
        <w:ind w:left="630" w:right="67"/>
        <w:jc w:val="both"/>
        <w:rPr>
          <w:rFonts w:ascii="Times New Roman" w:hAnsi="Times New Roman" w:cs="Times New Roman"/>
          <w:b/>
          <w:bCs/>
          <w:sz w:val="24"/>
          <w:szCs w:val="24"/>
        </w:rPr>
      </w:pPr>
    </w:p>
    <w:p w:rsidR="000F603A" w:rsidRPr="00C218FB" w:rsidRDefault="000F603A" w:rsidP="00C218FB">
      <w:pPr>
        <w:spacing w:after="0" w:line="240" w:lineRule="auto"/>
        <w:ind w:left="630" w:right="67"/>
        <w:jc w:val="both"/>
        <w:rPr>
          <w:rFonts w:ascii="Times New Roman" w:hAnsi="Times New Roman" w:cs="Times New Roman"/>
          <w:sz w:val="24"/>
          <w:szCs w:val="24"/>
        </w:rPr>
      </w:pPr>
      <w:r w:rsidRPr="00C218FB">
        <w:rPr>
          <w:rFonts w:ascii="Times New Roman" w:hAnsi="Times New Roman" w:cs="Times New Roman"/>
          <w:b/>
          <w:bCs/>
          <w:sz w:val="24"/>
          <w:szCs w:val="24"/>
        </w:rPr>
        <w:t xml:space="preserve">Antecedentes o hechos con los que se correlaciona la prueba: </w:t>
      </w:r>
      <w:r w:rsidRPr="00C218FB">
        <w:rPr>
          <w:rFonts w:ascii="Times New Roman" w:hAnsi="Times New Roman" w:cs="Times New Roman"/>
          <w:sz w:val="24"/>
          <w:szCs w:val="24"/>
        </w:rPr>
        <w:t>Con las documentales en comento se pretende acreditar la posesión efectiva y los actos y acciones de gobierno que el municipio de Ecatepec ha venido ejerciendo sobre dicho espacio territorial, mismo que relaciono con todos y cada uno de los argumentos, excepciones y defensas que hago valer en mi escrito de contestación a la solicitud presentada por la diputada Beatriz García Villegas, promovente del procedimiento que nos ocupa.</w:t>
      </w:r>
    </w:p>
    <w:p w:rsidR="000F603A" w:rsidRPr="00C218FB" w:rsidRDefault="000F603A" w:rsidP="00C218FB">
      <w:pPr>
        <w:spacing w:after="0" w:line="240" w:lineRule="auto"/>
        <w:ind w:left="630" w:right="67"/>
        <w:jc w:val="both"/>
        <w:rPr>
          <w:rFonts w:ascii="Times New Roman" w:hAnsi="Times New Roman" w:cs="Times New Roman"/>
          <w:sz w:val="24"/>
          <w:szCs w:val="24"/>
        </w:rPr>
      </w:pPr>
    </w:p>
    <w:p w:rsidR="000F603A" w:rsidRPr="00C218FB" w:rsidRDefault="000F603A" w:rsidP="00C218FB">
      <w:pPr>
        <w:spacing w:after="0" w:line="240" w:lineRule="auto"/>
        <w:ind w:left="630" w:right="67"/>
        <w:jc w:val="both"/>
        <w:rPr>
          <w:rFonts w:ascii="Times New Roman" w:hAnsi="Times New Roman" w:cs="Times New Roman"/>
          <w:sz w:val="24"/>
          <w:szCs w:val="24"/>
        </w:rPr>
      </w:pPr>
      <w:r w:rsidRPr="00C218FB">
        <w:rPr>
          <w:rFonts w:ascii="Times New Roman" w:hAnsi="Times New Roman" w:cs="Times New Roman"/>
          <w:b/>
          <w:bCs/>
          <w:sz w:val="24"/>
          <w:szCs w:val="24"/>
        </w:rPr>
        <w:t xml:space="preserve">Protesta de decir verdad que no se tenía conocimiento de la prueba: </w:t>
      </w:r>
      <w:r w:rsidRPr="00C218FB">
        <w:rPr>
          <w:rFonts w:ascii="Times New Roman" w:hAnsi="Times New Roman" w:cs="Times New Roman"/>
          <w:sz w:val="24"/>
          <w:szCs w:val="24"/>
        </w:rPr>
        <w:t xml:space="preserve">Bajo protesta de decir verdad manifiesto que no se tenía previo conocimiento de la existencia de dichas probanzas, pues ellas surgen con posterioridad al periodo de ofrecimiento de pruebas del presente procedimiento, derivado de las necesidades y servicios que tienen los vecinos de las colonias de la zona limítrofe con el Municipio de Ecatepec de Morelos, es decir se trata </w:t>
      </w:r>
      <w:r w:rsidRPr="00C218FB">
        <w:rPr>
          <w:rFonts w:ascii="Times New Roman" w:hAnsi="Times New Roman" w:cs="Times New Roman"/>
          <w:sz w:val="24"/>
          <w:szCs w:val="24"/>
        </w:rPr>
        <w:lastRenderedPageBreak/>
        <w:t>de servicios públicos que no pueden dejar de ofrecerse, cuyo servicio es continuo y constante y por lógica estábamos materialmente imposibilitados para ofrecerlas dentro del periodo ordinario de ofrecimiento de pruebas previsto en la Ley de la materia.</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 xml:space="preserve">OCTAVO. </w:t>
      </w:r>
      <w:r w:rsidRPr="00C218FB">
        <w:rPr>
          <w:rFonts w:ascii="Times New Roman" w:hAnsi="Times New Roman" w:cs="Times New Roman"/>
          <w:sz w:val="24"/>
          <w:szCs w:val="24"/>
        </w:rPr>
        <w:t>La Comisión Legislativa de Límites Territoriales del Estado de México y sus municipios, en fecha seis de diciembre de dos mil veintidós, emitió acuerdo por el que se tuvo por ofrecidas, admitidas y en su caso desahogadas, dada su propia y especial naturaleza, las pruebas presentadas por los municipios involucrados en el Diferendo Limítrofe.</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pStyle w:val="NormalWeb"/>
        <w:spacing w:before="0" w:beforeAutospacing="0" w:after="0" w:afterAutospacing="0"/>
        <w:ind w:right="49"/>
        <w:jc w:val="both"/>
        <w:rPr>
          <w:b/>
        </w:rPr>
      </w:pPr>
      <w:r w:rsidRPr="00C218FB">
        <w:rPr>
          <w:b/>
        </w:rPr>
        <w:t>PRUEBAS DESAHOGADAS POR EL MUNICIPIO DE ACOLMAN</w:t>
      </w:r>
    </w:p>
    <w:p w:rsidR="000F603A" w:rsidRPr="00C218FB" w:rsidRDefault="000F603A" w:rsidP="00C218FB">
      <w:pPr>
        <w:spacing w:after="0" w:line="240" w:lineRule="auto"/>
        <w:jc w:val="both"/>
        <w:rPr>
          <w:rFonts w:ascii="Times New Roman" w:eastAsia="Arial" w:hAnsi="Times New Roman" w:cs="Times New Roman"/>
          <w:sz w:val="24"/>
          <w:szCs w:val="24"/>
        </w:rPr>
      </w:pPr>
      <w:r w:rsidRPr="00C218FB">
        <w:rPr>
          <w:rFonts w:ascii="Times New Roman" w:eastAsia="Arial" w:hAnsi="Times New Roman" w:cs="Times New Roman"/>
          <w:sz w:val="24"/>
          <w:szCs w:val="24"/>
        </w:rPr>
        <w:t>Del análisis del Acuerdo de Admisión, Preparación y Desahogo de las Pruebas, se desprende que el Municipio de Acolman, por conducto de sus representantes constitucionales, ofreció y le fueron admitidas y desahogadas las siguientes probanzas:</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pStyle w:val="Prrafodelista"/>
        <w:widowControl/>
        <w:numPr>
          <w:ilvl w:val="0"/>
          <w:numId w:val="34"/>
        </w:numPr>
        <w:autoSpaceDE/>
        <w:autoSpaceDN/>
        <w:ind w:left="567" w:right="0"/>
        <w:contextualSpacing/>
        <w:rPr>
          <w:rFonts w:ascii="Times New Roman" w:hAnsi="Times New Roman" w:cs="Times New Roman"/>
          <w:b/>
          <w:sz w:val="24"/>
          <w:szCs w:val="24"/>
        </w:rPr>
      </w:pPr>
      <w:r w:rsidRPr="00C218FB">
        <w:rPr>
          <w:rFonts w:ascii="Times New Roman" w:hAnsi="Times New Roman" w:cs="Times New Roman"/>
          <w:sz w:val="24"/>
          <w:szCs w:val="24"/>
        </w:rPr>
        <w:t xml:space="preserve">Documental pública número uno (1), consistente en Acuerdo de Cabildo de fecha 2 de febrero de 2022, contenido en el Acta de Cabildo número 006, sesión ordinaria número 004, misma que </w:t>
      </w:r>
      <w:r w:rsidRPr="00C218FB">
        <w:rPr>
          <w:rFonts w:ascii="Times New Roman" w:hAnsi="Times New Roman" w:cs="Times New Roman"/>
          <w:b/>
          <w:sz w:val="24"/>
          <w:szCs w:val="24"/>
        </w:rPr>
        <w:t>se tuvo desahogada por su propia y especial naturaleza.</w:t>
      </w:r>
    </w:p>
    <w:p w:rsidR="000F603A" w:rsidRPr="00C218FB" w:rsidRDefault="000F603A" w:rsidP="00C218FB">
      <w:pPr>
        <w:pStyle w:val="Prrafodelista"/>
        <w:ind w:left="567"/>
        <w:rPr>
          <w:rFonts w:ascii="Times New Roman" w:hAnsi="Times New Roman" w:cs="Times New Roman"/>
          <w:sz w:val="24"/>
          <w:szCs w:val="24"/>
        </w:rPr>
      </w:pPr>
    </w:p>
    <w:p w:rsidR="000F603A" w:rsidRPr="00C218FB" w:rsidRDefault="000F603A" w:rsidP="00C218FB">
      <w:pPr>
        <w:pStyle w:val="Prrafodelista"/>
        <w:widowControl/>
        <w:numPr>
          <w:ilvl w:val="0"/>
          <w:numId w:val="34"/>
        </w:numPr>
        <w:autoSpaceDE/>
        <w:autoSpaceDN/>
        <w:ind w:left="567" w:right="0"/>
        <w:contextualSpacing/>
        <w:rPr>
          <w:rFonts w:ascii="Times New Roman" w:hAnsi="Times New Roman" w:cs="Times New Roman"/>
          <w:b/>
          <w:sz w:val="24"/>
          <w:szCs w:val="24"/>
        </w:rPr>
      </w:pPr>
      <w:r w:rsidRPr="00C218FB">
        <w:rPr>
          <w:rFonts w:ascii="Times New Roman" w:hAnsi="Times New Roman" w:cs="Times New Roman"/>
          <w:sz w:val="24"/>
          <w:szCs w:val="24"/>
        </w:rPr>
        <w:t xml:space="preserve">Documental pública número dos (2), consistente en escrito dirigido a la Diputada Elba Aldana Duarte, Presidenta de la Comisión Legislativa de Límites Territoriales del Estado de México y sus Municipios, suscrito por el C. Rigoberto Cortés Melgoza, en su carácter de Presidente Constitucional del Municipio de Acolman, y por la C. Blanca Guadalupe Sánchez Osorio, en su calidad de Síndica Municipal, mediante el cual exponen los motivos de la solicitud para la solución del diferendo limítrofe entre los municipios de Acolman y Ecatepec de Morelos, así como la ratificación formal de dicha solicitud, misma que </w:t>
      </w:r>
      <w:r w:rsidRPr="00C218FB">
        <w:rPr>
          <w:rFonts w:ascii="Times New Roman" w:hAnsi="Times New Roman" w:cs="Times New Roman"/>
          <w:b/>
          <w:sz w:val="24"/>
          <w:szCs w:val="24"/>
        </w:rPr>
        <w:t>se tuvo por desahogada por su propia y especial naturaleza.</w:t>
      </w:r>
    </w:p>
    <w:p w:rsidR="000F603A" w:rsidRPr="00C218FB" w:rsidRDefault="000F603A" w:rsidP="00C218FB">
      <w:pPr>
        <w:pStyle w:val="Prrafodelista"/>
        <w:ind w:left="567"/>
        <w:rPr>
          <w:rFonts w:ascii="Times New Roman" w:hAnsi="Times New Roman" w:cs="Times New Roman"/>
          <w:sz w:val="24"/>
          <w:szCs w:val="24"/>
        </w:rPr>
      </w:pPr>
    </w:p>
    <w:p w:rsidR="000F603A" w:rsidRPr="00C218FB" w:rsidRDefault="000F603A" w:rsidP="00C218FB">
      <w:pPr>
        <w:pStyle w:val="Prrafodelista"/>
        <w:widowControl/>
        <w:numPr>
          <w:ilvl w:val="0"/>
          <w:numId w:val="34"/>
        </w:numPr>
        <w:autoSpaceDE/>
        <w:autoSpaceDN/>
        <w:ind w:left="567" w:right="0"/>
        <w:contextualSpacing/>
        <w:rPr>
          <w:rFonts w:ascii="Times New Roman" w:hAnsi="Times New Roman" w:cs="Times New Roman"/>
          <w:b/>
          <w:sz w:val="24"/>
          <w:szCs w:val="24"/>
        </w:rPr>
      </w:pPr>
      <w:r w:rsidRPr="00C218FB">
        <w:rPr>
          <w:rFonts w:ascii="Times New Roman" w:hAnsi="Times New Roman" w:cs="Times New Roman"/>
          <w:sz w:val="24"/>
          <w:szCs w:val="24"/>
        </w:rPr>
        <w:t xml:space="preserve">Documental pública número tres (3), consistente en publicación en la Gaceta del Gobierno del Estado de México, de fecha jueves 2 de octubre de 2008, referente a su apartado 1.3 “Delimitación del Municipio”, en la que se hace alusión a la localización con coordenadas geográficas del territorio municipal, así como a las zonas con diferendo limítrofe con el municipio de Ecatepec, misma que </w:t>
      </w:r>
      <w:r w:rsidRPr="00C218FB">
        <w:rPr>
          <w:rFonts w:ascii="Times New Roman" w:hAnsi="Times New Roman" w:cs="Times New Roman"/>
          <w:b/>
          <w:sz w:val="24"/>
          <w:szCs w:val="24"/>
        </w:rPr>
        <w:t>se tuvo por desahogada por su propia y especial naturaleza.</w:t>
      </w:r>
    </w:p>
    <w:p w:rsidR="000F603A" w:rsidRPr="00C218FB" w:rsidRDefault="000F603A" w:rsidP="00C218FB">
      <w:pPr>
        <w:pStyle w:val="Prrafodelista"/>
        <w:ind w:left="567"/>
        <w:rPr>
          <w:rFonts w:ascii="Times New Roman" w:hAnsi="Times New Roman" w:cs="Times New Roman"/>
          <w:sz w:val="24"/>
          <w:szCs w:val="24"/>
        </w:rPr>
      </w:pPr>
    </w:p>
    <w:p w:rsidR="000F603A" w:rsidRPr="00C218FB" w:rsidRDefault="000F603A" w:rsidP="00C218FB">
      <w:pPr>
        <w:pStyle w:val="Prrafodelista"/>
        <w:widowControl/>
        <w:numPr>
          <w:ilvl w:val="0"/>
          <w:numId w:val="34"/>
        </w:numPr>
        <w:autoSpaceDE/>
        <w:autoSpaceDN/>
        <w:ind w:left="567" w:right="0"/>
        <w:contextualSpacing/>
        <w:rPr>
          <w:rFonts w:ascii="Times New Roman" w:hAnsi="Times New Roman" w:cs="Times New Roman"/>
          <w:b/>
          <w:sz w:val="24"/>
          <w:szCs w:val="24"/>
        </w:rPr>
      </w:pPr>
      <w:r w:rsidRPr="00C218FB">
        <w:rPr>
          <w:rFonts w:ascii="Times New Roman" w:hAnsi="Times New Roman" w:cs="Times New Roman"/>
          <w:sz w:val="24"/>
          <w:szCs w:val="24"/>
        </w:rPr>
        <w:t xml:space="preserve">Documental pública número cuatro (4), consistente en oficio de búsqueda realizado en el Sistema Integral de Información Registral (SIFREM), expedido por el Instituto de la Función Registral del Estado de México (IFREM), misma que </w:t>
      </w:r>
      <w:r w:rsidRPr="00C218FB">
        <w:rPr>
          <w:rFonts w:ascii="Times New Roman" w:hAnsi="Times New Roman" w:cs="Times New Roman"/>
          <w:b/>
          <w:sz w:val="24"/>
          <w:szCs w:val="24"/>
        </w:rPr>
        <w:t>se tuvo por desahogada por su propia y especial naturaleza.</w:t>
      </w:r>
    </w:p>
    <w:p w:rsidR="000F603A" w:rsidRPr="00C218FB" w:rsidRDefault="000F603A" w:rsidP="00C218FB">
      <w:pPr>
        <w:pStyle w:val="Prrafodelista"/>
        <w:ind w:left="567"/>
        <w:rPr>
          <w:rFonts w:ascii="Times New Roman" w:hAnsi="Times New Roman" w:cs="Times New Roman"/>
          <w:sz w:val="24"/>
          <w:szCs w:val="24"/>
        </w:rPr>
      </w:pPr>
    </w:p>
    <w:p w:rsidR="000F603A" w:rsidRPr="00C218FB" w:rsidRDefault="000F603A" w:rsidP="00C218FB">
      <w:pPr>
        <w:pStyle w:val="Prrafodelista"/>
        <w:widowControl/>
        <w:numPr>
          <w:ilvl w:val="0"/>
          <w:numId w:val="34"/>
        </w:numPr>
        <w:autoSpaceDE/>
        <w:autoSpaceDN/>
        <w:ind w:left="567" w:right="0"/>
        <w:contextualSpacing/>
        <w:rPr>
          <w:rFonts w:ascii="Times New Roman" w:hAnsi="Times New Roman" w:cs="Times New Roman"/>
          <w:b/>
          <w:sz w:val="24"/>
          <w:szCs w:val="24"/>
        </w:rPr>
      </w:pPr>
      <w:r w:rsidRPr="00C218FB">
        <w:rPr>
          <w:rFonts w:ascii="Times New Roman" w:hAnsi="Times New Roman" w:cs="Times New Roman"/>
          <w:sz w:val="24"/>
          <w:szCs w:val="24"/>
        </w:rPr>
        <w:t xml:space="preserve">Documental pública número cinco (5), consistente en legajo de copias certificadas emitidas por el Instituto de la Función Registral del Estado de México (IFREM), relativas a la solicitud de inscripción de la modificación del Plan Municipal de Desarrollo Urbano de Acolman, misma que </w:t>
      </w:r>
      <w:r w:rsidRPr="00C218FB">
        <w:rPr>
          <w:rFonts w:ascii="Times New Roman" w:hAnsi="Times New Roman" w:cs="Times New Roman"/>
          <w:b/>
          <w:sz w:val="24"/>
          <w:szCs w:val="24"/>
        </w:rPr>
        <w:t>se tuvo por desahogada por su propia y especial naturaleza.</w:t>
      </w:r>
    </w:p>
    <w:p w:rsidR="000F603A" w:rsidRPr="00C218FB" w:rsidRDefault="000F603A" w:rsidP="00C218FB">
      <w:pPr>
        <w:pStyle w:val="Prrafodelista"/>
        <w:ind w:left="567"/>
        <w:rPr>
          <w:rFonts w:ascii="Times New Roman" w:hAnsi="Times New Roman" w:cs="Times New Roman"/>
          <w:sz w:val="24"/>
          <w:szCs w:val="24"/>
        </w:rPr>
      </w:pPr>
    </w:p>
    <w:p w:rsidR="000F603A" w:rsidRPr="00C218FB" w:rsidRDefault="000F603A" w:rsidP="00C218FB">
      <w:pPr>
        <w:pStyle w:val="Prrafodelista"/>
        <w:widowControl/>
        <w:numPr>
          <w:ilvl w:val="0"/>
          <w:numId w:val="34"/>
        </w:numPr>
        <w:autoSpaceDE/>
        <w:autoSpaceDN/>
        <w:ind w:left="567" w:right="0"/>
        <w:contextualSpacing/>
        <w:rPr>
          <w:rFonts w:ascii="Times New Roman" w:hAnsi="Times New Roman" w:cs="Times New Roman"/>
          <w:b/>
          <w:sz w:val="24"/>
          <w:szCs w:val="24"/>
        </w:rPr>
      </w:pPr>
      <w:r w:rsidRPr="00C218FB">
        <w:rPr>
          <w:rFonts w:ascii="Times New Roman" w:hAnsi="Times New Roman" w:cs="Times New Roman"/>
          <w:sz w:val="24"/>
          <w:szCs w:val="24"/>
        </w:rPr>
        <w:t xml:space="preserve">Documental pública número seis (6), consistente en cuatro oficios identificados con los números PTM-CVTC-289/2009, PTM-CVTC-197/2009, PTM-CVTC-225/2009, referentes a permisos solicitados a Petróleos Mexicanos (PEMEX), misma que </w:t>
      </w:r>
      <w:r w:rsidRPr="00C218FB">
        <w:rPr>
          <w:rFonts w:ascii="Times New Roman" w:hAnsi="Times New Roman" w:cs="Times New Roman"/>
          <w:b/>
          <w:sz w:val="24"/>
          <w:szCs w:val="24"/>
        </w:rPr>
        <w:t>se tuvo por desahogada por su propia y especial naturaleza.</w:t>
      </w:r>
    </w:p>
    <w:p w:rsidR="000F603A" w:rsidRPr="00C218FB" w:rsidRDefault="000F603A" w:rsidP="00C218FB">
      <w:pPr>
        <w:pStyle w:val="Prrafodelista"/>
        <w:ind w:left="567"/>
        <w:rPr>
          <w:rFonts w:ascii="Times New Roman" w:hAnsi="Times New Roman" w:cs="Times New Roman"/>
          <w:sz w:val="24"/>
          <w:szCs w:val="24"/>
        </w:rPr>
      </w:pPr>
    </w:p>
    <w:p w:rsidR="000F603A" w:rsidRPr="00C218FB" w:rsidRDefault="000F603A" w:rsidP="00C218FB">
      <w:pPr>
        <w:pStyle w:val="Prrafodelista"/>
        <w:widowControl/>
        <w:numPr>
          <w:ilvl w:val="0"/>
          <w:numId w:val="34"/>
        </w:numPr>
        <w:autoSpaceDE/>
        <w:autoSpaceDN/>
        <w:ind w:left="567" w:right="0"/>
        <w:contextualSpacing/>
        <w:rPr>
          <w:rFonts w:ascii="Times New Roman" w:hAnsi="Times New Roman" w:cs="Times New Roman"/>
          <w:sz w:val="24"/>
          <w:szCs w:val="24"/>
        </w:rPr>
      </w:pPr>
      <w:r w:rsidRPr="00C218FB">
        <w:rPr>
          <w:rFonts w:ascii="Times New Roman" w:hAnsi="Times New Roman" w:cs="Times New Roman"/>
          <w:sz w:val="24"/>
          <w:szCs w:val="24"/>
        </w:rPr>
        <w:lastRenderedPageBreak/>
        <w:t xml:space="preserve">Documental pública número siete (7), consistente en certificación de la impresión en papel bond del mapa municipal de Acolman, expedida por el Director de Geografía del Instituto de Información e Investigación Geográfica, Estadística y Catastral del Estado de México (IGECEM), misma que </w:t>
      </w:r>
      <w:r w:rsidRPr="00C218FB">
        <w:rPr>
          <w:rFonts w:ascii="Times New Roman" w:hAnsi="Times New Roman" w:cs="Times New Roman"/>
          <w:b/>
          <w:sz w:val="24"/>
          <w:szCs w:val="24"/>
        </w:rPr>
        <w:t>se tuvo por desahogada por su propia y especial naturaleza.</w:t>
      </w:r>
    </w:p>
    <w:p w:rsidR="000F603A" w:rsidRPr="00C218FB" w:rsidRDefault="000F603A" w:rsidP="00C218FB">
      <w:pPr>
        <w:pStyle w:val="Prrafodelista"/>
        <w:ind w:left="567"/>
        <w:rPr>
          <w:rFonts w:ascii="Times New Roman" w:hAnsi="Times New Roman" w:cs="Times New Roman"/>
          <w:sz w:val="24"/>
          <w:szCs w:val="24"/>
        </w:rPr>
      </w:pPr>
    </w:p>
    <w:p w:rsidR="000F603A" w:rsidRPr="00C218FB" w:rsidRDefault="000F603A" w:rsidP="00C218FB">
      <w:pPr>
        <w:pStyle w:val="Prrafodelista"/>
        <w:widowControl/>
        <w:numPr>
          <w:ilvl w:val="0"/>
          <w:numId w:val="34"/>
        </w:numPr>
        <w:autoSpaceDE/>
        <w:autoSpaceDN/>
        <w:ind w:left="567" w:right="0"/>
        <w:contextualSpacing/>
        <w:rPr>
          <w:rFonts w:ascii="Times New Roman" w:hAnsi="Times New Roman" w:cs="Times New Roman"/>
          <w:b/>
          <w:sz w:val="24"/>
          <w:szCs w:val="24"/>
        </w:rPr>
      </w:pPr>
      <w:r w:rsidRPr="00C218FB">
        <w:rPr>
          <w:rFonts w:ascii="Times New Roman" w:hAnsi="Times New Roman" w:cs="Times New Roman"/>
          <w:sz w:val="24"/>
          <w:szCs w:val="24"/>
        </w:rPr>
        <w:t xml:space="preserve">Documental pública número ocho (8), consistente en copias del inventario simplificado de predios, elaborado en el Sistema de Gestión Catastral del Instituto de Información e Investigación Geográfica, Estadística y Catastral del Estado de México (IGECEM), misma que </w:t>
      </w:r>
      <w:r w:rsidRPr="00C218FB">
        <w:rPr>
          <w:rFonts w:ascii="Times New Roman" w:hAnsi="Times New Roman" w:cs="Times New Roman"/>
          <w:b/>
          <w:sz w:val="24"/>
          <w:szCs w:val="24"/>
        </w:rPr>
        <w:t>se tuvo por desahogada por su propia y especial naturaleza.</w:t>
      </w:r>
    </w:p>
    <w:p w:rsidR="000F603A" w:rsidRPr="00C218FB" w:rsidRDefault="000F603A" w:rsidP="00C218FB">
      <w:pPr>
        <w:pStyle w:val="Prrafodelista"/>
        <w:ind w:left="567"/>
        <w:rPr>
          <w:rFonts w:ascii="Times New Roman" w:hAnsi="Times New Roman" w:cs="Times New Roman"/>
          <w:sz w:val="24"/>
          <w:szCs w:val="24"/>
        </w:rPr>
      </w:pPr>
    </w:p>
    <w:p w:rsidR="000F603A" w:rsidRPr="00C218FB" w:rsidRDefault="000F603A" w:rsidP="00C218FB">
      <w:pPr>
        <w:pStyle w:val="Prrafodelista"/>
        <w:widowControl/>
        <w:numPr>
          <w:ilvl w:val="0"/>
          <w:numId w:val="34"/>
        </w:numPr>
        <w:autoSpaceDE/>
        <w:autoSpaceDN/>
        <w:ind w:left="567" w:right="0"/>
        <w:contextualSpacing/>
        <w:rPr>
          <w:rFonts w:ascii="Times New Roman" w:hAnsi="Times New Roman" w:cs="Times New Roman"/>
          <w:b/>
          <w:sz w:val="24"/>
          <w:szCs w:val="24"/>
        </w:rPr>
      </w:pPr>
      <w:r w:rsidRPr="00C218FB">
        <w:rPr>
          <w:rFonts w:ascii="Times New Roman" w:hAnsi="Times New Roman" w:cs="Times New Roman"/>
          <w:sz w:val="24"/>
          <w:szCs w:val="24"/>
        </w:rPr>
        <w:t xml:space="preserve">Documental pública número nueve (9), consistente en copias simples de las escrituras públicas números 30,516; 132,379 y 10,803, relativas a diversos predios, misma que </w:t>
      </w:r>
      <w:r w:rsidRPr="00C218FB">
        <w:rPr>
          <w:rFonts w:ascii="Times New Roman" w:hAnsi="Times New Roman" w:cs="Times New Roman"/>
          <w:b/>
          <w:sz w:val="24"/>
          <w:szCs w:val="24"/>
        </w:rPr>
        <w:t>se tuvo por desahogada por su propia y especial naturaleza.</w:t>
      </w:r>
    </w:p>
    <w:p w:rsidR="000F603A" w:rsidRPr="00C218FB" w:rsidRDefault="000F603A" w:rsidP="00C218FB">
      <w:pPr>
        <w:pStyle w:val="Prrafodelista"/>
        <w:ind w:left="567"/>
        <w:rPr>
          <w:rFonts w:ascii="Times New Roman" w:hAnsi="Times New Roman" w:cs="Times New Roman"/>
          <w:sz w:val="24"/>
          <w:szCs w:val="24"/>
        </w:rPr>
      </w:pPr>
    </w:p>
    <w:p w:rsidR="000F603A" w:rsidRPr="00C218FB" w:rsidRDefault="000F603A" w:rsidP="00C218FB">
      <w:pPr>
        <w:pStyle w:val="Prrafodelista"/>
        <w:widowControl/>
        <w:numPr>
          <w:ilvl w:val="0"/>
          <w:numId w:val="34"/>
        </w:numPr>
        <w:autoSpaceDE/>
        <w:autoSpaceDN/>
        <w:ind w:left="567" w:right="0"/>
        <w:contextualSpacing/>
        <w:rPr>
          <w:rFonts w:ascii="Times New Roman" w:hAnsi="Times New Roman" w:cs="Times New Roman"/>
          <w:sz w:val="24"/>
          <w:szCs w:val="24"/>
        </w:rPr>
      </w:pPr>
      <w:r w:rsidRPr="00C218FB">
        <w:rPr>
          <w:rFonts w:ascii="Times New Roman" w:hAnsi="Times New Roman" w:cs="Times New Roman"/>
          <w:sz w:val="24"/>
          <w:szCs w:val="24"/>
        </w:rPr>
        <w:t xml:space="preserve">Prueba testimonial número diez (10), a cargo de los CC. María de Jesús Castañeda Fernández, Marina Rojas García, José Gregorio Caín Gabriel, María Félix Ocampo </w:t>
      </w:r>
      <w:proofErr w:type="spellStart"/>
      <w:r w:rsidRPr="00C218FB">
        <w:rPr>
          <w:rFonts w:ascii="Times New Roman" w:hAnsi="Times New Roman" w:cs="Times New Roman"/>
          <w:sz w:val="24"/>
          <w:szCs w:val="24"/>
        </w:rPr>
        <w:t>Noverón</w:t>
      </w:r>
      <w:proofErr w:type="spellEnd"/>
      <w:r w:rsidRPr="00C218FB">
        <w:rPr>
          <w:rFonts w:ascii="Times New Roman" w:hAnsi="Times New Roman" w:cs="Times New Roman"/>
          <w:sz w:val="24"/>
          <w:szCs w:val="24"/>
        </w:rPr>
        <w:t xml:space="preserve"> y Flor Alcaraz Espina, respecto de hechos relacionados con la atención territorial y administrativa en la zona del diferendo, cuya preparación y desahogo fue ordenada conforme a los plazos y términos previstos en la Ley Reglamentaria.</w:t>
      </w:r>
    </w:p>
    <w:p w:rsidR="000F603A" w:rsidRPr="00C218FB" w:rsidRDefault="000F603A" w:rsidP="00C218FB">
      <w:pPr>
        <w:pStyle w:val="Prrafodelista"/>
        <w:ind w:left="567"/>
        <w:rPr>
          <w:rFonts w:ascii="Times New Roman" w:hAnsi="Times New Roman" w:cs="Times New Roman"/>
          <w:sz w:val="24"/>
          <w:szCs w:val="24"/>
        </w:rPr>
      </w:pPr>
    </w:p>
    <w:p w:rsidR="000F603A" w:rsidRPr="00C218FB" w:rsidRDefault="000F603A" w:rsidP="00C218FB">
      <w:pPr>
        <w:pStyle w:val="Prrafodelista"/>
        <w:ind w:left="567"/>
        <w:rPr>
          <w:rFonts w:ascii="Times New Roman" w:hAnsi="Times New Roman" w:cs="Times New Roman"/>
          <w:b/>
          <w:sz w:val="24"/>
          <w:szCs w:val="24"/>
        </w:rPr>
      </w:pPr>
      <w:r w:rsidRPr="00C218FB">
        <w:rPr>
          <w:rFonts w:ascii="Times New Roman" w:hAnsi="Times New Roman" w:cs="Times New Roman"/>
          <w:b/>
          <w:sz w:val="24"/>
          <w:szCs w:val="24"/>
        </w:rPr>
        <w:t>ESTA PRUEBA FUE DESAHOGADA MEDIANTE ACUERDO DE LA COMISIÓN DE FECHA DIECIOCHO DE ENERO DE 2023.</w:t>
      </w:r>
    </w:p>
    <w:p w:rsidR="000F603A" w:rsidRPr="00C218FB" w:rsidRDefault="000F603A" w:rsidP="00C218FB">
      <w:pPr>
        <w:pStyle w:val="Prrafodelista"/>
        <w:ind w:left="567"/>
        <w:rPr>
          <w:rFonts w:ascii="Times New Roman" w:hAnsi="Times New Roman" w:cs="Times New Roman"/>
          <w:sz w:val="24"/>
          <w:szCs w:val="24"/>
        </w:rPr>
      </w:pPr>
    </w:p>
    <w:p w:rsidR="000F603A" w:rsidRPr="00C218FB" w:rsidRDefault="000F603A" w:rsidP="00C218FB">
      <w:pPr>
        <w:pStyle w:val="Prrafodelista"/>
        <w:widowControl/>
        <w:numPr>
          <w:ilvl w:val="0"/>
          <w:numId w:val="34"/>
        </w:numPr>
        <w:autoSpaceDE/>
        <w:autoSpaceDN/>
        <w:ind w:left="567" w:right="0"/>
        <w:contextualSpacing/>
        <w:rPr>
          <w:rFonts w:ascii="Times New Roman" w:hAnsi="Times New Roman" w:cs="Times New Roman"/>
          <w:sz w:val="24"/>
          <w:szCs w:val="24"/>
        </w:rPr>
      </w:pPr>
      <w:r w:rsidRPr="00C218FB">
        <w:rPr>
          <w:rFonts w:ascii="Times New Roman" w:hAnsi="Times New Roman" w:cs="Times New Roman"/>
          <w:sz w:val="24"/>
          <w:szCs w:val="24"/>
        </w:rPr>
        <w:t>Prueba pericial número once (11), consistente en dictamen técnico, ofrecido por el Municipio de Acolman, relativo a la valoración cartográfica, análisis de coordenadas, elaboración de cuadro de coordenadas y plano de referencia, así como a la comparación con documentos oficiales y la apreciación exacta del espacio territorial, ordenándose su preparación y desahogo conforme a los términos previstos por la Ley Reglamentaria.</w:t>
      </w:r>
    </w:p>
    <w:p w:rsidR="000F603A" w:rsidRPr="00C218FB" w:rsidRDefault="000F603A" w:rsidP="00C218FB">
      <w:pPr>
        <w:pStyle w:val="Prrafodelista"/>
        <w:ind w:left="567"/>
        <w:rPr>
          <w:rFonts w:ascii="Times New Roman" w:hAnsi="Times New Roman" w:cs="Times New Roman"/>
          <w:sz w:val="24"/>
          <w:szCs w:val="24"/>
        </w:rPr>
      </w:pPr>
    </w:p>
    <w:p w:rsidR="000F603A" w:rsidRPr="00C218FB" w:rsidRDefault="000F603A" w:rsidP="00C218FB">
      <w:pPr>
        <w:pStyle w:val="Prrafodelista"/>
        <w:ind w:left="567"/>
        <w:rPr>
          <w:rFonts w:ascii="Times New Roman" w:hAnsi="Times New Roman" w:cs="Times New Roman"/>
          <w:sz w:val="24"/>
          <w:szCs w:val="24"/>
        </w:rPr>
      </w:pPr>
      <w:r w:rsidRPr="00C218FB">
        <w:rPr>
          <w:rFonts w:ascii="Times New Roman" w:hAnsi="Times New Roman" w:cs="Times New Roman"/>
          <w:sz w:val="24"/>
          <w:szCs w:val="24"/>
        </w:rPr>
        <w:t>Esta prueba no fue desahogada, toda vez que el municipio oferente aclaró posteriormente que su ofrecimiento se refería al Dictamen Técnico que habría de emitir la Comisión Estatal de Límites Territoriales. Dicho dictamen fue emitido con posterioridad al cierre del periodo probatorio, por lo que no fue desahogado como prueba pericial ofrecida por alguna de las partes.</w:t>
      </w:r>
    </w:p>
    <w:p w:rsidR="000F603A" w:rsidRPr="00C218FB" w:rsidRDefault="000F603A" w:rsidP="00C218FB">
      <w:pPr>
        <w:pStyle w:val="Prrafodelista"/>
        <w:ind w:left="567"/>
        <w:rPr>
          <w:rFonts w:ascii="Times New Roman" w:hAnsi="Times New Roman" w:cs="Times New Roman"/>
          <w:sz w:val="24"/>
          <w:szCs w:val="24"/>
        </w:rPr>
      </w:pPr>
    </w:p>
    <w:p w:rsidR="000F603A" w:rsidRPr="00C218FB" w:rsidRDefault="000F603A" w:rsidP="00C218FB">
      <w:pPr>
        <w:pStyle w:val="Prrafodelista"/>
        <w:ind w:left="567"/>
        <w:rPr>
          <w:rFonts w:ascii="Times New Roman" w:hAnsi="Times New Roman" w:cs="Times New Roman"/>
          <w:sz w:val="24"/>
          <w:szCs w:val="24"/>
        </w:rPr>
      </w:pPr>
      <w:r w:rsidRPr="00C218FB">
        <w:rPr>
          <w:rFonts w:ascii="Times New Roman" w:hAnsi="Times New Roman" w:cs="Times New Roman"/>
          <w:sz w:val="24"/>
          <w:szCs w:val="24"/>
        </w:rPr>
        <w:t>No obstante lo anterior, debe precisarse que, de conformidad con lo dispuesto en el artículo 48 de la Ley Reglamentaria de las fracciones XXV y XXVI del artículo 61 de la Constitución Política del Estado Libre y Soberano de México, la solicitud y emisión del Dictamen Técnico por parte de la Comisión Estatal constituye un acto previsto expresamente en la ley, en su carácter de elemento auxiliar y consultivo del procedimiento, y no como un medio de prueba sujeto a ofrecimiento, admisión y desahogo dentro del periodo probatorio.</w:t>
      </w:r>
    </w:p>
    <w:p w:rsidR="000F603A" w:rsidRPr="00C218FB" w:rsidRDefault="000F603A" w:rsidP="00C218FB">
      <w:pPr>
        <w:pStyle w:val="Prrafodelista"/>
        <w:ind w:left="567"/>
        <w:rPr>
          <w:rFonts w:ascii="Times New Roman" w:hAnsi="Times New Roman" w:cs="Times New Roman"/>
          <w:sz w:val="24"/>
          <w:szCs w:val="24"/>
        </w:rPr>
      </w:pPr>
    </w:p>
    <w:p w:rsidR="000F603A" w:rsidRPr="00C218FB" w:rsidRDefault="000F603A" w:rsidP="00C218FB">
      <w:pPr>
        <w:pStyle w:val="Prrafodelista"/>
        <w:ind w:left="567"/>
        <w:rPr>
          <w:rFonts w:ascii="Times New Roman" w:hAnsi="Times New Roman" w:cs="Times New Roman"/>
          <w:sz w:val="24"/>
          <w:szCs w:val="24"/>
        </w:rPr>
      </w:pPr>
      <w:r w:rsidRPr="00C218FB">
        <w:rPr>
          <w:rFonts w:ascii="Times New Roman" w:hAnsi="Times New Roman" w:cs="Times New Roman"/>
          <w:sz w:val="24"/>
          <w:szCs w:val="24"/>
        </w:rPr>
        <w:t>En consecuencia, si bien dicho dictamen no se valora como prueba pericial ofrecida por el municipio de Acolman, sí forma parte integral del expediente como instrumento técnico auxiliar, cuya apreciación corresponde exclusivamente a esta Soberanía al momento de resolver el fondo del presente diferendo limítrofe.</w:t>
      </w:r>
    </w:p>
    <w:p w:rsidR="000F603A" w:rsidRPr="00C218FB" w:rsidRDefault="000F603A" w:rsidP="00C218FB">
      <w:pPr>
        <w:spacing w:after="0" w:line="240" w:lineRule="auto"/>
        <w:ind w:left="630"/>
        <w:jc w:val="both"/>
        <w:rPr>
          <w:rFonts w:ascii="Times New Roman" w:eastAsia="Arial" w:hAnsi="Times New Roman" w:cs="Times New Roman"/>
          <w:sz w:val="24"/>
          <w:szCs w:val="24"/>
        </w:rPr>
      </w:pPr>
    </w:p>
    <w:p w:rsidR="000F603A" w:rsidRPr="00C218FB" w:rsidRDefault="000F603A" w:rsidP="00C218FB">
      <w:pPr>
        <w:spacing w:after="0" w:line="240" w:lineRule="auto"/>
        <w:jc w:val="both"/>
        <w:rPr>
          <w:rFonts w:ascii="Times New Roman" w:eastAsia="Arial" w:hAnsi="Times New Roman" w:cs="Times New Roman"/>
          <w:b/>
          <w:sz w:val="24"/>
          <w:szCs w:val="24"/>
          <w:lang w:val="es-ES"/>
        </w:rPr>
      </w:pPr>
      <w:r w:rsidRPr="00C218FB">
        <w:rPr>
          <w:rFonts w:ascii="Times New Roman" w:eastAsia="Arial" w:hAnsi="Times New Roman" w:cs="Times New Roman"/>
          <w:b/>
          <w:sz w:val="24"/>
          <w:szCs w:val="24"/>
          <w:lang w:val="es-ES"/>
        </w:rPr>
        <w:t xml:space="preserve">PRUEBAS DESAHOGADAS </w:t>
      </w:r>
      <w:r w:rsidRPr="00C218FB">
        <w:rPr>
          <w:rFonts w:ascii="Times New Roman" w:eastAsia="Arial" w:hAnsi="Times New Roman" w:cs="Times New Roman"/>
          <w:b/>
          <w:bCs/>
          <w:sz w:val="24"/>
          <w:szCs w:val="24"/>
          <w:lang w:val="es-ES"/>
        </w:rPr>
        <w:t xml:space="preserve">POR EL MUNICIPIO DE </w:t>
      </w:r>
      <w:r w:rsidRPr="00C218FB">
        <w:rPr>
          <w:rFonts w:ascii="Times New Roman" w:eastAsia="Arial" w:hAnsi="Times New Roman" w:cs="Times New Roman"/>
          <w:b/>
          <w:sz w:val="24"/>
          <w:szCs w:val="24"/>
          <w:lang w:val="es-ES"/>
        </w:rPr>
        <w:t>ECATEPEC DE MORELOS</w:t>
      </w:r>
    </w:p>
    <w:p w:rsidR="000F603A" w:rsidRPr="00C218FB" w:rsidRDefault="000F603A" w:rsidP="00C218FB">
      <w:pPr>
        <w:spacing w:after="0" w:line="240" w:lineRule="auto"/>
        <w:jc w:val="both"/>
        <w:rPr>
          <w:rFonts w:ascii="Times New Roman" w:eastAsia="Arial" w:hAnsi="Times New Roman" w:cs="Times New Roman"/>
          <w:sz w:val="24"/>
          <w:szCs w:val="24"/>
          <w:lang w:val="es-ES"/>
        </w:rPr>
      </w:pPr>
      <w:r w:rsidRPr="00C218FB">
        <w:rPr>
          <w:rFonts w:ascii="Times New Roman" w:eastAsia="Arial" w:hAnsi="Times New Roman" w:cs="Times New Roman"/>
          <w:sz w:val="24"/>
          <w:szCs w:val="24"/>
          <w:lang w:val="es-ES"/>
        </w:rPr>
        <w:lastRenderedPageBreak/>
        <w:t xml:space="preserve">En relación con el documento suscrito por los C.C. Luis Fernando Vilchis Contreras y María Elena Germán Rivero, Presidente y Síndica constitucionales, respectivamente, del Municipio de Ecatepec de Morelos, recibido en la oficina de la Presidencia de esta Comisión Legislativa en fecha veintidós (22) de noviembre del año en curso, a través del cual ratifican cada una de las pruebas anteriormente ofrecidas y a su vez remiten nuevas, se admitieron las siguientes pruebas: </w:t>
      </w:r>
    </w:p>
    <w:p w:rsidR="000F603A" w:rsidRPr="00C218FB" w:rsidRDefault="000F603A" w:rsidP="00C218FB">
      <w:pPr>
        <w:spacing w:after="0" w:line="240" w:lineRule="auto"/>
        <w:jc w:val="both"/>
        <w:rPr>
          <w:rFonts w:ascii="Times New Roman" w:eastAsia="Arial" w:hAnsi="Times New Roman" w:cs="Times New Roman"/>
          <w:sz w:val="24"/>
          <w:szCs w:val="24"/>
          <w:lang w:val="es-ES"/>
        </w:rPr>
      </w:pPr>
    </w:p>
    <w:p w:rsidR="000F603A" w:rsidRPr="00C218FB" w:rsidRDefault="000F603A" w:rsidP="00C218FB">
      <w:pPr>
        <w:pStyle w:val="Prrafodelista"/>
        <w:widowControl/>
        <w:numPr>
          <w:ilvl w:val="0"/>
          <w:numId w:val="41"/>
        </w:numPr>
        <w:autoSpaceDE/>
        <w:autoSpaceDN/>
        <w:ind w:left="567" w:right="0"/>
        <w:contextualSpacing/>
        <w:rPr>
          <w:rFonts w:ascii="Times New Roman" w:hAnsi="Times New Roman" w:cs="Times New Roman"/>
          <w:sz w:val="24"/>
          <w:szCs w:val="24"/>
        </w:rPr>
      </w:pPr>
      <w:r w:rsidRPr="00C218FB">
        <w:rPr>
          <w:rFonts w:ascii="Times New Roman" w:hAnsi="Times New Roman" w:cs="Times New Roman"/>
          <w:sz w:val="24"/>
          <w:szCs w:val="24"/>
        </w:rPr>
        <w:t>Las documentales públicas marcadas con el numeral uno punto uno (1.1) en el escrito en comento, consistentes en un total de catorce oficios originales suscritos, respectivamente, por las personas titulares de las dependencias que integran la administración pública municipal de Ecatepec de Morelos, Estado de México, por lo cual, para todos los efectos legales a los que haya lugar, se desglosan de acuerdo al orden siguiente, mismo se indica a través del escrito recibido en fecha veintinueve (29) de abril, así como en fecha veintitrés (23) de junio, ambos del presente año:</w:t>
      </w:r>
    </w:p>
    <w:p w:rsidR="000F603A" w:rsidRPr="00C218FB" w:rsidRDefault="000F603A" w:rsidP="00C218FB">
      <w:pPr>
        <w:spacing w:after="0" w:line="240" w:lineRule="auto"/>
        <w:jc w:val="both"/>
        <w:rPr>
          <w:rFonts w:ascii="Times New Roman" w:eastAsia="Arial" w:hAnsi="Times New Roman" w:cs="Times New Roman"/>
          <w:sz w:val="24"/>
          <w:szCs w:val="24"/>
          <w:lang w:val="es-ES"/>
        </w:rPr>
      </w:pPr>
    </w:p>
    <w:p w:rsidR="000F603A" w:rsidRPr="00C218FB" w:rsidRDefault="000F603A" w:rsidP="00C218FB">
      <w:pPr>
        <w:pStyle w:val="Prrafodelista"/>
        <w:widowControl/>
        <w:numPr>
          <w:ilvl w:val="1"/>
          <w:numId w:val="42"/>
        </w:numPr>
        <w:autoSpaceDE/>
        <w:autoSpaceDN/>
        <w:ind w:left="993" w:right="0"/>
        <w:contextualSpacing/>
        <w:rPr>
          <w:rFonts w:ascii="Times New Roman" w:hAnsi="Times New Roman" w:cs="Times New Roman"/>
          <w:sz w:val="24"/>
          <w:szCs w:val="24"/>
        </w:rPr>
      </w:pPr>
      <w:r w:rsidRPr="00C218FB">
        <w:rPr>
          <w:rFonts w:ascii="Times New Roman" w:hAnsi="Times New Roman" w:cs="Times New Roman"/>
          <w:sz w:val="24"/>
          <w:szCs w:val="24"/>
        </w:rPr>
        <w:t>Oficio registrado con el número DG/ECA/926/2022, emitido por la Dirección de Gobierno del Ayuntamiento de Ecatepec de Morelos, certificado por la Lic. Rocío Rivera Alcántara, Encargada de Despacho de la Secretaría Municipal, consistente en el nombramiento de Presidente de COPACI y Delegado de las colonias: Santa María Chiconautla, Lázaro Cárdenas, Termoeléctrica, Ampliación Lázaro Cárdenas, El Salado y El Plan de Arroyo.</w:t>
      </w:r>
    </w:p>
    <w:p w:rsidR="000F603A" w:rsidRPr="00C218FB" w:rsidRDefault="000F603A" w:rsidP="00C218FB">
      <w:pPr>
        <w:spacing w:after="0" w:line="240" w:lineRule="auto"/>
        <w:ind w:left="993"/>
        <w:jc w:val="both"/>
        <w:rPr>
          <w:rFonts w:ascii="Times New Roman" w:eastAsia="Arial" w:hAnsi="Times New Roman" w:cs="Times New Roman"/>
          <w:sz w:val="24"/>
          <w:szCs w:val="24"/>
          <w:lang w:val="es-ES"/>
        </w:rPr>
      </w:pPr>
    </w:p>
    <w:p w:rsidR="000F603A" w:rsidRPr="00C218FB" w:rsidRDefault="000F603A" w:rsidP="00C218FB">
      <w:pPr>
        <w:pStyle w:val="Prrafodelista"/>
        <w:widowControl/>
        <w:numPr>
          <w:ilvl w:val="1"/>
          <w:numId w:val="42"/>
        </w:numPr>
        <w:autoSpaceDE/>
        <w:autoSpaceDN/>
        <w:ind w:left="993" w:right="0"/>
        <w:contextualSpacing/>
        <w:rPr>
          <w:rFonts w:ascii="Times New Roman" w:hAnsi="Times New Roman" w:cs="Times New Roman"/>
          <w:sz w:val="24"/>
          <w:szCs w:val="24"/>
        </w:rPr>
      </w:pPr>
      <w:r w:rsidRPr="00C218FB">
        <w:rPr>
          <w:rFonts w:ascii="Times New Roman" w:hAnsi="Times New Roman" w:cs="Times New Roman"/>
          <w:sz w:val="24"/>
          <w:szCs w:val="24"/>
        </w:rPr>
        <w:t>Oficio registrado con el número DG/ECA/926/2022, emitido por la Dirección de Gobierno del Ayuntamiento de Ecatepec de Morelos, certificado por la Lic. Rocío Rivera Alcántara, Encargada de Despacho de la Secretaría Municipal, consistente en copia del expediente formado con motivo de la solicitud del C. Rafael González Ventura, dirigida al C. Fernando Vilchis Contreras, Presidente Municipal de Ecatepec.</w:t>
      </w:r>
    </w:p>
    <w:p w:rsidR="000F603A" w:rsidRPr="00C218FB" w:rsidRDefault="000F603A" w:rsidP="00C218FB">
      <w:pPr>
        <w:spacing w:after="0" w:line="240" w:lineRule="auto"/>
        <w:ind w:left="993"/>
        <w:jc w:val="both"/>
        <w:rPr>
          <w:rFonts w:ascii="Times New Roman" w:eastAsia="Arial" w:hAnsi="Times New Roman" w:cs="Times New Roman"/>
          <w:sz w:val="24"/>
          <w:szCs w:val="24"/>
          <w:lang w:val="es-ES"/>
        </w:rPr>
      </w:pPr>
    </w:p>
    <w:p w:rsidR="000F603A" w:rsidRPr="00C218FB" w:rsidRDefault="000F603A" w:rsidP="00C218FB">
      <w:pPr>
        <w:pStyle w:val="Prrafodelista"/>
        <w:widowControl/>
        <w:numPr>
          <w:ilvl w:val="1"/>
          <w:numId w:val="42"/>
        </w:numPr>
        <w:autoSpaceDE/>
        <w:autoSpaceDN/>
        <w:ind w:left="993" w:right="0"/>
        <w:contextualSpacing/>
        <w:rPr>
          <w:rFonts w:ascii="Times New Roman" w:hAnsi="Times New Roman" w:cs="Times New Roman"/>
          <w:sz w:val="24"/>
          <w:szCs w:val="24"/>
        </w:rPr>
      </w:pPr>
      <w:r w:rsidRPr="00C218FB">
        <w:rPr>
          <w:rFonts w:ascii="Times New Roman" w:hAnsi="Times New Roman" w:cs="Times New Roman"/>
          <w:sz w:val="24"/>
          <w:szCs w:val="24"/>
        </w:rPr>
        <w:t xml:space="preserve">Oficio registrado con el número SMDIF/DG/0339/2022, emitido por el Sistema Municipal para el Desarrollo Integral de la Familia (DIF Municipal) del Ayuntamiento de Ecatepec, certificado por la Lic. </w:t>
      </w:r>
      <w:proofErr w:type="spellStart"/>
      <w:r w:rsidRPr="00C218FB">
        <w:rPr>
          <w:rFonts w:ascii="Times New Roman" w:hAnsi="Times New Roman" w:cs="Times New Roman"/>
          <w:sz w:val="24"/>
          <w:szCs w:val="24"/>
        </w:rPr>
        <w:t>Yaidi</w:t>
      </w:r>
      <w:proofErr w:type="spellEnd"/>
      <w:r w:rsidRPr="00C218FB">
        <w:rPr>
          <w:rFonts w:ascii="Times New Roman" w:hAnsi="Times New Roman" w:cs="Times New Roman"/>
          <w:sz w:val="24"/>
          <w:szCs w:val="24"/>
        </w:rPr>
        <w:t xml:space="preserve"> Iván Patiño Méndez, Director del Sistema Municipal para el Desarrollo Integral de la Familia de Ecatepec de Morelos, consistente en informe de jornada de servicios realizadas de fechas 1 y 3 de marzo del 2022.</w:t>
      </w:r>
    </w:p>
    <w:p w:rsidR="000F603A" w:rsidRPr="00C218FB" w:rsidRDefault="000F603A" w:rsidP="00C218FB">
      <w:pPr>
        <w:spacing w:after="0" w:line="240" w:lineRule="auto"/>
        <w:ind w:left="993"/>
        <w:jc w:val="both"/>
        <w:rPr>
          <w:rFonts w:ascii="Times New Roman" w:eastAsia="Arial" w:hAnsi="Times New Roman" w:cs="Times New Roman"/>
          <w:sz w:val="24"/>
          <w:szCs w:val="24"/>
          <w:lang w:val="es-ES"/>
        </w:rPr>
      </w:pPr>
    </w:p>
    <w:p w:rsidR="000F603A" w:rsidRPr="00C218FB" w:rsidRDefault="000F603A" w:rsidP="00C218FB">
      <w:pPr>
        <w:pStyle w:val="Prrafodelista"/>
        <w:widowControl/>
        <w:numPr>
          <w:ilvl w:val="1"/>
          <w:numId w:val="42"/>
        </w:numPr>
        <w:autoSpaceDE/>
        <w:autoSpaceDN/>
        <w:ind w:left="993" w:right="0"/>
        <w:contextualSpacing/>
        <w:rPr>
          <w:rFonts w:ascii="Times New Roman" w:hAnsi="Times New Roman" w:cs="Times New Roman"/>
          <w:sz w:val="24"/>
          <w:szCs w:val="24"/>
        </w:rPr>
      </w:pPr>
      <w:r w:rsidRPr="00C218FB">
        <w:rPr>
          <w:rFonts w:ascii="Times New Roman" w:hAnsi="Times New Roman" w:cs="Times New Roman"/>
          <w:sz w:val="24"/>
          <w:szCs w:val="24"/>
        </w:rPr>
        <w:t>Oficio registrado con el número DMT/SJ/DJP/ECA/623/2022, emitido por la Dirección de Movilidad y Transporte del Ayuntamiento de Ecatepec de Morelos, certificado por el Lic. César de Jesús García Pacheco, titular de la Secretaría Municipal, consistente en copia de dos expedientes, uno identificado como CMYT/1094/2019 de trece fojas; otro identificado como NN/21/001173 de nueve fojas; NN/21/001174 de siete fojas; NN/21/001175 de siete fojas; NN/21/001176 de siete fojas; NN/20/00555 de diez fojas; y DMT/10235/2020 de diez fojas.</w:t>
      </w:r>
    </w:p>
    <w:p w:rsidR="000F603A" w:rsidRPr="00C218FB" w:rsidRDefault="000F603A" w:rsidP="00C218FB">
      <w:pPr>
        <w:spacing w:after="0" w:line="240" w:lineRule="auto"/>
        <w:ind w:left="993"/>
        <w:jc w:val="both"/>
        <w:rPr>
          <w:rFonts w:ascii="Times New Roman" w:eastAsia="Arial" w:hAnsi="Times New Roman" w:cs="Times New Roman"/>
          <w:sz w:val="24"/>
          <w:szCs w:val="24"/>
          <w:lang w:val="es-ES"/>
        </w:rPr>
      </w:pPr>
    </w:p>
    <w:p w:rsidR="000F603A" w:rsidRPr="00C218FB" w:rsidRDefault="000F603A" w:rsidP="00C218FB">
      <w:pPr>
        <w:pStyle w:val="Prrafodelista"/>
        <w:widowControl/>
        <w:numPr>
          <w:ilvl w:val="1"/>
          <w:numId w:val="42"/>
        </w:numPr>
        <w:autoSpaceDE/>
        <w:autoSpaceDN/>
        <w:ind w:left="993" w:right="0"/>
        <w:contextualSpacing/>
        <w:rPr>
          <w:rFonts w:ascii="Times New Roman" w:hAnsi="Times New Roman" w:cs="Times New Roman"/>
          <w:sz w:val="24"/>
          <w:szCs w:val="24"/>
        </w:rPr>
      </w:pPr>
      <w:r w:rsidRPr="00C218FB">
        <w:rPr>
          <w:rFonts w:ascii="Times New Roman" w:hAnsi="Times New Roman" w:cs="Times New Roman"/>
          <w:sz w:val="24"/>
          <w:szCs w:val="24"/>
        </w:rPr>
        <w:t xml:space="preserve">Oficio registrado con el número DPCE/ECA/1255/2022, expedido por la Dirección de Protección Civil y Bomberos del Ayuntamiento de Ecatepec de Morelos, certificado por la Lic. Rocío Rivera Alcántara, Encargada de Despacho de la Secretaría Municipal, consistente en copias de servicio del personal prehospitalario del rescate urbano, con número de folio y fechas que se indican de manera consecutiva y en los términos siguientes: 615 de once de enero; 965 de dieciocho de enero; 1764 de treinta y uno de enero; 2182 de ocho de febrero; 2594 de quince de febrero; 2774 de diecisiete de febrero; 2872 de diecinueve de febrero; 3069 de veintidós de febrero; 4010 de diez de marzo; </w:t>
      </w:r>
      <w:r w:rsidRPr="00C218FB">
        <w:rPr>
          <w:rFonts w:ascii="Times New Roman" w:hAnsi="Times New Roman" w:cs="Times New Roman"/>
          <w:sz w:val="24"/>
          <w:szCs w:val="24"/>
        </w:rPr>
        <w:lastRenderedPageBreak/>
        <w:t>4013 de diez de marzo; 4768 de catorce de marzo; 5352 de treinta y uno de marzo; todas las fechas anteriormente aludidas correspondientes al año dos mil veintidós; 151 de tres de enero; 411 de ocho de enero; 485 de cuatro de enero; 579 de once de enero; 1798 de uno de febrero; 1950 de seis de febrero; 2023 de siete de febrero; 2019 de ocho de febrero; 2293 de trece de febrero; 2635 de diecinueve de febrero; 3145 de veintiocho de febrero; 3172 de uno de marzo; 3651 de diez de marzo; 3969 de dieciséis de marzo; 4262 de veintidós de marzo; 4280 de veintidós de marzo; 4383 de veintinueve de marzo; 5346 de cinco de abril; 5614 de quince de abril; 5674 de dieciséis de abril; 5802 de diecinueve de abril; 6010 de veintiséis de abril; 6481 de dos de mayo; 6664 de cinco de mayo; 6665 de cinco de mayo; 6743 de siete de mayo; 6744 de siete de mayo; 8249 de cuatro de junio; 8289 de cinco de junio; 8488 de nueve de julio; 8657 de doce de junio; 8657 de doce de junio; 9212 de veintidós de junio; 9229 de veintidós de junio; 9402 de veintitrés de junio; 9977 de cinco de julio; 10207 de ocho de julio; 10237 de nueve de julio; 10460 de doce de julio; 10387 de dieciocho de julio; 11158 de veintitrés de mayo; 11440 de veintisiete de julio; 11978 de cuatro de agosto; 12237 de ocho de agosto; 13216 de veintidós de agosto; 13232 de veintitrés de agosto; 14344 de veintiséis de agosto; 13571 de veintiocho de agosto; 14434 de veintinueve de agosto; 14509 de dos de septiembre; 14526 de dos de septiembre; 14581 de ocho de septiembre; 15020 de diecisiete de septiembre; 15659 de veintiséis de septiembre; 15794 de veintinueve de septiembre; 16139 de cuatro de octubre; 16754 de catorce de octubre; 17277 de veintitrés de octubre; 17601 de veintinueve de octubre; 17741 de treinta y uno de octubre; 17442 de treinta y uno de octubre; 18057 de siete de noviembre; 18376 de trece de noviembre; 18756 de veinte de noviembre; 18813 de veintidós de noviembre; 18814 de veintitrés de noviembre; 18859 de veintitrés de noviembre; 18871 de veinticuatro de noviembre; 19081 de veinticinco de noviembre; 19179 de veintiséis de noviembre; 19739 de veintinueve de noviembre; 19870 de seis de diciembre; 20992 de diecinueve de diciembre; 20993 de veinte de diciembre; 20993 de veinte de diciembre; 20994 de veintiuno de diciembre; todas las fechas previamente mencionadas correspondientes al año dos mil veintidós.</w:t>
      </w:r>
    </w:p>
    <w:p w:rsidR="000F603A" w:rsidRPr="00C218FB" w:rsidRDefault="000F603A" w:rsidP="00C218FB">
      <w:pPr>
        <w:spacing w:after="0" w:line="240" w:lineRule="auto"/>
        <w:ind w:left="993"/>
        <w:jc w:val="both"/>
        <w:rPr>
          <w:rFonts w:ascii="Times New Roman" w:eastAsia="Arial" w:hAnsi="Times New Roman" w:cs="Times New Roman"/>
          <w:sz w:val="24"/>
          <w:szCs w:val="24"/>
          <w:lang w:val="es-ES"/>
        </w:rPr>
      </w:pPr>
    </w:p>
    <w:p w:rsidR="000F603A" w:rsidRPr="00C218FB" w:rsidRDefault="000F603A" w:rsidP="00C218FB">
      <w:pPr>
        <w:pStyle w:val="Prrafodelista"/>
        <w:widowControl/>
        <w:numPr>
          <w:ilvl w:val="1"/>
          <w:numId w:val="42"/>
        </w:numPr>
        <w:autoSpaceDE/>
        <w:autoSpaceDN/>
        <w:ind w:left="993" w:right="0"/>
        <w:contextualSpacing/>
        <w:rPr>
          <w:rFonts w:ascii="Times New Roman" w:hAnsi="Times New Roman" w:cs="Times New Roman"/>
          <w:sz w:val="24"/>
          <w:szCs w:val="24"/>
        </w:rPr>
      </w:pPr>
      <w:r w:rsidRPr="00C218FB">
        <w:rPr>
          <w:rFonts w:ascii="Times New Roman" w:hAnsi="Times New Roman" w:cs="Times New Roman"/>
          <w:sz w:val="24"/>
          <w:szCs w:val="24"/>
        </w:rPr>
        <w:t>Oficio registrado con el número DMDH/408/2022, expedido por la Defensoría Municipal de Derechos Humanos del Ayuntamiento de Ecatepec de Morelos, consistente en copias de actas administrativas, acciones de gobierno, obras realizadas, así como servicios públicos y convenios de coordinación.</w:t>
      </w:r>
    </w:p>
    <w:p w:rsidR="000F603A" w:rsidRPr="00C218FB" w:rsidRDefault="000F603A" w:rsidP="00C218FB">
      <w:pPr>
        <w:spacing w:after="0" w:line="240" w:lineRule="auto"/>
        <w:ind w:left="993"/>
        <w:jc w:val="both"/>
        <w:rPr>
          <w:rFonts w:ascii="Times New Roman" w:eastAsia="Arial" w:hAnsi="Times New Roman" w:cs="Times New Roman"/>
          <w:sz w:val="24"/>
          <w:szCs w:val="24"/>
          <w:lang w:val="es-ES"/>
        </w:rPr>
      </w:pPr>
    </w:p>
    <w:p w:rsidR="000F603A" w:rsidRPr="00C218FB" w:rsidRDefault="000F603A" w:rsidP="00C218FB">
      <w:pPr>
        <w:pStyle w:val="Prrafodelista"/>
        <w:widowControl/>
        <w:numPr>
          <w:ilvl w:val="1"/>
          <w:numId w:val="42"/>
        </w:numPr>
        <w:autoSpaceDE/>
        <w:autoSpaceDN/>
        <w:ind w:left="993" w:right="0"/>
        <w:contextualSpacing/>
        <w:rPr>
          <w:rFonts w:ascii="Times New Roman" w:hAnsi="Times New Roman" w:cs="Times New Roman"/>
          <w:sz w:val="24"/>
          <w:szCs w:val="24"/>
        </w:rPr>
      </w:pPr>
      <w:r w:rsidRPr="00C218FB">
        <w:rPr>
          <w:rFonts w:ascii="Times New Roman" w:hAnsi="Times New Roman" w:cs="Times New Roman"/>
          <w:sz w:val="24"/>
          <w:szCs w:val="24"/>
        </w:rPr>
        <w:t>Oficio registrado con el número SAPAES/DG/CL/0453/2021, expedido por el Organismo Público Descentralizado para la Prestación del Servicio de Agua Potable, Alcantarillado y Saneamiento (O.P.D.S.A.P.A.S.E.) del Ayuntamiento de Ecatepec de Morelos, consistente en copias y archivos digitales de las acciones realizadas por parte del Organismo Operador del Agua, desde el año 2019 a la fecha de presentación del recurso en referencia.</w:t>
      </w:r>
    </w:p>
    <w:p w:rsidR="000F603A" w:rsidRPr="00C218FB" w:rsidRDefault="000F603A" w:rsidP="00C218FB">
      <w:pPr>
        <w:spacing w:after="0" w:line="240" w:lineRule="auto"/>
        <w:ind w:left="993"/>
        <w:jc w:val="both"/>
        <w:rPr>
          <w:rFonts w:ascii="Times New Roman" w:eastAsia="Arial" w:hAnsi="Times New Roman" w:cs="Times New Roman"/>
          <w:sz w:val="24"/>
          <w:szCs w:val="24"/>
          <w:lang w:val="es-ES"/>
        </w:rPr>
      </w:pPr>
    </w:p>
    <w:p w:rsidR="000F603A" w:rsidRPr="00C218FB" w:rsidRDefault="000F603A" w:rsidP="00C218FB">
      <w:pPr>
        <w:pStyle w:val="Prrafodelista"/>
        <w:widowControl/>
        <w:numPr>
          <w:ilvl w:val="1"/>
          <w:numId w:val="42"/>
        </w:numPr>
        <w:autoSpaceDE/>
        <w:autoSpaceDN/>
        <w:ind w:left="993" w:right="0"/>
        <w:contextualSpacing/>
        <w:rPr>
          <w:rFonts w:ascii="Times New Roman" w:hAnsi="Times New Roman" w:cs="Times New Roman"/>
          <w:sz w:val="24"/>
          <w:szCs w:val="24"/>
        </w:rPr>
      </w:pPr>
      <w:r w:rsidRPr="00C218FB">
        <w:rPr>
          <w:rFonts w:ascii="Times New Roman" w:hAnsi="Times New Roman" w:cs="Times New Roman"/>
          <w:sz w:val="24"/>
          <w:szCs w:val="24"/>
        </w:rPr>
        <w:t>Oficio registrado con el número DEYC/MOD/556/2022, expedido por la Dirección de Educación y Cultura del Ayuntamiento de Ecatepec de Morelos, certificado por la Lic. Rocío Rivera Alcántara, Encargada de Despacho de la Secretaría Municipal, consistente en copia del informe suscrito por la propia Dirección de Educación.</w:t>
      </w:r>
    </w:p>
    <w:p w:rsidR="000F603A" w:rsidRPr="00C218FB" w:rsidRDefault="000F603A" w:rsidP="00C218FB">
      <w:pPr>
        <w:pStyle w:val="Prrafodelista"/>
        <w:ind w:left="993"/>
        <w:rPr>
          <w:rFonts w:ascii="Times New Roman" w:hAnsi="Times New Roman" w:cs="Times New Roman"/>
          <w:sz w:val="24"/>
          <w:szCs w:val="24"/>
        </w:rPr>
      </w:pPr>
    </w:p>
    <w:p w:rsidR="000F603A" w:rsidRPr="00C218FB" w:rsidRDefault="000F603A" w:rsidP="00C218FB">
      <w:pPr>
        <w:pStyle w:val="Prrafodelista"/>
        <w:widowControl/>
        <w:numPr>
          <w:ilvl w:val="1"/>
          <w:numId w:val="42"/>
        </w:numPr>
        <w:autoSpaceDE/>
        <w:autoSpaceDN/>
        <w:ind w:left="993" w:right="0"/>
        <w:contextualSpacing/>
        <w:rPr>
          <w:rFonts w:ascii="Times New Roman" w:hAnsi="Times New Roman" w:cs="Times New Roman"/>
          <w:sz w:val="24"/>
          <w:szCs w:val="24"/>
        </w:rPr>
      </w:pPr>
      <w:r w:rsidRPr="00C218FB">
        <w:rPr>
          <w:rFonts w:ascii="Times New Roman" w:hAnsi="Times New Roman" w:cs="Times New Roman"/>
          <w:sz w:val="24"/>
          <w:szCs w:val="24"/>
        </w:rPr>
        <w:t xml:space="preserve"> Oficio registrado con el número DDUYP/SDU/AC/ECA/2022, expedido por la Dirección de Desarrollo Urbano y Obras Públicas del Ayuntamiento de Ecatepec de </w:t>
      </w:r>
      <w:r w:rsidRPr="00C218FB">
        <w:rPr>
          <w:rFonts w:ascii="Times New Roman" w:hAnsi="Times New Roman" w:cs="Times New Roman"/>
          <w:sz w:val="24"/>
          <w:szCs w:val="24"/>
        </w:rPr>
        <w:lastRenderedPageBreak/>
        <w:t>Morelos, consistente en copia del informe suscrito por la propia Dirección de Desarrollo Urbano y Obras Públicas, donde se menciona el acompañamiento de:</w:t>
      </w:r>
    </w:p>
    <w:p w:rsidR="000F603A" w:rsidRPr="00C218FB" w:rsidRDefault="000F603A" w:rsidP="00C218FB">
      <w:pPr>
        <w:spacing w:after="0" w:line="240" w:lineRule="auto"/>
        <w:ind w:left="630"/>
        <w:jc w:val="both"/>
        <w:rPr>
          <w:rFonts w:ascii="Times New Roman" w:eastAsia="Arial" w:hAnsi="Times New Roman" w:cs="Times New Roman"/>
          <w:sz w:val="24"/>
          <w:szCs w:val="24"/>
          <w:lang w:val="es-ES"/>
        </w:rPr>
      </w:pPr>
    </w:p>
    <w:p w:rsidR="000F603A" w:rsidRPr="00C218FB" w:rsidRDefault="000F603A" w:rsidP="00C218FB">
      <w:pPr>
        <w:pStyle w:val="Prrafodelista"/>
        <w:widowControl/>
        <w:numPr>
          <w:ilvl w:val="0"/>
          <w:numId w:val="43"/>
        </w:numPr>
        <w:autoSpaceDE/>
        <w:autoSpaceDN/>
        <w:ind w:left="1560" w:right="0"/>
        <w:contextualSpacing/>
        <w:rPr>
          <w:rFonts w:ascii="Times New Roman" w:hAnsi="Times New Roman" w:cs="Times New Roman"/>
          <w:sz w:val="24"/>
          <w:szCs w:val="24"/>
        </w:rPr>
      </w:pPr>
      <w:r w:rsidRPr="00C218FB">
        <w:rPr>
          <w:rFonts w:ascii="Times New Roman" w:hAnsi="Times New Roman" w:cs="Times New Roman"/>
          <w:sz w:val="24"/>
          <w:szCs w:val="24"/>
        </w:rPr>
        <w:t>Expediente de origen C-1249-2022 expediente certificado E12409092, contiene cédula informativa de zonificación, 13 fojas y un legajo integrante;</w:t>
      </w:r>
    </w:p>
    <w:p w:rsidR="000F603A" w:rsidRPr="00C218FB" w:rsidRDefault="000F603A" w:rsidP="00C218FB">
      <w:pPr>
        <w:spacing w:after="0" w:line="240" w:lineRule="auto"/>
        <w:ind w:left="1560"/>
        <w:jc w:val="both"/>
        <w:rPr>
          <w:rFonts w:ascii="Times New Roman" w:eastAsia="Arial" w:hAnsi="Times New Roman" w:cs="Times New Roman"/>
          <w:sz w:val="24"/>
          <w:szCs w:val="24"/>
          <w:lang w:val="es-ES"/>
        </w:rPr>
      </w:pPr>
    </w:p>
    <w:p w:rsidR="000F603A" w:rsidRPr="00C218FB" w:rsidRDefault="000F603A" w:rsidP="00C218FB">
      <w:pPr>
        <w:pStyle w:val="Prrafodelista"/>
        <w:widowControl/>
        <w:numPr>
          <w:ilvl w:val="0"/>
          <w:numId w:val="43"/>
        </w:numPr>
        <w:autoSpaceDE/>
        <w:autoSpaceDN/>
        <w:ind w:left="1560" w:right="0"/>
        <w:contextualSpacing/>
        <w:rPr>
          <w:rFonts w:ascii="Times New Roman" w:hAnsi="Times New Roman" w:cs="Times New Roman"/>
          <w:sz w:val="24"/>
          <w:szCs w:val="24"/>
        </w:rPr>
      </w:pPr>
      <w:r w:rsidRPr="00C218FB">
        <w:rPr>
          <w:rFonts w:ascii="Times New Roman" w:hAnsi="Times New Roman" w:cs="Times New Roman"/>
          <w:sz w:val="24"/>
          <w:szCs w:val="24"/>
        </w:rPr>
        <w:t>Gaceta de Gobierno no. 109 de fecha 3 de diciembre de 2015, Plan de Municipal de Desarrollo Urbano de Ecatepec de Morelos, Estado de México, 1 legajo y 130 fojas útiles.</w:t>
      </w:r>
    </w:p>
    <w:p w:rsidR="000F603A" w:rsidRPr="00C218FB" w:rsidRDefault="000F603A" w:rsidP="00C218FB">
      <w:pPr>
        <w:spacing w:after="0" w:line="240" w:lineRule="auto"/>
        <w:ind w:left="1560"/>
        <w:jc w:val="both"/>
        <w:rPr>
          <w:rFonts w:ascii="Times New Roman" w:eastAsia="Arial" w:hAnsi="Times New Roman" w:cs="Times New Roman"/>
          <w:sz w:val="24"/>
          <w:szCs w:val="24"/>
          <w:lang w:val="es-ES"/>
        </w:rPr>
      </w:pPr>
    </w:p>
    <w:p w:rsidR="000F603A" w:rsidRPr="00C218FB" w:rsidRDefault="000F603A" w:rsidP="00C218FB">
      <w:pPr>
        <w:pStyle w:val="Prrafodelista"/>
        <w:widowControl/>
        <w:numPr>
          <w:ilvl w:val="0"/>
          <w:numId w:val="43"/>
        </w:numPr>
        <w:autoSpaceDE/>
        <w:autoSpaceDN/>
        <w:ind w:left="1560" w:right="0"/>
        <w:contextualSpacing/>
        <w:rPr>
          <w:rFonts w:ascii="Times New Roman" w:hAnsi="Times New Roman" w:cs="Times New Roman"/>
          <w:sz w:val="24"/>
          <w:szCs w:val="24"/>
        </w:rPr>
      </w:pPr>
      <w:r w:rsidRPr="00C218FB">
        <w:rPr>
          <w:rFonts w:ascii="Times New Roman" w:hAnsi="Times New Roman" w:cs="Times New Roman"/>
          <w:sz w:val="24"/>
          <w:szCs w:val="24"/>
        </w:rPr>
        <w:t>5 planos de 90 x 60 cm. correspondientes al Municipio de Ecatepec de Morelos.</w:t>
      </w:r>
    </w:p>
    <w:p w:rsidR="000F603A" w:rsidRPr="00C218FB" w:rsidRDefault="000F603A" w:rsidP="00C218FB">
      <w:pPr>
        <w:spacing w:after="0" w:line="240" w:lineRule="auto"/>
        <w:ind w:left="1560"/>
        <w:jc w:val="both"/>
        <w:rPr>
          <w:rFonts w:ascii="Times New Roman" w:eastAsia="Arial" w:hAnsi="Times New Roman" w:cs="Times New Roman"/>
          <w:sz w:val="24"/>
          <w:szCs w:val="24"/>
          <w:lang w:val="es-ES"/>
        </w:rPr>
      </w:pPr>
    </w:p>
    <w:p w:rsidR="000F603A" w:rsidRPr="00C218FB" w:rsidRDefault="000F603A" w:rsidP="00C218FB">
      <w:pPr>
        <w:pStyle w:val="Prrafodelista"/>
        <w:widowControl/>
        <w:numPr>
          <w:ilvl w:val="0"/>
          <w:numId w:val="43"/>
        </w:numPr>
        <w:autoSpaceDE/>
        <w:autoSpaceDN/>
        <w:ind w:left="1560" w:right="0"/>
        <w:contextualSpacing/>
        <w:rPr>
          <w:rFonts w:ascii="Times New Roman" w:hAnsi="Times New Roman" w:cs="Times New Roman"/>
          <w:sz w:val="24"/>
          <w:szCs w:val="24"/>
        </w:rPr>
      </w:pPr>
      <w:r w:rsidRPr="00C218FB">
        <w:rPr>
          <w:rFonts w:ascii="Times New Roman" w:hAnsi="Times New Roman" w:cs="Times New Roman"/>
          <w:sz w:val="24"/>
          <w:szCs w:val="24"/>
        </w:rPr>
        <w:t>Tarjeta informativa referente a acciones y/o servicios sobre diversas colonias.</w:t>
      </w:r>
    </w:p>
    <w:p w:rsidR="000F603A" w:rsidRPr="00C218FB" w:rsidRDefault="000F603A" w:rsidP="00C218FB">
      <w:pPr>
        <w:spacing w:after="0" w:line="240" w:lineRule="auto"/>
        <w:ind w:left="630"/>
        <w:jc w:val="both"/>
        <w:rPr>
          <w:rFonts w:ascii="Times New Roman" w:eastAsia="Arial" w:hAnsi="Times New Roman" w:cs="Times New Roman"/>
          <w:sz w:val="24"/>
          <w:szCs w:val="24"/>
          <w:lang w:val="es-ES"/>
        </w:rPr>
      </w:pPr>
    </w:p>
    <w:p w:rsidR="000F603A" w:rsidRPr="00C218FB" w:rsidRDefault="000F603A" w:rsidP="00C218FB">
      <w:pPr>
        <w:pStyle w:val="Prrafodelista"/>
        <w:widowControl/>
        <w:numPr>
          <w:ilvl w:val="1"/>
          <w:numId w:val="42"/>
        </w:numPr>
        <w:autoSpaceDE/>
        <w:autoSpaceDN/>
        <w:ind w:left="993" w:right="0"/>
        <w:contextualSpacing/>
        <w:rPr>
          <w:rFonts w:ascii="Times New Roman" w:hAnsi="Times New Roman" w:cs="Times New Roman"/>
          <w:sz w:val="24"/>
          <w:szCs w:val="24"/>
        </w:rPr>
      </w:pPr>
      <w:r w:rsidRPr="00C218FB">
        <w:rPr>
          <w:rFonts w:ascii="Times New Roman" w:hAnsi="Times New Roman" w:cs="Times New Roman"/>
          <w:sz w:val="24"/>
          <w:szCs w:val="24"/>
        </w:rPr>
        <w:t>Oficio registrado con el número DG/ECA/864/2022, expedido por la Dirección General de Gobierno del Ayuntamiento de Ecatepec de Morelos, certificado por la Lic. Rocío Rivera Alcántara, Encargada de Despacho de la Secretaría Municipal, consistente en copias de dos constancias de nombramiento del Consejo de Participación Ciudadana (COPACI) de diversas colonias.</w:t>
      </w:r>
    </w:p>
    <w:p w:rsidR="000F603A" w:rsidRPr="00C218FB" w:rsidRDefault="000F603A" w:rsidP="00C218FB">
      <w:pPr>
        <w:pStyle w:val="Prrafodelista"/>
        <w:ind w:left="993"/>
        <w:rPr>
          <w:rFonts w:ascii="Times New Roman" w:hAnsi="Times New Roman" w:cs="Times New Roman"/>
          <w:sz w:val="24"/>
          <w:szCs w:val="24"/>
        </w:rPr>
      </w:pPr>
    </w:p>
    <w:p w:rsidR="000F603A" w:rsidRPr="00C218FB" w:rsidRDefault="000F603A" w:rsidP="00C218FB">
      <w:pPr>
        <w:pStyle w:val="Prrafodelista"/>
        <w:widowControl/>
        <w:numPr>
          <w:ilvl w:val="1"/>
          <w:numId w:val="42"/>
        </w:numPr>
        <w:autoSpaceDE/>
        <w:autoSpaceDN/>
        <w:ind w:left="993" w:right="0"/>
        <w:contextualSpacing/>
        <w:rPr>
          <w:rFonts w:ascii="Times New Roman" w:hAnsi="Times New Roman" w:cs="Times New Roman"/>
          <w:sz w:val="24"/>
          <w:szCs w:val="24"/>
        </w:rPr>
      </w:pPr>
      <w:r w:rsidRPr="00C218FB">
        <w:rPr>
          <w:rFonts w:ascii="Times New Roman" w:hAnsi="Times New Roman" w:cs="Times New Roman"/>
          <w:sz w:val="24"/>
          <w:szCs w:val="24"/>
        </w:rPr>
        <w:t>Oficio sin registro alfanumérico, expedido por la Contraloría Interna (Municipal) del Ayuntamiento de Ecatepec de Morelos, certificado por la Lic. Rocío Rivera Alcántara, Encargada de Despacho de la Secretaría Municipal, Municipal, consistente en copia de cuatro fojas respecto de la supervisión de colocación de luminarias en diversas colonias.</w:t>
      </w:r>
    </w:p>
    <w:p w:rsidR="000F603A" w:rsidRPr="00C218FB" w:rsidRDefault="000F603A" w:rsidP="00C218FB">
      <w:pPr>
        <w:pStyle w:val="Prrafodelista"/>
        <w:ind w:left="993"/>
        <w:rPr>
          <w:rFonts w:ascii="Times New Roman" w:hAnsi="Times New Roman" w:cs="Times New Roman"/>
          <w:sz w:val="24"/>
          <w:szCs w:val="24"/>
        </w:rPr>
      </w:pPr>
    </w:p>
    <w:p w:rsidR="000F603A" w:rsidRPr="00C218FB" w:rsidRDefault="000F603A" w:rsidP="00C218FB">
      <w:pPr>
        <w:pStyle w:val="Prrafodelista"/>
        <w:widowControl/>
        <w:numPr>
          <w:ilvl w:val="1"/>
          <w:numId w:val="42"/>
        </w:numPr>
        <w:autoSpaceDE/>
        <w:autoSpaceDN/>
        <w:ind w:left="993" w:right="0"/>
        <w:contextualSpacing/>
        <w:rPr>
          <w:rFonts w:ascii="Times New Roman" w:hAnsi="Times New Roman" w:cs="Times New Roman"/>
          <w:sz w:val="24"/>
          <w:szCs w:val="24"/>
        </w:rPr>
      </w:pPr>
      <w:r w:rsidRPr="00C218FB">
        <w:rPr>
          <w:rFonts w:ascii="Times New Roman" w:hAnsi="Times New Roman" w:cs="Times New Roman"/>
          <w:sz w:val="24"/>
          <w:szCs w:val="24"/>
        </w:rPr>
        <w:t>Oficio sin registro alfanumérico, expedido por la Tesorería Municipal del Ayuntamiento de Ecatepec de Morelos y certificado por la L.C.P. Celia Díaz Olea, Tesorera Municipal, consistente en copia de 2 fojas de las siguientes claves catastrales (094 14 736 08 00 0000, 094 16 57 00 0000) de diversas colonias.</w:t>
      </w:r>
    </w:p>
    <w:p w:rsidR="000F603A" w:rsidRPr="00C218FB" w:rsidRDefault="000F603A" w:rsidP="00C218FB">
      <w:pPr>
        <w:pStyle w:val="Prrafodelista"/>
        <w:ind w:left="993"/>
        <w:rPr>
          <w:rFonts w:ascii="Times New Roman" w:hAnsi="Times New Roman" w:cs="Times New Roman"/>
          <w:sz w:val="24"/>
          <w:szCs w:val="24"/>
        </w:rPr>
      </w:pPr>
    </w:p>
    <w:p w:rsidR="000F603A" w:rsidRPr="00C218FB" w:rsidRDefault="000F603A" w:rsidP="00C218FB">
      <w:pPr>
        <w:pStyle w:val="Prrafodelista"/>
        <w:widowControl/>
        <w:numPr>
          <w:ilvl w:val="1"/>
          <w:numId w:val="42"/>
        </w:numPr>
        <w:autoSpaceDE/>
        <w:autoSpaceDN/>
        <w:ind w:left="993" w:right="0"/>
        <w:contextualSpacing/>
        <w:rPr>
          <w:rFonts w:ascii="Times New Roman" w:hAnsi="Times New Roman" w:cs="Times New Roman"/>
          <w:sz w:val="24"/>
          <w:szCs w:val="24"/>
        </w:rPr>
      </w:pPr>
      <w:r w:rsidRPr="00C218FB">
        <w:rPr>
          <w:rFonts w:ascii="Times New Roman" w:hAnsi="Times New Roman" w:cs="Times New Roman"/>
          <w:sz w:val="24"/>
          <w:szCs w:val="24"/>
        </w:rPr>
        <w:t>Oficio con número de registro ECA/DCS/CA/215/2022, expedido por la Dirección de Comunicación Social del Ayuntamiento de Ecatepec de Morelos, consistente en copias respecto al reporte de evidencia fotográfica, así como material videográfico, el cual contiene 25 fotografías, así como 20 videos, ambas fotografías y videos certificados respectivamente por medio de la CDC, por la Lic. Rocío Rivera Alcántara, Encargada de Despacho de la Secretaría Municipal.</w:t>
      </w:r>
    </w:p>
    <w:p w:rsidR="000F603A" w:rsidRPr="00C218FB" w:rsidRDefault="000F603A" w:rsidP="00C218FB">
      <w:pPr>
        <w:pStyle w:val="Prrafodelista"/>
        <w:ind w:left="993"/>
        <w:rPr>
          <w:rFonts w:ascii="Times New Roman" w:hAnsi="Times New Roman" w:cs="Times New Roman"/>
          <w:sz w:val="24"/>
          <w:szCs w:val="24"/>
        </w:rPr>
      </w:pPr>
    </w:p>
    <w:p w:rsidR="000F603A" w:rsidRPr="00C218FB" w:rsidRDefault="000F603A" w:rsidP="00C218FB">
      <w:pPr>
        <w:pStyle w:val="Prrafodelista"/>
        <w:widowControl/>
        <w:numPr>
          <w:ilvl w:val="1"/>
          <w:numId w:val="42"/>
        </w:numPr>
        <w:autoSpaceDE/>
        <w:autoSpaceDN/>
        <w:ind w:left="993" w:right="0"/>
        <w:contextualSpacing/>
        <w:rPr>
          <w:rFonts w:ascii="Times New Roman" w:hAnsi="Times New Roman" w:cs="Times New Roman"/>
          <w:sz w:val="24"/>
          <w:szCs w:val="24"/>
        </w:rPr>
      </w:pPr>
      <w:r w:rsidRPr="00C218FB">
        <w:rPr>
          <w:rFonts w:ascii="Times New Roman" w:hAnsi="Times New Roman" w:cs="Times New Roman"/>
          <w:sz w:val="24"/>
          <w:szCs w:val="24"/>
        </w:rPr>
        <w:t>Oficio con número de registro SHA/SMI/CERT/0591/2022, expedido por la Dirección General del Instituto Municipal de las Mujeres e Igualdad de Género del Ayuntamiento de Ecatepec de Morelos, certificado por la Lic. Rocío Rivera Alcántara, Encargada de Despacho de la Secretaría Municipal, consistente en padrón de beneficiarias y/o usuarias de la Defensoría que consta del año 2020 al presente año 2022, asimismo, constancias y reportes fotográficos.</w:t>
      </w:r>
    </w:p>
    <w:p w:rsidR="000F603A" w:rsidRPr="00C218FB" w:rsidRDefault="000F603A" w:rsidP="00C218FB">
      <w:pPr>
        <w:spacing w:after="0" w:line="240" w:lineRule="auto"/>
        <w:ind w:left="567"/>
        <w:jc w:val="both"/>
        <w:rPr>
          <w:rFonts w:ascii="Times New Roman" w:eastAsia="Arial" w:hAnsi="Times New Roman" w:cs="Times New Roman"/>
          <w:sz w:val="24"/>
          <w:szCs w:val="24"/>
          <w:lang w:val="es-ES"/>
        </w:rPr>
      </w:pPr>
    </w:p>
    <w:p w:rsidR="000F603A" w:rsidRPr="00C218FB" w:rsidRDefault="000F603A" w:rsidP="00C218FB">
      <w:pPr>
        <w:spacing w:after="0" w:line="240" w:lineRule="auto"/>
        <w:ind w:left="567"/>
        <w:jc w:val="both"/>
        <w:rPr>
          <w:rFonts w:ascii="Times New Roman" w:eastAsia="Arial" w:hAnsi="Times New Roman" w:cs="Times New Roman"/>
          <w:sz w:val="24"/>
          <w:szCs w:val="24"/>
          <w:lang w:val="es-ES"/>
        </w:rPr>
      </w:pPr>
      <w:r w:rsidRPr="00C218FB">
        <w:rPr>
          <w:rFonts w:ascii="Times New Roman" w:eastAsia="Arial" w:hAnsi="Times New Roman" w:cs="Times New Roman"/>
          <w:sz w:val="24"/>
          <w:szCs w:val="24"/>
          <w:lang w:val="es-ES"/>
        </w:rPr>
        <w:t xml:space="preserve">En atención a lo anterior, esta Comisión, con fundamento en los principios de sencillez y buena fe, previstos por el artículo 6, párrafo segundo y con el propósito de cumplir con el contenido del artículo 47, ambos de la Ley Reglamentaria, en lo que respecta al desahogo de esta probanza, esta Comisión ordenará el mismo, dentro de los mismos sesenta (60) días </w:t>
      </w:r>
      <w:r w:rsidRPr="00C218FB">
        <w:rPr>
          <w:rFonts w:ascii="Times New Roman" w:eastAsia="Arial" w:hAnsi="Times New Roman" w:cs="Times New Roman"/>
          <w:sz w:val="24"/>
          <w:szCs w:val="24"/>
          <w:lang w:val="es-ES"/>
        </w:rPr>
        <w:lastRenderedPageBreak/>
        <w:t>hábiles, hasta en tanto el Municipio oferente exhiba, a la brevedad y dentro del mismo término previamente indicado, lo siguiente:</w:t>
      </w:r>
    </w:p>
    <w:p w:rsidR="000F603A" w:rsidRPr="00C218FB" w:rsidRDefault="000F603A" w:rsidP="00C218FB">
      <w:pPr>
        <w:spacing w:after="0" w:line="240" w:lineRule="auto"/>
        <w:ind w:left="567"/>
        <w:jc w:val="both"/>
        <w:rPr>
          <w:rFonts w:ascii="Times New Roman" w:eastAsia="Arial" w:hAnsi="Times New Roman" w:cs="Times New Roman"/>
          <w:sz w:val="24"/>
          <w:szCs w:val="24"/>
          <w:lang w:val="es-ES"/>
        </w:rPr>
      </w:pPr>
    </w:p>
    <w:p w:rsidR="000F603A" w:rsidRPr="00C218FB" w:rsidRDefault="000F603A" w:rsidP="00C218FB">
      <w:pPr>
        <w:spacing w:after="0" w:line="240" w:lineRule="auto"/>
        <w:ind w:left="567"/>
        <w:jc w:val="both"/>
        <w:rPr>
          <w:rFonts w:ascii="Times New Roman" w:eastAsia="Arial" w:hAnsi="Times New Roman" w:cs="Times New Roman"/>
          <w:sz w:val="24"/>
          <w:szCs w:val="24"/>
          <w:lang w:val="es-ES"/>
        </w:rPr>
      </w:pPr>
      <w:r w:rsidRPr="00C218FB">
        <w:rPr>
          <w:rFonts w:ascii="Times New Roman" w:eastAsia="Arial" w:hAnsi="Times New Roman" w:cs="Times New Roman"/>
          <w:sz w:val="24"/>
          <w:szCs w:val="24"/>
          <w:lang w:val="es-ES"/>
        </w:rPr>
        <w:t>El oficio marcado con la letra i), anexando tres copias de este para dar vista a los demás Municipios involucrados en este asunto con la finalidad de que estos se encuentren en aptitud y en condiciones para manifestar de forma integral lo que a derecho convenga; los cinco (5) planos con las medidas de noventa (90) por sesenta (60) centímetros, igualmente, respecto de estos últimos se deberá anexar tres copias de cada uno para dar vista a los demás Municipios involucrados en este asunto con la finalidad de que estos se encuentren en aptitud y en condiciones suficientes para manifestar de forma integral lo que a derecho convenga, cabe mencionar que lo anteriormente aludido se desprende del escrito recibido por la Presidencia de esta Comisión en fecha veintinueve (29) de abril del presente año, suscrito por Presidente y Síndica constitucionales, respectivamente, del Municipio oferente.</w:t>
      </w:r>
    </w:p>
    <w:p w:rsidR="000F603A" w:rsidRPr="00C218FB" w:rsidRDefault="000F603A" w:rsidP="00C218FB">
      <w:pPr>
        <w:spacing w:after="0" w:line="240" w:lineRule="auto"/>
        <w:ind w:left="567"/>
        <w:jc w:val="both"/>
        <w:rPr>
          <w:rFonts w:ascii="Times New Roman" w:eastAsia="Arial" w:hAnsi="Times New Roman" w:cs="Times New Roman"/>
          <w:sz w:val="24"/>
          <w:szCs w:val="24"/>
          <w:lang w:val="es-ES"/>
        </w:rPr>
      </w:pPr>
    </w:p>
    <w:p w:rsidR="000F603A" w:rsidRPr="00C218FB" w:rsidRDefault="000F603A" w:rsidP="00C218FB">
      <w:pPr>
        <w:spacing w:after="0" w:line="240" w:lineRule="auto"/>
        <w:ind w:left="567"/>
        <w:jc w:val="both"/>
        <w:rPr>
          <w:rFonts w:ascii="Times New Roman" w:eastAsia="Arial" w:hAnsi="Times New Roman" w:cs="Times New Roman"/>
          <w:sz w:val="24"/>
          <w:szCs w:val="24"/>
          <w:lang w:val="es-ES"/>
        </w:rPr>
      </w:pPr>
      <w:r w:rsidRPr="00C218FB">
        <w:rPr>
          <w:rFonts w:ascii="Times New Roman" w:eastAsia="Arial" w:hAnsi="Times New Roman" w:cs="Times New Roman"/>
          <w:sz w:val="24"/>
          <w:szCs w:val="24"/>
          <w:lang w:val="es-ES"/>
        </w:rPr>
        <w:t>El requerimiento anterior deberá ser cumplido bajo el apercibimiento de que en caso de que el Municipio oferente, a través de sus representantes, no logre exhibir lo requerido por esta Autoridad, dentro del término de sesenta (60) días hábiles previstos por la Ley Reglamentaria para efecto de desahogar las pruebas admitidas, esta Autoridad tendrá por precluido el derecho del Municipio oferente respecto de esta probanza.</w:t>
      </w:r>
    </w:p>
    <w:p w:rsidR="000F603A" w:rsidRPr="00C218FB" w:rsidRDefault="000F603A" w:rsidP="00C218FB">
      <w:pPr>
        <w:spacing w:after="0" w:line="240" w:lineRule="auto"/>
        <w:ind w:left="567"/>
        <w:jc w:val="both"/>
        <w:rPr>
          <w:rFonts w:ascii="Times New Roman" w:eastAsia="Arial" w:hAnsi="Times New Roman" w:cs="Times New Roman"/>
          <w:sz w:val="24"/>
          <w:szCs w:val="24"/>
          <w:lang w:val="es-ES"/>
        </w:rPr>
      </w:pPr>
    </w:p>
    <w:p w:rsidR="000F603A" w:rsidRPr="00C218FB" w:rsidRDefault="000F603A" w:rsidP="00C218FB">
      <w:pPr>
        <w:spacing w:after="0" w:line="240" w:lineRule="auto"/>
        <w:ind w:left="567"/>
        <w:jc w:val="both"/>
        <w:rPr>
          <w:rFonts w:ascii="Times New Roman" w:eastAsia="Arial" w:hAnsi="Times New Roman" w:cs="Times New Roman"/>
          <w:sz w:val="24"/>
          <w:szCs w:val="24"/>
          <w:lang w:val="es-ES"/>
        </w:rPr>
      </w:pPr>
      <w:r w:rsidRPr="00C218FB">
        <w:rPr>
          <w:rFonts w:ascii="Times New Roman" w:eastAsia="Arial" w:hAnsi="Times New Roman" w:cs="Times New Roman"/>
          <w:sz w:val="24"/>
          <w:szCs w:val="24"/>
          <w:lang w:val="es-ES"/>
        </w:rPr>
        <w:t>Una vez que se haya exhibido el oficio y los documentos que de él se desprenden faltantes, esta Comisión ordenará a su Presidencia, a través del personal que delegue para tales efectos, dar vista al resto de los Municipios intervinientes en este asunto, para que dentro del término de hasta cinco (5) días hábiles, contados a partir del día hábil siguiente en que surta efectos la notificación respectiva, manifiesten de forma individual lo que a derecho convenga respecto de dicha probanza.</w:t>
      </w:r>
    </w:p>
    <w:p w:rsidR="000F603A" w:rsidRPr="00C218FB" w:rsidRDefault="000F603A" w:rsidP="00C218FB">
      <w:pPr>
        <w:spacing w:after="0" w:line="240" w:lineRule="auto"/>
        <w:ind w:left="567"/>
        <w:jc w:val="both"/>
        <w:rPr>
          <w:rFonts w:ascii="Times New Roman" w:eastAsia="Arial" w:hAnsi="Times New Roman" w:cs="Times New Roman"/>
          <w:sz w:val="24"/>
          <w:szCs w:val="24"/>
          <w:lang w:val="es-ES"/>
        </w:rPr>
      </w:pPr>
    </w:p>
    <w:p w:rsidR="000F603A" w:rsidRPr="00C218FB" w:rsidRDefault="000F603A" w:rsidP="00C218FB">
      <w:pPr>
        <w:spacing w:after="0" w:line="240" w:lineRule="auto"/>
        <w:ind w:left="567"/>
        <w:jc w:val="both"/>
        <w:rPr>
          <w:rFonts w:ascii="Times New Roman" w:eastAsia="Arial" w:hAnsi="Times New Roman" w:cs="Times New Roman"/>
          <w:b/>
          <w:bCs/>
          <w:sz w:val="24"/>
          <w:szCs w:val="24"/>
          <w:lang w:val="es-ES"/>
        </w:rPr>
      </w:pPr>
      <w:r w:rsidRPr="00C218FB">
        <w:rPr>
          <w:rFonts w:ascii="Times New Roman" w:eastAsia="Arial" w:hAnsi="Times New Roman" w:cs="Times New Roman"/>
          <w:b/>
          <w:bCs/>
          <w:sz w:val="24"/>
          <w:szCs w:val="24"/>
          <w:lang w:val="es-ES"/>
        </w:rPr>
        <w:t>MEDIANTE ACUERDO DE FECHA CUATRO DE ABRIL DE DOS MIL VEINTITRÉS, SE DIÓ POR NO DESAHOGADA LA PRUEBA OFRECIDA POR EL MUNICIPIO DE ECATEPEC.</w:t>
      </w:r>
    </w:p>
    <w:p w:rsidR="000F603A" w:rsidRPr="00C218FB" w:rsidRDefault="000F603A" w:rsidP="00C218FB">
      <w:pPr>
        <w:spacing w:after="0" w:line="240" w:lineRule="auto"/>
        <w:ind w:left="567"/>
        <w:jc w:val="both"/>
        <w:rPr>
          <w:rFonts w:ascii="Times New Roman" w:eastAsia="Arial" w:hAnsi="Times New Roman" w:cs="Times New Roman"/>
          <w:b/>
          <w:bCs/>
          <w:sz w:val="24"/>
          <w:szCs w:val="24"/>
          <w:lang w:val="es-ES"/>
        </w:rPr>
      </w:pPr>
    </w:p>
    <w:p w:rsidR="000F603A" w:rsidRPr="00C218FB" w:rsidRDefault="000F603A" w:rsidP="00C218FB">
      <w:pPr>
        <w:pStyle w:val="Prrafodelista"/>
        <w:widowControl/>
        <w:numPr>
          <w:ilvl w:val="0"/>
          <w:numId w:val="41"/>
        </w:numPr>
        <w:autoSpaceDE/>
        <w:autoSpaceDN/>
        <w:ind w:left="567" w:right="0"/>
        <w:contextualSpacing/>
        <w:rPr>
          <w:rFonts w:ascii="Times New Roman" w:hAnsi="Times New Roman" w:cs="Times New Roman"/>
          <w:b/>
          <w:bCs/>
          <w:sz w:val="24"/>
          <w:szCs w:val="24"/>
        </w:rPr>
      </w:pPr>
      <w:r w:rsidRPr="00C218FB">
        <w:rPr>
          <w:rFonts w:ascii="Times New Roman" w:hAnsi="Times New Roman" w:cs="Times New Roman"/>
          <w:sz w:val="24"/>
          <w:szCs w:val="24"/>
        </w:rPr>
        <w:t>La documental pública marcada con el numeral dos, punto uno (2.1) consistente en el Bando Municipal de Ecatepec de Morelos, Estado de México 2022, aprobado por el Ayuntamiento de Ecatepec de Morelos en fecha 4 de febrero del 2022 en la quinta sesión extraordinaria de Cabildo y publicado el 5 de febrero de 2022, misma que se tiene por desahogada por su propia y especial naturaleza.</w:t>
      </w:r>
    </w:p>
    <w:p w:rsidR="000F603A" w:rsidRPr="00C218FB" w:rsidRDefault="000F603A" w:rsidP="00C218FB">
      <w:pPr>
        <w:spacing w:after="0" w:line="240" w:lineRule="auto"/>
        <w:ind w:left="567"/>
        <w:jc w:val="both"/>
        <w:rPr>
          <w:rFonts w:ascii="Times New Roman" w:eastAsia="Arial" w:hAnsi="Times New Roman" w:cs="Times New Roman"/>
          <w:b/>
          <w:bCs/>
          <w:sz w:val="24"/>
          <w:szCs w:val="24"/>
          <w:lang w:val="es-ES"/>
        </w:rPr>
      </w:pPr>
    </w:p>
    <w:p w:rsidR="000F603A" w:rsidRPr="00C218FB" w:rsidRDefault="000F603A" w:rsidP="00C218FB">
      <w:pPr>
        <w:spacing w:after="0" w:line="240" w:lineRule="auto"/>
        <w:ind w:left="567"/>
        <w:jc w:val="both"/>
        <w:rPr>
          <w:rFonts w:ascii="Times New Roman" w:eastAsia="Arial" w:hAnsi="Times New Roman" w:cs="Times New Roman"/>
          <w:b/>
          <w:bCs/>
          <w:sz w:val="24"/>
          <w:szCs w:val="24"/>
          <w:lang w:val="es-ES"/>
        </w:rPr>
      </w:pPr>
      <w:r w:rsidRPr="00C218FB">
        <w:rPr>
          <w:rFonts w:ascii="Times New Roman" w:eastAsia="Arial" w:hAnsi="Times New Roman" w:cs="Times New Roman"/>
          <w:b/>
          <w:bCs/>
          <w:sz w:val="24"/>
          <w:szCs w:val="24"/>
          <w:lang w:val="es-ES"/>
        </w:rPr>
        <w:t>MEDIANTE ACUERDO DE FECHA CUATRO DE ABRIL DE DOS MIL VEINTITRÉS, SE DIÓ POR NO DESAHOGADA LA PRUEBA OFRECIDA POR EL MUNICIPIO DE ECATEPEC.</w:t>
      </w:r>
    </w:p>
    <w:p w:rsidR="000F603A" w:rsidRPr="00C218FB" w:rsidRDefault="000F603A" w:rsidP="00C218FB">
      <w:pPr>
        <w:spacing w:after="0" w:line="240" w:lineRule="auto"/>
        <w:jc w:val="both"/>
        <w:rPr>
          <w:rFonts w:ascii="Times New Roman" w:eastAsia="Arial" w:hAnsi="Times New Roman" w:cs="Times New Roman"/>
          <w:sz w:val="24"/>
          <w:szCs w:val="24"/>
          <w:lang w:val="es-ES"/>
        </w:rPr>
      </w:pPr>
    </w:p>
    <w:p w:rsidR="000F603A" w:rsidRPr="00C218FB" w:rsidRDefault="000F603A" w:rsidP="00C218FB">
      <w:pPr>
        <w:pStyle w:val="Prrafodelista"/>
        <w:widowControl/>
        <w:numPr>
          <w:ilvl w:val="0"/>
          <w:numId w:val="41"/>
        </w:numPr>
        <w:autoSpaceDE/>
        <w:autoSpaceDN/>
        <w:ind w:left="567" w:right="0"/>
        <w:contextualSpacing/>
        <w:rPr>
          <w:rFonts w:ascii="Times New Roman" w:hAnsi="Times New Roman" w:cs="Times New Roman"/>
          <w:sz w:val="24"/>
          <w:szCs w:val="24"/>
        </w:rPr>
      </w:pPr>
      <w:r w:rsidRPr="00C218FB">
        <w:rPr>
          <w:rFonts w:ascii="Times New Roman" w:hAnsi="Times New Roman" w:cs="Times New Roman"/>
          <w:sz w:val="24"/>
          <w:szCs w:val="24"/>
        </w:rPr>
        <w:t>La documental privada marcada con el numeral tres, punto uno (3.1) en el escrito en mención, consistente en dieciséis (16) planos y/o cartas cartográficas del Estado de México, de acuerdo con el orden siguiente:</w:t>
      </w:r>
    </w:p>
    <w:p w:rsidR="000F603A" w:rsidRPr="00C218FB" w:rsidRDefault="000F603A" w:rsidP="00C218FB">
      <w:pPr>
        <w:spacing w:after="0" w:line="240" w:lineRule="auto"/>
        <w:ind w:left="567"/>
        <w:jc w:val="both"/>
        <w:rPr>
          <w:rFonts w:ascii="Times New Roman" w:eastAsia="Arial" w:hAnsi="Times New Roman" w:cs="Times New Roman"/>
          <w:sz w:val="24"/>
          <w:szCs w:val="24"/>
          <w:lang w:val="es-ES"/>
        </w:rPr>
      </w:pPr>
    </w:p>
    <w:p w:rsidR="000F603A" w:rsidRPr="00C218FB" w:rsidRDefault="000F603A" w:rsidP="00C218FB">
      <w:pPr>
        <w:pStyle w:val="Prrafodelista"/>
        <w:widowControl/>
        <w:numPr>
          <w:ilvl w:val="0"/>
          <w:numId w:val="45"/>
        </w:numPr>
        <w:autoSpaceDE/>
        <w:autoSpaceDN/>
        <w:ind w:left="993" w:right="0"/>
        <w:contextualSpacing/>
        <w:rPr>
          <w:rFonts w:ascii="Times New Roman" w:hAnsi="Times New Roman" w:cs="Times New Roman"/>
          <w:sz w:val="24"/>
          <w:szCs w:val="24"/>
        </w:rPr>
      </w:pPr>
      <w:r w:rsidRPr="00C218FB">
        <w:rPr>
          <w:rFonts w:ascii="Times New Roman" w:hAnsi="Times New Roman" w:cs="Times New Roman"/>
          <w:sz w:val="24"/>
          <w:szCs w:val="24"/>
        </w:rPr>
        <w:t>Ilustración 51. – Carta General del Estado de México, 1962. Gobernador Constitucional Dr. Gustavo Baz, Secretario General Jorge Jiménez Cantú. Recopilación y preparación bajo la dirección del Ing. Jorge L. Tamayo. Colección General del Estado de México, Mapoteca Manuel Orozco y Berra (pág. 1 y pág. 2).</w:t>
      </w:r>
    </w:p>
    <w:p w:rsidR="000F603A" w:rsidRPr="00C218FB" w:rsidRDefault="000F603A" w:rsidP="00C218FB">
      <w:pPr>
        <w:spacing w:after="0" w:line="240" w:lineRule="auto"/>
        <w:ind w:left="993"/>
        <w:jc w:val="both"/>
        <w:rPr>
          <w:rFonts w:ascii="Times New Roman" w:eastAsia="Arial" w:hAnsi="Times New Roman" w:cs="Times New Roman"/>
          <w:sz w:val="24"/>
          <w:szCs w:val="24"/>
          <w:lang w:val="es-ES"/>
        </w:rPr>
      </w:pPr>
    </w:p>
    <w:p w:rsidR="000F603A" w:rsidRPr="00C218FB" w:rsidRDefault="000F603A" w:rsidP="00C218FB">
      <w:pPr>
        <w:pStyle w:val="Prrafodelista"/>
        <w:widowControl/>
        <w:numPr>
          <w:ilvl w:val="0"/>
          <w:numId w:val="45"/>
        </w:numPr>
        <w:autoSpaceDE/>
        <w:autoSpaceDN/>
        <w:ind w:left="993" w:right="0"/>
        <w:contextualSpacing/>
        <w:rPr>
          <w:rFonts w:ascii="Times New Roman" w:hAnsi="Times New Roman" w:cs="Times New Roman"/>
          <w:sz w:val="24"/>
          <w:szCs w:val="24"/>
        </w:rPr>
      </w:pPr>
      <w:r w:rsidRPr="00C218FB">
        <w:rPr>
          <w:rFonts w:ascii="Times New Roman" w:hAnsi="Times New Roman" w:cs="Times New Roman"/>
          <w:sz w:val="24"/>
          <w:szCs w:val="24"/>
        </w:rPr>
        <w:t xml:space="preserve">Ilustración 50. – Carta General del Estado de México, 1958, Secretaría de Agricultura y Ganadería. Dirección de Geografía y Meteorología. Construyo </w:t>
      </w:r>
      <w:r w:rsidRPr="00C218FB">
        <w:rPr>
          <w:rFonts w:ascii="Times New Roman" w:hAnsi="Times New Roman" w:cs="Times New Roman"/>
          <w:i/>
          <w:sz w:val="24"/>
          <w:szCs w:val="24"/>
        </w:rPr>
        <w:t>(sic)</w:t>
      </w:r>
      <w:r w:rsidRPr="00C218FB">
        <w:rPr>
          <w:rFonts w:ascii="Times New Roman" w:hAnsi="Times New Roman" w:cs="Times New Roman"/>
          <w:sz w:val="24"/>
          <w:szCs w:val="24"/>
        </w:rPr>
        <w:t xml:space="preserve"> Ing. Luis G. Becerril; Colección General del Estado de México, Mapoteca Manuel Orozco y Berra.</w:t>
      </w:r>
    </w:p>
    <w:p w:rsidR="000F603A" w:rsidRPr="00C218FB" w:rsidRDefault="000F603A" w:rsidP="00C218FB">
      <w:pPr>
        <w:spacing w:after="0" w:line="240" w:lineRule="auto"/>
        <w:ind w:left="993"/>
        <w:jc w:val="both"/>
        <w:rPr>
          <w:rFonts w:ascii="Times New Roman" w:eastAsia="Arial" w:hAnsi="Times New Roman" w:cs="Times New Roman"/>
          <w:sz w:val="24"/>
          <w:szCs w:val="24"/>
          <w:lang w:val="es-ES"/>
        </w:rPr>
      </w:pPr>
    </w:p>
    <w:p w:rsidR="000F603A" w:rsidRPr="00C218FB" w:rsidRDefault="000F603A" w:rsidP="00C218FB">
      <w:pPr>
        <w:pStyle w:val="Prrafodelista"/>
        <w:widowControl/>
        <w:numPr>
          <w:ilvl w:val="0"/>
          <w:numId w:val="45"/>
        </w:numPr>
        <w:autoSpaceDE/>
        <w:autoSpaceDN/>
        <w:ind w:left="993" w:right="0"/>
        <w:contextualSpacing/>
        <w:rPr>
          <w:rFonts w:ascii="Times New Roman" w:hAnsi="Times New Roman" w:cs="Times New Roman"/>
          <w:sz w:val="24"/>
          <w:szCs w:val="24"/>
        </w:rPr>
      </w:pPr>
      <w:r w:rsidRPr="00C218FB">
        <w:rPr>
          <w:rFonts w:ascii="Times New Roman" w:hAnsi="Times New Roman" w:cs="Times New Roman"/>
          <w:sz w:val="24"/>
          <w:szCs w:val="24"/>
        </w:rPr>
        <w:t>Ilustración 43. – Carta General del Estado de México publicada el 9 de enero de 1903. Autor Ignacio P. Guzmán de la Escuela de Artes de Toluca, Mapoteca Manuel Orozco y Berra.</w:t>
      </w:r>
    </w:p>
    <w:p w:rsidR="000F603A" w:rsidRPr="00C218FB" w:rsidRDefault="000F603A" w:rsidP="00C218FB">
      <w:pPr>
        <w:pStyle w:val="Prrafodelista"/>
        <w:rPr>
          <w:rFonts w:ascii="Times New Roman" w:hAnsi="Times New Roman" w:cs="Times New Roman"/>
          <w:sz w:val="24"/>
          <w:szCs w:val="24"/>
        </w:rPr>
      </w:pPr>
    </w:p>
    <w:p w:rsidR="000F603A" w:rsidRPr="00C218FB" w:rsidRDefault="000F603A" w:rsidP="00C218FB">
      <w:pPr>
        <w:pStyle w:val="Prrafodelista"/>
        <w:widowControl/>
        <w:numPr>
          <w:ilvl w:val="0"/>
          <w:numId w:val="45"/>
        </w:numPr>
        <w:autoSpaceDE/>
        <w:autoSpaceDN/>
        <w:ind w:left="993" w:right="0"/>
        <w:contextualSpacing/>
        <w:rPr>
          <w:rFonts w:ascii="Times New Roman" w:hAnsi="Times New Roman" w:cs="Times New Roman"/>
          <w:sz w:val="24"/>
          <w:szCs w:val="24"/>
        </w:rPr>
      </w:pPr>
      <w:r w:rsidRPr="00C218FB">
        <w:rPr>
          <w:rFonts w:ascii="Times New Roman" w:hAnsi="Times New Roman" w:cs="Times New Roman"/>
          <w:sz w:val="24"/>
          <w:szCs w:val="24"/>
        </w:rPr>
        <w:t>Ilustración 53. – Plano del Estado de México, mandado a hacer por disposición del Gobernador José Vicente Villada. Este plano fue ordenado que se realizara al Ing. Luis G. Becerril en el año 1900, Mapoteca Manuel Orozco y Berra.</w:t>
      </w:r>
    </w:p>
    <w:p w:rsidR="000F603A" w:rsidRPr="00C218FB" w:rsidRDefault="000F603A" w:rsidP="00C218FB">
      <w:pPr>
        <w:spacing w:after="0" w:line="240" w:lineRule="auto"/>
        <w:ind w:left="993"/>
        <w:jc w:val="both"/>
        <w:rPr>
          <w:rFonts w:ascii="Times New Roman" w:eastAsia="Arial" w:hAnsi="Times New Roman" w:cs="Times New Roman"/>
          <w:sz w:val="24"/>
          <w:szCs w:val="24"/>
          <w:lang w:val="es-ES"/>
        </w:rPr>
      </w:pPr>
    </w:p>
    <w:p w:rsidR="000F603A" w:rsidRPr="00C218FB" w:rsidRDefault="000F603A" w:rsidP="00C218FB">
      <w:pPr>
        <w:pStyle w:val="Prrafodelista"/>
        <w:widowControl/>
        <w:numPr>
          <w:ilvl w:val="0"/>
          <w:numId w:val="45"/>
        </w:numPr>
        <w:autoSpaceDE/>
        <w:autoSpaceDN/>
        <w:ind w:left="993" w:right="0"/>
        <w:contextualSpacing/>
        <w:rPr>
          <w:rFonts w:ascii="Times New Roman" w:hAnsi="Times New Roman" w:cs="Times New Roman"/>
          <w:sz w:val="24"/>
          <w:szCs w:val="24"/>
        </w:rPr>
      </w:pPr>
      <w:r w:rsidRPr="00C218FB">
        <w:rPr>
          <w:rFonts w:ascii="Times New Roman" w:hAnsi="Times New Roman" w:cs="Times New Roman"/>
          <w:sz w:val="24"/>
          <w:szCs w:val="24"/>
        </w:rPr>
        <w:t xml:space="preserve">Ilustración 17. – Carta General del Arzobispado de México. Formada con los datos más exactos de la orden del I. S. D. </w:t>
      </w:r>
      <w:proofErr w:type="spellStart"/>
      <w:r w:rsidRPr="00C218FB">
        <w:rPr>
          <w:rFonts w:ascii="Times New Roman" w:hAnsi="Times New Roman" w:cs="Times New Roman"/>
          <w:sz w:val="24"/>
          <w:szCs w:val="24"/>
        </w:rPr>
        <w:t>Pelágio</w:t>
      </w:r>
      <w:proofErr w:type="spellEnd"/>
      <w:r w:rsidRPr="00C218FB">
        <w:rPr>
          <w:rFonts w:ascii="Times New Roman" w:hAnsi="Times New Roman" w:cs="Times New Roman"/>
          <w:sz w:val="24"/>
          <w:szCs w:val="24"/>
        </w:rPr>
        <w:t xml:space="preserve"> A. de Labastida y Dávalos. 1872. Dibujo por Antonio García Cubas, Mapoteca Manuel Orozco y Berra.</w:t>
      </w:r>
    </w:p>
    <w:p w:rsidR="000F603A" w:rsidRPr="00C218FB" w:rsidRDefault="000F603A" w:rsidP="00C218FB">
      <w:pPr>
        <w:spacing w:after="0" w:line="240" w:lineRule="auto"/>
        <w:ind w:left="993"/>
        <w:jc w:val="both"/>
        <w:rPr>
          <w:rFonts w:ascii="Times New Roman" w:eastAsia="Arial" w:hAnsi="Times New Roman" w:cs="Times New Roman"/>
          <w:sz w:val="24"/>
          <w:szCs w:val="24"/>
          <w:lang w:val="es-ES"/>
        </w:rPr>
      </w:pPr>
    </w:p>
    <w:p w:rsidR="000F603A" w:rsidRPr="00C218FB" w:rsidRDefault="000F603A" w:rsidP="00C218FB">
      <w:pPr>
        <w:pStyle w:val="Prrafodelista"/>
        <w:widowControl/>
        <w:numPr>
          <w:ilvl w:val="0"/>
          <w:numId w:val="45"/>
        </w:numPr>
        <w:autoSpaceDE/>
        <w:autoSpaceDN/>
        <w:ind w:left="993" w:right="0"/>
        <w:contextualSpacing/>
        <w:rPr>
          <w:rFonts w:ascii="Times New Roman" w:hAnsi="Times New Roman" w:cs="Times New Roman"/>
          <w:sz w:val="24"/>
          <w:szCs w:val="24"/>
        </w:rPr>
      </w:pPr>
      <w:r w:rsidRPr="00C218FB">
        <w:rPr>
          <w:rFonts w:ascii="Times New Roman" w:hAnsi="Times New Roman" w:cs="Times New Roman"/>
          <w:sz w:val="24"/>
          <w:szCs w:val="24"/>
        </w:rPr>
        <w:t>Ilustración 42. – Plano del Estado de México, elaborado por el Geógrafo Antonio García Cubas, 1858, Mapoteca Manuel Orozco y Berra.</w:t>
      </w:r>
    </w:p>
    <w:p w:rsidR="000F603A" w:rsidRPr="00C218FB" w:rsidRDefault="000F603A" w:rsidP="00C218FB">
      <w:pPr>
        <w:spacing w:after="0" w:line="240" w:lineRule="auto"/>
        <w:ind w:left="993"/>
        <w:jc w:val="both"/>
        <w:rPr>
          <w:rFonts w:ascii="Times New Roman" w:eastAsia="Arial" w:hAnsi="Times New Roman" w:cs="Times New Roman"/>
          <w:sz w:val="24"/>
          <w:szCs w:val="24"/>
          <w:lang w:val="es-ES"/>
        </w:rPr>
      </w:pPr>
    </w:p>
    <w:p w:rsidR="000F603A" w:rsidRPr="00C218FB" w:rsidRDefault="000F603A" w:rsidP="00C218FB">
      <w:pPr>
        <w:pStyle w:val="Prrafodelista"/>
        <w:widowControl/>
        <w:numPr>
          <w:ilvl w:val="0"/>
          <w:numId w:val="45"/>
        </w:numPr>
        <w:autoSpaceDE/>
        <w:autoSpaceDN/>
        <w:ind w:left="993" w:right="0"/>
        <w:contextualSpacing/>
        <w:rPr>
          <w:rFonts w:ascii="Times New Roman" w:hAnsi="Times New Roman" w:cs="Times New Roman"/>
          <w:sz w:val="24"/>
          <w:szCs w:val="24"/>
        </w:rPr>
      </w:pPr>
      <w:r w:rsidRPr="00C218FB">
        <w:rPr>
          <w:rFonts w:ascii="Times New Roman" w:hAnsi="Times New Roman" w:cs="Times New Roman"/>
          <w:sz w:val="24"/>
          <w:szCs w:val="24"/>
        </w:rPr>
        <w:t>Ilustración 49. – Distrito Oeste de Tlalnepantla en que está incluido el Distrito Federal, Tomás Ramón del Moral; Sociedad Geográfica y Estadística del Estado de México; año 1852; realizado por orden del Gobernador D. Mariano Riva Palacio, Mapoteca Manuel Orozco y Berra.</w:t>
      </w:r>
    </w:p>
    <w:p w:rsidR="000F603A" w:rsidRPr="00C218FB" w:rsidRDefault="000F603A" w:rsidP="00C218FB">
      <w:pPr>
        <w:spacing w:after="0" w:line="240" w:lineRule="auto"/>
        <w:ind w:left="993"/>
        <w:jc w:val="both"/>
        <w:rPr>
          <w:rFonts w:ascii="Times New Roman" w:eastAsia="Arial" w:hAnsi="Times New Roman" w:cs="Times New Roman"/>
          <w:sz w:val="24"/>
          <w:szCs w:val="24"/>
          <w:lang w:val="es-ES"/>
        </w:rPr>
      </w:pPr>
    </w:p>
    <w:p w:rsidR="000F603A" w:rsidRPr="00C218FB" w:rsidRDefault="000F603A" w:rsidP="00C218FB">
      <w:pPr>
        <w:pStyle w:val="Prrafodelista"/>
        <w:widowControl/>
        <w:numPr>
          <w:ilvl w:val="0"/>
          <w:numId w:val="45"/>
        </w:numPr>
        <w:autoSpaceDE/>
        <w:autoSpaceDN/>
        <w:ind w:left="993" w:right="0"/>
        <w:contextualSpacing/>
        <w:rPr>
          <w:rFonts w:ascii="Times New Roman" w:hAnsi="Times New Roman" w:cs="Times New Roman"/>
          <w:sz w:val="24"/>
          <w:szCs w:val="24"/>
        </w:rPr>
      </w:pPr>
      <w:r w:rsidRPr="00C218FB">
        <w:rPr>
          <w:rFonts w:ascii="Times New Roman" w:hAnsi="Times New Roman" w:cs="Times New Roman"/>
          <w:sz w:val="24"/>
          <w:szCs w:val="24"/>
        </w:rPr>
        <w:t>Ilustración 47. – Distrito de Tula; Tomas Ramón del Moral, Placido Blanco, M. Fernández; Sociedad Geográfica y Estadística del Estado de México; año 1851; realizado por orden del Gobernador D. Mariano Riva Palacio, Mapoteca Manuel Orozco y Berra.</w:t>
      </w:r>
    </w:p>
    <w:p w:rsidR="000F603A" w:rsidRPr="00C218FB" w:rsidRDefault="000F603A" w:rsidP="00C218FB">
      <w:pPr>
        <w:spacing w:after="0" w:line="240" w:lineRule="auto"/>
        <w:ind w:left="993"/>
        <w:jc w:val="both"/>
        <w:rPr>
          <w:rFonts w:ascii="Times New Roman" w:eastAsia="Arial" w:hAnsi="Times New Roman" w:cs="Times New Roman"/>
          <w:sz w:val="24"/>
          <w:szCs w:val="24"/>
          <w:lang w:val="es-ES"/>
        </w:rPr>
      </w:pPr>
    </w:p>
    <w:p w:rsidR="000F603A" w:rsidRPr="00C218FB" w:rsidRDefault="000F603A" w:rsidP="00C218FB">
      <w:pPr>
        <w:pStyle w:val="Prrafodelista"/>
        <w:widowControl/>
        <w:numPr>
          <w:ilvl w:val="0"/>
          <w:numId w:val="45"/>
        </w:numPr>
        <w:autoSpaceDE/>
        <w:autoSpaceDN/>
        <w:ind w:left="993" w:right="0"/>
        <w:contextualSpacing/>
        <w:rPr>
          <w:rFonts w:ascii="Times New Roman" w:hAnsi="Times New Roman" w:cs="Times New Roman"/>
          <w:sz w:val="24"/>
          <w:szCs w:val="24"/>
        </w:rPr>
      </w:pPr>
      <w:r w:rsidRPr="00C218FB">
        <w:rPr>
          <w:rFonts w:ascii="Times New Roman" w:hAnsi="Times New Roman" w:cs="Times New Roman"/>
          <w:sz w:val="24"/>
          <w:szCs w:val="24"/>
        </w:rPr>
        <w:t>Ilustración 10. – Carta Geográfica del Estado de México del año 1862, levantada por el Ing. Geógrafo militar D. Tomás Ramón del Moral, Mapoteca Manuel Orozco y Berra.</w:t>
      </w:r>
    </w:p>
    <w:p w:rsidR="000F603A" w:rsidRPr="00C218FB" w:rsidRDefault="000F603A" w:rsidP="00C218FB">
      <w:pPr>
        <w:spacing w:after="0" w:line="240" w:lineRule="auto"/>
        <w:ind w:left="993"/>
        <w:jc w:val="both"/>
        <w:rPr>
          <w:rFonts w:ascii="Times New Roman" w:eastAsia="Arial" w:hAnsi="Times New Roman" w:cs="Times New Roman"/>
          <w:sz w:val="24"/>
          <w:szCs w:val="24"/>
          <w:lang w:val="es-ES"/>
        </w:rPr>
      </w:pPr>
    </w:p>
    <w:p w:rsidR="000F603A" w:rsidRPr="00C218FB" w:rsidRDefault="000F603A" w:rsidP="00C218FB">
      <w:pPr>
        <w:pStyle w:val="Prrafodelista"/>
        <w:widowControl/>
        <w:numPr>
          <w:ilvl w:val="0"/>
          <w:numId w:val="45"/>
        </w:numPr>
        <w:autoSpaceDE/>
        <w:autoSpaceDN/>
        <w:ind w:left="993" w:right="0"/>
        <w:contextualSpacing/>
        <w:rPr>
          <w:rFonts w:ascii="Times New Roman" w:hAnsi="Times New Roman" w:cs="Times New Roman"/>
          <w:sz w:val="24"/>
          <w:szCs w:val="24"/>
        </w:rPr>
      </w:pPr>
      <w:r w:rsidRPr="00C218FB">
        <w:rPr>
          <w:rFonts w:ascii="Times New Roman" w:hAnsi="Times New Roman" w:cs="Times New Roman"/>
          <w:sz w:val="24"/>
          <w:szCs w:val="24"/>
        </w:rPr>
        <w:t>Ilustración 44. – Mapa General del Estado de México, levantado por el Ing. Tomás Ramón del Moral, corregido por la Sociedad de Geografía y Estadística del Estado de México, este mapa se realizó entre 1827–1833.</w:t>
      </w:r>
    </w:p>
    <w:p w:rsidR="000F603A" w:rsidRPr="00C218FB" w:rsidRDefault="000F603A" w:rsidP="00C218FB">
      <w:pPr>
        <w:spacing w:after="0" w:line="240" w:lineRule="auto"/>
        <w:ind w:left="567"/>
        <w:jc w:val="both"/>
        <w:rPr>
          <w:rFonts w:ascii="Times New Roman" w:eastAsia="Arial" w:hAnsi="Times New Roman" w:cs="Times New Roman"/>
          <w:sz w:val="24"/>
          <w:szCs w:val="24"/>
          <w:lang w:val="es-ES"/>
        </w:rPr>
      </w:pPr>
    </w:p>
    <w:p w:rsidR="000F603A" w:rsidRPr="00C218FB" w:rsidRDefault="000F603A" w:rsidP="00C218FB">
      <w:pPr>
        <w:spacing w:after="0" w:line="240" w:lineRule="auto"/>
        <w:ind w:left="567"/>
        <w:jc w:val="both"/>
        <w:rPr>
          <w:rFonts w:ascii="Times New Roman" w:eastAsia="Arial" w:hAnsi="Times New Roman" w:cs="Times New Roman"/>
          <w:sz w:val="24"/>
          <w:szCs w:val="24"/>
          <w:lang w:val="es-ES"/>
        </w:rPr>
      </w:pPr>
      <w:r w:rsidRPr="00C218FB">
        <w:rPr>
          <w:rFonts w:ascii="Times New Roman" w:eastAsia="Arial" w:hAnsi="Times New Roman" w:cs="Times New Roman"/>
          <w:sz w:val="24"/>
          <w:szCs w:val="24"/>
          <w:lang w:val="es-ES"/>
        </w:rPr>
        <w:t>Pero fue impreso hasta 1852 por instrucciones del Gobernador Mariano Riva Palacio.</w:t>
      </w:r>
    </w:p>
    <w:p w:rsidR="000F603A" w:rsidRPr="00C218FB" w:rsidRDefault="000F603A" w:rsidP="00C218FB">
      <w:pPr>
        <w:spacing w:after="0" w:line="240" w:lineRule="auto"/>
        <w:ind w:left="567"/>
        <w:jc w:val="both"/>
        <w:rPr>
          <w:rFonts w:ascii="Times New Roman" w:eastAsia="Arial" w:hAnsi="Times New Roman" w:cs="Times New Roman"/>
          <w:sz w:val="24"/>
          <w:szCs w:val="24"/>
          <w:lang w:val="es-ES"/>
        </w:rPr>
      </w:pPr>
    </w:p>
    <w:p w:rsidR="000F603A" w:rsidRPr="00C218FB" w:rsidRDefault="000F603A" w:rsidP="00C218FB">
      <w:pPr>
        <w:spacing w:after="0" w:line="240" w:lineRule="auto"/>
        <w:ind w:left="567"/>
        <w:jc w:val="both"/>
        <w:rPr>
          <w:rFonts w:ascii="Times New Roman" w:eastAsia="Arial" w:hAnsi="Times New Roman" w:cs="Times New Roman"/>
          <w:sz w:val="24"/>
          <w:szCs w:val="24"/>
          <w:lang w:val="es-ES"/>
        </w:rPr>
      </w:pPr>
      <w:r w:rsidRPr="00C218FB">
        <w:rPr>
          <w:rFonts w:ascii="Times New Roman" w:eastAsia="Arial" w:hAnsi="Times New Roman" w:cs="Times New Roman"/>
          <w:sz w:val="24"/>
          <w:szCs w:val="24"/>
          <w:lang w:val="es-ES"/>
        </w:rPr>
        <w:t>En atención a lo anterior, esta Comisión, con fundamento en los principios de sencillez y buena fe, previstos por el artículo 6, párrafo segundo y con el propósito de cumplir con el contenido del artículo 47, ambos de la Ley Reglamentaria, en lo que respecta al desahogo de esta probanza, esta Comisión ordenará el mismo, dentro de los mismos sesenta (60) días hábiles, hasta en tanto el Municipio oferente exhiba, a la brevedad y dentro del mismo término previamente indicado, lo siguiente:</w:t>
      </w:r>
    </w:p>
    <w:p w:rsidR="000F603A" w:rsidRPr="00C218FB" w:rsidRDefault="000F603A" w:rsidP="00C218FB">
      <w:pPr>
        <w:spacing w:after="0" w:line="240" w:lineRule="auto"/>
        <w:ind w:left="567"/>
        <w:jc w:val="both"/>
        <w:rPr>
          <w:rFonts w:ascii="Times New Roman" w:eastAsia="Arial" w:hAnsi="Times New Roman" w:cs="Times New Roman"/>
          <w:sz w:val="24"/>
          <w:szCs w:val="24"/>
          <w:lang w:val="es-ES"/>
        </w:rPr>
      </w:pPr>
    </w:p>
    <w:p w:rsidR="000F603A" w:rsidRPr="00C218FB" w:rsidRDefault="000F603A" w:rsidP="00C218FB">
      <w:pPr>
        <w:spacing w:after="0" w:line="240" w:lineRule="auto"/>
        <w:ind w:left="567"/>
        <w:jc w:val="both"/>
        <w:rPr>
          <w:rFonts w:ascii="Times New Roman" w:eastAsia="Arial" w:hAnsi="Times New Roman" w:cs="Times New Roman"/>
          <w:sz w:val="24"/>
          <w:szCs w:val="24"/>
          <w:lang w:val="es-ES"/>
        </w:rPr>
      </w:pPr>
      <w:r w:rsidRPr="00C218FB">
        <w:rPr>
          <w:rFonts w:ascii="Times New Roman" w:eastAsia="Arial" w:hAnsi="Times New Roman" w:cs="Times New Roman"/>
          <w:sz w:val="24"/>
          <w:szCs w:val="24"/>
          <w:lang w:val="es-ES"/>
        </w:rPr>
        <w:t>Los seis (6) planos y/o cartas cartográficas faltantes, mismos planos y/o cartas cartográficas que fueron remitidos u ofrecidos a través del escrito recibido en la oficina de la Presidencia de esta Comisión Legislativa en fecha veintidós (22) de noviembre del año en curso, suscrito por Presidente y Síndica constitucionales, respectivamente, del Municipio oferente.</w:t>
      </w:r>
    </w:p>
    <w:p w:rsidR="000F603A" w:rsidRPr="00C218FB" w:rsidRDefault="000F603A" w:rsidP="00C218FB">
      <w:pPr>
        <w:spacing w:after="0" w:line="240" w:lineRule="auto"/>
        <w:ind w:left="567"/>
        <w:jc w:val="both"/>
        <w:rPr>
          <w:rFonts w:ascii="Times New Roman" w:eastAsia="Arial" w:hAnsi="Times New Roman" w:cs="Times New Roman"/>
          <w:sz w:val="24"/>
          <w:szCs w:val="24"/>
          <w:lang w:val="es-ES"/>
        </w:rPr>
      </w:pPr>
    </w:p>
    <w:p w:rsidR="000F603A" w:rsidRPr="00C218FB" w:rsidRDefault="000F603A" w:rsidP="00C218FB">
      <w:pPr>
        <w:spacing w:after="0" w:line="240" w:lineRule="auto"/>
        <w:ind w:left="567"/>
        <w:jc w:val="both"/>
        <w:rPr>
          <w:rFonts w:ascii="Times New Roman" w:eastAsia="Arial" w:hAnsi="Times New Roman" w:cs="Times New Roman"/>
          <w:sz w:val="24"/>
          <w:szCs w:val="24"/>
          <w:lang w:val="es-ES"/>
        </w:rPr>
      </w:pPr>
      <w:r w:rsidRPr="00C218FB">
        <w:rPr>
          <w:rFonts w:ascii="Times New Roman" w:eastAsia="Arial" w:hAnsi="Times New Roman" w:cs="Times New Roman"/>
          <w:sz w:val="24"/>
          <w:szCs w:val="24"/>
          <w:lang w:val="es-ES"/>
        </w:rPr>
        <w:t>El requerimiento anterior deberá ser cumplido bajo el apercibimiento de que en caso de que el Municipio oferente, a través de sus representantes, no logre exhibir lo requerido por esta Autoridad, dentro del término de sesenta (60) días hábiles previstos por la Ley Reglamentaria para efecto de desahogar las pruebas admitidas, esta Autoridad tendrá por precluido el derecho del Municipio oferente respecto de esta probanza.</w:t>
      </w:r>
    </w:p>
    <w:p w:rsidR="000F603A" w:rsidRPr="00C218FB" w:rsidRDefault="000F603A" w:rsidP="00C218FB">
      <w:pPr>
        <w:spacing w:after="0" w:line="240" w:lineRule="auto"/>
        <w:ind w:left="567"/>
        <w:jc w:val="both"/>
        <w:rPr>
          <w:rFonts w:ascii="Times New Roman" w:eastAsia="Arial" w:hAnsi="Times New Roman" w:cs="Times New Roman"/>
          <w:sz w:val="24"/>
          <w:szCs w:val="24"/>
          <w:lang w:val="es-ES"/>
        </w:rPr>
      </w:pPr>
    </w:p>
    <w:p w:rsidR="000F603A" w:rsidRPr="00C218FB" w:rsidRDefault="000F603A" w:rsidP="00C218FB">
      <w:pPr>
        <w:spacing w:after="0" w:line="240" w:lineRule="auto"/>
        <w:ind w:left="567"/>
        <w:jc w:val="both"/>
        <w:rPr>
          <w:rFonts w:ascii="Times New Roman" w:eastAsia="Arial" w:hAnsi="Times New Roman" w:cs="Times New Roman"/>
          <w:sz w:val="24"/>
          <w:szCs w:val="24"/>
          <w:lang w:val="es-ES"/>
        </w:rPr>
      </w:pPr>
      <w:r w:rsidRPr="00C218FB">
        <w:rPr>
          <w:rFonts w:ascii="Times New Roman" w:eastAsia="Arial" w:hAnsi="Times New Roman" w:cs="Times New Roman"/>
          <w:sz w:val="24"/>
          <w:szCs w:val="24"/>
          <w:lang w:val="es-ES"/>
        </w:rPr>
        <w:t>Una vez que se hayan exhibido los seis (6) planos y/o cartas cartográficas faltantes, esta Comisión ordenará a su Presidencia, a través del personal que delegue para tales efectos, dar vista al resto de los Municipios intervinientes en este asunto, para que dentro del término de hasta cinco (5) días hábiles, contados a partir del día hábil siguiente en que surta efectos la notificación respectiva, manifiesten de forma individual lo que a derecho convenga respecto de dicha probanza.</w:t>
      </w:r>
    </w:p>
    <w:p w:rsidR="000F603A" w:rsidRPr="00C218FB" w:rsidRDefault="000F603A" w:rsidP="00C218FB">
      <w:pPr>
        <w:spacing w:after="0" w:line="240" w:lineRule="auto"/>
        <w:ind w:left="567"/>
        <w:jc w:val="both"/>
        <w:rPr>
          <w:rFonts w:ascii="Times New Roman" w:eastAsia="Arial" w:hAnsi="Times New Roman" w:cs="Times New Roman"/>
          <w:sz w:val="24"/>
          <w:szCs w:val="24"/>
          <w:lang w:val="es-ES"/>
        </w:rPr>
      </w:pPr>
    </w:p>
    <w:p w:rsidR="000F603A" w:rsidRPr="00C218FB" w:rsidRDefault="000F603A" w:rsidP="00C218FB">
      <w:pPr>
        <w:spacing w:after="0" w:line="240" w:lineRule="auto"/>
        <w:ind w:left="567"/>
        <w:jc w:val="both"/>
        <w:rPr>
          <w:rFonts w:ascii="Times New Roman" w:eastAsia="Arial" w:hAnsi="Times New Roman" w:cs="Times New Roman"/>
          <w:b/>
          <w:bCs/>
          <w:sz w:val="24"/>
          <w:szCs w:val="24"/>
          <w:lang w:val="es-ES"/>
        </w:rPr>
      </w:pPr>
      <w:r w:rsidRPr="00C218FB">
        <w:rPr>
          <w:rFonts w:ascii="Times New Roman" w:eastAsia="Arial" w:hAnsi="Times New Roman" w:cs="Times New Roman"/>
          <w:b/>
          <w:bCs/>
          <w:sz w:val="24"/>
          <w:szCs w:val="24"/>
          <w:lang w:val="es-ES"/>
        </w:rPr>
        <w:t>MEDIANTE ACUERDO DE FECHA CUATRO DE ABRIL DE DOS MIL VEINTITRÉS, SE DIÓ POR NO DESAHOGADA LA PRUEBA OFRECIDA POR EL MUNICIPIO DE ECATEPEC.</w:t>
      </w:r>
    </w:p>
    <w:p w:rsidR="000F603A" w:rsidRPr="00C218FB" w:rsidRDefault="000F603A" w:rsidP="00C218FB">
      <w:pPr>
        <w:spacing w:after="0" w:line="240" w:lineRule="auto"/>
        <w:ind w:left="567"/>
        <w:jc w:val="both"/>
        <w:rPr>
          <w:rFonts w:ascii="Times New Roman" w:eastAsia="Arial" w:hAnsi="Times New Roman" w:cs="Times New Roman"/>
          <w:b/>
          <w:bCs/>
          <w:sz w:val="24"/>
          <w:szCs w:val="24"/>
          <w:lang w:val="es-ES"/>
        </w:rPr>
      </w:pPr>
    </w:p>
    <w:p w:rsidR="000F603A" w:rsidRPr="00C218FB" w:rsidRDefault="000F603A" w:rsidP="00FD77CF">
      <w:pPr>
        <w:pStyle w:val="Prrafodelista"/>
        <w:widowControl/>
        <w:numPr>
          <w:ilvl w:val="0"/>
          <w:numId w:val="41"/>
        </w:numPr>
        <w:autoSpaceDE/>
        <w:autoSpaceDN/>
        <w:ind w:left="567" w:right="0" w:firstLine="284"/>
        <w:contextualSpacing/>
        <w:rPr>
          <w:rFonts w:ascii="Times New Roman" w:hAnsi="Times New Roman" w:cs="Times New Roman"/>
          <w:sz w:val="24"/>
          <w:szCs w:val="24"/>
        </w:rPr>
      </w:pPr>
      <w:r w:rsidRPr="00C218FB">
        <w:rPr>
          <w:rFonts w:ascii="Times New Roman" w:hAnsi="Times New Roman" w:cs="Times New Roman"/>
          <w:sz w:val="24"/>
          <w:szCs w:val="24"/>
        </w:rPr>
        <w:t>La documental privada marcada con el numeral cuatro, punto uno (4.1) a la que se hace referencia en el escrito en comento, consistente en tres planos que representan el Lago de Texcoco y sus alrededores.</w:t>
      </w:r>
    </w:p>
    <w:p w:rsidR="000F603A" w:rsidRPr="00C218FB" w:rsidRDefault="000F603A" w:rsidP="00FD77CF">
      <w:pPr>
        <w:spacing w:after="0" w:line="240" w:lineRule="auto"/>
        <w:ind w:left="567"/>
        <w:jc w:val="both"/>
        <w:rPr>
          <w:rFonts w:ascii="Times New Roman" w:eastAsia="Arial" w:hAnsi="Times New Roman" w:cs="Times New Roman"/>
          <w:sz w:val="24"/>
          <w:szCs w:val="24"/>
          <w:lang w:val="es-ES"/>
        </w:rPr>
      </w:pPr>
    </w:p>
    <w:p w:rsidR="000F603A" w:rsidRPr="00C218FB" w:rsidRDefault="000F603A" w:rsidP="00FD77CF">
      <w:pPr>
        <w:spacing w:after="0" w:line="240" w:lineRule="auto"/>
        <w:ind w:left="567"/>
        <w:jc w:val="both"/>
        <w:rPr>
          <w:rFonts w:ascii="Times New Roman" w:eastAsia="Arial" w:hAnsi="Times New Roman" w:cs="Times New Roman"/>
          <w:sz w:val="24"/>
          <w:szCs w:val="24"/>
          <w:lang w:val="es-ES"/>
        </w:rPr>
      </w:pPr>
      <w:r w:rsidRPr="00C218FB">
        <w:rPr>
          <w:rFonts w:ascii="Times New Roman" w:eastAsia="Arial" w:hAnsi="Times New Roman" w:cs="Times New Roman"/>
          <w:sz w:val="24"/>
          <w:szCs w:val="24"/>
          <w:lang w:val="es-ES"/>
        </w:rPr>
        <w:t>En atención a lo anterior, esta Comisión, con fundamento en los principios de sencillez y buena fe, previstos por el artículo 6, párrafo segundo y con el propósito de cumplir con el contenido del artículo 47, ambos de la Ley Reglamentaria, en lo que respecta al desahogo de esta probanza, esta Comisión ordenará el mismo, dentro de los mismos sesenta (60) días hábiles, hasta en tanto el Municipio oferente exhiba en original los planos originales a los que hace referencia, y de la misma forma, indique si forma parte de un libro, expediente o legajo en particular, así como los datos relativos a la autoría de cada plano, su fecha de elaboración y el lugar en donde se encuentran u obran.</w:t>
      </w:r>
    </w:p>
    <w:p w:rsidR="000F603A" w:rsidRPr="00C218FB" w:rsidRDefault="000F603A" w:rsidP="00FD77CF">
      <w:pPr>
        <w:spacing w:after="0" w:line="240" w:lineRule="auto"/>
        <w:ind w:left="567"/>
        <w:jc w:val="both"/>
        <w:rPr>
          <w:rFonts w:ascii="Times New Roman" w:eastAsia="Arial" w:hAnsi="Times New Roman" w:cs="Times New Roman"/>
          <w:sz w:val="24"/>
          <w:szCs w:val="24"/>
          <w:lang w:val="es-ES"/>
        </w:rPr>
      </w:pPr>
    </w:p>
    <w:p w:rsidR="000F603A" w:rsidRPr="00C218FB" w:rsidRDefault="000F603A" w:rsidP="00FD77CF">
      <w:pPr>
        <w:spacing w:after="0" w:line="240" w:lineRule="auto"/>
        <w:ind w:left="567"/>
        <w:jc w:val="both"/>
        <w:rPr>
          <w:rFonts w:ascii="Times New Roman" w:eastAsia="Arial" w:hAnsi="Times New Roman" w:cs="Times New Roman"/>
          <w:sz w:val="24"/>
          <w:szCs w:val="24"/>
          <w:lang w:val="es-ES"/>
        </w:rPr>
      </w:pPr>
      <w:r w:rsidRPr="00C218FB">
        <w:rPr>
          <w:rFonts w:ascii="Times New Roman" w:eastAsia="Arial" w:hAnsi="Times New Roman" w:cs="Times New Roman"/>
          <w:sz w:val="24"/>
          <w:szCs w:val="24"/>
          <w:lang w:val="es-ES"/>
        </w:rPr>
        <w:t>A razón de que esta Comisión Legislativa ya ha corrido traslado respecto de esta probanza, una vez que el Municipio oferente haya indicado lo previamente aludido por esta Autoridad, los demás Municipios intervinientes deberán manifestar lo que a derecho convenga, dentro del término de hasta cinco (5) días hábiles, contados a partir del día hábil siguiente en que surta efectos la notificación de la resolución respectiva.</w:t>
      </w:r>
    </w:p>
    <w:p w:rsidR="000F603A" w:rsidRPr="00C218FB" w:rsidRDefault="000F603A" w:rsidP="00FD77CF">
      <w:pPr>
        <w:spacing w:after="0" w:line="240" w:lineRule="auto"/>
        <w:ind w:left="567"/>
        <w:jc w:val="both"/>
        <w:rPr>
          <w:rFonts w:ascii="Times New Roman" w:eastAsia="Arial" w:hAnsi="Times New Roman" w:cs="Times New Roman"/>
          <w:sz w:val="24"/>
          <w:szCs w:val="24"/>
          <w:lang w:val="es-ES"/>
        </w:rPr>
      </w:pPr>
    </w:p>
    <w:p w:rsidR="000F603A" w:rsidRPr="00C218FB" w:rsidRDefault="000F603A" w:rsidP="00FD77CF">
      <w:pPr>
        <w:spacing w:after="0" w:line="240" w:lineRule="auto"/>
        <w:ind w:left="567"/>
        <w:jc w:val="both"/>
        <w:rPr>
          <w:rFonts w:ascii="Times New Roman" w:eastAsia="Arial" w:hAnsi="Times New Roman" w:cs="Times New Roman"/>
          <w:b/>
          <w:bCs/>
          <w:sz w:val="24"/>
          <w:szCs w:val="24"/>
          <w:lang w:val="es-ES"/>
        </w:rPr>
      </w:pPr>
      <w:r w:rsidRPr="00C218FB">
        <w:rPr>
          <w:rFonts w:ascii="Times New Roman" w:eastAsia="Arial" w:hAnsi="Times New Roman" w:cs="Times New Roman"/>
          <w:b/>
          <w:bCs/>
          <w:sz w:val="24"/>
          <w:szCs w:val="24"/>
          <w:lang w:val="es-ES"/>
        </w:rPr>
        <w:t>MEDIANTE ACUERDO DE FECHA CUATRO DE ABRIL DE DOS MIL VEINTITRÉS, SE DIÓ POR DESAHOGADA LA PRUEBA OFRECIDA POR EL MUNICIPIO DE ECATEPEC.</w:t>
      </w:r>
    </w:p>
    <w:p w:rsidR="000F603A" w:rsidRPr="00C218FB" w:rsidRDefault="000F603A" w:rsidP="00FD77CF">
      <w:pPr>
        <w:spacing w:after="0" w:line="240" w:lineRule="auto"/>
        <w:ind w:left="567"/>
        <w:jc w:val="both"/>
        <w:rPr>
          <w:rFonts w:ascii="Times New Roman" w:eastAsia="Arial" w:hAnsi="Times New Roman" w:cs="Times New Roman"/>
          <w:sz w:val="24"/>
          <w:szCs w:val="24"/>
          <w:lang w:val="es-ES"/>
        </w:rPr>
      </w:pPr>
    </w:p>
    <w:p w:rsidR="000F603A" w:rsidRPr="00C218FB" w:rsidRDefault="000F603A" w:rsidP="00FD77CF">
      <w:pPr>
        <w:pStyle w:val="Prrafodelista"/>
        <w:widowControl/>
        <w:numPr>
          <w:ilvl w:val="0"/>
          <w:numId w:val="41"/>
        </w:numPr>
        <w:autoSpaceDE/>
        <w:autoSpaceDN/>
        <w:ind w:left="567" w:right="0" w:firstLine="284"/>
        <w:contextualSpacing/>
        <w:rPr>
          <w:rFonts w:ascii="Times New Roman" w:hAnsi="Times New Roman" w:cs="Times New Roman"/>
          <w:b/>
          <w:sz w:val="24"/>
          <w:szCs w:val="24"/>
        </w:rPr>
      </w:pPr>
      <w:r w:rsidRPr="00C218FB">
        <w:rPr>
          <w:rFonts w:ascii="Times New Roman" w:hAnsi="Times New Roman" w:cs="Times New Roman"/>
          <w:sz w:val="24"/>
          <w:szCs w:val="24"/>
        </w:rPr>
        <w:t xml:space="preserve"> La documental pública marcada con el numeral dos (2) a la que hace referencia en el escrito en comento, consistente en 2 oficios originales suscritos por las personas titulares de las dependencias que integran la Administración Pública Municipal de Ecatepec de Morelos, Estado de México, misma que se </w:t>
      </w:r>
      <w:r w:rsidRPr="00C218FB">
        <w:rPr>
          <w:rFonts w:ascii="Times New Roman" w:hAnsi="Times New Roman" w:cs="Times New Roman"/>
          <w:b/>
          <w:sz w:val="24"/>
          <w:szCs w:val="24"/>
        </w:rPr>
        <w:t>tuvo por desahogada por su propia y especial naturaleza.</w:t>
      </w:r>
    </w:p>
    <w:p w:rsidR="000F603A" w:rsidRPr="00C218FB" w:rsidRDefault="000F603A" w:rsidP="00FD77CF">
      <w:pPr>
        <w:spacing w:after="0" w:line="240" w:lineRule="auto"/>
        <w:ind w:left="567"/>
        <w:jc w:val="both"/>
        <w:rPr>
          <w:rFonts w:ascii="Times New Roman" w:eastAsia="Arial" w:hAnsi="Times New Roman" w:cs="Times New Roman"/>
          <w:sz w:val="24"/>
          <w:szCs w:val="24"/>
          <w:lang w:val="es-ES"/>
        </w:rPr>
      </w:pPr>
    </w:p>
    <w:p w:rsidR="000F603A" w:rsidRPr="00C218FB" w:rsidRDefault="000F603A" w:rsidP="00FD77CF">
      <w:pPr>
        <w:pStyle w:val="Prrafodelista"/>
        <w:widowControl/>
        <w:numPr>
          <w:ilvl w:val="0"/>
          <w:numId w:val="41"/>
        </w:numPr>
        <w:autoSpaceDE/>
        <w:autoSpaceDN/>
        <w:ind w:left="567" w:right="0" w:firstLine="284"/>
        <w:contextualSpacing/>
        <w:rPr>
          <w:rFonts w:ascii="Times New Roman" w:hAnsi="Times New Roman" w:cs="Times New Roman"/>
          <w:sz w:val="24"/>
          <w:szCs w:val="24"/>
        </w:rPr>
      </w:pPr>
      <w:r w:rsidRPr="00C218FB">
        <w:rPr>
          <w:rFonts w:ascii="Times New Roman" w:hAnsi="Times New Roman" w:cs="Times New Roman"/>
          <w:sz w:val="24"/>
          <w:szCs w:val="24"/>
        </w:rPr>
        <w:t xml:space="preserve"> La testimonial marcada con el numeral tres (3) a la que hace referencia en el escrito en comento, a cargo de los C.C. Elizabeth Gabriela Martínez Herrera, Angélica Juárez </w:t>
      </w:r>
      <w:r w:rsidRPr="00C218FB">
        <w:rPr>
          <w:rFonts w:ascii="Times New Roman" w:hAnsi="Times New Roman" w:cs="Times New Roman"/>
          <w:sz w:val="24"/>
          <w:szCs w:val="24"/>
        </w:rPr>
        <w:lastRenderedPageBreak/>
        <w:t xml:space="preserve">Sánchez y Alma Celia Martínez Alonso; Olga Lidia Vázquez </w:t>
      </w:r>
      <w:proofErr w:type="spellStart"/>
      <w:r w:rsidRPr="00C218FB">
        <w:rPr>
          <w:rFonts w:ascii="Times New Roman" w:hAnsi="Times New Roman" w:cs="Times New Roman"/>
          <w:sz w:val="24"/>
          <w:szCs w:val="24"/>
        </w:rPr>
        <w:t>Vázquez</w:t>
      </w:r>
      <w:proofErr w:type="spellEnd"/>
      <w:r w:rsidRPr="00C218FB">
        <w:rPr>
          <w:rFonts w:ascii="Times New Roman" w:hAnsi="Times New Roman" w:cs="Times New Roman"/>
          <w:sz w:val="24"/>
          <w:szCs w:val="24"/>
        </w:rPr>
        <w:t>, Alondra Valeria Martínez Vázquez y Guillermo Pérez Hernández; Julio Adrián López Chávez, Teresa López Díaz y Aurelio García Ojeda.</w:t>
      </w:r>
    </w:p>
    <w:p w:rsidR="000F603A" w:rsidRPr="00C218FB" w:rsidRDefault="000F603A" w:rsidP="00C218FB">
      <w:pPr>
        <w:pStyle w:val="Prrafodelista"/>
        <w:ind w:left="567"/>
        <w:rPr>
          <w:rFonts w:ascii="Times New Roman" w:hAnsi="Times New Roman" w:cs="Times New Roman"/>
          <w:sz w:val="24"/>
          <w:szCs w:val="24"/>
        </w:rPr>
      </w:pPr>
    </w:p>
    <w:p w:rsidR="000F603A" w:rsidRPr="00C218FB" w:rsidRDefault="000F603A" w:rsidP="00C218FB">
      <w:pPr>
        <w:pStyle w:val="Prrafodelista"/>
        <w:ind w:left="567"/>
        <w:rPr>
          <w:rFonts w:ascii="Times New Roman" w:hAnsi="Times New Roman" w:cs="Times New Roman"/>
          <w:sz w:val="24"/>
          <w:szCs w:val="24"/>
        </w:rPr>
      </w:pPr>
      <w:r w:rsidRPr="00C218FB">
        <w:rPr>
          <w:rFonts w:ascii="Times New Roman" w:hAnsi="Times New Roman" w:cs="Times New Roman"/>
          <w:sz w:val="24"/>
          <w:szCs w:val="24"/>
        </w:rPr>
        <w:t>En cuanto a la preparación de esta prueba, esta Comisión ordena a su Presidencia, a través del personal que delegue para tales efectos, dar vista al resto de los Municipios intervinientes en este asunto para que dentro del término de hasta cinco (5) días hábiles, contados a partir del día hábil siguiente en que surta efectos la notificación de esta resolución, manifiesten de forma individual lo que a derecho convenga respecto de dicha probanza.</w:t>
      </w:r>
    </w:p>
    <w:p w:rsidR="000F603A" w:rsidRPr="00C218FB" w:rsidRDefault="000F603A" w:rsidP="00C218FB">
      <w:pPr>
        <w:pStyle w:val="Prrafodelista"/>
        <w:ind w:left="567"/>
        <w:rPr>
          <w:rFonts w:ascii="Times New Roman" w:hAnsi="Times New Roman" w:cs="Times New Roman"/>
          <w:sz w:val="24"/>
          <w:szCs w:val="24"/>
        </w:rPr>
      </w:pPr>
    </w:p>
    <w:p w:rsidR="000F603A" w:rsidRPr="00C218FB" w:rsidRDefault="000F603A" w:rsidP="00C218FB">
      <w:pPr>
        <w:pStyle w:val="Prrafodelista"/>
        <w:ind w:left="567"/>
        <w:rPr>
          <w:rFonts w:ascii="Times New Roman" w:hAnsi="Times New Roman" w:cs="Times New Roman"/>
          <w:sz w:val="24"/>
          <w:szCs w:val="24"/>
        </w:rPr>
      </w:pPr>
      <w:r w:rsidRPr="00C218FB">
        <w:rPr>
          <w:rFonts w:ascii="Times New Roman" w:hAnsi="Times New Roman" w:cs="Times New Roman"/>
          <w:sz w:val="24"/>
          <w:szCs w:val="24"/>
        </w:rPr>
        <w:t>Y asimismo, a razón de que este Órgano Parlamentario mediante su Presidencia y a través del personal delegado, ha corrido traslado a los Municipios contendientes con copia simple del interrogatorio exhibido por el Municipio oferente, con el objeto de que los Municipios aludidos exhiban o proporcionen a la Comisión Legislativa, previo a la celebración o hasta antes del verificativo de esta audiencia de desahogo de tal probanza, el contrainterrogatorio o las repreguntas, mediante escrito, que consideren convenientes, las cuales deberán formularse en términos claros, precisos e inquisitivos, para efecto de que este Órgano Legislativo proceda a realizar la calificación del interrogatorio o de las preguntas realizadas por el Municipio oferente, así como de los contrainterrogatorios o de las repreguntas efectuadas por los Municipios intervinientes, se aclara por parte de esta Autoridad que ya no será necesario correr traslado con copia de este interrogatorio, puesto que este mismo ya se encuentra bajo disposición de cada Municipio interviniente.</w:t>
      </w:r>
    </w:p>
    <w:p w:rsidR="000F603A" w:rsidRPr="00C218FB" w:rsidRDefault="000F603A" w:rsidP="00C218FB">
      <w:pPr>
        <w:pStyle w:val="Prrafodelista"/>
        <w:ind w:left="567"/>
        <w:rPr>
          <w:rFonts w:ascii="Times New Roman" w:hAnsi="Times New Roman" w:cs="Times New Roman"/>
          <w:sz w:val="24"/>
          <w:szCs w:val="24"/>
        </w:rPr>
      </w:pPr>
    </w:p>
    <w:p w:rsidR="000F603A" w:rsidRPr="00C218FB" w:rsidRDefault="000F603A" w:rsidP="00C218FB">
      <w:pPr>
        <w:pStyle w:val="Prrafodelista"/>
        <w:ind w:left="567"/>
        <w:rPr>
          <w:rFonts w:ascii="Times New Roman" w:hAnsi="Times New Roman" w:cs="Times New Roman"/>
          <w:sz w:val="24"/>
          <w:szCs w:val="24"/>
        </w:rPr>
      </w:pPr>
      <w:r w:rsidRPr="00C218FB">
        <w:rPr>
          <w:rFonts w:ascii="Times New Roman" w:hAnsi="Times New Roman" w:cs="Times New Roman"/>
          <w:sz w:val="24"/>
          <w:szCs w:val="24"/>
        </w:rPr>
        <w:t>Aunado a lo anterior, debido a que el Municipio oferente no hizo mención de que se encontraba imposibilitado para poder presentar a los testigos aludidos o de que era necesario que los testigos fueran citados por conducto de la Comisión, este Órgano Legislativo hace constar que el Municipio oferente deberá presentar a los testigos indicados en la fecha, hora y lugar que esta Comisión indica a continuación, no obstante, aunado a esto, se apercibe al Municipio oferente para efecto de que en caso de que no sean presentados dichos testigos en la fecha, hora y lugar que señale esta Comisión, este mismo Órgano Colegiado declarará desierta esta probanza.</w:t>
      </w:r>
    </w:p>
    <w:p w:rsidR="000F603A" w:rsidRPr="00C218FB" w:rsidRDefault="000F603A" w:rsidP="00C218FB">
      <w:pPr>
        <w:pStyle w:val="Prrafodelista"/>
        <w:ind w:left="567"/>
        <w:rPr>
          <w:rFonts w:ascii="Times New Roman" w:hAnsi="Times New Roman" w:cs="Times New Roman"/>
          <w:sz w:val="24"/>
          <w:szCs w:val="24"/>
        </w:rPr>
      </w:pPr>
    </w:p>
    <w:p w:rsidR="000F603A" w:rsidRPr="00C218FB" w:rsidRDefault="000F603A" w:rsidP="00C218FB">
      <w:pPr>
        <w:pStyle w:val="Prrafodelista"/>
        <w:ind w:left="567"/>
        <w:rPr>
          <w:rFonts w:ascii="Times New Roman" w:hAnsi="Times New Roman" w:cs="Times New Roman"/>
          <w:sz w:val="24"/>
          <w:szCs w:val="24"/>
        </w:rPr>
      </w:pPr>
      <w:r w:rsidRPr="00C218FB">
        <w:rPr>
          <w:rFonts w:ascii="Times New Roman" w:hAnsi="Times New Roman" w:cs="Times New Roman"/>
          <w:sz w:val="24"/>
          <w:szCs w:val="24"/>
        </w:rPr>
        <w:t>Para que pueda celebrarse la audiencia de desahogo de esta testimonial, este Órgano Legislativo señala las once horas en punto (11:00) del miércoles veinticinco (25) de enero del dos mil veintitrés (2023), la cual tendrá verificativo en el Palacio de este Poder Legislativo del Estado de México.</w:t>
      </w:r>
    </w:p>
    <w:p w:rsidR="000F603A" w:rsidRPr="00C218FB" w:rsidRDefault="000F603A" w:rsidP="00C218FB">
      <w:pPr>
        <w:pStyle w:val="Prrafodelista"/>
        <w:ind w:left="567"/>
        <w:rPr>
          <w:rFonts w:ascii="Times New Roman" w:hAnsi="Times New Roman" w:cs="Times New Roman"/>
          <w:sz w:val="24"/>
          <w:szCs w:val="24"/>
        </w:rPr>
      </w:pPr>
    </w:p>
    <w:p w:rsidR="000F603A" w:rsidRPr="00C218FB" w:rsidRDefault="000F603A" w:rsidP="00C218FB">
      <w:pPr>
        <w:pStyle w:val="Prrafodelista"/>
        <w:ind w:left="567"/>
        <w:rPr>
          <w:rFonts w:ascii="Times New Roman" w:hAnsi="Times New Roman" w:cs="Times New Roman"/>
          <w:sz w:val="24"/>
          <w:szCs w:val="24"/>
        </w:rPr>
      </w:pPr>
      <w:r w:rsidRPr="00C218FB">
        <w:rPr>
          <w:rFonts w:ascii="Times New Roman" w:hAnsi="Times New Roman" w:cs="Times New Roman"/>
          <w:b/>
          <w:bCs/>
          <w:sz w:val="24"/>
          <w:szCs w:val="24"/>
        </w:rPr>
        <w:t>ESTA PRUEBA SE DESAHOGÓ EN AUDIENCIA DE LA COMISIÓN EN FECHA VEINTICINCO DE JULIO DE DOS MIL VEINTITRÉS.</w:t>
      </w:r>
    </w:p>
    <w:p w:rsidR="000F603A" w:rsidRPr="00C218FB" w:rsidRDefault="000F603A" w:rsidP="00C218FB">
      <w:pPr>
        <w:spacing w:after="0" w:line="240" w:lineRule="auto"/>
        <w:ind w:left="567"/>
        <w:jc w:val="both"/>
        <w:rPr>
          <w:rFonts w:ascii="Times New Roman" w:eastAsia="Arial" w:hAnsi="Times New Roman" w:cs="Times New Roman"/>
          <w:sz w:val="24"/>
          <w:szCs w:val="24"/>
          <w:lang w:val="es-ES"/>
        </w:rPr>
      </w:pPr>
    </w:p>
    <w:p w:rsidR="000F603A" w:rsidRPr="00C218FB" w:rsidRDefault="000F603A" w:rsidP="00FD77CF">
      <w:pPr>
        <w:pStyle w:val="Prrafodelista"/>
        <w:widowControl/>
        <w:numPr>
          <w:ilvl w:val="0"/>
          <w:numId w:val="41"/>
        </w:numPr>
        <w:autoSpaceDE/>
        <w:autoSpaceDN/>
        <w:ind w:left="567" w:right="0" w:firstLine="426"/>
        <w:contextualSpacing/>
        <w:rPr>
          <w:rFonts w:ascii="Times New Roman" w:hAnsi="Times New Roman" w:cs="Times New Roman"/>
          <w:sz w:val="24"/>
          <w:szCs w:val="24"/>
        </w:rPr>
      </w:pPr>
      <w:r w:rsidRPr="00C218FB">
        <w:rPr>
          <w:rFonts w:ascii="Times New Roman" w:hAnsi="Times New Roman" w:cs="Times New Roman"/>
          <w:sz w:val="24"/>
          <w:szCs w:val="24"/>
        </w:rPr>
        <w:t xml:space="preserve"> La documental privada marcada con el numeral cuatro (4) en el escrito en comento, consistente en el informe técnico del estudio sociodemográfico de identidad y auto adscripción que tendrá a bien rendir la Universidad Autónoma Metropolitana.</w:t>
      </w:r>
    </w:p>
    <w:p w:rsidR="000F603A" w:rsidRPr="00C218FB" w:rsidRDefault="000F603A" w:rsidP="00C218FB">
      <w:pPr>
        <w:spacing w:after="0" w:line="240" w:lineRule="auto"/>
        <w:ind w:left="567"/>
        <w:jc w:val="both"/>
        <w:rPr>
          <w:rFonts w:ascii="Times New Roman" w:eastAsia="Arial" w:hAnsi="Times New Roman" w:cs="Times New Roman"/>
          <w:sz w:val="24"/>
          <w:szCs w:val="24"/>
          <w:lang w:val="es-ES"/>
        </w:rPr>
      </w:pPr>
    </w:p>
    <w:p w:rsidR="000F603A" w:rsidRPr="00C218FB" w:rsidRDefault="000F603A" w:rsidP="00C218FB">
      <w:pPr>
        <w:spacing w:after="0" w:line="240" w:lineRule="auto"/>
        <w:ind w:left="567"/>
        <w:jc w:val="both"/>
        <w:rPr>
          <w:rFonts w:ascii="Times New Roman" w:eastAsia="Arial" w:hAnsi="Times New Roman" w:cs="Times New Roman"/>
          <w:sz w:val="24"/>
          <w:szCs w:val="24"/>
          <w:lang w:val="es-ES"/>
        </w:rPr>
      </w:pPr>
      <w:r w:rsidRPr="00C218FB">
        <w:rPr>
          <w:rFonts w:ascii="Times New Roman" w:eastAsia="Arial" w:hAnsi="Times New Roman" w:cs="Times New Roman"/>
          <w:sz w:val="24"/>
          <w:szCs w:val="24"/>
          <w:lang w:val="es-ES"/>
        </w:rPr>
        <w:t xml:space="preserve">En cuanto a la preparación de esta prueba, de igual manera, en virtud de que el Municipio oferente hizo constar, por medio de oficio, la respuesta favorable por parte de la Universidad Autónoma Metropolitana–Unidad Xochimilco para rendir el informe técnico del estudio de interés y a razón de que no solicitó expresamente a esta Autoridad que requiriera tal informe </w:t>
      </w:r>
      <w:r w:rsidRPr="00C218FB">
        <w:rPr>
          <w:rFonts w:ascii="Times New Roman" w:eastAsia="Arial" w:hAnsi="Times New Roman" w:cs="Times New Roman"/>
          <w:sz w:val="24"/>
          <w:szCs w:val="24"/>
          <w:lang w:val="es-ES"/>
        </w:rPr>
        <w:lastRenderedPageBreak/>
        <w:t>de forma respetuosa en atención a la autonomía que goza esta institución pública de educación superior, este Órgano, con base en el artículo 6, párrafo segundo de la Ley Reglamentaria, respecto del cual se desprenden singularmente los principios rectores de colaboración y buena fe, hace constar que solicitará, dentro de la brevedad posible y por medio de oficio elaborado por su Presidencia, dirigido de manera respetuosa al Mtro. Mario Alejandro Carrillo Luvianos, Profesor Investigador del Área Gestión Estatal y Sistema Político, además de coordinador general del proyecto (del informe técnico) de la Universidad Autónoma Metropolitana–Unidad Xochimilco, que rinda este informe técnico de interés.</w:t>
      </w:r>
    </w:p>
    <w:p w:rsidR="000F603A" w:rsidRPr="00C218FB" w:rsidRDefault="000F603A" w:rsidP="00C218FB">
      <w:pPr>
        <w:spacing w:after="0" w:line="240" w:lineRule="auto"/>
        <w:ind w:left="567"/>
        <w:jc w:val="both"/>
        <w:rPr>
          <w:rFonts w:ascii="Times New Roman" w:eastAsia="Arial" w:hAnsi="Times New Roman" w:cs="Times New Roman"/>
          <w:sz w:val="24"/>
          <w:szCs w:val="24"/>
          <w:lang w:val="es-ES"/>
        </w:rPr>
      </w:pPr>
    </w:p>
    <w:p w:rsidR="000F603A" w:rsidRPr="00C218FB" w:rsidRDefault="000F603A" w:rsidP="00C218FB">
      <w:pPr>
        <w:spacing w:after="0" w:line="240" w:lineRule="auto"/>
        <w:ind w:left="567"/>
        <w:jc w:val="both"/>
        <w:rPr>
          <w:rFonts w:ascii="Times New Roman" w:eastAsia="Arial" w:hAnsi="Times New Roman" w:cs="Times New Roman"/>
          <w:sz w:val="24"/>
          <w:szCs w:val="24"/>
          <w:lang w:val="es-ES"/>
        </w:rPr>
      </w:pPr>
      <w:r w:rsidRPr="00C218FB">
        <w:rPr>
          <w:rFonts w:ascii="Times New Roman" w:eastAsia="Arial" w:hAnsi="Times New Roman" w:cs="Times New Roman"/>
          <w:sz w:val="24"/>
          <w:szCs w:val="24"/>
          <w:lang w:val="es-ES"/>
        </w:rPr>
        <w:t>Respecto del desahogo de esta probanza, cabe precisar que el informe técnico del estudio en comento deberá rendirse por conducto de las personas que se han señalado por la propia Universidad a través de su respuesta favorable, por medio de oficio, respecto del cual se transcribe el fragmento aplicable y siguiente para todos los efectos legales a los que haya lugar:</w:t>
      </w:r>
    </w:p>
    <w:p w:rsidR="000F603A" w:rsidRPr="00C218FB" w:rsidRDefault="000F603A" w:rsidP="00C218FB">
      <w:pPr>
        <w:spacing w:after="0" w:line="240" w:lineRule="auto"/>
        <w:ind w:left="567"/>
        <w:jc w:val="both"/>
        <w:rPr>
          <w:rFonts w:ascii="Times New Roman" w:eastAsia="Arial" w:hAnsi="Times New Roman" w:cs="Times New Roman"/>
          <w:sz w:val="24"/>
          <w:szCs w:val="24"/>
          <w:lang w:val="es-ES"/>
        </w:rPr>
      </w:pPr>
    </w:p>
    <w:p w:rsidR="000F603A" w:rsidRPr="00C218FB" w:rsidRDefault="000F603A" w:rsidP="00C218FB">
      <w:pPr>
        <w:spacing w:after="0" w:line="240" w:lineRule="auto"/>
        <w:ind w:left="567"/>
        <w:jc w:val="both"/>
        <w:rPr>
          <w:rFonts w:ascii="Times New Roman" w:eastAsia="Arial" w:hAnsi="Times New Roman" w:cs="Times New Roman"/>
          <w:sz w:val="24"/>
          <w:szCs w:val="24"/>
          <w:lang w:val="es-ES"/>
        </w:rPr>
      </w:pPr>
      <w:r w:rsidRPr="00C218FB">
        <w:rPr>
          <w:rFonts w:ascii="Times New Roman" w:eastAsia="Arial" w:hAnsi="Times New Roman" w:cs="Times New Roman"/>
          <w:sz w:val="24"/>
          <w:szCs w:val="24"/>
          <w:lang w:val="es-ES"/>
        </w:rPr>
        <w:t>En este orden de ideas, el informe técnico en comento deberá exhibirse ante esta Autoridad por conducto del Municipio oferente dentro del término de hasta sesenta (60) días hábiles, contados a partir del día hábil siguiente en que surta efectos la notificación de esta resolución.</w:t>
      </w:r>
    </w:p>
    <w:p w:rsidR="000F603A" w:rsidRPr="00C218FB" w:rsidRDefault="000F603A" w:rsidP="00C218FB">
      <w:pPr>
        <w:spacing w:after="0" w:line="240" w:lineRule="auto"/>
        <w:ind w:left="567"/>
        <w:jc w:val="both"/>
        <w:rPr>
          <w:rFonts w:ascii="Times New Roman" w:eastAsia="Arial" w:hAnsi="Times New Roman" w:cs="Times New Roman"/>
          <w:sz w:val="24"/>
          <w:szCs w:val="24"/>
          <w:lang w:val="es-ES"/>
        </w:rPr>
      </w:pPr>
    </w:p>
    <w:p w:rsidR="000F603A" w:rsidRPr="00C218FB" w:rsidRDefault="000F603A" w:rsidP="00C218FB">
      <w:pPr>
        <w:spacing w:after="0" w:line="240" w:lineRule="auto"/>
        <w:ind w:left="567"/>
        <w:jc w:val="both"/>
        <w:rPr>
          <w:rFonts w:ascii="Times New Roman" w:eastAsia="Arial" w:hAnsi="Times New Roman" w:cs="Times New Roman"/>
          <w:sz w:val="24"/>
          <w:szCs w:val="24"/>
          <w:lang w:val="es-ES"/>
        </w:rPr>
      </w:pPr>
      <w:r w:rsidRPr="00C218FB">
        <w:rPr>
          <w:rFonts w:ascii="Times New Roman" w:eastAsia="Arial" w:hAnsi="Times New Roman" w:cs="Times New Roman"/>
          <w:sz w:val="24"/>
          <w:szCs w:val="24"/>
          <w:lang w:val="es-ES"/>
        </w:rPr>
        <w:t>Además, con base en lo expuesto, esta Comisión procede a indicar que tal informe deberá integrar o hacer constar en su contenido, por lo menos, el método o los métodos utilizados o aplicados (descritos con claridad suficiente) a través de los cuales se llegó o se formuló la conclusión correspondiente.</w:t>
      </w:r>
    </w:p>
    <w:p w:rsidR="000F603A" w:rsidRPr="00C218FB" w:rsidRDefault="000F603A" w:rsidP="00C218FB">
      <w:pPr>
        <w:spacing w:after="0" w:line="240" w:lineRule="auto"/>
        <w:ind w:left="567"/>
        <w:jc w:val="both"/>
        <w:rPr>
          <w:rFonts w:ascii="Times New Roman" w:eastAsia="Arial" w:hAnsi="Times New Roman" w:cs="Times New Roman"/>
          <w:sz w:val="24"/>
          <w:szCs w:val="24"/>
          <w:lang w:val="es-ES"/>
        </w:rPr>
      </w:pPr>
    </w:p>
    <w:p w:rsidR="000F603A" w:rsidRPr="00C218FB" w:rsidRDefault="000F603A" w:rsidP="00C218FB">
      <w:pPr>
        <w:spacing w:after="0" w:line="240" w:lineRule="auto"/>
        <w:ind w:left="567"/>
        <w:jc w:val="both"/>
        <w:rPr>
          <w:rFonts w:ascii="Times New Roman" w:eastAsia="Arial" w:hAnsi="Times New Roman" w:cs="Times New Roman"/>
          <w:sz w:val="24"/>
          <w:szCs w:val="24"/>
          <w:lang w:val="es-ES"/>
        </w:rPr>
      </w:pPr>
      <w:r w:rsidRPr="00C218FB">
        <w:rPr>
          <w:rFonts w:ascii="Times New Roman" w:eastAsia="Arial" w:hAnsi="Times New Roman" w:cs="Times New Roman"/>
          <w:sz w:val="24"/>
          <w:szCs w:val="24"/>
          <w:lang w:val="es-ES"/>
        </w:rPr>
        <w:t>Una vez que se haya rendido y exhibido el informe técnico del estudio respectivo, esta Comisión ordenará a su Presidencia, a través del personal que delegue para tales efectos, dar vista al resto de los Municipios intervinientes en este asunto, para que dentro del término de hasta cinco (5) días hábiles, contados a partir del día hábil siguiente en que surta efectos la notificación respectiva, manifiesten de forma individual lo que a derecho convenga respecto de dicha probanza.</w:t>
      </w:r>
    </w:p>
    <w:p w:rsidR="000F603A" w:rsidRPr="00C218FB" w:rsidRDefault="000F603A" w:rsidP="00C218FB">
      <w:pPr>
        <w:spacing w:after="0" w:line="240" w:lineRule="auto"/>
        <w:ind w:left="567"/>
        <w:jc w:val="both"/>
        <w:rPr>
          <w:rFonts w:ascii="Times New Roman" w:eastAsia="Arial" w:hAnsi="Times New Roman" w:cs="Times New Roman"/>
          <w:sz w:val="24"/>
          <w:szCs w:val="24"/>
          <w:lang w:val="es-ES"/>
        </w:rPr>
      </w:pPr>
    </w:p>
    <w:p w:rsidR="000F603A" w:rsidRPr="00C218FB" w:rsidRDefault="000F603A" w:rsidP="00C218FB">
      <w:pPr>
        <w:spacing w:after="0" w:line="240" w:lineRule="auto"/>
        <w:ind w:left="567"/>
        <w:jc w:val="both"/>
        <w:rPr>
          <w:rFonts w:ascii="Times New Roman" w:eastAsia="Arial" w:hAnsi="Times New Roman" w:cs="Times New Roman"/>
          <w:b/>
          <w:bCs/>
          <w:sz w:val="24"/>
          <w:szCs w:val="24"/>
        </w:rPr>
      </w:pPr>
      <w:r w:rsidRPr="00C218FB">
        <w:rPr>
          <w:rFonts w:ascii="Times New Roman" w:eastAsia="Arial" w:hAnsi="Times New Roman" w:cs="Times New Roman"/>
          <w:b/>
          <w:bCs/>
          <w:sz w:val="24"/>
          <w:szCs w:val="24"/>
        </w:rPr>
        <w:t>ESTA PRUEBA SE DESAHOGÓ MEDIANTE ESCRITO PRESENTADO POR EL MUNICIPIO DE ECATEPEC, EN CUAL SE ANEXA ESTUDIO SOCIODEMO EN FECHA VEINTICUATRO DE MAYO DE DOS MIL VEINTITRÉS.</w:t>
      </w:r>
    </w:p>
    <w:p w:rsidR="000F603A" w:rsidRPr="00C218FB" w:rsidRDefault="000F603A" w:rsidP="00C218FB">
      <w:pPr>
        <w:spacing w:after="0" w:line="240" w:lineRule="auto"/>
        <w:ind w:left="567"/>
        <w:jc w:val="both"/>
        <w:rPr>
          <w:rFonts w:ascii="Times New Roman" w:eastAsia="Arial" w:hAnsi="Times New Roman" w:cs="Times New Roman"/>
          <w:b/>
          <w:bCs/>
          <w:sz w:val="24"/>
          <w:szCs w:val="24"/>
        </w:rPr>
      </w:pPr>
    </w:p>
    <w:p w:rsidR="000F603A" w:rsidRPr="00C218FB" w:rsidRDefault="000F603A" w:rsidP="00FD77CF">
      <w:pPr>
        <w:pStyle w:val="Prrafodelista"/>
        <w:widowControl/>
        <w:numPr>
          <w:ilvl w:val="0"/>
          <w:numId w:val="41"/>
        </w:numPr>
        <w:autoSpaceDE/>
        <w:autoSpaceDN/>
        <w:ind w:left="567" w:right="0" w:firstLine="426"/>
        <w:contextualSpacing/>
        <w:rPr>
          <w:rFonts w:ascii="Times New Roman" w:hAnsi="Times New Roman" w:cs="Times New Roman"/>
          <w:sz w:val="24"/>
          <w:szCs w:val="24"/>
        </w:rPr>
      </w:pPr>
      <w:r w:rsidRPr="00C218FB">
        <w:rPr>
          <w:rFonts w:ascii="Times New Roman" w:hAnsi="Times New Roman" w:cs="Times New Roman"/>
          <w:sz w:val="24"/>
          <w:szCs w:val="24"/>
        </w:rPr>
        <w:t xml:space="preserve"> La documental pública marcada con el numeral cinco (5) consistente en el informe que tenga a bien rendir el Lic. Jesús de la Cruz Martínez, Delegado del Registro Agrario Nacional en el Estado de México.</w:t>
      </w:r>
    </w:p>
    <w:p w:rsidR="000F603A" w:rsidRPr="00C218FB" w:rsidRDefault="000F603A" w:rsidP="00C218FB">
      <w:pPr>
        <w:spacing w:after="0" w:line="240" w:lineRule="auto"/>
        <w:ind w:left="567"/>
        <w:jc w:val="both"/>
        <w:rPr>
          <w:rFonts w:ascii="Times New Roman" w:eastAsia="Arial" w:hAnsi="Times New Roman" w:cs="Times New Roman"/>
          <w:sz w:val="24"/>
          <w:szCs w:val="24"/>
          <w:lang w:val="es-ES"/>
        </w:rPr>
      </w:pPr>
    </w:p>
    <w:p w:rsidR="000F603A" w:rsidRPr="00C218FB" w:rsidRDefault="000F603A" w:rsidP="00C218FB">
      <w:pPr>
        <w:spacing w:after="0" w:line="240" w:lineRule="auto"/>
        <w:ind w:left="567"/>
        <w:jc w:val="both"/>
        <w:rPr>
          <w:rFonts w:ascii="Times New Roman" w:eastAsia="Arial" w:hAnsi="Times New Roman" w:cs="Times New Roman"/>
          <w:sz w:val="24"/>
          <w:szCs w:val="24"/>
          <w:lang w:val="es-ES"/>
        </w:rPr>
      </w:pPr>
      <w:r w:rsidRPr="00C218FB">
        <w:rPr>
          <w:rFonts w:ascii="Times New Roman" w:eastAsia="Arial" w:hAnsi="Times New Roman" w:cs="Times New Roman"/>
          <w:sz w:val="24"/>
          <w:szCs w:val="24"/>
          <w:lang w:val="es-ES"/>
        </w:rPr>
        <w:t xml:space="preserve">En cuanto a la preparación de esta prueba, en virtud de que el Municipio oferente hizo constar la solicitud del informe mediante oficio número DJC/2568/11/2022STR/ESC/0306/11/2022, con fecha de elaboración de nueve (9) de noviembre del año en curso, suscrito por el Lic. Luis López Ibarra, Director de Jurídico y Consultivo del H. Ayuntamiento de Ecatepec de Morelos, acusado de recibido en fecha diecisiete (17) de noviembre del presente año y a razón de que el propio Municipio no solicitó expresamente a esta Autoridad que requiriera tal informe de forma respetuosa, este Órgano, con base en el artículo 6, párrafo segundo de la Ley Reglamentaria, respecto del cual se desprenden singularmente los principios rectores de colaboración y buena fe, hace constar que solicitará, dentro de la brevedad posible y por medio de oficio elaborado por su Presidencia, dirigido de manera respetuosa al Lic. Jesús de </w:t>
      </w:r>
      <w:r w:rsidRPr="00C218FB">
        <w:rPr>
          <w:rFonts w:ascii="Times New Roman" w:eastAsia="Arial" w:hAnsi="Times New Roman" w:cs="Times New Roman"/>
          <w:sz w:val="24"/>
          <w:szCs w:val="24"/>
          <w:lang w:val="es-ES"/>
        </w:rPr>
        <w:lastRenderedPageBreak/>
        <w:t>la Cruz Martínez, Delegado del Registro Agrario Nacional en el Estado de México, que rinda este informe técnico de interés.</w:t>
      </w:r>
    </w:p>
    <w:p w:rsidR="000F603A" w:rsidRPr="00C218FB" w:rsidRDefault="000F603A" w:rsidP="00C218FB">
      <w:pPr>
        <w:spacing w:after="0" w:line="240" w:lineRule="auto"/>
        <w:ind w:left="567"/>
        <w:jc w:val="both"/>
        <w:rPr>
          <w:rFonts w:ascii="Times New Roman" w:eastAsia="Arial" w:hAnsi="Times New Roman" w:cs="Times New Roman"/>
          <w:sz w:val="24"/>
          <w:szCs w:val="24"/>
          <w:lang w:val="es-ES"/>
        </w:rPr>
      </w:pPr>
    </w:p>
    <w:p w:rsidR="000F603A" w:rsidRPr="00C218FB" w:rsidRDefault="000F603A" w:rsidP="00C218FB">
      <w:pPr>
        <w:spacing w:after="0" w:line="240" w:lineRule="auto"/>
        <w:ind w:left="567"/>
        <w:jc w:val="both"/>
        <w:rPr>
          <w:rFonts w:ascii="Times New Roman" w:eastAsia="Arial" w:hAnsi="Times New Roman" w:cs="Times New Roman"/>
          <w:sz w:val="24"/>
          <w:szCs w:val="24"/>
        </w:rPr>
      </w:pPr>
      <w:r w:rsidRPr="00C218FB">
        <w:rPr>
          <w:rFonts w:ascii="Times New Roman" w:eastAsia="Arial" w:hAnsi="Times New Roman" w:cs="Times New Roman"/>
          <w:sz w:val="24"/>
          <w:szCs w:val="24"/>
          <w:lang w:val="es-ES"/>
        </w:rPr>
        <w:t xml:space="preserve">Respecto del desahogo de esta probanza, se reitera que el informe técnico del estudio en comento deberá rendirse por conducto del Lic. Jesús de la Cruz Martínez, Delegado del Registro Agrario Nacional en el Estado de México, </w:t>
      </w:r>
      <w:r w:rsidRPr="00C218FB">
        <w:rPr>
          <w:rFonts w:ascii="Times New Roman" w:eastAsia="Arial" w:hAnsi="Times New Roman" w:cs="Times New Roman"/>
          <w:sz w:val="24"/>
          <w:szCs w:val="24"/>
        </w:rPr>
        <w:t>con base en los términos solicitados por el Municipio oferente, los cuales se describen a continuación:</w:t>
      </w:r>
    </w:p>
    <w:p w:rsidR="000F603A" w:rsidRPr="00C218FB" w:rsidRDefault="000F603A" w:rsidP="00C218FB">
      <w:pPr>
        <w:spacing w:after="0" w:line="240" w:lineRule="auto"/>
        <w:ind w:left="709"/>
        <w:jc w:val="both"/>
        <w:rPr>
          <w:rFonts w:ascii="Times New Roman" w:eastAsia="Arial" w:hAnsi="Times New Roman" w:cs="Times New Roman"/>
          <w:sz w:val="24"/>
          <w:szCs w:val="24"/>
        </w:rPr>
      </w:pPr>
    </w:p>
    <w:p w:rsidR="000F603A" w:rsidRPr="00C218FB" w:rsidRDefault="000F603A" w:rsidP="00C218FB">
      <w:pPr>
        <w:spacing w:after="0" w:line="240" w:lineRule="auto"/>
        <w:ind w:left="1134" w:right="918"/>
        <w:jc w:val="both"/>
        <w:rPr>
          <w:rFonts w:ascii="Times New Roman" w:eastAsia="Arial" w:hAnsi="Times New Roman" w:cs="Times New Roman"/>
          <w:i/>
          <w:sz w:val="24"/>
          <w:szCs w:val="24"/>
        </w:rPr>
      </w:pPr>
      <w:r w:rsidRPr="00C218FB">
        <w:rPr>
          <w:rFonts w:ascii="Times New Roman" w:eastAsia="Arial" w:hAnsi="Times New Roman" w:cs="Times New Roman"/>
          <w:i/>
          <w:sz w:val="24"/>
          <w:szCs w:val="24"/>
        </w:rPr>
        <w:t>I.- Se expida a costa del Municipio de Ecatepec de Morelos copia certificada de la resolución presidencial de fecha 15 de octubre de 1934, así mismo, del acta de posesión definitiva de fecha 01 de mayo de 1936 y plano definitivo relativos a la dotación de tierras que obran en la carpeta de documentos básicos número 8/33 correspondientes al poblado de Santa María Chiconautla, Ecatepec de Morelos, Estado de México.</w:t>
      </w:r>
    </w:p>
    <w:p w:rsidR="000F603A" w:rsidRPr="00C218FB" w:rsidRDefault="000F603A" w:rsidP="00C218FB">
      <w:pPr>
        <w:spacing w:after="0" w:line="240" w:lineRule="auto"/>
        <w:ind w:left="1134" w:right="918"/>
        <w:jc w:val="both"/>
        <w:rPr>
          <w:rFonts w:ascii="Times New Roman" w:eastAsia="Arial" w:hAnsi="Times New Roman" w:cs="Times New Roman"/>
          <w:i/>
          <w:sz w:val="24"/>
          <w:szCs w:val="24"/>
        </w:rPr>
      </w:pPr>
    </w:p>
    <w:p w:rsidR="000F603A" w:rsidRPr="00C218FB" w:rsidRDefault="000F603A" w:rsidP="00C218FB">
      <w:pPr>
        <w:spacing w:after="0" w:line="240" w:lineRule="auto"/>
        <w:ind w:left="1134" w:right="918"/>
        <w:jc w:val="both"/>
        <w:rPr>
          <w:rFonts w:ascii="Times New Roman" w:eastAsia="Arial" w:hAnsi="Times New Roman" w:cs="Times New Roman"/>
          <w:i/>
          <w:sz w:val="24"/>
          <w:szCs w:val="24"/>
        </w:rPr>
      </w:pPr>
      <w:r w:rsidRPr="00C218FB">
        <w:rPr>
          <w:rFonts w:ascii="Times New Roman" w:eastAsia="Arial" w:hAnsi="Times New Roman" w:cs="Times New Roman"/>
          <w:i/>
          <w:sz w:val="24"/>
          <w:szCs w:val="24"/>
        </w:rPr>
        <w:t>II.- Se expida a costa del Municipio de Ecatepec de Morelos copia certificada del Diario Oficial de la Federación de fecha 09 de noviembre de 1937, así mismo de la resolución presidencial de fecha 20 de octubre de 1937, acta de posesión y deslinde de fecha 12 de noviembre de 1937 y plano definitivo relativos a la ampliación de ejidos que obran en la carpeta de documentos básicos número 8/33 correspondientes al poblado de Santa María Chiconautla, Ecatepec De Morelos, Estado de México.</w:t>
      </w:r>
    </w:p>
    <w:p w:rsidR="000F603A" w:rsidRPr="00C218FB" w:rsidRDefault="000F603A" w:rsidP="00C218FB">
      <w:pPr>
        <w:spacing w:after="0" w:line="240" w:lineRule="auto"/>
        <w:ind w:left="1134" w:right="918"/>
        <w:jc w:val="both"/>
        <w:rPr>
          <w:rFonts w:ascii="Times New Roman" w:eastAsia="Arial" w:hAnsi="Times New Roman" w:cs="Times New Roman"/>
          <w:i/>
          <w:sz w:val="24"/>
          <w:szCs w:val="24"/>
        </w:rPr>
      </w:pPr>
    </w:p>
    <w:p w:rsidR="000F603A" w:rsidRPr="00C218FB" w:rsidRDefault="000F603A" w:rsidP="00C218FB">
      <w:pPr>
        <w:spacing w:after="0" w:line="240" w:lineRule="auto"/>
        <w:ind w:left="1134" w:right="918"/>
        <w:jc w:val="both"/>
        <w:rPr>
          <w:rFonts w:ascii="Times New Roman" w:eastAsia="Arial" w:hAnsi="Times New Roman" w:cs="Times New Roman"/>
          <w:i/>
          <w:sz w:val="24"/>
          <w:szCs w:val="24"/>
        </w:rPr>
      </w:pPr>
      <w:r w:rsidRPr="00C218FB">
        <w:rPr>
          <w:rFonts w:ascii="Times New Roman" w:eastAsia="Arial" w:hAnsi="Times New Roman" w:cs="Times New Roman"/>
          <w:i/>
          <w:sz w:val="24"/>
          <w:szCs w:val="24"/>
        </w:rPr>
        <w:t>III.- Se expida a costa del Municipio de Ecatepec de Morelos copia certificada de los planos realizados mediante el Programa de Certificación de Derechos Agrarios (PROCEDE) del ejido correspondiente al poblado de Santa María Chiconautla, Ecatepec de Morelos, Estado de México.</w:t>
      </w:r>
    </w:p>
    <w:p w:rsidR="000F603A" w:rsidRPr="00C218FB" w:rsidRDefault="000F603A" w:rsidP="00C218FB">
      <w:pPr>
        <w:spacing w:after="0" w:line="240" w:lineRule="auto"/>
        <w:ind w:left="1134" w:right="918"/>
        <w:jc w:val="both"/>
        <w:rPr>
          <w:rFonts w:ascii="Times New Roman" w:eastAsia="Arial" w:hAnsi="Times New Roman" w:cs="Times New Roman"/>
          <w:i/>
          <w:sz w:val="24"/>
          <w:szCs w:val="24"/>
        </w:rPr>
      </w:pPr>
    </w:p>
    <w:p w:rsidR="000F603A" w:rsidRPr="00C218FB" w:rsidRDefault="000F603A" w:rsidP="00C218FB">
      <w:pPr>
        <w:spacing w:after="0" w:line="240" w:lineRule="auto"/>
        <w:ind w:left="1134" w:right="918"/>
        <w:jc w:val="both"/>
        <w:rPr>
          <w:rFonts w:ascii="Times New Roman" w:eastAsia="Arial" w:hAnsi="Times New Roman" w:cs="Times New Roman"/>
          <w:i/>
          <w:sz w:val="24"/>
          <w:szCs w:val="24"/>
        </w:rPr>
      </w:pPr>
      <w:r w:rsidRPr="00C218FB">
        <w:rPr>
          <w:rFonts w:ascii="Times New Roman" w:eastAsia="Arial" w:hAnsi="Times New Roman" w:cs="Times New Roman"/>
          <w:i/>
          <w:sz w:val="24"/>
          <w:szCs w:val="24"/>
        </w:rPr>
        <w:t>IV.- Se expida a costa del Municipio de Ecatepec de Morelos copia certificada de los certificados parcelarios que se hayan expedido a favor de persona alguna de las parcelas que se enlistan en el oficio número DJC/2568/11/2022STT/ESC/0306/11/2022, previamente aludido.</w:t>
      </w:r>
    </w:p>
    <w:p w:rsidR="000F603A" w:rsidRPr="00C218FB" w:rsidRDefault="000F603A" w:rsidP="00C218FB">
      <w:pPr>
        <w:spacing w:after="0" w:line="240" w:lineRule="auto"/>
        <w:ind w:left="1134" w:right="918"/>
        <w:jc w:val="both"/>
        <w:rPr>
          <w:rFonts w:ascii="Times New Roman" w:eastAsia="Arial" w:hAnsi="Times New Roman" w:cs="Times New Roman"/>
          <w:i/>
          <w:sz w:val="24"/>
          <w:szCs w:val="24"/>
        </w:rPr>
      </w:pPr>
    </w:p>
    <w:p w:rsidR="000F603A" w:rsidRPr="00C218FB" w:rsidRDefault="000F603A" w:rsidP="00C218FB">
      <w:pPr>
        <w:spacing w:after="0" w:line="240" w:lineRule="auto"/>
        <w:ind w:left="1134" w:right="918"/>
        <w:jc w:val="both"/>
        <w:rPr>
          <w:rFonts w:ascii="Times New Roman" w:eastAsia="Arial" w:hAnsi="Times New Roman" w:cs="Times New Roman"/>
          <w:i/>
          <w:sz w:val="24"/>
          <w:szCs w:val="24"/>
        </w:rPr>
      </w:pPr>
      <w:r w:rsidRPr="00C218FB">
        <w:rPr>
          <w:rFonts w:ascii="Times New Roman" w:eastAsia="Arial" w:hAnsi="Times New Roman" w:cs="Times New Roman"/>
          <w:i/>
          <w:sz w:val="24"/>
          <w:szCs w:val="24"/>
        </w:rPr>
        <w:t>V.- Se expida a costa del Municipio de Ecatepec de Morelos copia certificada de los títulos de propiedad que se hubiesen expedido a favor de persona alguna de las parcelas que se enlistan en el oficio número DJC/2568/11/2022STT/ESC/0306/11/2022, previamente aludido.</w:t>
      </w:r>
    </w:p>
    <w:p w:rsidR="000F603A" w:rsidRPr="00C218FB" w:rsidRDefault="000F603A" w:rsidP="00C218FB">
      <w:pPr>
        <w:spacing w:after="0" w:line="240" w:lineRule="auto"/>
        <w:ind w:left="1134" w:right="918"/>
        <w:jc w:val="both"/>
        <w:rPr>
          <w:rFonts w:ascii="Times New Roman" w:eastAsia="Arial" w:hAnsi="Times New Roman" w:cs="Times New Roman"/>
          <w:i/>
          <w:sz w:val="24"/>
          <w:szCs w:val="24"/>
        </w:rPr>
      </w:pPr>
    </w:p>
    <w:p w:rsidR="000F603A" w:rsidRPr="00C218FB" w:rsidRDefault="000F603A" w:rsidP="00C218FB">
      <w:pPr>
        <w:spacing w:after="0" w:line="240" w:lineRule="auto"/>
        <w:ind w:left="1134" w:right="918"/>
        <w:jc w:val="both"/>
        <w:rPr>
          <w:rFonts w:ascii="Times New Roman" w:eastAsia="Arial" w:hAnsi="Times New Roman" w:cs="Times New Roman"/>
          <w:i/>
          <w:sz w:val="24"/>
          <w:szCs w:val="24"/>
        </w:rPr>
      </w:pPr>
      <w:r w:rsidRPr="00C218FB">
        <w:rPr>
          <w:rFonts w:ascii="Times New Roman" w:eastAsia="Arial" w:hAnsi="Times New Roman" w:cs="Times New Roman"/>
          <w:i/>
          <w:sz w:val="24"/>
          <w:szCs w:val="24"/>
        </w:rPr>
        <w:t>VI.- Para el caso de que se encuentren imposibilitados de expedir copias certificadas de los certificados parcelarios o títulos de propiedad ya referidos, se informe al Municipio de Ecatepec de Morelos, así como al Poder Legislativo del Estado de México, por conducto de la Presidencia de esta Comisión Legislativa, si se expidieron certificados parcelarios o títulos de propiedad de las parcelas que se enlistan en el oficio número DJC/2568/11/2022STT/ESC/0306/11/2022, previamente aludido.</w:t>
      </w:r>
    </w:p>
    <w:p w:rsidR="000F603A" w:rsidRPr="00C218FB" w:rsidRDefault="000F603A" w:rsidP="00C218FB">
      <w:pPr>
        <w:spacing w:after="0" w:line="240" w:lineRule="auto"/>
        <w:ind w:left="1134" w:right="918"/>
        <w:jc w:val="both"/>
        <w:rPr>
          <w:rFonts w:ascii="Times New Roman" w:eastAsia="Arial" w:hAnsi="Times New Roman" w:cs="Times New Roman"/>
          <w:i/>
          <w:sz w:val="24"/>
          <w:szCs w:val="24"/>
        </w:rPr>
      </w:pPr>
    </w:p>
    <w:p w:rsidR="000F603A" w:rsidRPr="00C218FB" w:rsidRDefault="000F603A" w:rsidP="00C218FB">
      <w:pPr>
        <w:spacing w:after="0" w:line="240" w:lineRule="auto"/>
        <w:ind w:left="1134" w:right="918"/>
        <w:jc w:val="both"/>
        <w:rPr>
          <w:rFonts w:ascii="Times New Roman" w:eastAsia="Arial" w:hAnsi="Times New Roman" w:cs="Times New Roman"/>
          <w:i/>
          <w:sz w:val="24"/>
          <w:szCs w:val="24"/>
        </w:rPr>
      </w:pPr>
      <w:r w:rsidRPr="00C218FB">
        <w:rPr>
          <w:rFonts w:ascii="Times New Roman" w:eastAsia="Arial" w:hAnsi="Times New Roman" w:cs="Times New Roman"/>
          <w:i/>
          <w:sz w:val="24"/>
          <w:szCs w:val="24"/>
        </w:rPr>
        <w:t xml:space="preserve">VII.- Se informe el nombre del titular de los derechos agrarios o nombre del propietario según sea el caso, así como el nombre del núcleo agrario o ejidal, nombre del poblado, nombre del Municipio y Estado que obra en el apartado </w:t>
      </w:r>
      <w:r w:rsidRPr="00C218FB">
        <w:rPr>
          <w:rFonts w:ascii="Times New Roman" w:eastAsia="Arial" w:hAnsi="Times New Roman" w:cs="Times New Roman"/>
          <w:i/>
          <w:sz w:val="24"/>
          <w:szCs w:val="24"/>
        </w:rPr>
        <w:lastRenderedPageBreak/>
        <w:t>designado para ello en el formato de certificado parcelario o título de propiedad de las parcelas que se enlistan en el oficio número DJC/2568/11/2022STT/ESC/0306/11/2022, previamente aludido.</w:t>
      </w:r>
    </w:p>
    <w:p w:rsidR="000F603A" w:rsidRPr="00C218FB" w:rsidRDefault="000F603A" w:rsidP="00C218FB">
      <w:pPr>
        <w:spacing w:after="0" w:line="240" w:lineRule="auto"/>
        <w:ind w:left="426"/>
        <w:jc w:val="both"/>
        <w:rPr>
          <w:rFonts w:ascii="Times New Roman" w:eastAsia="Arial" w:hAnsi="Times New Roman" w:cs="Times New Roman"/>
          <w:sz w:val="24"/>
          <w:szCs w:val="24"/>
        </w:rPr>
      </w:pPr>
    </w:p>
    <w:p w:rsidR="000F603A" w:rsidRPr="00C218FB" w:rsidRDefault="000F603A" w:rsidP="00C218FB">
      <w:pPr>
        <w:spacing w:after="0" w:line="240" w:lineRule="auto"/>
        <w:ind w:left="567"/>
        <w:jc w:val="both"/>
        <w:rPr>
          <w:rFonts w:ascii="Times New Roman" w:eastAsia="Arial" w:hAnsi="Times New Roman" w:cs="Times New Roman"/>
          <w:sz w:val="24"/>
          <w:szCs w:val="24"/>
        </w:rPr>
      </w:pPr>
      <w:r w:rsidRPr="00C218FB">
        <w:rPr>
          <w:rFonts w:ascii="Times New Roman" w:eastAsia="Arial" w:hAnsi="Times New Roman" w:cs="Times New Roman"/>
          <w:sz w:val="24"/>
          <w:szCs w:val="24"/>
        </w:rPr>
        <w:t>En este orden de ideas, el informe técnico en comento deberá exhibirse ante esta Autoridad por conducto del Municipio oferente dentro del término de hasta sesenta (60) días hábiles, contados a partir del día hábil siguiente en que surta efectos la notificación de esta resolución.</w:t>
      </w:r>
    </w:p>
    <w:p w:rsidR="000F603A" w:rsidRPr="00C218FB" w:rsidRDefault="000F603A" w:rsidP="00C218FB">
      <w:pPr>
        <w:spacing w:after="0" w:line="240" w:lineRule="auto"/>
        <w:ind w:left="567"/>
        <w:jc w:val="both"/>
        <w:rPr>
          <w:rFonts w:ascii="Times New Roman" w:eastAsia="Arial" w:hAnsi="Times New Roman" w:cs="Times New Roman"/>
          <w:sz w:val="24"/>
          <w:szCs w:val="24"/>
        </w:rPr>
      </w:pPr>
    </w:p>
    <w:p w:rsidR="000F603A" w:rsidRPr="00C218FB" w:rsidRDefault="000F603A" w:rsidP="00C218FB">
      <w:pPr>
        <w:spacing w:after="0" w:line="240" w:lineRule="auto"/>
        <w:ind w:left="567"/>
        <w:jc w:val="both"/>
        <w:rPr>
          <w:rFonts w:ascii="Times New Roman" w:eastAsia="Arial" w:hAnsi="Times New Roman" w:cs="Times New Roman"/>
          <w:sz w:val="24"/>
          <w:szCs w:val="24"/>
        </w:rPr>
      </w:pPr>
      <w:r w:rsidRPr="00C218FB">
        <w:rPr>
          <w:rFonts w:ascii="Times New Roman" w:eastAsia="Arial" w:hAnsi="Times New Roman" w:cs="Times New Roman"/>
          <w:sz w:val="24"/>
          <w:szCs w:val="24"/>
        </w:rPr>
        <w:t>Una vez que se haya rendido y exhibido el informe técnico del estudio respectivo, esta Comisión ordenará a su Presidencia, a través del personal que delegue para tales efectos, dar vista al resto de los Municipios intervinientes en este asunto, para que dentro del término de hasta cinco (5) días hábiles, contados a partir del día hábil siguiente en que surta efectos la notificación respectiva, manifiesten de forma individual lo que a derecho convenga respecto de dicha probanza.</w:t>
      </w:r>
    </w:p>
    <w:p w:rsidR="000F603A" w:rsidRPr="00C218FB" w:rsidRDefault="000F603A" w:rsidP="00C218FB">
      <w:pPr>
        <w:spacing w:after="0" w:line="240" w:lineRule="auto"/>
        <w:ind w:left="567"/>
        <w:jc w:val="both"/>
        <w:rPr>
          <w:rFonts w:ascii="Times New Roman" w:eastAsia="Arial" w:hAnsi="Times New Roman" w:cs="Times New Roman"/>
          <w:sz w:val="24"/>
          <w:szCs w:val="24"/>
        </w:rPr>
      </w:pPr>
    </w:p>
    <w:p w:rsidR="000F603A" w:rsidRPr="00C218FB" w:rsidRDefault="000F603A" w:rsidP="00C218FB">
      <w:pPr>
        <w:spacing w:after="0" w:line="240" w:lineRule="auto"/>
        <w:ind w:left="567"/>
        <w:jc w:val="both"/>
        <w:rPr>
          <w:rFonts w:ascii="Times New Roman" w:eastAsia="Arial" w:hAnsi="Times New Roman" w:cs="Times New Roman"/>
          <w:b/>
          <w:bCs/>
          <w:sz w:val="24"/>
          <w:szCs w:val="24"/>
        </w:rPr>
      </w:pPr>
      <w:r w:rsidRPr="00C218FB">
        <w:rPr>
          <w:rFonts w:ascii="Times New Roman" w:eastAsia="Arial" w:hAnsi="Times New Roman" w:cs="Times New Roman"/>
          <w:b/>
          <w:bCs/>
          <w:sz w:val="24"/>
          <w:szCs w:val="24"/>
        </w:rPr>
        <w:t>ESTA PRUEBA SE DESAHOGÓ MEDIANTE INFORME PRESENTADO POR EL REGISTRO AGRARIO NACIONAL EN FECHA VEINTISÉIS DE MAYO DE DOS MIL VEINTITRÉS.</w:t>
      </w:r>
    </w:p>
    <w:p w:rsidR="000F603A" w:rsidRPr="00C218FB" w:rsidRDefault="000F603A" w:rsidP="00C218FB">
      <w:pPr>
        <w:spacing w:after="0" w:line="240" w:lineRule="auto"/>
        <w:ind w:left="567"/>
        <w:jc w:val="both"/>
        <w:rPr>
          <w:rFonts w:ascii="Times New Roman" w:eastAsia="Arial" w:hAnsi="Times New Roman" w:cs="Times New Roman"/>
          <w:sz w:val="24"/>
          <w:szCs w:val="24"/>
        </w:rPr>
      </w:pPr>
    </w:p>
    <w:p w:rsidR="000F603A" w:rsidRPr="00C218FB" w:rsidRDefault="000F603A" w:rsidP="00FD77CF">
      <w:pPr>
        <w:pStyle w:val="Prrafodelista"/>
        <w:widowControl/>
        <w:numPr>
          <w:ilvl w:val="0"/>
          <w:numId w:val="41"/>
        </w:numPr>
        <w:autoSpaceDE/>
        <w:autoSpaceDN/>
        <w:ind w:left="567" w:right="0" w:firstLine="426"/>
        <w:contextualSpacing/>
        <w:rPr>
          <w:rFonts w:ascii="Times New Roman" w:hAnsi="Times New Roman" w:cs="Times New Roman"/>
          <w:sz w:val="24"/>
          <w:szCs w:val="24"/>
        </w:rPr>
      </w:pPr>
      <w:r w:rsidRPr="00C218FB">
        <w:rPr>
          <w:rFonts w:ascii="Times New Roman" w:hAnsi="Times New Roman" w:cs="Times New Roman"/>
          <w:sz w:val="24"/>
          <w:szCs w:val="24"/>
        </w:rPr>
        <w:t xml:space="preserve"> La documental pública marcada con el numeral seis (6) consistente en el oficio suscrito por el Ingeniero Rodolfo Jonathan Arellano Banda Treviño, Director de Desarrollo Urbano y Obras Públicas del Municipio de Ecatepec de Morelos, por medio del cual remite dos expedientes certificados, misma que se tiene por desahogada por su propia y especial naturaleza.</w:t>
      </w:r>
    </w:p>
    <w:p w:rsidR="000F603A" w:rsidRPr="00C218FB" w:rsidRDefault="000F603A" w:rsidP="00C218FB">
      <w:pPr>
        <w:spacing w:after="0" w:line="240" w:lineRule="auto"/>
        <w:ind w:left="567"/>
        <w:jc w:val="both"/>
        <w:rPr>
          <w:rFonts w:ascii="Times New Roman" w:eastAsia="Arial" w:hAnsi="Times New Roman" w:cs="Times New Roman"/>
          <w:b/>
          <w:bCs/>
          <w:sz w:val="24"/>
          <w:szCs w:val="24"/>
        </w:rPr>
      </w:pPr>
    </w:p>
    <w:p w:rsidR="000F603A" w:rsidRPr="00C218FB" w:rsidRDefault="000F603A" w:rsidP="00C218FB">
      <w:pPr>
        <w:spacing w:after="0" w:line="240" w:lineRule="auto"/>
        <w:ind w:left="567"/>
        <w:jc w:val="both"/>
        <w:rPr>
          <w:rFonts w:ascii="Times New Roman" w:eastAsia="Arial" w:hAnsi="Times New Roman" w:cs="Times New Roman"/>
          <w:b/>
          <w:sz w:val="24"/>
          <w:szCs w:val="24"/>
        </w:rPr>
      </w:pPr>
      <w:r w:rsidRPr="00C218FB">
        <w:rPr>
          <w:rFonts w:ascii="Times New Roman" w:eastAsia="Arial" w:hAnsi="Times New Roman" w:cs="Times New Roman"/>
          <w:b/>
          <w:bCs/>
          <w:sz w:val="24"/>
          <w:szCs w:val="24"/>
        </w:rPr>
        <w:t>ESTA PRUEBA SE DESAHOGÓ MEDIANTE ESCRITO PRESENTADO POR EL MUNICIPIO DE ECATEPEC EN FECHA CATORCE DE JULIO DE DOS MIL VEINTITRÉS.</w:t>
      </w:r>
    </w:p>
    <w:p w:rsidR="000F603A" w:rsidRPr="00C218FB" w:rsidRDefault="000F603A" w:rsidP="00C218FB">
      <w:pPr>
        <w:spacing w:after="0" w:line="240" w:lineRule="auto"/>
        <w:ind w:left="567"/>
        <w:jc w:val="both"/>
        <w:rPr>
          <w:rFonts w:ascii="Times New Roman" w:eastAsia="Arial" w:hAnsi="Times New Roman" w:cs="Times New Roman"/>
          <w:sz w:val="24"/>
          <w:szCs w:val="24"/>
        </w:rPr>
      </w:pPr>
    </w:p>
    <w:p w:rsidR="000F603A" w:rsidRPr="00C218FB" w:rsidRDefault="000F603A" w:rsidP="00FD77CF">
      <w:pPr>
        <w:pStyle w:val="Prrafodelista"/>
        <w:widowControl/>
        <w:numPr>
          <w:ilvl w:val="0"/>
          <w:numId w:val="41"/>
        </w:numPr>
        <w:autoSpaceDE/>
        <w:autoSpaceDN/>
        <w:ind w:left="567" w:right="0" w:firstLine="426"/>
        <w:contextualSpacing/>
        <w:rPr>
          <w:rFonts w:ascii="Times New Roman" w:hAnsi="Times New Roman" w:cs="Times New Roman"/>
          <w:sz w:val="24"/>
          <w:szCs w:val="24"/>
        </w:rPr>
      </w:pPr>
      <w:r w:rsidRPr="00C218FB">
        <w:rPr>
          <w:rFonts w:ascii="Times New Roman" w:hAnsi="Times New Roman" w:cs="Times New Roman"/>
          <w:sz w:val="24"/>
          <w:szCs w:val="24"/>
        </w:rPr>
        <w:t xml:space="preserve"> La documental pública marcada con el numeral siete (7) consistente en el informe que tenga a bien rendir la Mtra. Erika Trejo Flores, Titular de la Oficina Registral de Ecatepec del Instituto de la Función Registral del Estado de México (IFREM).</w:t>
      </w:r>
    </w:p>
    <w:p w:rsidR="000F603A" w:rsidRPr="00C218FB" w:rsidRDefault="000F603A" w:rsidP="00C218FB">
      <w:pPr>
        <w:spacing w:after="0" w:line="240" w:lineRule="auto"/>
        <w:ind w:left="567"/>
        <w:jc w:val="both"/>
        <w:rPr>
          <w:rFonts w:ascii="Times New Roman" w:eastAsia="Arial" w:hAnsi="Times New Roman" w:cs="Times New Roman"/>
          <w:sz w:val="24"/>
          <w:szCs w:val="24"/>
        </w:rPr>
      </w:pPr>
    </w:p>
    <w:p w:rsidR="000F603A" w:rsidRPr="00C218FB" w:rsidRDefault="000F603A" w:rsidP="00C218FB">
      <w:pPr>
        <w:spacing w:after="0" w:line="240" w:lineRule="auto"/>
        <w:ind w:left="567"/>
        <w:jc w:val="both"/>
        <w:rPr>
          <w:rFonts w:ascii="Times New Roman" w:eastAsia="Arial" w:hAnsi="Times New Roman" w:cs="Times New Roman"/>
          <w:sz w:val="24"/>
          <w:szCs w:val="24"/>
        </w:rPr>
      </w:pPr>
      <w:r w:rsidRPr="00C218FB">
        <w:rPr>
          <w:rFonts w:ascii="Times New Roman" w:eastAsia="Arial" w:hAnsi="Times New Roman" w:cs="Times New Roman"/>
          <w:sz w:val="24"/>
          <w:szCs w:val="24"/>
        </w:rPr>
        <w:t>En cuanto a la preparación de esta prueba, en virtud de que el Municipio oferente hizo constar la solicitud del informe mediante oficio número DJC/2587/11/2022STT/ESC/0307/11/2022, con fecha de elaboración de nueve (9) de noviembre del año en curso, suscrito por el Lic. Luis López Ibarra, Director de Jurídico y Consultivo del H. Ayuntamiento de Ecatepec de Morelos, acusado de recibido en fecha dieciocho (18) de noviembre del presente año y a razón de que el propio Municipio no solicitó expresamente a esta Autoridad que requiriera tal informe de forma respetuosa, este Órgano, con base en el artículo 6, párrafo segundo de la Ley Reglamentaria, respecto del cual se desprenden singularmente los principios rectores de colaboración y buena fe, hace constar que solicitará, dentro de la brevedad posible y por medio de oficio elaborado por su Presidencia, dirigido de manera respetuosa a la Mtra. Erika Trejo Flores, Titular de la Oficina Registral de Ecatepec del Instituto de la Función Registral del Estado de México, que rinda este informe técnico de interés.</w:t>
      </w:r>
    </w:p>
    <w:p w:rsidR="000F603A" w:rsidRPr="00C218FB" w:rsidRDefault="000F603A" w:rsidP="00C218FB">
      <w:pPr>
        <w:spacing w:after="0" w:line="240" w:lineRule="auto"/>
        <w:ind w:left="567"/>
        <w:jc w:val="both"/>
        <w:rPr>
          <w:rFonts w:ascii="Times New Roman" w:eastAsia="Arial" w:hAnsi="Times New Roman" w:cs="Times New Roman"/>
          <w:sz w:val="24"/>
          <w:szCs w:val="24"/>
        </w:rPr>
      </w:pPr>
    </w:p>
    <w:p w:rsidR="000F603A" w:rsidRPr="00C218FB" w:rsidRDefault="000F603A" w:rsidP="00C218FB">
      <w:pPr>
        <w:spacing w:after="0" w:line="240" w:lineRule="auto"/>
        <w:ind w:left="567"/>
        <w:jc w:val="both"/>
        <w:rPr>
          <w:rFonts w:ascii="Times New Roman" w:eastAsia="Arial" w:hAnsi="Times New Roman" w:cs="Times New Roman"/>
          <w:sz w:val="24"/>
          <w:szCs w:val="24"/>
        </w:rPr>
      </w:pPr>
      <w:r w:rsidRPr="00C218FB">
        <w:rPr>
          <w:rFonts w:ascii="Times New Roman" w:eastAsia="Arial" w:hAnsi="Times New Roman" w:cs="Times New Roman"/>
          <w:sz w:val="24"/>
          <w:szCs w:val="24"/>
        </w:rPr>
        <w:t xml:space="preserve">Respecto del desahogo de esta probanza, se reitera que el informe técnico del estudio en comento deberá rendirse por conducto de la Mtra. Erika Trejo Flores, Titular de la Oficina </w:t>
      </w:r>
      <w:r w:rsidRPr="00C218FB">
        <w:rPr>
          <w:rFonts w:ascii="Times New Roman" w:eastAsia="Arial" w:hAnsi="Times New Roman" w:cs="Times New Roman"/>
          <w:sz w:val="24"/>
          <w:szCs w:val="24"/>
        </w:rPr>
        <w:lastRenderedPageBreak/>
        <w:t>Registral de Ecatepec del Instituto de la Función Registral del Estado de México, con base en los términos solicitados por el Municipio oferente, los cuales se describen a continuación:</w:t>
      </w:r>
    </w:p>
    <w:p w:rsidR="000F603A" w:rsidRPr="00C218FB" w:rsidRDefault="000F603A" w:rsidP="00C218FB">
      <w:pPr>
        <w:spacing w:after="0" w:line="240" w:lineRule="auto"/>
        <w:ind w:left="426"/>
        <w:jc w:val="both"/>
        <w:rPr>
          <w:rFonts w:ascii="Times New Roman" w:eastAsia="Arial" w:hAnsi="Times New Roman" w:cs="Times New Roman"/>
          <w:sz w:val="24"/>
          <w:szCs w:val="24"/>
        </w:rPr>
      </w:pPr>
    </w:p>
    <w:p w:rsidR="000F603A" w:rsidRPr="00C218FB" w:rsidRDefault="000F603A" w:rsidP="00C218FB">
      <w:pPr>
        <w:spacing w:after="0" w:line="240" w:lineRule="auto"/>
        <w:ind w:left="1134" w:right="918"/>
        <w:jc w:val="both"/>
        <w:rPr>
          <w:rFonts w:ascii="Times New Roman" w:eastAsia="Arial" w:hAnsi="Times New Roman" w:cs="Times New Roman"/>
          <w:i/>
          <w:sz w:val="24"/>
          <w:szCs w:val="24"/>
        </w:rPr>
      </w:pPr>
      <w:r w:rsidRPr="00C218FB">
        <w:rPr>
          <w:rFonts w:ascii="Times New Roman" w:eastAsia="Arial" w:hAnsi="Times New Roman" w:cs="Times New Roman"/>
          <w:i/>
          <w:sz w:val="24"/>
          <w:szCs w:val="24"/>
        </w:rPr>
        <w:t>I. Tenga a bien informar si se encuentra inscrito título de propiedad a favor de persona alguna respecto de las parcelas que se enlistan en el oficio número DJC/2587/11/2022STT/ESC/0307/11/2022, previamente aludido y que integran el ejido del poblado de Santa María Chiconautla de Ecatepec de Morelos, Estado de México.</w:t>
      </w:r>
    </w:p>
    <w:p w:rsidR="000F603A" w:rsidRPr="00C218FB" w:rsidRDefault="000F603A" w:rsidP="00C218FB">
      <w:pPr>
        <w:spacing w:after="0" w:line="240" w:lineRule="auto"/>
        <w:ind w:left="1134" w:right="918"/>
        <w:jc w:val="both"/>
        <w:rPr>
          <w:rFonts w:ascii="Times New Roman" w:eastAsia="Arial" w:hAnsi="Times New Roman" w:cs="Times New Roman"/>
          <w:i/>
          <w:sz w:val="24"/>
          <w:szCs w:val="24"/>
        </w:rPr>
      </w:pPr>
    </w:p>
    <w:p w:rsidR="000F603A" w:rsidRPr="00C218FB" w:rsidRDefault="000F603A" w:rsidP="00C218FB">
      <w:pPr>
        <w:spacing w:after="0" w:line="240" w:lineRule="auto"/>
        <w:ind w:left="1134" w:right="918"/>
        <w:jc w:val="both"/>
        <w:rPr>
          <w:rFonts w:ascii="Times New Roman" w:eastAsia="Arial" w:hAnsi="Times New Roman" w:cs="Times New Roman"/>
          <w:i/>
          <w:sz w:val="24"/>
          <w:szCs w:val="24"/>
        </w:rPr>
      </w:pPr>
      <w:r w:rsidRPr="00C218FB">
        <w:rPr>
          <w:rFonts w:ascii="Times New Roman" w:eastAsia="Arial" w:hAnsi="Times New Roman" w:cs="Times New Roman"/>
          <w:i/>
          <w:sz w:val="24"/>
          <w:szCs w:val="24"/>
        </w:rPr>
        <w:t>II. Y que para el caso de ser afirmativo el punto que antecede (I), se expidan a costa del Municipio de Ecatepec de Morelos copias certificadas de los mismos.</w:t>
      </w:r>
    </w:p>
    <w:p w:rsidR="000F603A" w:rsidRPr="00C218FB" w:rsidRDefault="000F603A" w:rsidP="00C218FB">
      <w:pPr>
        <w:spacing w:after="0" w:line="240" w:lineRule="auto"/>
        <w:ind w:left="567"/>
        <w:jc w:val="both"/>
        <w:rPr>
          <w:rFonts w:ascii="Times New Roman" w:eastAsia="Arial" w:hAnsi="Times New Roman" w:cs="Times New Roman"/>
          <w:sz w:val="24"/>
          <w:szCs w:val="24"/>
        </w:rPr>
      </w:pPr>
    </w:p>
    <w:p w:rsidR="000F603A" w:rsidRPr="00C218FB" w:rsidRDefault="000F603A" w:rsidP="00C218FB">
      <w:pPr>
        <w:spacing w:after="0" w:line="240" w:lineRule="auto"/>
        <w:ind w:left="567"/>
        <w:jc w:val="both"/>
        <w:rPr>
          <w:rFonts w:ascii="Times New Roman" w:eastAsia="Arial" w:hAnsi="Times New Roman" w:cs="Times New Roman"/>
          <w:sz w:val="24"/>
          <w:szCs w:val="24"/>
        </w:rPr>
      </w:pPr>
      <w:r w:rsidRPr="00C218FB">
        <w:rPr>
          <w:rFonts w:ascii="Times New Roman" w:eastAsia="Arial" w:hAnsi="Times New Roman" w:cs="Times New Roman"/>
          <w:sz w:val="24"/>
          <w:szCs w:val="24"/>
        </w:rPr>
        <w:t>En este orden de ideas, el informe técnico en comento deberá exhibirse ante esta Autoridad por conducto del Municipio oferente dentro del término de hasta sesenta (60) días hábiles, contados a partir del día hábil siguiente en que surta efectos la notificación de esta resolución.</w:t>
      </w:r>
    </w:p>
    <w:p w:rsidR="000F603A" w:rsidRPr="00C218FB" w:rsidRDefault="000F603A" w:rsidP="00C218FB">
      <w:pPr>
        <w:spacing w:after="0" w:line="240" w:lineRule="auto"/>
        <w:ind w:left="567"/>
        <w:jc w:val="both"/>
        <w:rPr>
          <w:rFonts w:ascii="Times New Roman" w:eastAsia="Arial" w:hAnsi="Times New Roman" w:cs="Times New Roman"/>
          <w:sz w:val="24"/>
          <w:szCs w:val="24"/>
        </w:rPr>
      </w:pPr>
    </w:p>
    <w:p w:rsidR="000F603A" w:rsidRPr="00C218FB" w:rsidRDefault="000F603A" w:rsidP="00C218FB">
      <w:pPr>
        <w:spacing w:after="0" w:line="240" w:lineRule="auto"/>
        <w:ind w:left="567"/>
        <w:jc w:val="both"/>
        <w:rPr>
          <w:rFonts w:ascii="Times New Roman" w:eastAsia="Arial" w:hAnsi="Times New Roman" w:cs="Times New Roman"/>
          <w:sz w:val="24"/>
          <w:szCs w:val="24"/>
        </w:rPr>
      </w:pPr>
      <w:r w:rsidRPr="00C218FB">
        <w:rPr>
          <w:rFonts w:ascii="Times New Roman" w:eastAsia="Arial" w:hAnsi="Times New Roman" w:cs="Times New Roman"/>
          <w:sz w:val="24"/>
          <w:szCs w:val="24"/>
        </w:rPr>
        <w:t>Una vez que se haya rendido y exhibido el informe técnico del estudio respectivo, esta Comisión ordenará a su Presidencia, a través del personal que delegue para tales efectos, dar vista al resto de los Municipios intervinientes en este asunto, para que dentro del término de hasta cinco (5) días hábiles, contados a partir del día hábil siguiente en que surta efectos la notificación respectiva, manifiesten de forma individual lo que a derecho convenga respecto de dicha probanza.</w:t>
      </w:r>
    </w:p>
    <w:p w:rsidR="000F603A" w:rsidRPr="00C218FB" w:rsidRDefault="000F603A" w:rsidP="00C218FB">
      <w:pPr>
        <w:spacing w:after="0" w:line="240" w:lineRule="auto"/>
        <w:ind w:left="567"/>
        <w:jc w:val="both"/>
        <w:rPr>
          <w:rFonts w:ascii="Times New Roman" w:eastAsia="Arial" w:hAnsi="Times New Roman" w:cs="Times New Roman"/>
          <w:sz w:val="24"/>
          <w:szCs w:val="24"/>
        </w:rPr>
      </w:pPr>
    </w:p>
    <w:p w:rsidR="000F603A" w:rsidRPr="00C218FB" w:rsidRDefault="000F603A" w:rsidP="00C218FB">
      <w:pPr>
        <w:spacing w:after="0" w:line="240" w:lineRule="auto"/>
        <w:ind w:left="567"/>
        <w:jc w:val="both"/>
        <w:rPr>
          <w:rFonts w:ascii="Times New Roman" w:eastAsia="Arial" w:hAnsi="Times New Roman" w:cs="Times New Roman"/>
          <w:b/>
          <w:sz w:val="24"/>
          <w:szCs w:val="24"/>
        </w:rPr>
      </w:pPr>
      <w:r w:rsidRPr="00C218FB">
        <w:rPr>
          <w:rFonts w:ascii="Times New Roman" w:eastAsia="Arial" w:hAnsi="Times New Roman" w:cs="Times New Roman"/>
          <w:b/>
          <w:bCs/>
          <w:sz w:val="24"/>
          <w:szCs w:val="24"/>
        </w:rPr>
        <w:t>ESTA PRUEBA SE DESAHOGÓ MEDIANTE INFORME DEL IFREM DE FECHA SEIS DE JUNIO DE DOS MIL VEINTITRÉS.</w:t>
      </w:r>
    </w:p>
    <w:p w:rsidR="000F603A" w:rsidRPr="00C218FB" w:rsidRDefault="000F603A" w:rsidP="00C218FB">
      <w:pPr>
        <w:spacing w:after="0" w:line="240" w:lineRule="auto"/>
        <w:ind w:left="567"/>
        <w:jc w:val="both"/>
        <w:rPr>
          <w:rFonts w:ascii="Times New Roman" w:eastAsia="Arial" w:hAnsi="Times New Roman" w:cs="Times New Roman"/>
          <w:sz w:val="24"/>
          <w:szCs w:val="24"/>
        </w:rPr>
      </w:pPr>
    </w:p>
    <w:p w:rsidR="000F603A" w:rsidRPr="00C218FB" w:rsidRDefault="000F603A" w:rsidP="00FD77CF">
      <w:pPr>
        <w:pStyle w:val="Prrafodelista"/>
        <w:widowControl/>
        <w:numPr>
          <w:ilvl w:val="0"/>
          <w:numId w:val="41"/>
        </w:numPr>
        <w:autoSpaceDE/>
        <w:autoSpaceDN/>
        <w:ind w:left="567" w:right="0" w:firstLine="426"/>
        <w:contextualSpacing/>
        <w:rPr>
          <w:rFonts w:ascii="Times New Roman" w:hAnsi="Times New Roman" w:cs="Times New Roman"/>
          <w:sz w:val="24"/>
          <w:szCs w:val="24"/>
        </w:rPr>
      </w:pPr>
      <w:r w:rsidRPr="00C218FB">
        <w:rPr>
          <w:rFonts w:ascii="Times New Roman" w:hAnsi="Times New Roman" w:cs="Times New Roman"/>
          <w:sz w:val="24"/>
          <w:szCs w:val="24"/>
        </w:rPr>
        <w:t xml:space="preserve"> La documental privada marcada con el numeral ocho (8) consistente en el informe técnico de la delimitación territorial entre Ecatepec de Morelos y Acolman, recibido por la oficina de la Presidencia de esta Comisión con fecha veintitrés (23) de junio del presente año.</w:t>
      </w:r>
    </w:p>
    <w:p w:rsidR="000F603A" w:rsidRPr="00C218FB" w:rsidRDefault="000F603A" w:rsidP="00C218FB">
      <w:pPr>
        <w:spacing w:after="0" w:line="240" w:lineRule="auto"/>
        <w:ind w:left="567"/>
        <w:jc w:val="both"/>
        <w:rPr>
          <w:rFonts w:ascii="Times New Roman" w:eastAsia="Arial" w:hAnsi="Times New Roman" w:cs="Times New Roman"/>
          <w:sz w:val="24"/>
          <w:szCs w:val="24"/>
        </w:rPr>
      </w:pPr>
    </w:p>
    <w:p w:rsidR="000F603A" w:rsidRPr="00C218FB" w:rsidRDefault="000F603A" w:rsidP="00C218FB">
      <w:pPr>
        <w:spacing w:after="0" w:line="240" w:lineRule="auto"/>
        <w:ind w:left="567"/>
        <w:jc w:val="both"/>
        <w:rPr>
          <w:rFonts w:ascii="Times New Roman" w:eastAsia="Arial" w:hAnsi="Times New Roman" w:cs="Times New Roman"/>
          <w:sz w:val="24"/>
          <w:szCs w:val="24"/>
        </w:rPr>
      </w:pPr>
      <w:r w:rsidRPr="00C218FB">
        <w:rPr>
          <w:rFonts w:ascii="Times New Roman" w:eastAsia="Arial" w:hAnsi="Times New Roman" w:cs="Times New Roman"/>
          <w:sz w:val="24"/>
          <w:szCs w:val="24"/>
        </w:rPr>
        <w:t>En atención a lo anterior, esta Comisión, con fundamento en los principios de sencillez y buena fe, previstos por el artículo 6, párrafo segundo y con el propósito de cumplir con el contenido del artículo 47, ambos de la Ley Reglamentaria, en lo que respecta al desahogo de esta probanza, esta Comisión ordenará el mismo, dentro de los mismos sesenta (60) días hábiles, hasta en tanto el Municipio oferente indique los datos relativos a la autoría de este informe, precisando la persona o las personas profesionistas que participaron en la elaboración del mismo, así como indicando su número o sus números de cédulas profesionales.</w:t>
      </w:r>
    </w:p>
    <w:p w:rsidR="000F603A" w:rsidRPr="00C218FB" w:rsidRDefault="000F603A" w:rsidP="00C218FB">
      <w:pPr>
        <w:spacing w:after="0" w:line="240" w:lineRule="auto"/>
        <w:ind w:left="567"/>
        <w:jc w:val="both"/>
        <w:rPr>
          <w:rFonts w:ascii="Times New Roman" w:eastAsia="Arial" w:hAnsi="Times New Roman" w:cs="Times New Roman"/>
          <w:sz w:val="24"/>
          <w:szCs w:val="24"/>
        </w:rPr>
      </w:pPr>
    </w:p>
    <w:p w:rsidR="000F603A" w:rsidRPr="00C218FB" w:rsidRDefault="000F603A" w:rsidP="00C218FB">
      <w:pPr>
        <w:spacing w:after="0" w:line="240" w:lineRule="auto"/>
        <w:ind w:left="567"/>
        <w:jc w:val="both"/>
        <w:rPr>
          <w:rFonts w:ascii="Times New Roman" w:eastAsia="Arial" w:hAnsi="Times New Roman" w:cs="Times New Roman"/>
          <w:sz w:val="24"/>
          <w:szCs w:val="24"/>
        </w:rPr>
      </w:pPr>
      <w:r w:rsidRPr="00C218FB">
        <w:rPr>
          <w:rFonts w:ascii="Times New Roman" w:eastAsia="Arial" w:hAnsi="Times New Roman" w:cs="Times New Roman"/>
          <w:sz w:val="24"/>
          <w:szCs w:val="24"/>
        </w:rPr>
        <w:t>El requerimiento anterior deberá ser cumplido bajo el apercibimiento de que en caso de que el Municipio oferente, a través de sus representantes, no indique los datos relativos a la autoría de este informe, precisando lo mencionado por esta Autoridad, dentro del término de sesenta (60) días hábiles previstos por la Ley Reglamentaria para efecto de desahogar las pruebas admitidas, esta Autoridad tendrá por precluido el derecho del Municipio oferente respecto de esta probanza.</w:t>
      </w:r>
    </w:p>
    <w:p w:rsidR="000F603A" w:rsidRPr="00C218FB" w:rsidRDefault="000F603A" w:rsidP="00C218FB">
      <w:pPr>
        <w:spacing w:after="0" w:line="240" w:lineRule="auto"/>
        <w:ind w:left="567"/>
        <w:jc w:val="both"/>
        <w:rPr>
          <w:rFonts w:ascii="Times New Roman" w:eastAsia="Arial" w:hAnsi="Times New Roman" w:cs="Times New Roman"/>
          <w:sz w:val="24"/>
          <w:szCs w:val="24"/>
        </w:rPr>
      </w:pPr>
    </w:p>
    <w:p w:rsidR="000F603A" w:rsidRPr="00C218FB" w:rsidRDefault="000F603A" w:rsidP="00C218FB">
      <w:pPr>
        <w:spacing w:after="0" w:line="240" w:lineRule="auto"/>
        <w:ind w:left="567"/>
        <w:jc w:val="both"/>
        <w:rPr>
          <w:rFonts w:ascii="Times New Roman" w:eastAsia="Arial" w:hAnsi="Times New Roman" w:cs="Times New Roman"/>
          <w:sz w:val="24"/>
          <w:szCs w:val="24"/>
        </w:rPr>
      </w:pPr>
      <w:r w:rsidRPr="00C218FB">
        <w:rPr>
          <w:rFonts w:ascii="Times New Roman" w:eastAsia="Arial" w:hAnsi="Times New Roman" w:cs="Times New Roman"/>
          <w:sz w:val="24"/>
          <w:szCs w:val="24"/>
        </w:rPr>
        <w:t xml:space="preserve">A razón de que esta Comisión Legislativa ya ha corrido traslado respecto de esta probanza, una vez que el Municipio oferente haya indicado los datos relativos a la autoría de este </w:t>
      </w:r>
      <w:r w:rsidRPr="00C218FB">
        <w:rPr>
          <w:rFonts w:ascii="Times New Roman" w:eastAsia="Arial" w:hAnsi="Times New Roman" w:cs="Times New Roman"/>
          <w:sz w:val="24"/>
          <w:szCs w:val="24"/>
        </w:rPr>
        <w:lastRenderedPageBreak/>
        <w:t>informe, precisando lo aludido por esta Autoridad, los demás Municipios intervinientes deberán manifestar lo que a derecho convenga, dentro del término de hasta cinco (5) días hábiles, contados a partir de que surta efectos la notificación de la resolución respectiva.</w:t>
      </w:r>
    </w:p>
    <w:p w:rsidR="000F603A" w:rsidRPr="00C218FB" w:rsidRDefault="000F603A" w:rsidP="00C218FB">
      <w:pPr>
        <w:spacing w:after="0" w:line="240" w:lineRule="auto"/>
        <w:ind w:left="567"/>
        <w:jc w:val="both"/>
        <w:rPr>
          <w:rFonts w:ascii="Times New Roman" w:eastAsia="Arial" w:hAnsi="Times New Roman" w:cs="Times New Roman"/>
          <w:sz w:val="24"/>
          <w:szCs w:val="24"/>
        </w:rPr>
      </w:pPr>
    </w:p>
    <w:p w:rsidR="000F603A" w:rsidRPr="00C218FB" w:rsidRDefault="000F603A" w:rsidP="00C218FB">
      <w:pPr>
        <w:spacing w:after="0" w:line="240" w:lineRule="auto"/>
        <w:ind w:left="567"/>
        <w:jc w:val="both"/>
        <w:rPr>
          <w:rFonts w:ascii="Times New Roman" w:eastAsia="Arial" w:hAnsi="Times New Roman" w:cs="Times New Roman"/>
          <w:b/>
          <w:bCs/>
          <w:sz w:val="24"/>
          <w:szCs w:val="24"/>
          <w:lang w:val="es-ES"/>
        </w:rPr>
      </w:pPr>
      <w:r w:rsidRPr="00C218FB">
        <w:rPr>
          <w:rFonts w:ascii="Times New Roman" w:eastAsia="Arial" w:hAnsi="Times New Roman" w:cs="Times New Roman"/>
          <w:b/>
          <w:bCs/>
          <w:sz w:val="24"/>
          <w:szCs w:val="24"/>
          <w:lang w:val="es-ES"/>
        </w:rPr>
        <w:t>MEDIANTE ACUERDO DE FECHA CUATRO DE ABRIL DE DOS MIL VEINTITRÉS, SE DIÓ POR NO DESAHOGADA LA PRUEBA OFRECIDA POR EL MUNICIPIO DE ECATEPEC.</w:t>
      </w:r>
    </w:p>
    <w:p w:rsidR="000F603A" w:rsidRPr="00C218FB" w:rsidRDefault="000F603A" w:rsidP="00C218FB">
      <w:pPr>
        <w:spacing w:after="0" w:line="240" w:lineRule="auto"/>
        <w:ind w:left="426"/>
        <w:jc w:val="both"/>
        <w:rPr>
          <w:rFonts w:ascii="Times New Roman" w:eastAsia="Arial" w:hAnsi="Times New Roman" w:cs="Times New Roman"/>
          <w:sz w:val="24"/>
          <w:szCs w:val="24"/>
        </w:rPr>
      </w:pPr>
    </w:p>
    <w:p w:rsidR="000F603A" w:rsidRPr="00C218FB" w:rsidRDefault="000F603A" w:rsidP="00FD77CF">
      <w:pPr>
        <w:pStyle w:val="Prrafodelista"/>
        <w:widowControl/>
        <w:numPr>
          <w:ilvl w:val="0"/>
          <w:numId w:val="41"/>
        </w:numPr>
        <w:autoSpaceDE/>
        <w:autoSpaceDN/>
        <w:ind w:left="567" w:right="0" w:firstLine="567"/>
        <w:contextualSpacing/>
        <w:rPr>
          <w:rFonts w:ascii="Times New Roman" w:hAnsi="Times New Roman" w:cs="Times New Roman"/>
          <w:b/>
          <w:sz w:val="24"/>
          <w:szCs w:val="24"/>
        </w:rPr>
      </w:pPr>
      <w:r w:rsidRPr="00C218FB">
        <w:rPr>
          <w:rFonts w:ascii="Times New Roman" w:hAnsi="Times New Roman" w:cs="Times New Roman"/>
          <w:sz w:val="24"/>
          <w:szCs w:val="24"/>
        </w:rPr>
        <w:t xml:space="preserve"> La </w:t>
      </w:r>
      <w:proofErr w:type="spellStart"/>
      <w:r w:rsidRPr="00C218FB">
        <w:rPr>
          <w:rFonts w:ascii="Times New Roman" w:hAnsi="Times New Roman" w:cs="Times New Roman"/>
          <w:sz w:val="24"/>
          <w:szCs w:val="24"/>
        </w:rPr>
        <w:t>Presuncional</w:t>
      </w:r>
      <w:proofErr w:type="spellEnd"/>
      <w:r w:rsidRPr="00C218FB">
        <w:rPr>
          <w:rFonts w:ascii="Times New Roman" w:hAnsi="Times New Roman" w:cs="Times New Roman"/>
          <w:sz w:val="24"/>
          <w:szCs w:val="24"/>
        </w:rPr>
        <w:t xml:space="preserve"> en su doble aspecto, legal y humana, marcado con el numeral nueve (9) en el escrito en comento, misma que se </w:t>
      </w:r>
      <w:r w:rsidRPr="00C218FB">
        <w:rPr>
          <w:rFonts w:ascii="Times New Roman" w:hAnsi="Times New Roman" w:cs="Times New Roman"/>
          <w:b/>
          <w:sz w:val="24"/>
          <w:szCs w:val="24"/>
        </w:rPr>
        <w:t>tuvo por desahogada por su propia y especial naturaleza.</w:t>
      </w:r>
    </w:p>
    <w:p w:rsidR="000F603A" w:rsidRPr="00C218FB" w:rsidRDefault="000F603A" w:rsidP="00FD77CF">
      <w:pPr>
        <w:spacing w:after="0" w:line="240" w:lineRule="auto"/>
        <w:ind w:left="567" w:firstLine="567"/>
        <w:jc w:val="both"/>
        <w:rPr>
          <w:rFonts w:ascii="Times New Roman" w:eastAsia="Arial" w:hAnsi="Times New Roman" w:cs="Times New Roman"/>
          <w:sz w:val="24"/>
          <w:szCs w:val="24"/>
        </w:rPr>
      </w:pPr>
    </w:p>
    <w:p w:rsidR="000F603A" w:rsidRPr="00C218FB" w:rsidRDefault="000F603A" w:rsidP="00FD77CF">
      <w:pPr>
        <w:pStyle w:val="Prrafodelista"/>
        <w:widowControl/>
        <w:numPr>
          <w:ilvl w:val="0"/>
          <w:numId w:val="41"/>
        </w:numPr>
        <w:autoSpaceDE/>
        <w:autoSpaceDN/>
        <w:ind w:left="567" w:right="0" w:firstLine="567"/>
        <w:contextualSpacing/>
        <w:rPr>
          <w:rFonts w:ascii="Times New Roman" w:hAnsi="Times New Roman" w:cs="Times New Roman"/>
          <w:sz w:val="24"/>
          <w:szCs w:val="24"/>
        </w:rPr>
      </w:pPr>
      <w:r w:rsidRPr="00C218FB">
        <w:rPr>
          <w:rFonts w:ascii="Times New Roman" w:hAnsi="Times New Roman" w:cs="Times New Roman"/>
          <w:sz w:val="24"/>
          <w:szCs w:val="24"/>
        </w:rPr>
        <w:t xml:space="preserve"> La inspección ocular marcada con el numeral diez (10) en el escrito en mención, respecto del área identificada como zona de diferendo limítrofe entre los Municipios de Acolman y Ecatepec de Morelos.</w:t>
      </w:r>
    </w:p>
    <w:p w:rsidR="000F603A" w:rsidRPr="00C218FB" w:rsidRDefault="000F603A" w:rsidP="00C218FB">
      <w:pPr>
        <w:spacing w:after="0" w:line="240" w:lineRule="auto"/>
        <w:ind w:left="567"/>
        <w:jc w:val="both"/>
        <w:rPr>
          <w:rFonts w:ascii="Times New Roman" w:eastAsia="Arial" w:hAnsi="Times New Roman" w:cs="Times New Roman"/>
          <w:sz w:val="24"/>
          <w:szCs w:val="24"/>
        </w:rPr>
      </w:pPr>
    </w:p>
    <w:p w:rsidR="000F603A" w:rsidRPr="00C218FB" w:rsidRDefault="000F603A" w:rsidP="00C218FB">
      <w:pPr>
        <w:spacing w:after="0" w:line="240" w:lineRule="auto"/>
        <w:ind w:left="567"/>
        <w:jc w:val="both"/>
        <w:rPr>
          <w:rFonts w:ascii="Times New Roman" w:eastAsia="Arial" w:hAnsi="Times New Roman" w:cs="Times New Roman"/>
          <w:sz w:val="24"/>
          <w:szCs w:val="24"/>
        </w:rPr>
      </w:pPr>
      <w:r w:rsidRPr="00C218FB">
        <w:rPr>
          <w:rFonts w:ascii="Times New Roman" w:eastAsia="Arial" w:hAnsi="Times New Roman" w:cs="Times New Roman"/>
          <w:sz w:val="24"/>
          <w:szCs w:val="24"/>
        </w:rPr>
        <w:t>Con fundamento en los principios de sencillez y buena fe, previstos en el artículo 6, párrafo segundo y con el propósito de cumplir con el contenido del artículo 47, ambos de la Ley Reglamentaria, este Órgano procederá a ordenar la preparación y el desahogo, principalmente, de esta probanza (conforme a los términos indicados), dentro de los sesenta (60) días hábiles previstos por la Ley Reglamentaria, hasta en tanto el Municipio oferente aclare, dentro del mismo término previamente aludido, lo siguiente:</w:t>
      </w:r>
    </w:p>
    <w:p w:rsidR="000F603A" w:rsidRPr="00C218FB" w:rsidRDefault="000F603A" w:rsidP="00C218FB">
      <w:pPr>
        <w:spacing w:after="0" w:line="240" w:lineRule="auto"/>
        <w:ind w:left="567"/>
        <w:jc w:val="both"/>
        <w:rPr>
          <w:rFonts w:ascii="Times New Roman" w:eastAsia="Arial" w:hAnsi="Times New Roman" w:cs="Times New Roman"/>
          <w:sz w:val="24"/>
          <w:szCs w:val="24"/>
        </w:rPr>
      </w:pPr>
    </w:p>
    <w:p w:rsidR="000F603A" w:rsidRPr="00C218FB" w:rsidRDefault="000F603A" w:rsidP="00C218FB">
      <w:pPr>
        <w:spacing w:after="0" w:line="240" w:lineRule="auto"/>
        <w:ind w:left="567"/>
        <w:jc w:val="both"/>
        <w:rPr>
          <w:rFonts w:ascii="Times New Roman" w:eastAsia="Arial" w:hAnsi="Times New Roman" w:cs="Times New Roman"/>
          <w:sz w:val="24"/>
          <w:szCs w:val="24"/>
        </w:rPr>
      </w:pPr>
      <w:r w:rsidRPr="00C218FB">
        <w:rPr>
          <w:rFonts w:ascii="Times New Roman" w:eastAsia="Arial" w:hAnsi="Times New Roman" w:cs="Times New Roman"/>
          <w:sz w:val="24"/>
          <w:szCs w:val="24"/>
        </w:rPr>
        <w:t>la relación que tiene el ofrecimiento de esta probanza con los antecedentes o hechos de este asunto; qué es lo que pretende acreditar con esta misma y el punto o el lugar de partida de la diligencia, así como el punto o el lugar de terminación de tal inspección ocular, de conformidad con los puntos, objeto de la prueba.</w:t>
      </w:r>
    </w:p>
    <w:p w:rsidR="000F603A" w:rsidRPr="00C218FB" w:rsidRDefault="000F603A" w:rsidP="00C218FB">
      <w:pPr>
        <w:spacing w:after="0" w:line="240" w:lineRule="auto"/>
        <w:ind w:left="567"/>
        <w:jc w:val="both"/>
        <w:rPr>
          <w:rFonts w:ascii="Times New Roman" w:eastAsia="Arial" w:hAnsi="Times New Roman" w:cs="Times New Roman"/>
          <w:sz w:val="24"/>
          <w:szCs w:val="24"/>
        </w:rPr>
      </w:pPr>
    </w:p>
    <w:p w:rsidR="000F603A" w:rsidRPr="00C218FB" w:rsidRDefault="000F603A" w:rsidP="00C218FB">
      <w:pPr>
        <w:spacing w:after="0" w:line="240" w:lineRule="auto"/>
        <w:ind w:left="567"/>
        <w:jc w:val="both"/>
        <w:rPr>
          <w:rFonts w:ascii="Times New Roman" w:eastAsia="Arial" w:hAnsi="Times New Roman" w:cs="Times New Roman"/>
          <w:sz w:val="24"/>
          <w:szCs w:val="24"/>
        </w:rPr>
      </w:pPr>
      <w:r w:rsidRPr="00C218FB">
        <w:rPr>
          <w:rFonts w:ascii="Times New Roman" w:eastAsia="Arial" w:hAnsi="Times New Roman" w:cs="Times New Roman"/>
          <w:sz w:val="24"/>
          <w:szCs w:val="24"/>
        </w:rPr>
        <w:t>El requerimiento anterior deberá ser cumplido bajo el apercibimiento de que en caso de que el Municipio oferente, a través de sus representantes, no logre aclarar lo requerido por esta Autoridad, dentro del término de sesenta (60) días hábiles previstos por la Ley Reglamentaria para efecto de desahogar las pruebas admitidas oportunamente, esta Autoridad tendrá por precluido el derecho del Municipio oferente respecto de esta probanza.</w:t>
      </w:r>
    </w:p>
    <w:p w:rsidR="000F603A" w:rsidRPr="00C218FB" w:rsidRDefault="000F603A" w:rsidP="00C218FB">
      <w:pPr>
        <w:spacing w:after="0" w:line="240" w:lineRule="auto"/>
        <w:ind w:left="567"/>
        <w:jc w:val="both"/>
        <w:rPr>
          <w:rFonts w:ascii="Times New Roman" w:eastAsia="Arial" w:hAnsi="Times New Roman" w:cs="Times New Roman"/>
          <w:sz w:val="24"/>
          <w:szCs w:val="24"/>
        </w:rPr>
      </w:pPr>
    </w:p>
    <w:p w:rsidR="000F603A" w:rsidRPr="00C218FB" w:rsidRDefault="000F603A" w:rsidP="00C218FB">
      <w:pPr>
        <w:spacing w:after="0" w:line="240" w:lineRule="auto"/>
        <w:ind w:left="567"/>
        <w:jc w:val="both"/>
        <w:rPr>
          <w:rFonts w:ascii="Times New Roman" w:eastAsia="Arial" w:hAnsi="Times New Roman" w:cs="Times New Roman"/>
          <w:b/>
          <w:bCs/>
          <w:sz w:val="24"/>
          <w:szCs w:val="24"/>
        </w:rPr>
      </w:pPr>
      <w:r w:rsidRPr="00C218FB">
        <w:rPr>
          <w:rFonts w:ascii="Times New Roman" w:eastAsia="Arial" w:hAnsi="Times New Roman" w:cs="Times New Roman"/>
          <w:b/>
          <w:bCs/>
          <w:sz w:val="24"/>
          <w:szCs w:val="24"/>
        </w:rPr>
        <w:t>EL DESAHOGO DE ESTA PRUEBA SE REALIZÓ MEDIANTE ACTA CIRCUNSTANCIA DA DE LA COMISIÓN DE FECHA NUEVE DE JUNIO DE DOS MIL VEINTITRÉS.</w:t>
      </w:r>
    </w:p>
    <w:p w:rsidR="000F603A" w:rsidRPr="00C218FB" w:rsidRDefault="000F603A" w:rsidP="00C218FB">
      <w:pPr>
        <w:spacing w:after="0" w:line="240" w:lineRule="auto"/>
        <w:ind w:left="567"/>
        <w:jc w:val="both"/>
        <w:rPr>
          <w:rFonts w:ascii="Times New Roman" w:eastAsia="Arial" w:hAnsi="Times New Roman" w:cs="Times New Roman"/>
          <w:b/>
          <w:bCs/>
          <w:sz w:val="24"/>
          <w:szCs w:val="24"/>
        </w:rPr>
      </w:pPr>
    </w:p>
    <w:p w:rsidR="000F603A" w:rsidRPr="00C218FB" w:rsidRDefault="000F603A" w:rsidP="00C218FB">
      <w:pPr>
        <w:spacing w:after="0" w:line="240" w:lineRule="auto"/>
        <w:ind w:left="567"/>
        <w:jc w:val="both"/>
        <w:rPr>
          <w:rFonts w:ascii="Times New Roman" w:eastAsia="Arial" w:hAnsi="Times New Roman" w:cs="Times New Roman"/>
          <w:sz w:val="24"/>
          <w:szCs w:val="24"/>
        </w:rPr>
      </w:pPr>
      <w:r w:rsidRPr="00C218FB">
        <w:rPr>
          <w:rFonts w:ascii="Times New Roman" w:eastAsia="Arial" w:hAnsi="Times New Roman" w:cs="Times New Roman"/>
          <w:sz w:val="24"/>
          <w:szCs w:val="24"/>
        </w:rPr>
        <w:t>La pericial en materia de geografía marcada con el numeral once (11) en el escrito en mención, toda vez que se presume que tiene correlación o relación directa con el presente asunto y a razón de que la naturaleza de las cuestiones de la materia previamente aludida requiere de conocimientos científicos o tecnológicos o, bien, de experiencia práctica en un servicio u oficio determinados, con la finalidad de prestar el auxilio suficiente a esta Comisión.</w:t>
      </w:r>
    </w:p>
    <w:p w:rsidR="000F603A" w:rsidRPr="00C218FB" w:rsidRDefault="000F603A" w:rsidP="00C218FB">
      <w:pPr>
        <w:spacing w:after="0" w:line="240" w:lineRule="auto"/>
        <w:ind w:left="567"/>
        <w:jc w:val="both"/>
        <w:rPr>
          <w:rFonts w:ascii="Times New Roman" w:eastAsia="Arial" w:hAnsi="Times New Roman" w:cs="Times New Roman"/>
          <w:sz w:val="24"/>
          <w:szCs w:val="24"/>
        </w:rPr>
      </w:pPr>
    </w:p>
    <w:p w:rsidR="000F603A" w:rsidRPr="00C218FB" w:rsidRDefault="000F603A" w:rsidP="00C218FB">
      <w:pPr>
        <w:spacing w:after="0" w:line="240" w:lineRule="auto"/>
        <w:ind w:left="567"/>
        <w:jc w:val="both"/>
        <w:rPr>
          <w:rFonts w:ascii="Times New Roman" w:eastAsia="Arial" w:hAnsi="Times New Roman" w:cs="Times New Roman"/>
          <w:sz w:val="24"/>
          <w:szCs w:val="24"/>
        </w:rPr>
      </w:pPr>
      <w:r w:rsidRPr="00C218FB">
        <w:rPr>
          <w:rFonts w:ascii="Times New Roman" w:eastAsia="Arial" w:hAnsi="Times New Roman" w:cs="Times New Roman"/>
          <w:sz w:val="24"/>
          <w:szCs w:val="24"/>
        </w:rPr>
        <w:t xml:space="preserve">En lo que respecta a la preparación de esta prueba, esta Comisión ordena a su Presidencia, a través del personal que delegue para tales efectos, dar vista al resto de los Municipios intervinientes en este asunto, para que dentro del término de hasta cinco (5) días hábiles, contados a partir del día hábil siguiente en que surta efectos la notificación de esta resolución, </w:t>
      </w:r>
      <w:r w:rsidRPr="00C218FB">
        <w:rPr>
          <w:rFonts w:ascii="Times New Roman" w:eastAsia="Arial" w:hAnsi="Times New Roman" w:cs="Times New Roman"/>
          <w:sz w:val="24"/>
          <w:szCs w:val="24"/>
        </w:rPr>
        <w:lastRenderedPageBreak/>
        <w:t>manifiesten de forma individual lo que a derecho convenga respecto de dicha probanza y, en su caso, designen perito por su conducto, debiendo nombrarlo en la misma ciencia, arte, técnica, oficio o industria, que sea aplicable o correspondiente al o a la que lo haya propuesto el Municipio oferente, ya que cabe mencionar que el nombramiento de perito será un requisito imprescindible para la preparación y el desahogo de esta prueba, por lo que esta Comisión, conforme los términos anteriormente indicados, realiza el apercibimiento consistente de que en caso de no se cumpla con cabalidad con el requisito anterior, se entenderá que el derecho a la prueba pericial por parte del Municipio o de los Municipios intervinientes, según corresponda el supuesto respectivo, ha precluido.</w:t>
      </w:r>
    </w:p>
    <w:p w:rsidR="000F603A" w:rsidRPr="00C218FB" w:rsidRDefault="000F603A" w:rsidP="00C218FB">
      <w:pPr>
        <w:spacing w:after="0" w:line="240" w:lineRule="auto"/>
        <w:ind w:left="567"/>
        <w:jc w:val="both"/>
        <w:rPr>
          <w:rFonts w:ascii="Times New Roman" w:eastAsia="Arial" w:hAnsi="Times New Roman" w:cs="Times New Roman"/>
          <w:sz w:val="24"/>
          <w:szCs w:val="24"/>
        </w:rPr>
      </w:pPr>
    </w:p>
    <w:p w:rsidR="000F603A" w:rsidRPr="00C218FB" w:rsidRDefault="000F603A" w:rsidP="00C218FB">
      <w:pPr>
        <w:spacing w:after="0" w:line="240" w:lineRule="auto"/>
        <w:ind w:left="567"/>
        <w:jc w:val="both"/>
        <w:rPr>
          <w:rFonts w:ascii="Times New Roman" w:eastAsia="Arial" w:hAnsi="Times New Roman" w:cs="Times New Roman"/>
          <w:sz w:val="24"/>
          <w:szCs w:val="24"/>
        </w:rPr>
      </w:pPr>
      <w:r w:rsidRPr="00C218FB">
        <w:rPr>
          <w:rFonts w:ascii="Times New Roman" w:eastAsia="Arial" w:hAnsi="Times New Roman" w:cs="Times New Roman"/>
          <w:sz w:val="24"/>
          <w:szCs w:val="24"/>
        </w:rPr>
        <w:t>Aunado a lo previamente expuesto, dentro del mismo término indicado en el párrafo anterior, los Municipios contendientes podrán proponer, a su vez y por su cuenta, la adición de otros puntos y preguntas al cuestionario exhibido por el Municipio oferente, con independencia de los puntos y cuestiones ya incluidos o formulados por este.</w:t>
      </w:r>
    </w:p>
    <w:p w:rsidR="000F603A" w:rsidRPr="00C218FB" w:rsidRDefault="000F603A" w:rsidP="00C218FB">
      <w:pPr>
        <w:spacing w:after="0" w:line="240" w:lineRule="auto"/>
        <w:ind w:left="567"/>
        <w:jc w:val="both"/>
        <w:rPr>
          <w:rFonts w:ascii="Times New Roman" w:eastAsia="Arial" w:hAnsi="Times New Roman" w:cs="Times New Roman"/>
          <w:sz w:val="24"/>
          <w:szCs w:val="24"/>
        </w:rPr>
      </w:pPr>
    </w:p>
    <w:p w:rsidR="000F603A" w:rsidRPr="00C218FB" w:rsidRDefault="000F603A" w:rsidP="00C218FB">
      <w:pPr>
        <w:spacing w:after="0" w:line="240" w:lineRule="auto"/>
        <w:ind w:left="567"/>
        <w:jc w:val="both"/>
        <w:rPr>
          <w:rFonts w:ascii="Times New Roman" w:eastAsia="Arial" w:hAnsi="Times New Roman" w:cs="Times New Roman"/>
          <w:sz w:val="24"/>
          <w:szCs w:val="24"/>
        </w:rPr>
      </w:pPr>
      <w:r w:rsidRPr="00C218FB">
        <w:rPr>
          <w:rFonts w:ascii="Times New Roman" w:eastAsia="Arial" w:hAnsi="Times New Roman" w:cs="Times New Roman"/>
          <w:sz w:val="24"/>
          <w:szCs w:val="24"/>
        </w:rPr>
        <w:t>Igualmente, debido a que la Presidencia de este Órgano Colegiado, a través del personal que fue delegado, ya ha corrido traslado con anterioridad y con copia simple del cuestionario exhibido por el Municipio oferente a los Municipios contendientes para los efectos referidos por el párrafo previo, ya no será necesario correr traslado con copia del cuestionario de nueva cuenta, puesto que el mismo ya se encuentra a disposición de cada Municipio interviniente.</w:t>
      </w:r>
    </w:p>
    <w:p w:rsidR="000F603A" w:rsidRPr="00C218FB" w:rsidRDefault="000F603A" w:rsidP="00C218FB">
      <w:pPr>
        <w:spacing w:after="0" w:line="240" w:lineRule="auto"/>
        <w:ind w:left="567"/>
        <w:jc w:val="both"/>
        <w:rPr>
          <w:rFonts w:ascii="Times New Roman" w:eastAsia="Arial" w:hAnsi="Times New Roman" w:cs="Times New Roman"/>
          <w:sz w:val="24"/>
          <w:szCs w:val="24"/>
        </w:rPr>
      </w:pPr>
    </w:p>
    <w:p w:rsidR="000F603A" w:rsidRPr="00C218FB" w:rsidRDefault="000F603A" w:rsidP="00C218FB">
      <w:pPr>
        <w:spacing w:after="0" w:line="240" w:lineRule="auto"/>
        <w:ind w:left="567"/>
        <w:jc w:val="both"/>
        <w:rPr>
          <w:rFonts w:ascii="Times New Roman" w:eastAsia="Arial" w:hAnsi="Times New Roman" w:cs="Times New Roman"/>
          <w:sz w:val="24"/>
          <w:szCs w:val="24"/>
        </w:rPr>
      </w:pPr>
      <w:r w:rsidRPr="00C218FB">
        <w:rPr>
          <w:rFonts w:ascii="Times New Roman" w:eastAsia="Arial" w:hAnsi="Times New Roman" w:cs="Times New Roman"/>
          <w:sz w:val="24"/>
          <w:szCs w:val="24"/>
        </w:rPr>
        <w:t>Con fundamento en los principios de sencillez y buena fe, previstos por el artículo 6, párrafo segundo y con el propósito de cumplir con el contenido del artículo 47, ambos de la Ley Reglamentaria, en lo que respecta al desahogo de esta prueba, esta Comisión ordenará el mismo, dentro de los mismos sesenta (60) días hábiles, una vez concluida en su totalidad la preparación de este medio de convicción.</w:t>
      </w:r>
    </w:p>
    <w:p w:rsidR="000F603A" w:rsidRPr="00C218FB" w:rsidRDefault="000F603A" w:rsidP="00C218FB">
      <w:pPr>
        <w:spacing w:after="0" w:line="240" w:lineRule="auto"/>
        <w:ind w:left="567"/>
        <w:jc w:val="both"/>
        <w:rPr>
          <w:rFonts w:ascii="Times New Roman" w:eastAsia="Arial" w:hAnsi="Times New Roman" w:cs="Times New Roman"/>
          <w:sz w:val="24"/>
          <w:szCs w:val="24"/>
        </w:rPr>
      </w:pPr>
    </w:p>
    <w:p w:rsidR="000F603A" w:rsidRPr="00C218FB" w:rsidRDefault="000F603A" w:rsidP="00C218FB">
      <w:pPr>
        <w:spacing w:after="0" w:line="240" w:lineRule="auto"/>
        <w:ind w:left="567"/>
        <w:jc w:val="both"/>
        <w:rPr>
          <w:rFonts w:ascii="Times New Roman" w:eastAsia="Arial" w:hAnsi="Times New Roman" w:cs="Times New Roman"/>
          <w:b/>
          <w:bCs/>
          <w:sz w:val="24"/>
          <w:szCs w:val="24"/>
        </w:rPr>
      </w:pPr>
      <w:r w:rsidRPr="00C218FB">
        <w:rPr>
          <w:rFonts w:ascii="Times New Roman" w:eastAsia="Arial" w:hAnsi="Times New Roman" w:cs="Times New Roman"/>
          <w:b/>
          <w:bCs/>
          <w:sz w:val="24"/>
          <w:szCs w:val="24"/>
        </w:rPr>
        <w:t>EL DESAHOGO DE ESTA PRUEBA SE REALIZÓ MEDIANTE AUDIENCIA DE FECHA VEINTISÉIS DE ABRIL DE DOS MIL VEINTITRÉS PARA EFECTO DEL DESAHOGO DE LA PRUEBA PERICIAL.</w:t>
      </w:r>
    </w:p>
    <w:p w:rsidR="000F603A" w:rsidRPr="00C218FB" w:rsidRDefault="000F603A" w:rsidP="00C218FB">
      <w:pPr>
        <w:spacing w:after="0" w:line="240" w:lineRule="auto"/>
        <w:ind w:left="426"/>
        <w:jc w:val="both"/>
        <w:rPr>
          <w:rFonts w:ascii="Times New Roman" w:eastAsia="Arial" w:hAnsi="Times New Roman" w:cs="Times New Roman"/>
          <w:sz w:val="24"/>
          <w:szCs w:val="24"/>
        </w:rPr>
      </w:pPr>
    </w:p>
    <w:p w:rsidR="000F603A" w:rsidRPr="00C218FB" w:rsidRDefault="000F603A" w:rsidP="00FD77CF">
      <w:pPr>
        <w:pStyle w:val="Prrafodelista"/>
        <w:widowControl/>
        <w:numPr>
          <w:ilvl w:val="0"/>
          <w:numId w:val="41"/>
        </w:numPr>
        <w:autoSpaceDE/>
        <w:autoSpaceDN/>
        <w:ind w:left="567" w:right="0" w:firstLine="426"/>
        <w:contextualSpacing/>
        <w:rPr>
          <w:rFonts w:ascii="Times New Roman" w:hAnsi="Times New Roman" w:cs="Times New Roman"/>
          <w:sz w:val="24"/>
          <w:szCs w:val="24"/>
        </w:rPr>
      </w:pPr>
      <w:r w:rsidRPr="00C218FB">
        <w:rPr>
          <w:rFonts w:ascii="Times New Roman" w:hAnsi="Times New Roman" w:cs="Times New Roman"/>
          <w:sz w:val="24"/>
          <w:szCs w:val="24"/>
        </w:rPr>
        <w:t xml:space="preserve"> La pericial en materia de costos por prestación de servicios públicos y mantenimiento de zona limítrofe del Municipio de Ecatepec de Morelos y Acolman, marcada con el numeral doce (12) en el escrito en mención, toda vez que se presume que tiene correlación o relación directa con el presente asunto y a razón de que la naturaleza de las cuestiones de la materia previamente aludida requieren de conocimientos científicos o tecnológicos o, bien, de experiencia práctica en un servicio u oficio determinados, con la finalidad de prestar el auxilio suficiente a esta Comisión.</w:t>
      </w:r>
    </w:p>
    <w:p w:rsidR="000F603A" w:rsidRPr="00C218FB" w:rsidRDefault="000F603A" w:rsidP="00C218FB">
      <w:pPr>
        <w:spacing w:after="0" w:line="240" w:lineRule="auto"/>
        <w:ind w:left="567"/>
        <w:jc w:val="both"/>
        <w:rPr>
          <w:rFonts w:ascii="Times New Roman" w:eastAsia="Arial" w:hAnsi="Times New Roman" w:cs="Times New Roman"/>
          <w:sz w:val="24"/>
          <w:szCs w:val="24"/>
        </w:rPr>
      </w:pPr>
    </w:p>
    <w:p w:rsidR="000F603A" w:rsidRPr="00C218FB" w:rsidRDefault="000F603A" w:rsidP="00C218FB">
      <w:pPr>
        <w:spacing w:after="0" w:line="240" w:lineRule="auto"/>
        <w:ind w:left="567"/>
        <w:jc w:val="both"/>
        <w:rPr>
          <w:rFonts w:ascii="Times New Roman" w:eastAsia="Arial" w:hAnsi="Times New Roman" w:cs="Times New Roman"/>
          <w:sz w:val="24"/>
          <w:szCs w:val="24"/>
        </w:rPr>
      </w:pPr>
      <w:r w:rsidRPr="00C218FB">
        <w:rPr>
          <w:rFonts w:ascii="Times New Roman" w:eastAsia="Arial" w:hAnsi="Times New Roman" w:cs="Times New Roman"/>
          <w:sz w:val="24"/>
          <w:szCs w:val="24"/>
        </w:rPr>
        <w:t xml:space="preserve">En lo que respecta a la preparación de esta prueba, esta Comisión ordena a su Presidencia, a través del personal que delegue para tales efectos, dar vista al resto de los Municipios intervinientes en este asunto, para que dentro del término de hasta cinco (5) días hábiles, contados a partir del día hábil siguiente en que surta efectos la notificación de esta resolución, manifiesten de forma individual lo que a derecho convenga respecto de dicha probanza y, en su caso, designen perito por su conducto, debiendo nombrarlo en la misma ciencia, arte, técnica, oficio o industria, que sea aplicable o correspondiente al o a la que lo haya propuesto el Municipio oferente, ya que cabe mencionar que el nombramiento de perito será un requisito imprescindible para la preparación y el desahogo de esta prueba, por lo que esta Comisión, conforme los términos anteriormente indicados, realiza el apercibimiento </w:t>
      </w:r>
      <w:r w:rsidRPr="00C218FB">
        <w:rPr>
          <w:rFonts w:ascii="Times New Roman" w:eastAsia="Arial" w:hAnsi="Times New Roman" w:cs="Times New Roman"/>
          <w:sz w:val="24"/>
          <w:szCs w:val="24"/>
        </w:rPr>
        <w:lastRenderedPageBreak/>
        <w:t>consistente de que en caso de no se cumpla con cabalidad con el requisito anterior, se entenderá que el derecho a la prueba pericial por parte del Municipio o de los Municipios intervinientes, según corresponda el supuesto respectivo, ha precluido.</w:t>
      </w:r>
    </w:p>
    <w:p w:rsidR="000F603A" w:rsidRPr="00C218FB" w:rsidRDefault="000F603A" w:rsidP="00C218FB">
      <w:pPr>
        <w:spacing w:after="0" w:line="240" w:lineRule="auto"/>
        <w:ind w:left="567"/>
        <w:jc w:val="both"/>
        <w:rPr>
          <w:rFonts w:ascii="Times New Roman" w:eastAsia="Arial" w:hAnsi="Times New Roman" w:cs="Times New Roman"/>
          <w:sz w:val="24"/>
          <w:szCs w:val="24"/>
        </w:rPr>
      </w:pPr>
    </w:p>
    <w:p w:rsidR="000F603A" w:rsidRPr="00C218FB" w:rsidRDefault="000F603A" w:rsidP="00C218FB">
      <w:pPr>
        <w:spacing w:after="0" w:line="240" w:lineRule="auto"/>
        <w:ind w:left="567"/>
        <w:jc w:val="both"/>
        <w:rPr>
          <w:rFonts w:ascii="Times New Roman" w:eastAsia="Arial" w:hAnsi="Times New Roman" w:cs="Times New Roman"/>
          <w:sz w:val="24"/>
          <w:szCs w:val="24"/>
        </w:rPr>
      </w:pPr>
      <w:r w:rsidRPr="00C218FB">
        <w:rPr>
          <w:rFonts w:ascii="Times New Roman" w:eastAsia="Arial" w:hAnsi="Times New Roman" w:cs="Times New Roman"/>
          <w:sz w:val="24"/>
          <w:szCs w:val="24"/>
        </w:rPr>
        <w:t>Aunado a lo previamente expuesto, dentro del mismo término indicado en el párrafo anterior, los Municipios contendientes podrán proponer, a su vez y por su cuenta, la adición de otros puntos y preguntas al cuestionario exhibido por el Municipio oferente, con independencia de los puntos y cuestiones ya incluidos o formulados por este.</w:t>
      </w:r>
    </w:p>
    <w:p w:rsidR="000F603A" w:rsidRPr="00C218FB" w:rsidRDefault="000F603A" w:rsidP="00C218FB">
      <w:pPr>
        <w:spacing w:after="0" w:line="240" w:lineRule="auto"/>
        <w:ind w:left="567"/>
        <w:jc w:val="both"/>
        <w:rPr>
          <w:rFonts w:ascii="Times New Roman" w:eastAsia="Arial" w:hAnsi="Times New Roman" w:cs="Times New Roman"/>
          <w:sz w:val="24"/>
          <w:szCs w:val="24"/>
        </w:rPr>
      </w:pPr>
    </w:p>
    <w:p w:rsidR="000F603A" w:rsidRPr="00C218FB" w:rsidRDefault="000F603A" w:rsidP="00C218FB">
      <w:pPr>
        <w:spacing w:after="0" w:line="240" w:lineRule="auto"/>
        <w:ind w:left="567"/>
        <w:jc w:val="both"/>
        <w:rPr>
          <w:rFonts w:ascii="Times New Roman" w:eastAsia="Arial" w:hAnsi="Times New Roman" w:cs="Times New Roman"/>
          <w:sz w:val="24"/>
          <w:szCs w:val="24"/>
        </w:rPr>
      </w:pPr>
      <w:r w:rsidRPr="00C218FB">
        <w:rPr>
          <w:rFonts w:ascii="Times New Roman" w:eastAsia="Arial" w:hAnsi="Times New Roman" w:cs="Times New Roman"/>
          <w:sz w:val="24"/>
          <w:szCs w:val="24"/>
        </w:rPr>
        <w:t>Igualmente, debido a que la Presidencia de este Órgano Colegiado, a través del personal que fue delegado, ya ha corrido traslado con anterioridad y con copia simple del cuestionario exhibido por el Municipio oferente a los Municipios contendientes para los efectos referidos por el párrafo previo, ya no será necesario correr traslado con copia del cuestionario de nueva cuenta, puesto que el mismo ya se encuentra a disposición de cada Municipio interviniente.</w:t>
      </w:r>
    </w:p>
    <w:p w:rsidR="000F603A" w:rsidRPr="00C218FB" w:rsidRDefault="000F603A" w:rsidP="00C218FB">
      <w:pPr>
        <w:spacing w:after="0" w:line="240" w:lineRule="auto"/>
        <w:ind w:left="567"/>
        <w:jc w:val="both"/>
        <w:rPr>
          <w:rFonts w:ascii="Times New Roman" w:eastAsia="Arial" w:hAnsi="Times New Roman" w:cs="Times New Roman"/>
          <w:sz w:val="24"/>
          <w:szCs w:val="24"/>
        </w:rPr>
      </w:pPr>
    </w:p>
    <w:p w:rsidR="000F603A" w:rsidRPr="00C218FB" w:rsidRDefault="000F603A" w:rsidP="00C218FB">
      <w:pPr>
        <w:spacing w:after="0" w:line="240" w:lineRule="auto"/>
        <w:ind w:left="567"/>
        <w:jc w:val="both"/>
        <w:rPr>
          <w:rFonts w:ascii="Times New Roman" w:eastAsia="Arial" w:hAnsi="Times New Roman" w:cs="Times New Roman"/>
          <w:sz w:val="24"/>
          <w:szCs w:val="24"/>
        </w:rPr>
      </w:pPr>
      <w:r w:rsidRPr="00C218FB">
        <w:rPr>
          <w:rFonts w:ascii="Times New Roman" w:eastAsia="Arial" w:hAnsi="Times New Roman" w:cs="Times New Roman"/>
          <w:sz w:val="24"/>
          <w:szCs w:val="24"/>
        </w:rPr>
        <w:t>Con fundamento en los principios de sencillez y buena fe, previstos por el artículo 6, párrafo segundo y con el propósito de cumplir con el contenido del artículo 47, ambos de la Ley Reglamentaria, en lo que respecta al desahogo de esta prueba, esta Comisión ordenará el mismo, dentro de los mismos sesenta (60) días hábiles, una vez concluida en su totalidad la preparación de este medio de convicción.</w:t>
      </w:r>
    </w:p>
    <w:p w:rsidR="000F603A" w:rsidRPr="00C218FB" w:rsidRDefault="000F603A" w:rsidP="00C218FB">
      <w:pPr>
        <w:spacing w:after="0" w:line="240" w:lineRule="auto"/>
        <w:ind w:left="567"/>
        <w:jc w:val="both"/>
        <w:rPr>
          <w:rFonts w:ascii="Times New Roman" w:eastAsia="Arial" w:hAnsi="Times New Roman" w:cs="Times New Roman"/>
          <w:sz w:val="24"/>
          <w:szCs w:val="24"/>
        </w:rPr>
      </w:pPr>
    </w:p>
    <w:p w:rsidR="000F603A" w:rsidRPr="00C218FB" w:rsidRDefault="000F603A" w:rsidP="00C218FB">
      <w:pPr>
        <w:spacing w:after="0" w:line="240" w:lineRule="auto"/>
        <w:ind w:left="567"/>
        <w:jc w:val="both"/>
        <w:rPr>
          <w:rFonts w:ascii="Times New Roman" w:eastAsia="Arial" w:hAnsi="Times New Roman" w:cs="Times New Roman"/>
          <w:b/>
          <w:bCs/>
          <w:sz w:val="24"/>
          <w:szCs w:val="24"/>
        </w:rPr>
      </w:pPr>
      <w:r w:rsidRPr="00C218FB">
        <w:rPr>
          <w:rFonts w:ascii="Times New Roman" w:eastAsia="Arial" w:hAnsi="Times New Roman" w:cs="Times New Roman"/>
          <w:b/>
          <w:bCs/>
          <w:sz w:val="24"/>
          <w:szCs w:val="24"/>
        </w:rPr>
        <w:t>EL DESAHOGO DE ESTA PRUEBA SE REALIZÓ MEDIANTE AUDIENCIA DE FECHA VEINTIOCHO DE ABRIL DE DOS MIL VEINTITRÉS PARA EFECTO DEL DESAHOGO DE LA PRUEBA PERICIAL.</w:t>
      </w:r>
    </w:p>
    <w:p w:rsidR="000F603A" w:rsidRPr="00C218FB" w:rsidRDefault="000F603A" w:rsidP="00C218FB">
      <w:pPr>
        <w:spacing w:after="0" w:line="240" w:lineRule="auto"/>
        <w:jc w:val="both"/>
        <w:rPr>
          <w:rFonts w:ascii="Times New Roman" w:eastAsia="Arial" w:hAnsi="Times New Roman" w:cs="Times New Roman"/>
          <w:b/>
          <w:bCs/>
          <w:sz w:val="24"/>
          <w:szCs w:val="24"/>
        </w:rPr>
      </w:pPr>
    </w:p>
    <w:p w:rsidR="000F603A" w:rsidRPr="00C218FB" w:rsidRDefault="000F603A" w:rsidP="00C218FB">
      <w:pPr>
        <w:spacing w:after="0" w:line="240" w:lineRule="auto"/>
        <w:jc w:val="both"/>
        <w:rPr>
          <w:rFonts w:ascii="Times New Roman" w:eastAsia="Arial" w:hAnsi="Times New Roman" w:cs="Times New Roman"/>
          <w:b/>
          <w:bCs/>
          <w:sz w:val="24"/>
          <w:szCs w:val="24"/>
        </w:rPr>
      </w:pPr>
      <w:r w:rsidRPr="00C218FB">
        <w:rPr>
          <w:rFonts w:ascii="Times New Roman" w:eastAsia="Arial" w:hAnsi="Times New Roman" w:cs="Times New Roman"/>
          <w:b/>
          <w:bCs/>
          <w:sz w:val="24"/>
          <w:szCs w:val="24"/>
        </w:rPr>
        <w:t>PRUEBAS SUPERVINIENTES OFRECIDAS POR EL MUNICIPIO DE ECATEPEC.</w:t>
      </w:r>
    </w:p>
    <w:p w:rsidR="000F603A" w:rsidRPr="00C218FB" w:rsidRDefault="000F603A" w:rsidP="00C218FB">
      <w:pPr>
        <w:spacing w:after="0" w:line="240" w:lineRule="auto"/>
        <w:jc w:val="both"/>
        <w:rPr>
          <w:rFonts w:ascii="Times New Roman" w:eastAsia="Arial" w:hAnsi="Times New Roman" w:cs="Times New Roman"/>
          <w:bCs/>
          <w:sz w:val="24"/>
          <w:szCs w:val="24"/>
        </w:rPr>
      </w:pPr>
      <w:r w:rsidRPr="00C218FB">
        <w:rPr>
          <w:rFonts w:ascii="Times New Roman" w:eastAsia="Arial" w:hAnsi="Times New Roman" w:cs="Times New Roman"/>
          <w:bCs/>
          <w:sz w:val="24"/>
          <w:szCs w:val="24"/>
        </w:rPr>
        <w:t>Mediante acuerdo de la comisión de fecha veinticinco de octubre de dos mil veintitrés se acordó el desahogo de las siguientes pruebas:</w:t>
      </w:r>
    </w:p>
    <w:p w:rsidR="000F603A" w:rsidRPr="00C218FB" w:rsidRDefault="000F603A" w:rsidP="00C218FB">
      <w:pPr>
        <w:spacing w:after="0" w:line="240" w:lineRule="auto"/>
        <w:jc w:val="both"/>
        <w:rPr>
          <w:rFonts w:ascii="Times New Roman" w:eastAsia="Arial" w:hAnsi="Times New Roman" w:cs="Times New Roman"/>
          <w:b/>
          <w:bCs/>
          <w:sz w:val="24"/>
          <w:szCs w:val="24"/>
        </w:rPr>
      </w:pPr>
    </w:p>
    <w:p w:rsidR="000F603A" w:rsidRPr="00C218FB" w:rsidRDefault="000F603A" w:rsidP="00C218FB">
      <w:pPr>
        <w:pStyle w:val="Prrafodelista"/>
        <w:widowControl/>
        <w:numPr>
          <w:ilvl w:val="0"/>
          <w:numId w:val="44"/>
        </w:numPr>
        <w:autoSpaceDE/>
        <w:autoSpaceDN/>
        <w:ind w:left="567" w:right="0"/>
        <w:contextualSpacing/>
        <w:rPr>
          <w:rFonts w:ascii="Times New Roman" w:hAnsi="Times New Roman" w:cs="Times New Roman"/>
          <w:b/>
          <w:sz w:val="24"/>
          <w:szCs w:val="24"/>
        </w:rPr>
      </w:pPr>
      <w:r w:rsidRPr="00C218FB">
        <w:rPr>
          <w:rFonts w:ascii="Times New Roman" w:hAnsi="Times New Roman" w:cs="Times New Roman"/>
          <w:sz w:val="24"/>
          <w:szCs w:val="24"/>
        </w:rPr>
        <w:t xml:space="preserve">Las documentales públicas consistentes en el oficio con número de registro OF/DB/919/2023 y sus anexos, de fecha 11 de agosto de 2023, el cual se encuentra suscrito por la C. Brenda Alejandra Aguilar Martínez, Directora de Bienestar del Ayuntamiento del Municipio de Ecatepec de Morelos, mediante el cual remite un listado de programas, acciones sociales y operativos que la Dirección municipal ha ejecutado en diversas colonias durante el período comprendido de enero a agosto del año en curso; las cuales se tuvieron </w:t>
      </w:r>
      <w:r w:rsidRPr="00C218FB">
        <w:rPr>
          <w:rFonts w:ascii="Times New Roman" w:hAnsi="Times New Roman" w:cs="Times New Roman"/>
          <w:b/>
          <w:sz w:val="24"/>
          <w:szCs w:val="24"/>
        </w:rPr>
        <w:t>por desahogadas por su propia y especial naturaleza.</w:t>
      </w:r>
    </w:p>
    <w:p w:rsidR="000F603A" w:rsidRPr="00C218FB" w:rsidRDefault="000F603A" w:rsidP="00C218FB">
      <w:pPr>
        <w:pStyle w:val="Prrafodelista"/>
        <w:ind w:left="567"/>
        <w:rPr>
          <w:rFonts w:ascii="Times New Roman" w:hAnsi="Times New Roman" w:cs="Times New Roman"/>
          <w:sz w:val="24"/>
          <w:szCs w:val="24"/>
        </w:rPr>
      </w:pPr>
    </w:p>
    <w:p w:rsidR="000F603A" w:rsidRPr="00C218FB" w:rsidRDefault="000F603A" w:rsidP="00C218FB">
      <w:pPr>
        <w:pStyle w:val="Prrafodelista"/>
        <w:widowControl/>
        <w:numPr>
          <w:ilvl w:val="0"/>
          <w:numId w:val="44"/>
        </w:numPr>
        <w:autoSpaceDE/>
        <w:autoSpaceDN/>
        <w:ind w:left="567" w:right="0"/>
        <w:contextualSpacing/>
        <w:rPr>
          <w:rFonts w:ascii="Times New Roman" w:hAnsi="Times New Roman" w:cs="Times New Roman"/>
          <w:b/>
          <w:sz w:val="24"/>
          <w:szCs w:val="24"/>
        </w:rPr>
      </w:pPr>
      <w:r w:rsidRPr="00C218FB">
        <w:rPr>
          <w:rFonts w:ascii="Times New Roman" w:hAnsi="Times New Roman" w:cs="Times New Roman"/>
          <w:sz w:val="24"/>
          <w:szCs w:val="24"/>
        </w:rPr>
        <w:t xml:space="preserve">Las documentales públicas consistentes en el oficio con número de registro SHA/ECA/SMI/4006/2023 y sus anexos, de fecha 14 de agosto de 2023, el cual se encuentra suscrito por la C. Rocío Rivera Alcántara, Secretaria del Ayuntamiento del Municipio de Ecatepec de Morelos, mediante el cual remite veintidós (22) copias certificadas de constancias de vecindad e identidad, expedidas a favor de personas vecinas de diversas colonias; las cuales se tuvieron </w:t>
      </w:r>
      <w:r w:rsidRPr="00C218FB">
        <w:rPr>
          <w:rFonts w:ascii="Times New Roman" w:hAnsi="Times New Roman" w:cs="Times New Roman"/>
          <w:b/>
          <w:sz w:val="24"/>
          <w:szCs w:val="24"/>
        </w:rPr>
        <w:t>por desahogadas por su propia y especial naturaleza.</w:t>
      </w:r>
    </w:p>
    <w:p w:rsidR="000F603A" w:rsidRPr="00C218FB" w:rsidRDefault="000F603A" w:rsidP="00C218FB">
      <w:pPr>
        <w:spacing w:after="0" w:line="240" w:lineRule="auto"/>
        <w:ind w:left="567"/>
        <w:jc w:val="both"/>
        <w:rPr>
          <w:rFonts w:ascii="Times New Roman" w:eastAsia="Arial" w:hAnsi="Times New Roman" w:cs="Times New Roman"/>
          <w:sz w:val="24"/>
          <w:szCs w:val="24"/>
        </w:rPr>
      </w:pPr>
    </w:p>
    <w:p w:rsidR="000F603A" w:rsidRPr="00C218FB" w:rsidRDefault="000F603A" w:rsidP="00C218FB">
      <w:pPr>
        <w:pStyle w:val="Prrafodelista"/>
        <w:widowControl/>
        <w:numPr>
          <w:ilvl w:val="0"/>
          <w:numId w:val="44"/>
        </w:numPr>
        <w:autoSpaceDE/>
        <w:autoSpaceDN/>
        <w:ind w:left="567" w:right="0"/>
        <w:contextualSpacing/>
        <w:rPr>
          <w:rFonts w:ascii="Times New Roman" w:hAnsi="Times New Roman" w:cs="Times New Roman"/>
          <w:b/>
          <w:sz w:val="24"/>
          <w:szCs w:val="24"/>
        </w:rPr>
      </w:pPr>
      <w:r w:rsidRPr="00C218FB">
        <w:rPr>
          <w:rFonts w:ascii="Times New Roman" w:hAnsi="Times New Roman" w:cs="Times New Roman"/>
          <w:sz w:val="24"/>
          <w:szCs w:val="24"/>
        </w:rPr>
        <w:t xml:space="preserve">Las documentales públicas consistentes en el oficio con número de registro DTIC/STI/DIST/1630/08/2023 y sus anexos, de fecha 11 de agosto de 2023, suscrito por el C. Omar Alejandro Balderas Fernández, Director de Tecnologías de la Información y de la Comunicación del Municipio de Ecatepec de Morelos, mediante el cual remite la base de </w:t>
      </w:r>
      <w:r w:rsidRPr="00C218FB">
        <w:rPr>
          <w:rFonts w:ascii="Times New Roman" w:hAnsi="Times New Roman" w:cs="Times New Roman"/>
          <w:sz w:val="24"/>
          <w:szCs w:val="24"/>
        </w:rPr>
        <w:lastRenderedPageBreak/>
        <w:t xml:space="preserve">datos de las acciones de gobierno y obras realizadas en diversas colonias; las cuales se tuvieron </w:t>
      </w:r>
      <w:r w:rsidRPr="00C218FB">
        <w:rPr>
          <w:rFonts w:ascii="Times New Roman" w:hAnsi="Times New Roman" w:cs="Times New Roman"/>
          <w:b/>
          <w:sz w:val="24"/>
          <w:szCs w:val="24"/>
        </w:rPr>
        <w:t>por desahogadas por su propia y especial naturaleza.</w:t>
      </w:r>
    </w:p>
    <w:p w:rsidR="000F603A" w:rsidRPr="00C218FB" w:rsidRDefault="000F603A" w:rsidP="00C218FB">
      <w:pPr>
        <w:pStyle w:val="Prrafodelista"/>
        <w:ind w:left="567"/>
        <w:rPr>
          <w:rFonts w:ascii="Times New Roman" w:hAnsi="Times New Roman" w:cs="Times New Roman"/>
          <w:sz w:val="24"/>
          <w:szCs w:val="24"/>
        </w:rPr>
      </w:pPr>
    </w:p>
    <w:p w:rsidR="000F603A" w:rsidRPr="00C218FB" w:rsidRDefault="000F603A" w:rsidP="00C218FB">
      <w:pPr>
        <w:pStyle w:val="Prrafodelista"/>
        <w:widowControl/>
        <w:numPr>
          <w:ilvl w:val="0"/>
          <w:numId w:val="44"/>
        </w:numPr>
        <w:autoSpaceDE/>
        <w:autoSpaceDN/>
        <w:ind w:left="567" w:right="0"/>
        <w:contextualSpacing/>
        <w:rPr>
          <w:rFonts w:ascii="Times New Roman" w:hAnsi="Times New Roman" w:cs="Times New Roman"/>
          <w:b/>
          <w:sz w:val="24"/>
          <w:szCs w:val="24"/>
        </w:rPr>
      </w:pPr>
      <w:r w:rsidRPr="00C218FB">
        <w:rPr>
          <w:rFonts w:ascii="Times New Roman" w:hAnsi="Times New Roman" w:cs="Times New Roman"/>
          <w:sz w:val="24"/>
          <w:szCs w:val="24"/>
        </w:rPr>
        <w:t>Las documentales públicas consistentes en el oficio número DDAPL/ECA/492/2023 y sus anexos, de fecha 10 de agosto de 2023, suscrito por el C. Eduardo Martínez Aguilar, Director de Diversidad y Atención a las Poblaciones LGBTTIQ+ del Ayuntamiento del Municipio de Ecatepec de Morelos, mediante el cual remite un listado de personas beneficiarias del programa social denominado “</w:t>
      </w:r>
      <w:proofErr w:type="spellStart"/>
      <w:r w:rsidRPr="00C218FB">
        <w:rPr>
          <w:rFonts w:ascii="Times New Roman" w:hAnsi="Times New Roman" w:cs="Times New Roman"/>
          <w:sz w:val="24"/>
          <w:szCs w:val="24"/>
        </w:rPr>
        <w:t>Arcoiris</w:t>
      </w:r>
      <w:proofErr w:type="spellEnd"/>
      <w:r w:rsidRPr="00C218FB">
        <w:rPr>
          <w:rFonts w:ascii="Times New Roman" w:hAnsi="Times New Roman" w:cs="Times New Roman"/>
          <w:sz w:val="24"/>
          <w:szCs w:val="24"/>
        </w:rPr>
        <w:t xml:space="preserve">” de diversas colonias; las cuales se tuvieron </w:t>
      </w:r>
      <w:r w:rsidRPr="00C218FB">
        <w:rPr>
          <w:rFonts w:ascii="Times New Roman" w:hAnsi="Times New Roman" w:cs="Times New Roman"/>
          <w:b/>
          <w:sz w:val="24"/>
          <w:szCs w:val="24"/>
        </w:rPr>
        <w:t>por desahogadas por su propia y especial naturaleza.</w:t>
      </w:r>
    </w:p>
    <w:p w:rsidR="000F603A" w:rsidRPr="00C218FB" w:rsidRDefault="000F603A" w:rsidP="00C218FB">
      <w:pPr>
        <w:pStyle w:val="Prrafodelista"/>
        <w:ind w:left="567"/>
        <w:rPr>
          <w:rFonts w:ascii="Times New Roman" w:hAnsi="Times New Roman" w:cs="Times New Roman"/>
          <w:sz w:val="24"/>
          <w:szCs w:val="24"/>
        </w:rPr>
      </w:pPr>
    </w:p>
    <w:p w:rsidR="000F603A" w:rsidRPr="00C218FB" w:rsidRDefault="000F603A" w:rsidP="00C218FB">
      <w:pPr>
        <w:pStyle w:val="Prrafodelista"/>
        <w:widowControl/>
        <w:numPr>
          <w:ilvl w:val="0"/>
          <w:numId w:val="44"/>
        </w:numPr>
        <w:autoSpaceDE/>
        <w:autoSpaceDN/>
        <w:ind w:left="567" w:right="0"/>
        <w:contextualSpacing/>
        <w:rPr>
          <w:rFonts w:ascii="Times New Roman" w:hAnsi="Times New Roman" w:cs="Times New Roman"/>
          <w:sz w:val="24"/>
          <w:szCs w:val="24"/>
        </w:rPr>
      </w:pPr>
      <w:r w:rsidRPr="00C218FB">
        <w:rPr>
          <w:rFonts w:ascii="Times New Roman" w:hAnsi="Times New Roman" w:cs="Times New Roman"/>
          <w:sz w:val="24"/>
          <w:szCs w:val="24"/>
        </w:rPr>
        <w:t xml:space="preserve">Las documentales públicas consistentes en el oficio número DMAYE/437/DIVNA/138/2023 y sus anexos, de fecha 15 de agosto de 2023, suscrito por la C. Leslie Elisa Nava Flores, Directora de Medio Ambiente y Ecología del Ayuntamiento del Municipio de Ecatepec de Morelos, mediante el cual remite copias certificadas de los expedientes con número de folio 3098 y 2220, además, de dos denuncias ciudadanas del Área de Normatividad, las cuales están anexadas al escrito de cuenta; </w:t>
      </w:r>
      <w:r w:rsidRPr="00C218FB">
        <w:rPr>
          <w:rFonts w:ascii="Times New Roman" w:hAnsi="Times New Roman" w:cs="Times New Roman"/>
          <w:b/>
          <w:sz w:val="24"/>
          <w:szCs w:val="24"/>
        </w:rPr>
        <w:t>las cuales se tienen por desahogadas por su propia y especial naturaleza</w:t>
      </w:r>
      <w:r w:rsidRPr="00C218FB">
        <w:rPr>
          <w:rFonts w:ascii="Times New Roman" w:hAnsi="Times New Roman" w:cs="Times New Roman"/>
          <w:sz w:val="24"/>
          <w:szCs w:val="24"/>
        </w:rPr>
        <w:t>.</w:t>
      </w:r>
    </w:p>
    <w:p w:rsidR="000F603A" w:rsidRPr="00C218FB" w:rsidRDefault="000F603A" w:rsidP="00C218FB">
      <w:pPr>
        <w:spacing w:after="0" w:line="240" w:lineRule="auto"/>
        <w:ind w:left="567"/>
        <w:jc w:val="both"/>
        <w:rPr>
          <w:rFonts w:ascii="Times New Roman" w:eastAsia="Arial" w:hAnsi="Times New Roman" w:cs="Times New Roman"/>
          <w:sz w:val="24"/>
          <w:szCs w:val="24"/>
        </w:rPr>
      </w:pPr>
    </w:p>
    <w:p w:rsidR="000F603A" w:rsidRPr="00C218FB" w:rsidRDefault="000F603A" w:rsidP="00C218FB">
      <w:pPr>
        <w:pStyle w:val="Prrafodelista"/>
        <w:widowControl/>
        <w:numPr>
          <w:ilvl w:val="0"/>
          <w:numId w:val="44"/>
        </w:numPr>
        <w:autoSpaceDE/>
        <w:autoSpaceDN/>
        <w:ind w:left="567" w:right="0"/>
        <w:contextualSpacing/>
        <w:rPr>
          <w:rFonts w:ascii="Times New Roman" w:hAnsi="Times New Roman" w:cs="Times New Roman"/>
          <w:b/>
          <w:sz w:val="24"/>
          <w:szCs w:val="24"/>
        </w:rPr>
      </w:pPr>
      <w:r w:rsidRPr="00C218FB">
        <w:rPr>
          <w:rFonts w:ascii="Times New Roman" w:hAnsi="Times New Roman" w:cs="Times New Roman"/>
          <w:sz w:val="24"/>
          <w:szCs w:val="24"/>
        </w:rPr>
        <w:t xml:space="preserve">Las documentales públicas consistentes en el oficio número DSPYT/ECA/4613/2023 y sus anexos, de fecha 15 de agosto de 2023, suscrito por el C. César de Jesús García Pacheco, Director de Seguridad Pública y Tránsito Municipal del Ayuntamiento de Ecatepec de Morelos, mediante el cual remite copias certificadas de las acciones y actos de gobierno que la Dirección a su cargo ha ejercido; las cuales se tuvieron </w:t>
      </w:r>
      <w:r w:rsidRPr="00C218FB">
        <w:rPr>
          <w:rFonts w:ascii="Times New Roman" w:hAnsi="Times New Roman" w:cs="Times New Roman"/>
          <w:b/>
          <w:sz w:val="24"/>
          <w:szCs w:val="24"/>
        </w:rPr>
        <w:t>por desahogadas por su propia y especial naturaleza.</w:t>
      </w:r>
    </w:p>
    <w:p w:rsidR="000F603A" w:rsidRPr="00C218FB" w:rsidRDefault="000F603A" w:rsidP="00C218FB">
      <w:pPr>
        <w:pStyle w:val="Prrafodelista"/>
        <w:ind w:left="567"/>
        <w:rPr>
          <w:rFonts w:ascii="Times New Roman" w:hAnsi="Times New Roman" w:cs="Times New Roman"/>
          <w:sz w:val="24"/>
          <w:szCs w:val="24"/>
        </w:rPr>
      </w:pPr>
    </w:p>
    <w:p w:rsidR="000F603A" w:rsidRPr="00C218FB" w:rsidRDefault="000F603A" w:rsidP="00C218FB">
      <w:pPr>
        <w:pStyle w:val="Prrafodelista"/>
        <w:widowControl/>
        <w:numPr>
          <w:ilvl w:val="0"/>
          <w:numId w:val="44"/>
        </w:numPr>
        <w:autoSpaceDE/>
        <w:autoSpaceDN/>
        <w:ind w:left="567" w:right="0"/>
        <w:contextualSpacing/>
        <w:rPr>
          <w:rFonts w:ascii="Times New Roman" w:hAnsi="Times New Roman" w:cs="Times New Roman"/>
          <w:b/>
          <w:sz w:val="24"/>
          <w:szCs w:val="24"/>
        </w:rPr>
      </w:pPr>
      <w:r w:rsidRPr="00C218FB">
        <w:rPr>
          <w:rFonts w:ascii="Times New Roman" w:hAnsi="Times New Roman" w:cs="Times New Roman"/>
          <w:sz w:val="24"/>
          <w:szCs w:val="24"/>
        </w:rPr>
        <w:t xml:space="preserve">Las documentales públicas consistentes en el oficio número DDUYOP/SOP/ECA/6173/2023 y sus anexos, de fecha 18 de agosto de 2023, suscrito por el C. Rodolfo Jonathan Arellano Banda Treviño, Director de Desarrollo Urbano y Obras Públicas del Ayuntamiento del Municipio de Ecatepec de Morelos, mediante el cual informa sobre las acciones y actos de gobierno que la Dirección a su cargo ha llevado a cabo en diversas colonias; las cuales se tuvieron </w:t>
      </w:r>
      <w:r w:rsidRPr="00C218FB">
        <w:rPr>
          <w:rFonts w:ascii="Times New Roman" w:hAnsi="Times New Roman" w:cs="Times New Roman"/>
          <w:b/>
          <w:sz w:val="24"/>
          <w:szCs w:val="24"/>
        </w:rPr>
        <w:t>por desahogadas por su propia y especial naturaleza.</w:t>
      </w:r>
    </w:p>
    <w:p w:rsidR="000F603A" w:rsidRPr="00C218FB" w:rsidRDefault="000F603A" w:rsidP="00C218FB">
      <w:pPr>
        <w:pStyle w:val="Prrafodelista"/>
        <w:ind w:left="567"/>
        <w:rPr>
          <w:rFonts w:ascii="Times New Roman" w:hAnsi="Times New Roman" w:cs="Times New Roman"/>
          <w:sz w:val="24"/>
          <w:szCs w:val="24"/>
        </w:rPr>
      </w:pPr>
    </w:p>
    <w:p w:rsidR="000F603A" w:rsidRPr="00C218FB" w:rsidRDefault="000F603A" w:rsidP="00C218FB">
      <w:pPr>
        <w:pStyle w:val="Prrafodelista"/>
        <w:widowControl/>
        <w:numPr>
          <w:ilvl w:val="0"/>
          <w:numId w:val="44"/>
        </w:numPr>
        <w:autoSpaceDE/>
        <w:autoSpaceDN/>
        <w:ind w:left="567" w:right="0"/>
        <w:contextualSpacing/>
        <w:rPr>
          <w:rFonts w:ascii="Times New Roman" w:hAnsi="Times New Roman" w:cs="Times New Roman"/>
          <w:b/>
          <w:sz w:val="24"/>
          <w:szCs w:val="24"/>
        </w:rPr>
      </w:pPr>
      <w:r w:rsidRPr="00C218FB">
        <w:rPr>
          <w:rFonts w:ascii="Times New Roman" w:hAnsi="Times New Roman" w:cs="Times New Roman"/>
          <w:sz w:val="24"/>
          <w:szCs w:val="24"/>
        </w:rPr>
        <w:t xml:space="preserve">Las documentales públicas consistentes en el oficio número SHA/SMI/4086/2023 y sus anexos, de fecha 17 de agosto de 2023, suscrito por la C. Rocío Rivera Alcántara, Secretaria del Ayuntamiento del Municipio de Ecatepec de Morelos, mediante el cual remite el listado para la obtención de matrículas de cartillas del Servicio Militar Nacional, así como veinticinco copias certificadas de dichas cartillas, siendo anexadas al presente escrito; las cuales se tuvieron </w:t>
      </w:r>
      <w:r w:rsidRPr="00C218FB">
        <w:rPr>
          <w:rFonts w:ascii="Times New Roman" w:hAnsi="Times New Roman" w:cs="Times New Roman"/>
          <w:b/>
          <w:sz w:val="24"/>
          <w:szCs w:val="24"/>
        </w:rPr>
        <w:t>por desahogadas por su propia y especial naturaleza.</w:t>
      </w:r>
    </w:p>
    <w:p w:rsidR="000F603A" w:rsidRPr="00C218FB" w:rsidRDefault="000F603A" w:rsidP="00C218FB">
      <w:pPr>
        <w:pStyle w:val="Prrafodelista"/>
        <w:ind w:left="567"/>
        <w:rPr>
          <w:rFonts w:ascii="Times New Roman" w:hAnsi="Times New Roman" w:cs="Times New Roman"/>
          <w:sz w:val="24"/>
          <w:szCs w:val="24"/>
        </w:rPr>
      </w:pPr>
    </w:p>
    <w:p w:rsidR="000F603A" w:rsidRPr="00C218FB" w:rsidRDefault="000F603A" w:rsidP="00C218FB">
      <w:pPr>
        <w:pStyle w:val="Prrafodelista"/>
        <w:widowControl/>
        <w:numPr>
          <w:ilvl w:val="0"/>
          <w:numId w:val="44"/>
        </w:numPr>
        <w:autoSpaceDE/>
        <w:autoSpaceDN/>
        <w:ind w:left="567" w:right="0"/>
        <w:contextualSpacing/>
        <w:rPr>
          <w:rFonts w:ascii="Times New Roman" w:hAnsi="Times New Roman" w:cs="Times New Roman"/>
          <w:b/>
          <w:sz w:val="24"/>
          <w:szCs w:val="24"/>
        </w:rPr>
      </w:pPr>
      <w:r w:rsidRPr="00C218FB">
        <w:rPr>
          <w:rFonts w:ascii="Times New Roman" w:hAnsi="Times New Roman" w:cs="Times New Roman"/>
          <w:sz w:val="24"/>
          <w:szCs w:val="24"/>
        </w:rPr>
        <w:t xml:space="preserve">Las documentales públicas consistentes en el oficio número DPCB/ECA/1925/2023 y sus anexos, de fecha 17 de agosto de 2023, suscrito por el C. Jesús Miranda Cárdenas, Director de Protección Civil y Bomberos del Ayuntamiento del Municipio de Ecatepec de Morelos, mediante el cual remite copias certificadas de las partes de servicios de bomberos, rescate urbano y prehospitalarios que la Dirección a su cargo ha llevado en diversas colonias; las cuales se tuvieron </w:t>
      </w:r>
      <w:r w:rsidRPr="00C218FB">
        <w:rPr>
          <w:rFonts w:ascii="Times New Roman" w:hAnsi="Times New Roman" w:cs="Times New Roman"/>
          <w:b/>
          <w:sz w:val="24"/>
          <w:szCs w:val="24"/>
        </w:rPr>
        <w:t>por desahogadas por su propia y especial naturaleza.</w:t>
      </w:r>
    </w:p>
    <w:p w:rsidR="000F603A" w:rsidRPr="00C218FB" w:rsidRDefault="000F603A" w:rsidP="00C218FB">
      <w:pPr>
        <w:pStyle w:val="Prrafodelista"/>
        <w:ind w:left="567"/>
        <w:rPr>
          <w:rFonts w:ascii="Times New Roman" w:hAnsi="Times New Roman" w:cs="Times New Roman"/>
          <w:sz w:val="24"/>
          <w:szCs w:val="24"/>
        </w:rPr>
      </w:pPr>
    </w:p>
    <w:p w:rsidR="000F603A" w:rsidRPr="00C218FB" w:rsidRDefault="000F603A" w:rsidP="00C218FB">
      <w:pPr>
        <w:pStyle w:val="Prrafodelista"/>
        <w:widowControl/>
        <w:numPr>
          <w:ilvl w:val="0"/>
          <w:numId w:val="44"/>
        </w:numPr>
        <w:autoSpaceDE/>
        <w:autoSpaceDN/>
        <w:ind w:left="567" w:right="0"/>
        <w:contextualSpacing/>
        <w:rPr>
          <w:rFonts w:ascii="Times New Roman" w:hAnsi="Times New Roman" w:cs="Times New Roman"/>
          <w:b/>
          <w:sz w:val="24"/>
          <w:szCs w:val="24"/>
        </w:rPr>
      </w:pPr>
      <w:r w:rsidRPr="00C218FB">
        <w:rPr>
          <w:rFonts w:ascii="Times New Roman" w:hAnsi="Times New Roman" w:cs="Times New Roman"/>
          <w:sz w:val="24"/>
          <w:szCs w:val="24"/>
        </w:rPr>
        <w:t xml:space="preserve">Las documentales públicas consistentes en el oficio número SAPASE/DG/0483/2023 y sus anexos, de fecha 15 de agosto de 2023, suscrito por el C. Elí Benjamín Hernán Rodríguez, Director General del Organismo Público Descentralizado S.A.P.A.S.E del Ayuntamiento del </w:t>
      </w:r>
      <w:r w:rsidRPr="00C218FB">
        <w:rPr>
          <w:rFonts w:ascii="Times New Roman" w:hAnsi="Times New Roman" w:cs="Times New Roman"/>
          <w:sz w:val="24"/>
          <w:szCs w:val="24"/>
        </w:rPr>
        <w:lastRenderedPageBreak/>
        <w:t xml:space="preserve">Municipio de Ecatepec de Morelos, mediante el cual informa de las acciones y actos de gobierno que el organismo dirige, realizados en diversas colonias; las cuales se tuvieron </w:t>
      </w:r>
      <w:r w:rsidRPr="00C218FB">
        <w:rPr>
          <w:rFonts w:ascii="Times New Roman" w:hAnsi="Times New Roman" w:cs="Times New Roman"/>
          <w:b/>
          <w:sz w:val="24"/>
          <w:szCs w:val="24"/>
        </w:rPr>
        <w:t>por desahogadas por su propia y especial naturaleza.</w:t>
      </w:r>
    </w:p>
    <w:p w:rsidR="000F603A" w:rsidRPr="00C218FB" w:rsidRDefault="000F603A" w:rsidP="00C218FB">
      <w:pPr>
        <w:pStyle w:val="Prrafodelista"/>
        <w:ind w:left="567"/>
        <w:rPr>
          <w:rFonts w:ascii="Times New Roman" w:hAnsi="Times New Roman" w:cs="Times New Roman"/>
          <w:sz w:val="24"/>
          <w:szCs w:val="24"/>
        </w:rPr>
      </w:pPr>
    </w:p>
    <w:p w:rsidR="000F603A" w:rsidRPr="00C218FB" w:rsidRDefault="000F603A" w:rsidP="00C218FB">
      <w:pPr>
        <w:pStyle w:val="Prrafodelista"/>
        <w:widowControl/>
        <w:numPr>
          <w:ilvl w:val="0"/>
          <w:numId w:val="44"/>
        </w:numPr>
        <w:autoSpaceDE/>
        <w:autoSpaceDN/>
        <w:ind w:left="567" w:right="0"/>
        <w:contextualSpacing/>
        <w:rPr>
          <w:rFonts w:ascii="Times New Roman" w:hAnsi="Times New Roman" w:cs="Times New Roman"/>
          <w:b/>
          <w:sz w:val="24"/>
          <w:szCs w:val="24"/>
        </w:rPr>
      </w:pPr>
      <w:r w:rsidRPr="00C218FB">
        <w:rPr>
          <w:rFonts w:ascii="Times New Roman" w:hAnsi="Times New Roman" w:cs="Times New Roman"/>
          <w:sz w:val="24"/>
          <w:szCs w:val="24"/>
        </w:rPr>
        <w:t xml:space="preserve">Las documentales públicas consistentes en el oficio número DPCB/ECA/1902/2023 y sus anexos, de fecha 14 de agosto de 2023, suscrito por el C. Jesús Miranda Cárdenas, Director de Protección Civil y Bomberos del Ayuntamiento del Municipio de Ecatepec de Morelos, mediante el cual remite copias simples de las partes de servicios de bomberos, y de rescate urbano prehospitalarios que la Dirección a su cargo ha llevado a cabo en diversas colonias; las cuales se tuvieron </w:t>
      </w:r>
      <w:r w:rsidRPr="00C218FB">
        <w:rPr>
          <w:rFonts w:ascii="Times New Roman" w:hAnsi="Times New Roman" w:cs="Times New Roman"/>
          <w:b/>
          <w:sz w:val="24"/>
          <w:szCs w:val="24"/>
        </w:rPr>
        <w:t>por desahogadas por su propia y especial naturaleza.</w:t>
      </w:r>
    </w:p>
    <w:p w:rsidR="000F603A" w:rsidRPr="00C218FB" w:rsidRDefault="000F603A" w:rsidP="00C218FB">
      <w:pPr>
        <w:pStyle w:val="Prrafodelista"/>
        <w:ind w:left="567"/>
        <w:rPr>
          <w:rFonts w:ascii="Times New Roman" w:hAnsi="Times New Roman" w:cs="Times New Roman"/>
          <w:sz w:val="24"/>
          <w:szCs w:val="24"/>
        </w:rPr>
      </w:pPr>
    </w:p>
    <w:p w:rsidR="000F603A" w:rsidRPr="00C218FB" w:rsidRDefault="000F603A" w:rsidP="00C218FB">
      <w:pPr>
        <w:pStyle w:val="Prrafodelista"/>
        <w:widowControl/>
        <w:numPr>
          <w:ilvl w:val="0"/>
          <w:numId w:val="44"/>
        </w:numPr>
        <w:autoSpaceDE/>
        <w:autoSpaceDN/>
        <w:ind w:left="567" w:right="0"/>
        <w:contextualSpacing/>
        <w:rPr>
          <w:rFonts w:ascii="Times New Roman" w:hAnsi="Times New Roman" w:cs="Times New Roman"/>
          <w:b/>
          <w:sz w:val="24"/>
          <w:szCs w:val="24"/>
        </w:rPr>
      </w:pPr>
      <w:r w:rsidRPr="00C218FB">
        <w:rPr>
          <w:rFonts w:ascii="Times New Roman" w:hAnsi="Times New Roman" w:cs="Times New Roman"/>
          <w:sz w:val="24"/>
          <w:szCs w:val="24"/>
        </w:rPr>
        <w:t xml:space="preserve">Las documentales públicas consistentes en el oficio número DSP/1041/2023 y sus anexos, de fecha 14 de agosto de 2023, suscrito por el C. Luis Morales Villanueva, Director de Servicios Públicos del Ayuntamiento del Municipio de Ecatepec de Morelos, mediante el cual se remite un concentrado de actividades y servicios públicos prestados en diversas colonias; las cuales se tuvieron </w:t>
      </w:r>
      <w:r w:rsidRPr="00C218FB">
        <w:rPr>
          <w:rFonts w:ascii="Times New Roman" w:hAnsi="Times New Roman" w:cs="Times New Roman"/>
          <w:b/>
          <w:sz w:val="24"/>
          <w:szCs w:val="24"/>
        </w:rPr>
        <w:t>por desahogadas por su propia y especial naturaleza.</w:t>
      </w:r>
    </w:p>
    <w:p w:rsidR="000F603A" w:rsidRPr="00C218FB" w:rsidRDefault="000F603A" w:rsidP="00C218FB">
      <w:pPr>
        <w:pStyle w:val="Prrafodelista"/>
        <w:ind w:left="567"/>
        <w:rPr>
          <w:rFonts w:ascii="Times New Roman" w:hAnsi="Times New Roman" w:cs="Times New Roman"/>
          <w:sz w:val="24"/>
          <w:szCs w:val="24"/>
        </w:rPr>
      </w:pPr>
    </w:p>
    <w:p w:rsidR="000F603A" w:rsidRPr="00C218FB" w:rsidRDefault="000F603A" w:rsidP="00C218FB">
      <w:pPr>
        <w:pStyle w:val="Prrafodelista"/>
        <w:widowControl/>
        <w:numPr>
          <w:ilvl w:val="0"/>
          <w:numId w:val="44"/>
        </w:numPr>
        <w:autoSpaceDE/>
        <w:autoSpaceDN/>
        <w:ind w:left="567" w:right="0"/>
        <w:contextualSpacing/>
        <w:rPr>
          <w:rFonts w:ascii="Times New Roman" w:hAnsi="Times New Roman" w:cs="Times New Roman"/>
          <w:b/>
          <w:sz w:val="24"/>
          <w:szCs w:val="24"/>
        </w:rPr>
      </w:pPr>
      <w:r w:rsidRPr="00C218FB">
        <w:rPr>
          <w:rFonts w:ascii="Times New Roman" w:hAnsi="Times New Roman" w:cs="Times New Roman"/>
          <w:sz w:val="24"/>
          <w:szCs w:val="24"/>
        </w:rPr>
        <w:t xml:space="preserve">Las documentales públicas consistentes en oficio número SMDIF/D/0655/2023 y sus anexos, de fecha 15 de agosto de 2023, suscrito por el C. </w:t>
      </w:r>
      <w:proofErr w:type="spellStart"/>
      <w:r w:rsidRPr="00C218FB">
        <w:rPr>
          <w:rFonts w:ascii="Times New Roman" w:hAnsi="Times New Roman" w:cs="Times New Roman"/>
          <w:sz w:val="24"/>
          <w:szCs w:val="24"/>
        </w:rPr>
        <w:t>Yaid</w:t>
      </w:r>
      <w:proofErr w:type="spellEnd"/>
      <w:r w:rsidRPr="00C218FB">
        <w:rPr>
          <w:rFonts w:ascii="Times New Roman" w:hAnsi="Times New Roman" w:cs="Times New Roman"/>
          <w:sz w:val="24"/>
          <w:szCs w:val="24"/>
        </w:rPr>
        <w:t xml:space="preserve"> Iván Patiño Méndez, Director del Sistema Municipal para el Desarrollo Integral de la Familia (DIF) del Ayuntamiento del Municipio de Ecatepec de Morelos, mediante el cual se remite un concentrado de diversas actividades que el SISTEMA DIF ha realizados en diversas colonias; las cuales se tuvieron </w:t>
      </w:r>
      <w:r w:rsidRPr="00C218FB">
        <w:rPr>
          <w:rFonts w:ascii="Times New Roman" w:hAnsi="Times New Roman" w:cs="Times New Roman"/>
          <w:b/>
          <w:sz w:val="24"/>
          <w:szCs w:val="24"/>
        </w:rPr>
        <w:t>por desahogadas por su propia y especial naturaleza.</w:t>
      </w:r>
    </w:p>
    <w:p w:rsidR="000F603A" w:rsidRPr="00C218FB" w:rsidRDefault="000F603A" w:rsidP="00C218FB">
      <w:pPr>
        <w:pStyle w:val="paragraph"/>
        <w:spacing w:before="0" w:beforeAutospacing="0" w:after="0" w:afterAutospacing="0"/>
        <w:jc w:val="both"/>
        <w:textAlignment w:val="baseline"/>
        <w:rPr>
          <w:rStyle w:val="normaltextrun"/>
          <w:b/>
          <w:bCs/>
        </w:rPr>
      </w:pPr>
    </w:p>
    <w:p w:rsidR="000F603A" w:rsidRPr="00C218FB" w:rsidRDefault="000F603A" w:rsidP="00C218FB">
      <w:pPr>
        <w:spacing w:after="0" w:line="240" w:lineRule="auto"/>
        <w:jc w:val="both"/>
        <w:rPr>
          <w:rStyle w:val="eop"/>
          <w:rFonts w:ascii="Times New Roman" w:hAnsi="Times New Roman" w:cs="Times New Roman"/>
          <w:sz w:val="24"/>
          <w:szCs w:val="24"/>
        </w:rPr>
      </w:pPr>
      <w:r w:rsidRPr="00C218FB">
        <w:rPr>
          <w:rFonts w:ascii="Times New Roman" w:eastAsia="Arial" w:hAnsi="Times New Roman" w:cs="Times New Roman"/>
          <w:b/>
          <w:sz w:val="24"/>
          <w:szCs w:val="24"/>
          <w:lang w:val="es-ES"/>
        </w:rPr>
        <w:t xml:space="preserve">PRUEBAS DESAHOGADAS </w:t>
      </w:r>
      <w:r w:rsidRPr="00C218FB">
        <w:rPr>
          <w:rFonts w:ascii="Times New Roman" w:eastAsia="Arial" w:hAnsi="Times New Roman" w:cs="Times New Roman"/>
          <w:b/>
          <w:bCs/>
          <w:sz w:val="24"/>
          <w:szCs w:val="24"/>
          <w:lang w:val="es-ES"/>
        </w:rPr>
        <w:t xml:space="preserve">POR EL MUNICIPIO DE </w:t>
      </w:r>
      <w:r w:rsidRPr="00C218FB">
        <w:rPr>
          <w:rFonts w:ascii="Times New Roman" w:eastAsia="Arial" w:hAnsi="Times New Roman" w:cs="Times New Roman"/>
          <w:b/>
          <w:sz w:val="24"/>
          <w:szCs w:val="24"/>
          <w:lang w:val="es-ES"/>
        </w:rPr>
        <w:t>ATENCO.</w:t>
      </w:r>
    </w:p>
    <w:p w:rsidR="000F603A" w:rsidRPr="00C218FB" w:rsidRDefault="000F603A" w:rsidP="00C218FB">
      <w:pPr>
        <w:pStyle w:val="paragraph"/>
        <w:spacing w:before="0" w:beforeAutospacing="0" w:after="0" w:afterAutospacing="0"/>
        <w:jc w:val="both"/>
        <w:textAlignment w:val="baseline"/>
      </w:pPr>
    </w:p>
    <w:p w:rsidR="000F603A" w:rsidRPr="00C218FB" w:rsidRDefault="000F603A" w:rsidP="00C218FB">
      <w:pPr>
        <w:pStyle w:val="paragraph"/>
        <w:spacing w:before="0" w:beforeAutospacing="0" w:after="0" w:afterAutospacing="0"/>
        <w:ind w:left="708" w:hanging="708"/>
        <w:jc w:val="both"/>
        <w:textAlignment w:val="baseline"/>
        <w:rPr>
          <w:rStyle w:val="normaltextrun"/>
          <w:b/>
          <w:bCs/>
        </w:rPr>
      </w:pPr>
      <w:r w:rsidRPr="00C218FB">
        <w:rPr>
          <w:rStyle w:val="normaltextrun"/>
          <w:b/>
          <w:bCs/>
        </w:rPr>
        <w:t xml:space="preserve">I.- </w:t>
      </w:r>
      <w:r w:rsidRPr="00C218FB">
        <w:rPr>
          <w:rStyle w:val="normaltextrun"/>
          <w:b/>
          <w:bCs/>
        </w:rPr>
        <w:tab/>
        <w:t>DOCUMENTAL PUBLICA,</w:t>
      </w:r>
      <w:r w:rsidRPr="00C218FB">
        <w:rPr>
          <w:rStyle w:val="normaltextrun"/>
        </w:rPr>
        <w:t xml:space="preserve"> consistente en la representación de la vialidad Avenida San Salvador Atenco identificada con código 012-0272-D, impresión de la Cartografía Catastral de Atenco, actualizada en el ejercicio fiscal anterior inmediato, cuyo respaldo fue entregado al Municipio de Atenco Estado de México. </w:t>
      </w:r>
      <w:r w:rsidRPr="00C218FB">
        <w:rPr>
          <w:rStyle w:val="normaltextrun"/>
          <w:b/>
          <w:bCs/>
        </w:rPr>
        <w:t xml:space="preserve">Prueba desahogada dada su propia y especial naturaleza. </w:t>
      </w:r>
    </w:p>
    <w:p w:rsidR="000F603A" w:rsidRPr="00C218FB" w:rsidRDefault="000F603A" w:rsidP="00C218FB">
      <w:pPr>
        <w:pStyle w:val="paragraph"/>
        <w:spacing w:before="0" w:beforeAutospacing="0" w:after="0" w:afterAutospacing="0"/>
        <w:jc w:val="both"/>
        <w:textAlignment w:val="baseline"/>
      </w:pPr>
    </w:p>
    <w:p w:rsidR="000F603A" w:rsidRPr="00C218FB" w:rsidRDefault="000F603A" w:rsidP="00C218FB">
      <w:pPr>
        <w:pStyle w:val="paragraph"/>
        <w:spacing w:before="0" w:beforeAutospacing="0" w:after="0" w:afterAutospacing="0"/>
        <w:ind w:left="708" w:hanging="658"/>
        <w:jc w:val="both"/>
        <w:textAlignment w:val="baseline"/>
        <w:rPr>
          <w:rStyle w:val="normaltextrun"/>
        </w:rPr>
      </w:pPr>
      <w:r w:rsidRPr="00C218FB">
        <w:rPr>
          <w:rStyle w:val="normaltextrun"/>
          <w:b/>
          <w:bCs/>
        </w:rPr>
        <w:t xml:space="preserve">II.- </w:t>
      </w:r>
      <w:r w:rsidRPr="00C218FB">
        <w:rPr>
          <w:rStyle w:val="normaltextrun"/>
          <w:b/>
          <w:bCs/>
        </w:rPr>
        <w:tab/>
        <w:t>LA INSTRUMENTAL DE ACTUACIONES EN SU DOBLE ASPECTO LEGAL Y HUMANO,</w:t>
      </w:r>
      <w:r w:rsidRPr="00C218FB">
        <w:rPr>
          <w:rStyle w:val="normaltextrun"/>
        </w:rPr>
        <w:t xml:space="preserve"> prueba que relacionamos con todo lo manifestado en los escritos de fecha veintinueve de abril y veintiocho de junio ambos del año dos mil veintidós. </w:t>
      </w:r>
      <w:r w:rsidRPr="00C218FB">
        <w:rPr>
          <w:rStyle w:val="normaltextrun"/>
          <w:b/>
          <w:bCs/>
        </w:rPr>
        <w:t>Prueba desahogada dada su propia y especial naturaleza.</w:t>
      </w:r>
    </w:p>
    <w:p w:rsidR="000F603A" w:rsidRPr="00C218FB" w:rsidRDefault="000F603A" w:rsidP="00C218FB">
      <w:pPr>
        <w:pStyle w:val="paragraph"/>
        <w:spacing w:before="0" w:beforeAutospacing="0" w:after="0" w:afterAutospacing="0"/>
        <w:jc w:val="both"/>
        <w:textAlignment w:val="baseline"/>
      </w:pPr>
    </w:p>
    <w:p w:rsidR="000F603A" w:rsidRPr="00C218FB" w:rsidRDefault="000F603A" w:rsidP="00C218FB">
      <w:pPr>
        <w:pStyle w:val="paragraph"/>
        <w:spacing w:before="0" w:beforeAutospacing="0" w:after="0" w:afterAutospacing="0"/>
        <w:ind w:left="708" w:hanging="708"/>
        <w:jc w:val="both"/>
        <w:textAlignment w:val="baseline"/>
      </w:pPr>
      <w:r w:rsidRPr="00C218FB">
        <w:rPr>
          <w:rStyle w:val="normaltextrun"/>
          <w:b/>
          <w:bCs/>
        </w:rPr>
        <w:t>III.-</w:t>
      </w:r>
      <w:r w:rsidRPr="00C218FB">
        <w:rPr>
          <w:rStyle w:val="normaltextrun"/>
          <w:b/>
          <w:bCs/>
        </w:rPr>
        <w:tab/>
        <w:t>LA PRESUNCIONAL LEGAL Y HUMANA</w:t>
      </w:r>
      <w:r w:rsidRPr="00C218FB">
        <w:rPr>
          <w:rStyle w:val="normaltextrun"/>
        </w:rPr>
        <w:t>, prueba que relacionamos con todo lo manifestado en los escritos de fecha veintinueve de abril y veintiocho de junio ambos del año dos mil veintidós, ya que con esta prueba acreditamos que la Avenida San Salvador de la Colonia Constitución el Salado Municipio de Atenco, estado de México, pertenece al Municipio que representamos. </w:t>
      </w:r>
      <w:r w:rsidRPr="00C218FB">
        <w:rPr>
          <w:rStyle w:val="eop"/>
        </w:rPr>
        <w:t> </w:t>
      </w:r>
      <w:r w:rsidRPr="00C218FB">
        <w:rPr>
          <w:rStyle w:val="normaltextrun"/>
          <w:b/>
          <w:bCs/>
        </w:rPr>
        <w:t>Prueba desahogada dada su propia y especial naturaleza.</w:t>
      </w:r>
    </w:p>
    <w:p w:rsidR="000F603A" w:rsidRPr="00C218FB" w:rsidRDefault="000F603A" w:rsidP="00C218FB">
      <w:pPr>
        <w:spacing w:after="0" w:line="240" w:lineRule="auto"/>
        <w:jc w:val="both"/>
        <w:rPr>
          <w:rFonts w:ascii="Times New Roman" w:eastAsia="Arial" w:hAnsi="Times New Roman" w:cs="Times New Roman"/>
          <w:b/>
          <w:bCs/>
          <w:sz w:val="24"/>
          <w:szCs w:val="24"/>
        </w:rPr>
      </w:pPr>
    </w:p>
    <w:p w:rsidR="000F603A" w:rsidRPr="00C218FB" w:rsidRDefault="000F603A" w:rsidP="00C218FB">
      <w:pPr>
        <w:spacing w:after="0" w:line="240" w:lineRule="auto"/>
        <w:ind w:left="-142"/>
        <w:jc w:val="both"/>
        <w:rPr>
          <w:rFonts w:ascii="Times New Roman" w:hAnsi="Times New Roman" w:cs="Times New Roman"/>
          <w:sz w:val="24"/>
          <w:szCs w:val="24"/>
        </w:rPr>
      </w:pPr>
      <w:r w:rsidRPr="00C218FB">
        <w:rPr>
          <w:rFonts w:ascii="Times New Roman" w:hAnsi="Times New Roman" w:cs="Times New Roman"/>
          <w:b/>
          <w:bCs/>
          <w:sz w:val="24"/>
          <w:szCs w:val="24"/>
        </w:rPr>
        <w:t>NOVENO.</w:t>
      </w:r>
      <w:r w:rsidRPr="00C218FB">
        <w:rPr>
          <w:rFonts w:ascii="Times New Roman" w:hAnsi="Times New Roman" w:cs="Times New Roman"/>
          <w:b/>
          <w:sz w:val="24"/>
          <w:szCs w:val="24"/>
        </w:rPr>
        <w:t xml:space="preserve"> </w:t>
      </w:r>
      <w:r w:rsidRPr="00C218FB">
        <w:rPr>
          <w:rFonts w:ascii="Times New Roman" w:hAnsi="Times New Roman" w:cs="Times New Roman"/>
          <w:sz w:val="24"/>
          <w:szCs w:val="24"/>
        </w:rPr>
        <w:t xml:space="preserve">El municipio de Acolman a través de sus representantes los C.C. Rigoberto Cortés Melgoza, Presidente Municipal y Blanca Guadalupe Sánchez Osorio, Síndico Municipal, por medio del escrito presentado ante la Presidenta de la Comisión Legislativa de Límites Territoriales del Estado de México y su Municipios, de la “LXI” Legislatura del Estado de México, en fecha 14 de diciembre de 2022, objetó 8 pruebas, de la siguiente forma: </w:t>
      </w:r>
    </w:p>
    <w:p w:rsidR="000F603A" w:rsidRPr="00C218FB" w:rsidRDefault="000F603A" w:rsidP="00C218FB">
      <w:pPr>
        <w:spacing w:after="0" w:line="240" w:lineRule="auto"/>
        <w:ind w:left="-142"/>
        <w:jc w:val="both"/>
        <w:rPr>
          <w:rFonts w:ascii="Times New Roman" w:hAnsi="Times New Roman" w:cs="Times New Roman"/>
          <w:sz w:val="24"/>
          <w:szCs w:val="24"/>
        </w:rPr>
      </w:pPr>
    </w:p>
    <w:p w:rsidR="000F603A" w:rsidRPr="00C218FB" w:rsidRDefault="000F603A" w:rsidP="00C218FB">
      <w:pPr>
        <w:spacing w:after="0" w:line="240" w:lineRule="auto"/>
        <w:ind w:left="851" w:right="918"/>
        <w:jc w:val="both"/>
        <w:rPr>
          <w:rFonts w:ascii="Times New Roman" w:hAnsi="Times New Roman" w:cs="Times New Roman"/>
          <w:i/>
          <w:sz w:val="24"/>
          <w:szCs w:val="24"/>
        </w:rPr>
      </w:pPr>
      <w:r w:rsidRPr="00C218FB">
        <w:rPr>
          <w:rFonts w:ascii="Times New Roman" w:hAnsi="Times New Roman" w:cs="Times New Roman"/>
          <w:i/>
          <w:sz w:val="24"/>
          <w:szCs w:val="24"/>
        </w:rPr>
        <w:t>“(...)</w:t>
      </w:r>
    </w:p>
    <w:p w:rsidR="000F603A" w:rsidRPr="00C218FB" w:rsidRDefault="000F603A" w:rsidP="00C218FB">
      <w:pPr>
        <w:pStyle w:val="Prrafodelista"/>
        <w:widowControl/>
        <w:numPr>
          <w:ilvl w:val="0"/>
          <w:numId w:val="37"/>
        </w:numPr>
        <w:autoSpaceDE/>
        <w:autoSpaceDN/>
        <w:ind w:left="1134" w:right="918" w:hanging="283"/>
        <w:contextualSpacing/>
        <w:rPr>
          <w:rFonts w:ascii="Times New Roman" w:eastAsia="Aptos" w:hAnsi="Times New Roman" w:cs="Times New Roman"/>
          <w:i/>
          <w:sz w:val="24"/>
          <w:szCs w:val="24"/>
        </w:rPr>
      </w:pPr>
      <w:r w:rsidRPr="00C218FB">
        <w:rPr>
          <w:rFonts w:ascii="Times New Roman" w:eastAsia="Aptos" w:hAnsi="Times New Roman" w:cs="Times New Roman"/>
          <w:i/>
          <w:sz w:val="24"/>
          <w:szCs w:val="24"/>
        </w:rPr>
        <w:t>De la prueba documental consistente en catorce oficios originales suscritos por las personas titulares de las dependencias que integran la administración pública Municipal de Ecatepec de Morelos, Estado de México, resultan impertinentes dichas pruebas toda vez que se encuentran hechas por la propia parte demandada en el presente procedimiento, esto es carecen de eficacia y validez ya que el artículo 183 del Código Financiero nos menciona, que no genera por sí misma ningún derecho de propiedad o posesión en favor de la persona cuyo nombre a parezca inscrito. Documentales que no surten efectos contra terceros, razones por las que las mismas carecen de eficacia jurídica.</w:t>
      </w:r>
    </w:p>
    <w:p w:rsidR="000F603A" w:rsidRPr="00C218FB" w:rsidRDefault="000F603A" w:rsidP="00C218FB">
      <w:pPr>
        <w:pStyle w:val="Prrafodelista"/>
        <w:ind w:left="1134" w:right="918" w:hanging="283"/>
        <w:rPr>
          <w:rFonts w:ascii="Times New Roman" w:eastAsia="Aptos" w:hAnsi="Times New Roman" w:cs="Times New Roman"/>
          <w:i/>
          <w:sz w:val="24"/>
          <w:szCs w:val="24"/>
        </w:rPr>
      </w:pPr>
    </w:p>
    <w:p w:rsidR="000F603A" w:rsidRPr="00C218FB" w:rsidRDefault="000F603A" w:rsidP="00C218FB">
      <w:pPr>
        <w:pStyle w:val="Prrafodelista"/>
        <w:widowControl/>
        <w:numPr>
          <w:ilvl w:val="0"/>
          <w:numId w:val="38"/>
        </w:numPr>
        <w:autoSpaceDE/>
        <w:autoSpaceDN/>
        <w:ind w:left="1134" w:right="918" w:hanging="283"/>
        <w:contextualSpacing/>
        <w:rPr>
          <w:rFonts w:ascii="Times New Roman" w:eastAsia="Aptos" w:hAnsi="Times New Roman" w:cs="Times New Roman"/>
          <w:i/>
          <w:sz w:val="24"/>
          <w:szCs w:val="24"/>
        </w:rPr>
      </w:pPr>
      <w:r w:rsidRPr="00C218FB">
        <w:rPr>
          <w:rFonts w:ascii="Times New Roman" w:eastAsia="Aptos" w:hAnsi="Times New Roman" w:cs="Times New Roman"/>
          <w:i/>
          <w:sz w:val="24"/>
          <w:szCs w:val="24"/>
        </w:rPr>
        <w:t>Esta prueba de igual forma se objeta por tratase de un documento que no surte efectos contra terceros y de manejo al interior del propio Municipio involucrado, por lo que no demuestra nada respecto del fondo que se pretende entrar al estudio del procedimiento para la solución de diferendos limítrofes intermunicipales.</w:t>
      </w:r>
    </w:p>
    <w:p w:rsidR="000F603A" w:rsidRPr="00C218FB" w:rsidRDefault="000F603A" w:rsidP="00C218FB">
      <w:pPr>
        <w:pStyle w:val="Prrafodelista"/>
        <w:ind w:left="1134" w:right="918" w:hanging="283"/>
        <w:rPr>
          <w:rFonts w:ascii="Times New Roman" w:eastAsia="Aptos" w:hAnsi="Times New Roman" w:cs="Times New Roman"/>
          <w:i/>
          <w:sz w:val="24"/>
          <w:szCs w:val="24"/>
        </w:rPr>
      </w:pPr>
    </w:p>
    <w:p w:rsidR="000F603A" w:rsidRPr="00C218FB" w:rsidRDefault="000F603A" w:rsidP="00C218FB">
      <w:pPr>
        <w:pStyle w:val="Prrafodelista"/>
        <w:widowControl/>
        <w:numPr>
          <w:ilvl w:val="0"/>
          <w:numId w:val="38"/>
        </w:numPr>
        <w:autoSpaceDE/>
        <w:autoSpaceDN/>
        <w:ind w:left="1134" w:right="918" w:hanging="283"/>
        <w:contextualSpacing/>
        <w:rPr>
          <w:rFonts w:ascii="Times New Roman" w:eastAsia="Aptos" w:hAnsi="Times New Roman" w:cs="Times New Roman"/>
          <w:i/>
          <w:sz w:val="24"/>
          <w:szCs w:val="24"/>
        </w:rPr>
      </w:pPr>
      <w:r w:rsidRPr="00C218FB">
        <w:rPr>
          <w:rFonts w:ascii="Times New Roman" w:eastAsia="Aptos" w:hAnsi="Times New Roman" w:cs="Times New Roman"/>
          <w:i/>
          <w:sz w:val="24"/>
          <w:szCs w:val="24"/>
        </w:rPr>
        <w:t xml:space="preserve">Esta prueba se objeta por resultar ociosa, y pretender ir en contra del principio básico del derecho, esto es de la buena fe, por tratarse de documentos que no demuestran nada, esto se exhiben planos y cartas que no conllevan a aclarar los límites territoriales entre dos municipios, ya que no señalan medidas colindancias, en fin, algo contundente para poder pensar que les dota de razón su postura legal de defensa. </w:t>
      </w:r>
    </w:p>
    <w:p w:rsidR="000F603A" w:rsidRPr="00C218FB" w:rsidRDefault="000F603A" w:rsidP="00C218FB">
      <w:pPr>
        <w:pStyle w:val="Prrafodelista"/>
        <w:ind w:left="1134" w:right="918" w:hanging="283"/>
        <w:rPr>
          <w:rFonts w:ascii="Times New Roman" w:eastAsia="Aptos" w:hAnsi="Times New Roman" w:cs="Times New Roman"/>
          <w:i/>
          <w:sz w:val="24"/>
          <w:szCs w:val="24"/>
        </w:rPr>
      </w:pPr>
    </w:p>
    <w:p w:rsidR="000F603A" w:rsidRPr="00C218FB" w:rsidRDefault="000F603A" w:rsidP="00C218FB">
      <w:pPr>
        <w:pStyle w:val="Prrafodelista"/>
        <w:widowControl/>
        <w:numPr>
          <w:ilvl w:val="0"/>
          <w:numId w:val="38"/>
        </w:numPr>
        <w:autoSpaceDE/>
        <w:autoSpaceDN/>
        <w:ind w:left="1134" w:right="918" w:hanging="283"/>
        <w:contextualSpacing/>
        <w:rPr>
          <w:rFonts w:ascii="Times New Roman" w:eastAsia="Aptos" w:hAnsi="Times New Roman" w:cs="Times New Roman"/>
          <w:i/>
          <w:sz w:val="24"/>
          <w:szCs w:val="24"/>
        </w:rPr>
      </w:pPr>
      <w:r w:rsidRPr="00C218FB">
        <w:rPr>
          <w:rFonts w:ascii="Times New Roman" w:eastAsia="Aptos" w:hAnsi="Times New Roman" w:cs="Times New Roman"/>
          <w:i/>
          <w:sz w:val="24"/>
          <w:szCs w:val="24"/>
        </w:rPr>
        <w:t>Esta prueba se objeta por resultar ociosa, y pretender ir en contra del principio básico del derecho, esto es de la buena fe, por tratarse de documentos que no demuestran nada, esto se exhiben planos y cartas que no conllevan a aclarar los límites territoriales entre dos municipios, ya que no señalan medidas y colindancias, en fin, algo contundente para poder pensar que les dota de razón su postura legal de defensa.</w:t>
      </w:r>
    </w:p>
    <w:p w:rsidR="000F603A" w:rsidRPr="00C218FB" w:rsidRDefault="000F603A" w:rsidP="00C218FB">
      <w:pPr>
        <w:pStyle w:val="Prrafodelista"/>
        <w:ind w:left="1134" w:right="918" w:hanging="283"/>
        <w:rPr>
          <w:rFonts w:ascii="Times New Roman" w:eastAsia="Aptos" w:hAnsi="Times New Roman" w:cs="Times New Roman"/>
          <w:i/>
          <w:sz w:val="24"/>
          <w:szCs w:val="24"/>
        </w:rPr>
      </w:pPr>
    </w:p>
    <w:p w:rsidR="000F603A" w:rsidRPr="00C218FB" w:rsidRDefault="000F603A" w:rsidP="00C218FB">
      <w:pPr>
        <w:pStyle w:val="Prrafodelista"/>
        <w:widowControl/>
        <w:numPr>
          <w:ilvl w:val="0"/>
          <w:numId w:val="38"/>
        </w:numPr>
        <w:autoSpaceDE/>
        <w:autoSpaceDN/>
        <w:ind w:left="1134" w:right="918" w:hanging="283"/>
        <w:contextualSpacing/>
        <w:rPr>
          <w:rFonts w:ascii="Times New Roman" w:eastAsia="Aptos" w:hAnsi="Times New Roman" w:cs="Times New Roman"/>
          <w:i/>
          <w:sz w:val="24"/>
          <w:szCs w:val="24"/>
        </w:rPr>
      </w:pPr>
      <w:r w:rsidRPr="00C218FB">
        <w:rPr>
          <w:rFonts w:ascii="Times New Roman" w:eastAsia="Aptos" w:hAnsi="Times New Roman" w:cs="Times New Roman"/>
          <w:i/>
          <w:sz w:val="24"/>
          <w:szCs w:val="24"/>
        </w:rPr>
        <w:t>De la prueba documental consistente en dos oficios originales suscritos por las personas titulares de las dependencias que integran la administración pública Municipal de Ecatepec de Morelos, Estado de México, resultan impertinentes dichas pruebas toda vez que se encuentran hechas por la propia parte demandada en el presente procedimiento, esto es carecen de validez ya que el artículo 183 del Código Financiero nos menciona, que no genera por sí misma ningún derecho de propiedad o posesión en favor de la persona cuyo nombre a parezca inscrito. Documentales que no surten efectos contra terceros, razones por las que las mismas carecen de eficacia jurídica. Mando en consideración el principio general de derecho respecto que los actos propios de una administración siempre se quedaran salvaguardando el interés social y legítimos de los habitantes y no generaran derechos contra terceros sin no son promulgados por una autoridad competente.</w:t>
      </w:r>
    </w:p>
    <w:p w:rsidR="000F603A" w:rsidRPr="00C218FB" w:rsidRDefault="000F603A" w:rsidP="00C218FB">
      <w:pPr>
        <w:pStyle w:val="Prrafodelista"/>
        <w:ind w:left="1134" w:right="918" w:hanging="283"/>
        <w:rPr>
          <w:rFonts w:ascii="Times New Roman" w:eastAsia="Aptos" w:hAnsi="Times New Roman" w:cs="Times New Roman"/>
          <w:i/>
          <w:sz w:val="24"/>
          <w:szCs w:val="24"/>
        </w:rPr>
      </w:pPr>
    </w:p>
    <w:p w:rsidR="000F603A" w:rsidRPr="00C218FB" w:rsidRDefault="000F603A" w:rsidP="00C218FB">
      <w:pPr>
        <w:pStyle w:val="Prrafodelista"/>
        <w:widowControl/>
        <w:numPr>
          <w:ilvl w:val="0"/>
          <w:numId w:val="38"/>
        </w:numPr>
        <w:autoSpaceDE/>
        <w:autoSpaceDN/>
        <w:ind w:left="1134" w:right="918" w:hanging="283"/>
        <w:contextualSpacing/>
        <w:rPr>
          <w:rFonts w:ascii="Times New Roman" w:eastAsia="Aptos" w:hAnsi="Times New Roman" w:cs="Times New Roman"/>
          <w:i/>
          <w:sz w:val="24"/>
          <w:szCs w:val="24"/>
        </w:rPr>
      </w:pPr>
      <w:r w:rsidRPr="00C218FB">
        <w:rPr>
          <w:rFonts w:ascii="Times New Roman" w:eastAsia="Aptos" w:hAnsi="Times New Roman" w:cs="Times New Roman"/>
          <w:i/>
          <w:sz w:val="24"/>
          <w:szCs w:val="24"/>
        </w:rPr>
        <w:t xml:space="preserve">Respecto de la prueba marcada con el número 7 y ofrecida por el Municipio de Ecatepec, consistente en el informe técnico del estudio sociodemográfico </w:t>
      </w:r>
      <w:r w:rsidRPr="00C218FB">
        <w:rPr>
          <w:rFonts w:ascii="Times New Roman" w:eastAsia="Aptos" w:hAnsi="Times New Roman" w:cs="Times New Roman"/>
          <w:i/>
          <w:sz w:val="24"/>
          <w:szCs w:val="24"/>
        </w:rPr>
        <w:lastRenderedPageBreak/>
        <w:t>de identidad, el mismo carece de validez en el entendido de que no es preciso para que fin es ofrecida dicha prueba, ya que el procedimiento para la solución de diferendos limítrofes intermunicipales se trata y consiste en esclarecer los límites, (medidas, coordenadas geográficas, etc.) por lo que resultaría impertinente la valoración de dicha prueba independientemente que la misma no es clara para puntualizar una postura en contra de la misma .</w:t>
      </w:r>
    </w:p>
    <w:p w:rsidR="000F603A" w:rsidRPr="00C218FB" w:rsidRDefault="000F603A" w:rsidP="00C218FB">
      <w:pPr>
        <w:pStyle w:val="Prrafodelista"/>
        <w:ind w:left="1134" w:right="918" w:hanging="283"/>
        <w:rPr>
          <w:rFonts w:ascii="Times New Roman" w:eastAsia="Aptos" w:hAnsi="Times New Roman" w:cs="Times New Roman"/>
          <w:i/>
          <w:sz w:val="24"/>
          <w:szCs w:val="24"/>
        </w:rPr>
      </w:pPr>
    </w:p>
    <w:p w:rsidR="000F603A" w:rsidRPr="00C218FB" w:rsidRDefault="000F603A" w:rsidP="00C218FB">
      <w:pPr>
        <w:pStyle w:val="Prrafodelista"/>
        <w:widowControl/>
        <w:numPr>
          <w:ilvl w:val="0"/>
          <w:numId w:val="38"/>
        </w:numPr>
        <w:autoSpaceDE/>
        <w:autoSpaceDN/>
        <w:ind w:left="1134" w:right="918" w:hanging="283"/>
        <w:contextualSpacing/>
        <w:rPr>
          <w:rFonts w:ascii="Times New Roman" w:eastAsia="Aptos" w:hAnsi="Times New Roman" w:cs="Times New Roman"/>
          <w:i/>
          <w:sz w:val="24"/>
          <w:szCs w:val="24"/>
        </w:rPr>
      </w:pPr>
      <w:r w:rsidRPr="00C218FB">
        <w:rPr>
          <w:rFonts w:ascii="Times New Roman" w:eastAsia="Aptos" w:hAnsi="Times New Roman" w:cs="Times New Roman"/>
          <w:i/>
          <w:sz w:val="24"/>
          <w:szCs w:val="24"/>
        </w:rPr>
        <w:t>Con respecto de la marcada con el número 8, esta prueba resulta ociosa, ya que de los documentos que pretende que sean aportados por el Registro Agrario Nacional, estas pruebas pueden ser aportadas por la propia parte, esto es el Municipio de Ecatepec de Morelos, por tal razón se debe de decretar que la misma no cumple con los requisitos para ser admitida y valorada, para todos los efectos legales a que haya lugar.</w:t>
      </w:r>
    </w:p>
    <w:p w:rsidR="000F603A" w:rsidRPr="00C218FB" w:rsidRDefault="000F603A" w:rsidP="00C218FB">
      <w:pPr>
        <w:pStyle w:val="Prrafodelista"/>
        <w:ind w:left="1134" w:right="918" w:hanging="283"/>
        <w:rPr>
          <w:rFonts w:ascii="Times New Roman" w:eastAsia="Aptos" w:hAnsi="Times New Roman" w:cs="Times New Roman"/>
          <w:i/>
          <w:sz w:val="24"/>
          <w:szCs w:val="24"/>
        </w:rPr>
      </w:pPr>
    </w:p>
    <w:p w:rsidR="000F603A" w:rsidRPr="00C218FB" w:rsidRDefault="000F603A" w:rsidP="00C218FB">
      <w:pPr>
        <w:pStyle w:val="Prrafodelista"/>
        <w:widowControl/>
        <w:numPr>
          <w:ilvl w:val="0"/>
          <w:numId w:val="38"/>
        </w:numPr>
        <w:autoSpaceDE/>
        <w:autoSpaceDN/>
        <w:ind w:left="1134" w:right="918" w:hanging="283"/>
        <w:contextualSpacing/>
        <w:rPr>
          <w:rFonts w:ascii="Times New Roman" w:eastAsia="Aptos" w:hAnsi="Times New Roman" w:cs="Times New Roman"/>
          <w:i/>
          <w:sz w:val="24"/>
          <w:szCs w:val="24"/>
        </w:rPr>
      </w:pPr>
      <w:r w:rsidRPr="00C218FB">
        <w:rPr>
          <w:rFonts w:ascii="Times New Roman" w:eastAsia="Aptos" w:hAnsi="Times New Roman" w:cs="Times New Roman"/>
          <w:i/>
          <w:sz w:val="24"/>
          <w:szCs w:val="24"/>
        </w:rPr>
        <w:t>Con respecto a la documental marcada con el número 9, se objeta dicho documental, ya que la misma no indica cual es la finalidad que persigue dicha prueba, y de caso contrario que esta comisión la admita, me dejarían en un total estado de indefensión, ya que no establece en beneficia la probanza anunciada al asunto que nos concierne, esto al procedimiento para la solución de diferendo limítrofes intermunicipales.</w:t>
      </w:r>
    </w:p>
    <w:p w:rsidR="000F603A" w:rsidRPr="00C218FB" w:rsidRDefault="000F603A" w:rsidP="00C218FB">
      <w:pPr>
        <w:pStyle w:val="Prrafodelista"/>
        <w:ind w:left="851" w:right="918"/>
        <w:rPr>
          <w:rFonts w:ascii="Times New Roman" w:eastAsia="Aptos" w:hAnsi="Times New Roman" w:cs="Times New Roman"/>
          <w:i/>
          <w:sz w:val="24"/>
          <w:szCs w:val="24"/>
        </w:rPr>
      </w:pPr>
      <w:r w:rsidRPr="00C218FB">
        <w:rPr>
          <w:rFonts w:ascii="Times New Roman" w:eastAsia="Aptos" w:hAnsi="Times New Roman" w:cs="Times New Roman"/>
          <w:i/>
          <w:sz w:val="24"/>
          <w:szCs w:val="24"/>
        </w:rPr>
        <w:t>(...)”</w:t>
      </w:r>
    </w:p>
    <w:p w:rsidR="000F603A" w:rsidRPr="00C218FB" w:rsidRDefault="000F603A" w:rsidP="00C218FB">
      <w:pPr>
        <w:pStyle w:val="Prrafodelista"/>
        <w:ind w:left="1068"/>
        <w:rPr>
          <w:rFonts w:ascii="Times New Roman" w:eastAsia="Aptos"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sz w:val="24"/>
          <w:szCs w:val="24"/>
        </w:rPr>
        <w:t xml:space="preserve">DÉCIMO. </w:t>
      </w:r>
      <w:r w:rsidRPr="00C218FB">
        <w:rPr>
          <w:rFonts w:ascii="Times New Roman" w:hAnsi="Times New Roman" w:cs="Times New Roman"/>
          <w:sz w:val="24"/>
          <w:szCs w:val="24"/>
        </w:rPr>
        <w:t>El municipio de Acolman a través de sus representantes los C.C. Rigoberto Cortés Melgoza, Presidente Municipal y Blanca Guadalupe Sánchez Osorio, Síndico Municipal, por medio del escrito presentado ante la Presidenta de la Comisión Legislativa de Límites Territoriales del Estado de México y su Municipios, de la “LXI” Legislatura del Estado de México, en fecha 29 de septiembre de 2023, objetó de manera general las pruebas supervinientes ofrecidas por el municipio de Ecatepec.</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eastAsia="Aptos" w:hAnsi="Times New Roman" w:cs="Times New Roman"/>
          <w:sz w:val="24"/>
          <w:szCs w:val="24"/>
        </w:rPr>
      </w:pPr>
      <w:r w:rsidRPr="00C218FB">
        <w:rPr>
          <w:rFonts w:ascii="Times New Roman" w:hAnsi="Times New Roman" w:cs="Times New Roman"/>
          <w:b/>
          <w:bCs/>
          <w:sz w:val="24"/>
          <w:szCs w:val="24"/>
        </w:rPr>
        <w:t xml:space="preserve">DÉCIMO PRIMERO. </w:t>
      </w:r>
      <w:r w:rsidRPr="00C218FB">
        <w:rPr>
          <w:rFonts w:ascii="Times New Roman" w:hAnsi="Times New Roman" w:cs="Times New Roman"/>
          <w:sz w:val="24"/>
          <w:szCs w:val="24"/>
        </w:rPr>
        <w:t xml:space="preserve">El municipio de Atenco, a través de sus representantes los C.C. Talía Citlali Cruz Sánchez, Presidenta Municipal y Juan Ramon Pineda Torres, Síndico Municipal, por medio del escrito presentado ante la Presidenta de la Comisión Legislativa de Límites Territoriales del Estado de México y su Municipios, de la “LXI” Legislatura del Estado de México, en fecha 26 de abril de 2023, objetaron </w:t>
      </w:r>
      <w:r w:rsidRPr="00C218FB">
        <w:rPr>
          <w:rFonts w:ascii="Times New Roman" w:eastAsia="Aptos" w:hAnsi="Times New Roman" w:cs="Times New Roman"/>
          <w:sz w:val="24"/>
          <w:szCs w:val="24"/>
        </w:rPr>
        <w:t>en tiempo y forma el valor y alcance probatorio del resultado de la prueba pericial en materia de geografía, signado por el Licenciado en Geografía Adrián Giovani Trejo González.</w:t>
      </w:r>
    </w:p>
    <w:p w:rsidR="000F603A" w:rsidRPr="00C218FB" w:rsidRDefault="000F603A" w:rsidP="00C218FB">
      <w:pPr>
        <w:spacing w:after="0" w:line="240" w:lineRule="auto"/>
        <w:jc w:val="both"/>
        <w:rPr>
          <w:rFonts w:ascii="Times New Roman"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b/>
          <w:bCs/>
          <w:sz w:val="24"/>
          <w:szCs w:val="24"/>
        </w:rPr>
      </w:pPr>
      <w:r w:rsidRPr="00C218FB">
        <w:rPr>
          <w:rFonts w:ascii="Times New Roman" w:hAnsi="Times New Roman" w:cs="Times New Roman"/>
          <w:b/>
          <w:bCs/>
          <w:sz w:val="24"/>
          <w:szCs w:val="24"/>
        </w:rPr>
        <w:t>DÉCIMO SEGUNDO. VALORACIÓN DE LAS PRUEBAS APORTADAS.</w:t>
      </w:r>
    </w:p>
    <w:p w:rsidR="000F603A" w:rsidRPr="00C218FB" w:rsidRDefault="000F603A" w:rsidP="00C218FB">
      <w:pPr>
        <w:spacing w:after="0" w:line="240" w:lineRule="auto"/>
        <w:jc w:val="both"/>
        <w:rPr>
          <w:rFonts w:ascii="Times New Roman"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b/>
          <w:bCs/>
          <w:sz w:val="24"/>
          <w:szCs w:val="24"/>
        </w:rPr>
      </w:pPr>
      <w:r w:rsidRPr="00C218FB">
        <w:rPr>
          <w:rFonts w:ascii="Times New Roman" w:hAnsi="Times New Roman" w:cs="Times New Roman"/>
          <w:b/>
          <w:bCs/>
          <w:sz w:val="24"/>
          <w:szCs w:val="24"/>
        </w:rPr>
        <w:t>VALORACIÓN DE PRUEBAS DEL MUNICIPIO DE ACOLMAN</w:t>
      </w:r>
    </w:p>
    <w:p w:rsidR="000F603A" w:rsidRPr="00C218FB" w:rsidRDefault="000F603A" w:rsidP="00C218FB">
      <w:pPr>
        <w:spacing w:after="0" w:line="240" w:lineRule="auto"/>
        <w:jc w:val="both"/>
        <w:rPr>
          <w:rFonts w:ascii="Times New Roman"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1. La documental pública</w:t>
      </w:r>
      <w:r w:rsidRPr="00C218FB">
        <w:rPr>
          <w:rFonts w:ascii="Times New Roman" w:hAnsi="Times New Roman" w:cs="Times New Roman"/>
          <w:sz w:val="24"/>
          <w:szCs w:val="24"/>
        </w:rPr>
        <w:t>, consistente en el acta y acuerdo de Cabildo de fecha dos de febrero de dos mil veintidós, mediante el cual el Ayuntamiento de Acolman manifiesta su postura institucional respecto del territorio en controversia.</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 xml:space="preserve">Para efectos del presente dictamen, dicha prueba acredita la existencia de una determinación formal del órgano de gobierno municipal; sin embargo, su contenido se circunscribe a una manifestación </w:t>
      </w:r>
      <w:r w:rsidRPr="00C218FB">
        <w:rPr>
          <w:rFonts w:ascii="Times New Roman" w:hAnsi="Times New Roman" w:cs="Times New Roman"/>
          <w:sz w:val="24"/>
          <w:szCs w:val="24"/>
        </w:rPr>
        <w:lastRenderedPageBreak/>
        <w:t>de voluntad administrativa, de esta se desprende el ejercicio directo, continuo y verificable de actos de autoridad o prestación de servicios públicos sobre la superficie materia del diferendo.</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2. La documental pública</w:t>
      </w:r>
      <w:r w:rsidRPr="00C218FB">
        <w:rPr>
          <w:rFonts w:ascii="Times New Roman" w:hAnsi="Times New Roman" w:cs="Times New Roman"/>
          <w:sz w:val="24"/>
          <w:szCs w:val="24"/>
        </w:rPr>
        <w:t>, consistente en el escrito dirigido a la Presidencia de la Comisión Legislativa de Límites Territoriales y su ratificación en audiencia.</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La prueba acredita la promoción procesal y la comparecencia formal del municipio dentro del procedimiento; no obstante, por su naturaleza procesal, no constituye un medio idóneo para demostrar el ejercicio de funciones municipales en el territorio controvertido.</w:t>
      </w:r>
    </w:p>
    <w:p w:rsidR="000F603A" w:rsidRPr="00C218FB" w:rsidRDefault="000F603A" w:rsidP="00C218FB">
      <w:pPr>
        <w:spacing w:after="0" w:line="240" w:lineRule="auto"/>
        <w:jc w:val="both"/>
        <w:rPr>
          <w:rFonts w:ascii="Times New Roman"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3. La documental pública</w:t>
      </w:r>
      <w:r w:rsidRPr="00C218FB">
        <w:rPr>
          <w:rFonts w:ascii="Times New Roman" w:hAnsi="Times New Roman" w:cs="Times New Roman"/>
          <w:sz w:val="24"/>
          <w:szCs w:val="24"/>
        </w:rPr>
        <w:t>, consistente en la Gaceta de Gobierno del Estado de México de fecha dos de octubre de dos mil ocho, relativa a la delimitación del municipio de Acolman.</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Dicho documental aporta un antecedente normativo-administrativo de carácter general; sin embargo, no acredita por sí misma la ejecución actual de actos de gobierno ni la prestación efectiva de servicios municipales en la zona materia del presente procedimiento.</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4. La documental pública</w:t>
      </w:r>
      <w:r w:rsidRPr="00C218FB">
        <w:rPr>
          <w:rFonts w:ascii="Times New Roman" w:hAnsi="Times New Roman" w:cs="Times New Roman"/>
          <w:sz w:val="24"/>
          <w:szCs w:val="24"/>
        </w:rPr>
        <w:t>, consistente en constancias de búsqueda emitidas por el Instituto de la Función Registral del Estado de México.</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La prueba aporta información de carácter registral respecto de antecedentes inmobiliarios; no obstante, su alcance se limita a la existencia de inscripciones, sin que de su contenido se desprenda el ejercicio de autoridad municipal sobre el territorio en controversia.</w:t>
      </w:r>
    </w:p>
    <w:p w:rsidR="000F603A" w:rsidRPr="00C218FB" w:rsidRDefault="000F603A" w:rsidP="00C218FB">
      <w:pPr>
        <w:spacing w:after="0" w:line="240" w:lineRule="auto"/>
        <w:jc w:val="both"/>
        <w:rPr>
          <w:rFonts w:ascii="Times New Roman"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5. La documental pública</w:t>
      </w:r>
      <w:r w:rsidRPr="00C218FB">
        <w:rPr>
          <w:rFonts w:ascii="Times New Roman" w:hAnsi="Times New Roman" w:cs="Times New Roman"/>
          <w:sz w:val="24"/>
          <w:szCs w:val="24"/>
        </w:rPr>
        <w:t>, consistente en copias certificadas relativas a modificaciones del Programa Municipal de Desarrollo Urbano del municipio de Acolman, la prueba acredita actos de planeación urbana; sin embargo, no demuestra de manera directa la ejecución material de dichos instrumentos ni la prestación efectiva de servicios públicos municipales en el área objeto del diferendo.</w:t>
      </w:r>
    </w:p>
    <w:p w:rsidR="000F603A" w:rsidRPr="00C218FB" w:rsidRDefault="000F603A" w:rsidP="00C218FB">
      <w:pPr>
        <w:spacing w:after="0" w:line="240" w:lineRule="auto"/>
        <w:jc w:val="both"/>
        <w:rPr>
          <w:rFonts w:ascii="Times New Roman"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6. La documental pública</w:t>
      </w:r>
      <w:r w:rsidRPr="00C218FB">
        <w:rPr>
          <w:rFonts w:ascii="Times New Roman" w:hAnsi="Times New Roman" w:cs="Times New Roman"/>
          <w:sz w:val="24"/>
          <w:szCs w:val="24"/>
        </w:rPr>
        <w:t>, consistente en oficios dirigidos a Petróleos Mexicanos relacionados con permisos y gestiones administrativas.</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La prueba acredita actos de gestión administrativa ante una entidad federal; no obstante, tales actuaciones no resultan suficientes para demostrar el ejercicio integral de funciones municipales en la superficie en disputa.</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7. La documental pública</w:t>
      </w:r>
      <w:r w:rsidRPr="00C218FB">
        <w:rPr>
          <w:rFonts w:ascii="Times New Roman" w:hAnsi="Times New Roman" w:cs="Times New Roman"/>
          <w:sz w:val="24"/>
          <w:szCs w:val="24"/>
        </w:rPr>
        <w:t>, consistente en cartografía certificada emitida por el IGECEM.</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Dicho documental constituye un elemento técnico de referencia geográfica, útil para la ubicación territorial; sin embargo, no acredita actos de autoridad ni prestación de servicios públicos por parte del municipio oferente.</w:t>
      </w:r>
    </w:p>
    <w:p w:rsidR="000F603A" w:rsidRPr="00C218FB" w:rsidRDefault="000F603A" w:rsidP="00C218FB">
      <w:pPr>
        <w:spacing w:after="0" w:line="240" w:lineRule="auto"/>
        <w:jc w:val="both"/>
        <w:rPr>
          <w:rFonts w:ascii="Times New Roman"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8. La documental pública</w:t>
      </w:r>
      <w:r w:rsidRPr="00C218FB">
        <w:rPr>
          <w:rFonts w:ascii="Times New Roman" w:hAnsi="Times New Roman" w:cs="Times New Roman"/>
          <w:sz w:val="24"/>
          <w:szCs w:val="24"/>
        </w:rPr>
        <w:t>, consistente en inventarios y registros catastrales.</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La prueba aporta información administrativa de carácter referencial; no obstante, no acredita de manera plena el ejercicio cotidiano y efectivo de funciones municipales en la zona controvertida.</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La prueba aporta información administrativa de carácter referencial en la zona controvertida.</w:t>
      </w:r>
    </w:p>
    <w:p w:rsidR="000F603A" w:rsidRPr="00C218FB" w:rsidRDefault="000F603A" w:rsidP="00C218FB">
      <w:pPr>
        <w:spacing w:after="0" w:line="240" w:lineRule="auto"/>
        <w:jc w:val="both"/>
        <w:rPr>
          <w:rFonts w:ascii="Times New Roman"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9. La documental pública</w:t>
      </w:r>
      <w:r w:rsidRPr="00C218FB">
        <w:rPr>
          <w:rFonts w:ascii="Times New Roman" w:hAnsi="Times New Roman" w:cs="Times New Roman"/>
          <w:sz w:val="24"/>
          <w:szCs w:val="24"/>
        </w:rPr>
        <w:t>, consistente en escrituras públicas exhibidas en copia simple.</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Dicha prueba constituye un indicio de carácter patrimonial; sin embargo, al tratarse de copias simples y referirse a actos de propiedad privada, no resulta idónea para acreditar el ejercicio de autoridad municipal sobre el territorio.</w:t>
      </w:r>
    </w:p>
    <w:p w:rsidR="000F603A" w:rsidRPr="00C218FB" w:rsidRDefault="000F603A" w:rsidP="00C218FB">
      <w:pPr>
        <w:spacing w:after="0" w:line="240" w:lineRule="auto"/>
        <w:jc w:val="both"/>
        <w:rPr>
          <w:rFonts w:ascii="Times New Roman"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10. La testimonial</w:t>
      </w:r>
      <w:r w:rsidRPr="00C218FB">
        <w:rPr>
          <w:rFonts w:ascii="Times New Roman" w:hAnsi="Times New Roman" w:cs="Times New Roman"/>
          <w:sz w:val="24"/>
          <w:szCs w:val="24"/>
        </w:rPr>
        <w:t>, desahogada en audiencia, a cargo de diversos testigos.</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Las declaraciones rendidas refuerzan la narrativa sobre la prestación de servicios y la presencia institucional del municipio, sin perjuicio de su valoración conjunta con los demás medios de prueba.</w:t>
      </w:r>
    </w:p>
    <w:p w:rsidR="000F603A" w:rsidRPr="00C218FB" w:rsidRDefault="000F603A" w:rsidP="00C218FB">
      <w:pPr>
        <w:spacing w:after="0" w:line="240" w:lineRule="auto"/>
        <w:jc w:val="both"/>
        <w:rPr>
          <w:rFonts w:ascii="Times New Roman"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11. La pericial</w:t>
      </w:r>
      <w:r w:rsidRPr="00C218FB">
        <w:rPr>
          <w:rFonts w:ascii="Times New Roman" w:hAnsi="Times New Roman" w:cs="Times New Roman"/>
          <w:sz w:val="24"/>
          <w:szCs w:val="24"/>
        </w:rPr>
        <w:t>, ofrecida por el municipio de Acolman.</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No se valora, toda vez que no fue desahogada en términos de la Ley Reglamentaria.</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b/>
          <w:bCs/>
          <w:sz w:val="24"/>
          <w:szCs w:val="24"/>
        </w:rPr>
      </w:pPr>
      <w:r w:rsidRPr="00C218FB">
        <w:rPr>
          <w:rFonts w:ascii="Times New Roman" w:hAnsi="Times New Roman" w:cs="Times New Roman"/>
          <w:b/>
          <w:bCs/>
          <w:sz w:val="24"/>
          <w:szCs w:val="24"/>
        </w:rPr>
        <w:t>VALORACION DE PRUEBAS DEL MUNICIPIO DE ECATEPEC DE MORELOS</w:t>
      </w:r>
    </w:p>
    <w:p w:rsidR="000F603A" w:rsidRPr="00C218FB" w:rsidRDefault="000F603A" w:rsidP="00C218FB">
      <w:pPr>
        <w:spacing w:after="0" w:line="240" w:lineRule="auto"/>
        <w:jc w:val="both"/>
        <w:rPr>
          <w:rFonts w:ascii="Times New Roman"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1. La documental pública</w:t>
      </w:r>
      <w:r w:rsidRPr="00C218FB">
        <w:rPr>
          <w:rFonts w:ascii="Times New Roman" w:hAnsi="Times New Roman" w:cs="Times New Roman"/>
          <w:sz w:val="24"/>
          <w:szCs w:val="24"/>
        </w:rPr>
        <w:t>, consistente en oficios mediante los cuales se acreditan nombramientos de delegados, Consejos de Participación Ciudadana y actuaciones administrativas diversas en colonias materia del procedimiento.</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No se valora, toda vez que se tuvo por no desahogado conforme al acuerdo respectivo.</w:t>
      </w:r>
    </w:p>
    <w:p w:rsidR="000F603A" w:rsidRPr="00C218FB" w:rsidRDefault="000F603A" w:rsidP="00C218FB">
      <w:pPr>
        <w:spacing w:after="0" w:line="240" w:lineRule="auto"/>
        <w:jc w:val="both"/>
        <w:rPr>
          <w:rFonts w:ascii="Times New Roman"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2. La documental pública</w:t>
      </w:r>
      <w:r w:rsidRPr="00C218FB">
        <w:rPr>
          <w:rFonts w:ascii="Times New Roman" w:hAnsi="Times New Roman" w:cs="Times New Roman"/>
          <w:sz w:val="24"/>
          <w:szCs w:val="24"/>
        </w:rPr>
        <w:t>, consistente en el Bando Municipal de Ecatepec de Morelos.</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No se valora, toda vez que se tuvo por no desahogado conforme al acuerdo respectivo.</w:t>
      </w:r>
    </w:p>
    <w:p w:rsidR="000F603A" w:rsidRPr="00C218FB" w:rsidRDefault="000F603A" w:rsidP="00C218FB">
      <w:pPr>
        <w:spacing w:after="0" w:line="240" w:lineRule="auto"/>
        <w:jc w:val="both"/>
        <w:rPr>
          <w:rFonts w:ascii="Times New Roman"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3. La documental pública</w:t>
      </w:r>
      <w:r w:rsidRPr="00C218FB">
        <w:rPr>
          <w:rFonts w:ascii="Times New Roman" w:hAnsi="Times New Roman" w:cs="Times New Roman"/>
          <w:sz w:val="24"/>
          <w:szCs w:val="24"/>
        </w:rPr>
        <w:t>, consistente en diversos planos y cartas cartográficas.</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No se valora, toda vez que se tuvo por no desahogado al no haberse exhibido la totalidad de los documentos requeridos.</w:t>
      </w:r>
    </w:p>
    <w:p w:rsidR="000F603A" w:rsidRPr="00C218FB" w:rsidRDefault="000F603A" w:rsidP="00C218FB">
      <w:pPr>
        <w:spacing w:after="0" w:line="240" w:lineRule="auto"/>
        <w:jc w:val="both"/>
        <w:rPr>
          <w:rFonts w:ascii="Times New Roman"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4. La documental pública</w:t>
      </w:r>
      <w:r w:rsidRPr="00C218FB">
        <w:rPr>
          <w:rFonts w:ascii="Times New Roman" w:hAnsi="Times New Roman" w:cs="Times New Roman"/>
          <w:sz w:val="24"/>
          <w:szCs w:val="24"/>
        </w:rPr>
        <w:t>, consistente en planos relativos a la zona del Lago de Texcoco y áreas colindantes.</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No se valora, toda vez que se tuvo por no desahogado conforme al acuerdo respectivo.</w:t>
      </w:r>
    </w:p>
    <w:p w:rsidR="000F603A" w:rsidRPr="00C218FB" w:rsidRDefault="000F603A" w:rsidP="00C218FB">
      <w:pPr>
        <w:spacing w:after="0" w:line="240" w:lineRule="auto"/>
        <w:jc w:val="both"/>
        <w:rPr>
          <w:rFonts w:ascii="Times New Roman"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5. La documental pública</w:t>
      </w:r>
      <w:r w:rsidRPr="00C218FB">
        <w:rPr>
          <w:rFonts w:ascii="Times New Roman" w:hAnsi="Times New Roman" w:cs="Times New Roman"/>
          <w:sz w:val="24"/>
          <w:szCs w:val="24"/>
        </w:rPr>
        <w:t>, consistente en oficios emitidos por distintas dependencias municipales.</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La prueba acredita la existencia de actuaciones administrativas realizadas por autoridades municipales en el ámbito de sus respectivas competencias.</w:t>
      </w:r>
    </w:p>
    <w:p w:rsidR="000F603A" w:rsidRPr="00C218FB" w:rsidRDefault="000F603A" w:rsidP="00C218FB">
      <w:pPr>
        <w:spacing w:after="0" w:line="240" w:lineRule="auto"/>
        <w:jc w:val="both"/>
        <w:rPr>
          <w:rFonts w:ascii="Times New Roman"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6. La testimonial</w:t>
      </w:r>
      <w:r w:rsidRPr="00C218FB">
        <w:rPr>
          <w:rFonts w:ascii="Times New Roman" w:hAnsi="Times New Roman" w:cs="Times New Roman"/>
          <w:sz w:val="24"/>
          <w:szCs w:val="24"/>
        </w:rPr>
        <w:t>, desahogada en audiencia.</w:t>
      </w: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Las declaraciones rendidas refuerzan la narrativa sobre la prestación de servicios y la presencia institucional del municipio, sin perjuicio de su valoración conjunta con los demás medios de prueba.</w:t>
      </w:r>
    </w:p>
    <w:p w:rsidR="000F603A" w:rsidRPr="00C218FB" w:rsidRDefault="000F603A" w:rsidP="00C218FB">
      <w:pPr>
        <w:spacing w:after="0" w:line="240" w:lineRule="auto"/>
        <w:jc w:val="both"/>
        <w:rPr>
          <w:rFonts w:ascii="Times New Roman"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b/>
          <w:bCs/>
          <w:sz w:val="24"/>
          <w:szCs w:val="24"/>
        </w:rPr>
      </w:pPr>
      <w:r w:rsidRPr="00C218FB">
        <w:rPr>
          <w:rFonts w:ascii="Times New Roman" w:hAnsi="Times New Roman" w:cs="Times New Roman"/>
          <w:b/>
          <w:bCs/>
          <w:sz w:val="24"/>
          <w:szCs w:val="24"/>
        </w:rPr>
        <w:lastRenderedPageBreak/>
        <w:t xml:space="preserve">7. El informe rendido por la Universidad Autónoma Metropolitana. </w:t>
      </w: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El informe aporta elementos de carácter social e identitario de la población asentada; no obstante, su naturaleza académica lo limita a un valor contextual dentro del análisis integral.</w:t>
      </w:r>
    </w:p>
    <w:p w:rsidR="000F603A" w:rsidRPr="00C218FB" w:rsidRDefault="000F603A" w:rsidP="00C218FB">
      <w:pPr>
        <w:spacing w:after="0" w:line="240" w:lineRule="auto"/>
        <w:jc w:val="both"/>
        <w:rPr>
          <w:rFonts w:ascii="Times New Roman"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b/>
          <w:bCs/>
          <w:sz w:val="24"/>
          <w:szCs w:val="24"/>
        </w:rPr>
      </w:pPr>
      <w:r w:rsidRPr="00C218FB">
        <w:rPr>
          <w:rFonts w:ascii="Times New Roman" w:hAnsi="Times New Roman" w:cs="Times New Roman"/>
          <w:b/>
          <w:bCs/>
          <w:sz w:val="24"/>
          <w:szCs w:val="24"/>
        </w:rPr>
        <w:t>8. El informe rendido por el Registro Agrario Nacional.</w:t>
      </w: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La prueba aporta antecedentes de carácter agrario y registral, útiles para contextualizar la evolución histórica del territorio.</w:t>
      </w:r>
    </w:p>
    <w:p w:rsidR="000F603A" w:rsidRPr="00C218FB" w:rsidRDefault="000F603A" w:rsidP="00C218FB">
      <w:pPr>
        <w:spacing w:after="0" w:line="240" w:lineRule="auto"/>
        <w:jc w:val="both"/>
        <w:rPr>
          <w:rFonts w:ascii="Times New Roman"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9. La documental pública</w:t>
      </w:r>
      <w:r w:rsidRPr="00C218FB">
        <w:rPr>
          <w:rFonts w:ascii="Times New Roman" w:hAnsi="Times New Roman" w:cs="Times New Roman"/>
          <w:sz w:val="24"/>
          <w:szCs w:val="24"/>
        </w:rPr>
        <w:t xml:space="preserve">, consistente en el oficio suscrito por el director de Desarrollo Urbano y Obras Públicas del Municipio de Ecatepec de Morelos. </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No obstante, el argumento del oferente relativo a acreditar la posesión efectiva, para efectos del presente dictamen la ubica territorialmente en el municipio de Ecatepec de Morelos, aun cuando acredita la realización de actos de autoridad, los cuales deberán ser analizados al momento de resolver el fondo del asunto.</w:t>
      </w:r>
    </w:p>
    <w:p w:rsidR="000F603A" w:rsidRPr="00C218FB" w:rsidRDefault="000F603A" w:rsidP="00C218FB">
      <w:pPr>
        <w:spacing w:after="0" w:line="240" w:lineRule="auto"/>
        <w:jc w:val="both"/>
        <w:rPr>
          <w:rFonts w:ascii="Times New Roman"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10. La documental pública</w:t>
      </w:r>
      <w:r w:rsidRPr="00C218FB">
        <w:rPr>
          <w:rFonts w:ascii="Times New Roman" w:hAnsi="Times New Roman" w:cs="Times New Roman"/>
          <w:sz w:val="24"/>
          <w:szCs w:val="24"/>
        </w:rPr>
        <w:t>, consistente en el informe de la Oficina Registral del Instituto de la Función Registral del Estado de México.</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 xml:space="preserve">No obstante, del análisis de su contenido se advierte que la información proporcionada se limita a referencias de carácter registral, sin que constituya un informe técnico en sentido estricto ni contenga datos suficientes que permitan identificar, delimitar o vincular de manera directa actos registrales con la competencia territorial municipal en la zona materia del diferendo, por lo que </w:t>
      </w:r>
      <w:r w:rsidRPr="00C218FB">
        <w:rPr>
          <w:rFonts w:ascii="Times New Roman" w:hAnsi="Times New Roman" w:cs="Times New Roman"/>
          <w:b/>
          <w:bCs/>
          <w:sz w:val="24"/>
          <w:szCs w:val="24"/>
        </w:rPr>
        <w:t>no aporta elementos objetivos que permitan acreditar la territorialidad</w:t>
      </w:r>
      <w:r w:rsidRPr="00C218FB">
        <w:rPr>
          <w:rFonts w:ascii="Times New Roman" w:hAnsi="Times New Roman" w:cs="Times New Roman"/>
          <w:sz w:val="24"/>
          <w:szCs w:val="24"/>
        </w:rPr>
        <w:t xml:space="preserve"> respecto del polígono en controversia.</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11. La documental privada</w:t>
      </w:r>
      <w:r w:rsidRPr="00C218FB">
        <w:rPr>
          <w:rFonts w:ascii="Times New Roman" w:hAnsi="Times New Roman" w:cs="Times New Roman"/>
          <w:sz w:val="24"/>
          <w:szCs w:val="24"/>
        </w:rPr>
        <w:t>, consistente en el informe técnico de delimitación territorial entre Ecatepec de Morelos y Acolman.</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No se valora, toda vez que se tuvo por no desahogado conforme al acuerdo respectivo.</w:t>
      </w:r>
    </w:p>
    <w:p w:rsidR="000F603A" w:rsidRPr="00C218FB" w:rsidRDefault="000F603A" w:rsidP="00C218FB">
      <w:pPr>
        <w:spacing w:after="0" w:line="240" w:lineRule="auto"/>
        <w:jc w:val="both"/>
        <w:rPr>
          <w:rFonts w:ascii="Times New Roman"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12. La Presuncional</w:t>
      </w:r>
      <w:r w:rsidRPr="00C218FB">
        <w:rPr>
          <w:rFonts w:ascii="Times New Roman" w:hAnsi="Times New Roman" w:cs="Times New Roman"/>
          <w:sz w:val="24"/>
          <w:szCs w:val="24"/>
        </w:rPr>
        <w:t>, en su doble aspecto legal y humano.</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Para efectos del presente dictamen, no resulta un medio idóneo para acreditar de manera directa la pertenencia territorial de la superficie en controversia, sin perjuicio de su valoración conjunta con el resto del acervo probatorio.</w:t>
      </w:r>
    </w:p>
    <w:p w:rsidR="000F603A" w:rsidRPr="00C218FB" w:rsidRDefault="000F603A" w:rsidP="00C218FB">
      <w:pPr>
        <w:spacing w:after="0" w:line="240" w:lineRule="auto"/>
        <w:jc w:val="both"/>
        <w:rPr>
          <w:rFonts w:ascii="Times New Roman"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13. La inspección ocular respecto del área identificada como zona de diferendo limítrofe entre los municipios de Acolman y Ecatepec de Morelos.</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De la diligencia practicada se obtiene una percepción directa de las condiciones físicas del territorio, el uso del suelo y la ocupación del espacio en la zona en controversia, lo cual resulta útil para contextualizar la realidad material del área objeto del diferendo; sin embargo, por su propia naturaleza, dicha prueba no permite por sí sola definir la competencia territorial ni acreditar la adscripción municipal del polígono en disputa.</w:t>
      </w:r>
    </w:p>
    <w:p w:rsidR="000F603A" w:rsidRPr="00C218FB" w:rsidRDefault="000F603A" w:rsidP="00C218FB">
      <w:pPr>
        <w:spacing w:after="0" w:line="240" w:lineRule="auto"/>
        <w:jc w:val="both"/>
        <w:rPr>
          <w:rFonts w:ascii="Times New Roman"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14. La prueba pericial en materia de geografía.</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lastRenderedPageBreak/>
        <w:t>Del dictamen técnico relativo a referencias espaciales, cartográficas y geográficas del área objeto del diferendo, se desprenden elementos auxiliares que permiten comprender la configuración territorial y la ubicación del polígono en controversia; no obstante, su alcance se limita a un apoyo técnico de carácter ilustrativo, del territorio controvertido.</w:t>
      </w:r>
    </w:p>
    <w:p w:rsidR="000F603A" w:rsidRPr="00C218FB" w:rsidRDefault="000F603A" w:rsidP="00C218FB">
      <w:pPr>
        <w:spacing w:after="0" w:line="240" w:lineRule="auto"/>
        <w:jc w:val="both"/>
        <w:rPr>
          <w:rFonts w:ascii="Times New Roman"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b/>
          <w:bCs/>
          <w:sz w:val="24"/>
          <w:szCs w:val="24"/>
        </w:rPr>
      </w:pPr>
      <w:r w:rsidRPr="00C218FB">
        <w:rPr>
          <w:rFonts w:ascii="Times New Roman" w:hAnsi="Times New Roman" w:cs="Times New Roman"/>
          <w:b/>
          <w:bCs/>
          <w:sz w:val="24"/>
          <w:szCs w:val="24"/>
        </w:rPr>
        <w:t>15. La prueba pericial en materia de costos por prestación de servicios públicos y mantenimiento de la zona limítrofe.</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Del análisis del estudio técnico se advierte información relacionada con erogaciones y costos asociados a la prestación de servicios públicos en el área en controversia, lo cual permite identificar la realización de actividades municipales y la asignación de recursos en dicha zona; sin embargo, tales elementos no resultan determinantes para la definición de los límites territoriales, sino que constituyen únicamente un referente complementario dentro del análisis integral del diferendo.</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b/>
          <w:bCs/>
          <w:sz w:val="24"/>
          <w:szCs w:val="24"/>
        </w:rPr>
      </w:pPr>
      <w:r w:rsidRPr="00C218FB">
        <w:rPr>
          <w:rFonts w:ascii="Times New Roman" w:hAnsi="Times New Roman" w:cs="Times New Roman"/>
          <w:b/>
          <w:bCs/>
          <w:sz w:val="24"/>
          <w:szCs w:val="24"/>
        </w:rPr>
        <w:t>VALORACIÓN DE PRUEBAS SUPERVENIENTES DEL MUNICIPIO DE ECATEPEC DE MORELOS</w:t>
      </w:r>
    </w:p>
    <w:p w:rsidR="000F603A" w:rsidRPr="00C218FB" w:rsidRDefault="000F603A" w:rsidP="00C218FB">
      <w:pPr>
        <w:spacing w:after="0" w:line="240" w:lineRule="auto"/>
        <w:jc w:val="both"/>
        <w:rPr>
          <w:rFonts w:ascii="Times New Roman"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1. La documental pública</w:t>
      </w:r>
      <w:r w:rsidRPr="00C218FB">
        <w:rPr>
          <w:rFonts w:ascii="Times New Roman" w:hAnsi="Times New Roman" w:cs="Times New Roman"/>
          <w:sz w:val="24"/>
          <w:szCs w:val="24"/>
        </w:rPr>
        <w:t>, consistente en el oficio OF/DB/919/2023 de la Dirección de Bienestar.</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La prueba acredita la ejecución de programas y acciones sociales realizadas de manera continua en las colonias materia del diferendo.</w:t>
      </w:r>
    </w:p>
    <w:p w:rsidR="000F603A" w:rsidRPr="00C218FB" w:rsidRDefault="000F603A" w:rsidP="00C218FB">
      <w:pPr>
        <w:spacing w:after="0" w:line="240" w:lineRule="auto"/>
        <w:jc w:val="both"/>
        <w:rPr>
          <w:rFonts w:ascii="Times New Roman"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2. La documental pública</w:t>
      </w:r>
      <w:r w:rsidRPr="00C218FB">
        <w:rPr>
          <w:rFonts w:ascii="Times New Roman" w:hAnsi="Times New Roman" w:cs="Times New Roman"/>
          <w:sz w:val="24"/>
          <w:szCs w:val="24"/>
        </w:rPr>
        <w:t>, consistente en el oficio SHA/ECA/SMI/4006/2023 y constancias de identidad.</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La prueba acredita la emisión de actos administrativos individualizados a favor de vecinos de la zona en controversia.</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3. La documental pública</w:t>
      </w:r>
      <w:r w:rsidRPr="00C218FB">
        <w:rPr>
          <w:rFonts w:ascii="Times New Roman" w:hAnsi="Times New Roman" w:cs="Times New Roman"/>
          <w:sz w:val="24"/>
          <w:szCs w:val="24"/>
        </w:rPr>
        <w:t>, consistente en el oficio DG/ECA/1034/2023 relativo a nombramientos de delegados y COPACI.</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La prueba acredita actos formales de organización y representación vecinal en las colonias materia del procedimiento.</w:t>
      </w:r>
    </w:p>
    <w:p w:rsidR="000F603A" w:rsidRPr="00C218FB" w:rsidRDefault="000F603A" w:rsidP="00C218FB">
      <w:pPr>
        <w:spacing w:after="0" w:line="240" w:lineRule="auto"/>
        <w:jc w:val="both"/>
        <w:rPr>
          <w:rFonts w:ascii="Times New Roman"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4. La documental pública</w:t>
      </w:r>
      <w:r w:rsidRPr="00C218FB">
        <w:rPr>
          <w:rFonts w:ascii="Times New Roman" w:hAnsi="Times New Roman" w:cs="Times New Roman"/>
          <w:sz w:val="24"/>
          <w:szCs w:val="24"/>
        </w:rPr>
        <w:t>, consistente en reportes de Protección Civil y Bomberos.</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La prueba acredita la atención de emergencias y la prestación de servicios públicos esenciales en la zona controvertida.</w:t>
      </w:r>
    </w:p>
    <w:p w:rsidR="000F603A" w:rsidRPr="00C218FB" w:rsidRDefault="000F603A" w:rsidP="00C218FB">
      <w:pPr>
        <w:spacing w:after="0" w:line="240" w:lineRule="auto"/>
        <w:jc w:val="both"/>
        <w:rPr>
          <w:rFonts w:ascii="Times New Roman"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5. La documental pública</w:t>
      </w:r>
      <w:r w:rsidRPr="00C218FB">
        <w:rPr>
          <w:rFonts w:ascii="Times New Roman" w:hAnsi="Times New Roman" w:cs="Times New Roman"/>
          <w:sz w:val="24"/>
          <w:szCs w:val="24"/>
        </w:rPr>
        <w:t>, consistente en recibos y registros de recaudación fiscal.</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La prueba acredita actos de administración tributaria ejercidos por el municipio oferente.</w:t>
      </w:r>
    </w:p>
    <w:p w:rsidR="000F603A" w:rsidRPr="00C218FB" w:rsidRDefault="000F603A" w:rsidP="00C218FB">
      <w:pPr>
        <w:spacing w:after="0" w:line="240" w:lineRule="auto"/>
        <w:jc w:val="both"/>
        <w:rPr>
          <w:rFonts w:ascii="Times New Roman"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6. La documental pública</w:t>
      </w:r>
      <w:r w:rsidRPr="00C218FB">
        <w:rPr>
          <w:rFonts w:ascii="Times New Roman" w:hAnsi="Times New Roman" w:cs="Times New Roman"/>
          <w:sz w:val="24"/>
          <w:szCs w:val="24"/>
        </w:rPr>
        <w:t>, consistente en oficios de Seguridad Pública y Tránsito Municipal.</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La prueba acredita la realización de acciones de vigilancia y control por parte de la autoridad municipal.</w:t>
      </w:r>
    </w:p>
    <w:p w:rsidR="000F603A" w:rsidRPr="00C218FB" w:rsidRDefault="000F603A" w:rsidP="00C218FB">
      <w:pPr>
        <w:spacing w:after="0" w:line="240" w:lineRule="auto"/>
        <w:jc w:val="both"/>
        <w:rPr>
          <w:rFonts w:ascii="Times New Roman"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7. La documental pública</w:t>
      </w:r>
      <w:r w:rsidRPr="00C218FB">
        <w:rPr>
          <w:rFonts w:ascii="Times New Roman" w:hAnsi="Times New Roman" w:cs="Times New Roman"/>
          <w:sz w:val="24"/>
          <w:szCs w:val="24"/>
        </w:rPr>
        <w:t>, consistente en informes de Desarrollo Urbano y Obras Públicas.</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La prueba acredita la ejecución de acciones y obras públicas en las colonias identificadas como zona limítrofe.</w:t>
      </w:r>
    </w:p>
    <w:p w:rsidR="000F603A" w:rsidRPr="00C218FB" w:rsidRDefault="000F603A" w:rsidP="00C218FB">
      <w:pPr>
        <w:spacing w:after="0" w:line="240" w:lineRule="auto"/>
        <w:jc w:val="both"/>
        <w:rPr>
          <w:rFonts w:ascii="Times New Roman"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8. La documental pública</w:t>
      </w:r>
      <w:r w:rsidRPr="00C218FB">
        <w:rPr>
          <w:rFonts w:ascii="Times New Roman" w:hAnsi="Times New Roman" w:cs="Times New Roman"/>
          <w:sz w:val="24"/>
          <w:szCs w:val="24"/>
        </w:rPr>
        <w:t>, consistente en constancias relativas al Servicio Militar Nacional.</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La prueba acredita actos administrativos continuos realizados por el municipio respecto de habitantes de la zona.</w:t>
      </w:r>
    </w:p>
    <w:p w:rsidR="000F603A" w:rsidRPr="00C218FB" w:rsidRDefault="000F603A" w:rsidP="00C218FB">
      <w:pPr>
        <w:spacing w:after="0" w:line="240" w:lineRule="auto"/>
        <w:jc w:val="both"/>
        <w:rPr>
          <w:rFonts w:ascii="Times New Roman"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9. La documental pública</w:t>
      </w:r>
      <w:r w:rsidRPr="00C218FB">
        <w:rPr>
          <w:rFonts w:ascii="Times New Roman" w:hAnsi="Times New Roman" w:cs="Times New Roman"/>
          <w:sz w:val="24"/>
          <w:szCs w:val="24"/>
        </w:rPr>
        <w:t>, consistente en partes de servicio de Protección Civil.</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La prueba acredita la atención reiterada de servicios de emergencia en el territorio en controversia.</w:t>
      </w:r>
    </w:p>
    <w:p w:rsidR="000F603A" w:rsidRPr="00C218FB" w:rsidRDefault="000F603A" w:rsidP="00C218FB">
      <w:pPr>
        <w:spacing w:after="0" w:line="240" w:lineRule="auto"/>
        <w:jc w:val="both"/>
        <w:rPr>
          <w:rFonts w:ascii="Times New Roman"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10. La documental pública</w:t>
      </w:r>
      <w:r w:rsidRPr="00C218FB">
        <w:rPr>
          <w:rFonts w:ascii="Times New Roman" w:hAnsi="Times New Roman" w:cs="Times New Roman"/>
          <w:sz w:val="24"/>
          <w:szCs w:val="24"/>
        </w:rPr>
        <w:t>, consistente en informes del organismo SAPASE.</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La prueba acredita la realización de acciones de mantenimiento y servicios hidráulicos en la zona limítrofe.</w:t>
      </w:r>
    </w:p>
    <w:p w:rsidR="000F603A" w:rsidRPr="00C218FB" w:rsidRDefault="000F603A" w:rsidP="00C218FB">
      <w:pPr>
        <w:spacing w:after="0" w:line="240" w:lineRule="auto"/>
        <w:jc w:val="both"/>
        <w:rPr>
          <w:rFonts w:ascii="Times New Roman"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11. La documental pública</w:t>
      </w:r>
      <w:r w:rsidRPr="00C218FB">
        <w:rPr>
          <w:rFonts w:ascii="Times New Roman" w:hAnsi="Times New Roman" w:cs="Times New Roman"/>
          <w:sz w:val="24"/>
          <w:szCs w:val="24"/>
        </w:rPr>
        <w:t>, consistente en partes de servicio exhibidas en copia simple.</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La prueba constituye un indicio de actuaciones administrativas, cuya fuerza probatoria se aprecia de manera conjunta con el resto de los medios de prueba.</w:t>
      </w:r>
    </w:p>
    <w:p w:rsidR="000F603A" w:rsidRPr="00C218FB" w:rsidRDefault="000F603A" w:rsidP="00C218FB">
      <w:pPr>
        <w:spacing w:after="0" w:line="240" w:lineRule="auto"/>
        <w:jc w:val="both"/>
        <w:rPr>
          <w:rFonts w:ascii="Times New Roman"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12. La documental pública</w:t>
      </w:r>
      <w:r w:rsidRPr="00C218FB">
        <w:rPr>
          <w:rFonts w:ascii="Times New Roman" w:hAnsi="Times New Roman" w:cs="Times New Roman"/>
          <w:sz w:val="24"/>
          <w:szCs w:val="24"/>
        </w:rPr>
        <w:t>, consistente en el concentrado de actividades de Servicios Públicos.</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La prueba acredita la prestación de servicios municipales de manera continua en las colonias materia del diferendo.</w:t>
      </w:r>
    </w:p>
    <w:p w:rsidR="000F603A" w:rsidRPr="00C218FB" w:rsidRDefault="000F603A" w:rsidP="00C218FB">
      <w:pPr>
        <w:spacing w:after="0" w:line="240" w:lineRule="auto"/>
        <w:jc w:val="both"/>
        <w:rPr>
          <w:rFonts w:ascii="Times New Roman"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13. La documental pública</w:t>
      </w:r>
      <w:r w:rsidRPr="00C218FB">
        <w:rPr>
          <w:rFonts w:ascii="Times New Roman" w:hAnsi="Times New Roman" w:cs="Times New Roman"/>
          <w:sz w:val="24"/>
          <w:szCs w:val="24"/>
        </w:rPr>
        <w:t>, consistente en el oficio SMDIF/D/0655/2023 del Sistema DIF Municipal.</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La prueba acredita la ejecución de acciones asistenciales y programas sociales en beneficio de la población asentada en la zona en controversia.</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b/>
          <w:bCs/>
          <w:sz w:val="24"/>
          <w:szCs w:val="24"/>
        </w:rPr>
      </w:pPr>
      <w:r w:rsidRPr="00C218FB">
        <w:rPr>
          <w:rFonts w:ascii="Times New Roman" w:hAnsi="Times New Roman" w:cs="Times New Roman"/>
          <w:b/>
          <w:bCs/>
          <w:sz w:val="24"/>
          <w:szCs w:val="24"/>
        </w:rPr>
        <w:t>VALORACIÓN DE PRUEBAS DEL MUNICIPIO DE ATENCO.</w:t>
      </w:r>
    </w:p>
    <w:p w:rsidR="000F603A" w:rsidRPr="00C218FB" w:rsidRDefault="000F603A" w:rsidP="00C218FB">
      <w:pPr>
        <w:spacing w:after="0" w:line="240" w:lineRule="auto"/>
        <w:jc w:val="both"/>
        <w:rPr>
          <w:rFonts w:ascii="Times New Roman" w:hAnsi="Times New Roman" w:cs="Times New Roman"/>
          <w:b/>
          <w:bCs/>
          <w:sz w:val="24"/>
          <w:szCs w:val="24"/>
        </w:rPr>
      </w:pPr>
    </w:p>
    <w:p w:rsidR="000F603A" w:rsidRPr="00C218FB" w:rsidRDefault="000F603A" w:rsidP="00C218FB">
      <w:pPr>
        <w:pStyle w:val="paragraph"/>
        <w:spacing w:before="0" w:beforeAutospacing="0" w:after="0" w:afterAutospacing="0"/>
        <w:jc w:val="both"/>
        <w:textAlignment w:val="baseline"/>
        <w:rPr>
          <w:rStyle w:val="normaltextrun"/>
        </w:rPr>
      </w:pPr>
      <w:r w:rsidRPr="00C218FB">
        <w:rPr>
          <w:rStyle w:val="normaltextrun"/>
          <w:b/>
          <w:bCs/>
        </w:rPr>
        <w:t>1.- La documental pública. -</w:t>
      </w:r>
      <w:r w:rsidRPr="00C218FB">
        <w:rPr>
          <w:rStyle w:val="normaltextrun"/>
        </w:rPr>
        <w:t xml:space="preserve"> Consistente en la representación de la vialidad Avenida San Salvador Atenco identificada con código 012-0272-D, impresión de la Cartografía Catastral de Atenco.</w:t>
      </w:r>
    </w:p>
    <w:p w:rsidR="000F603A" w:rsidRPr="00C218FB" w:rsidRDefault="000F603A" w:rsidP="00C218FB">
      <w:pPr>
        <w:pStyle w:val="paragraph"/>
        <w:spacing w:before="0" w:beforeAutospacing="0" w:after="0" w:afterAutospacing="0"/>
        <w:jc w:val="both"/>
        <w:textAlignment w:val="baseline"/>
        <w:rPr>
          <w:rStyle w:val="normaltextrun"/>
        </w:rPr>
      </w:pPr>
    </w:p>
    <w:p w:rsidR="000F603A" w:rsidRPr="00C218FB" w:rsidRDefault="000F603A" w:rsidP="00C218FB">
      <w:pPr>
        <w:pStyle w:val="paragraph"/>
        <w:spacing w:before="0" w:beforeAutospacing="0" w:after="0" w:afterAutospacing="0"/>
        <w:jc w:val="both"/>
        <w:textAlignment w:val="baseline"/>
        <w:rPr>
          <w:rStyle w:val="normaltextrun"/>
        </w:rPr>
      </w:pPr>
      <w:r w:rsidRPr="00C218FB">
        <w:rPr>
          <w:rStyle w:val="normaltextrun"/>
        </w:rPr>
        <w:t>Esta prueba no acredita territorialidad ni pertenencia con el polígono en conflicto.</w:t>
      </w:r>
    </w:p>
    <w:p w:rsidR="000F603A" w:rsidRPr="00C218FB" w:rsidRDefault="000F603A" w:rsidP="00C218FB">
      <w:pPr>
        <w:pStyle w:val="paragraph"/>
        <w:spacing w:before="0" w:beforeAutospacing="0" w:after="0" w:afterAutospacing="0"/>
        <w:jc w:val="both"/>
        <w:textAlignment w:val="baseline"/>
      </w:pPr>
    </w:p>
    <w:p w:rsidR="000F603A" w:rsidRPr="00C218FB" w:rsidRDefault="000F603A" w:rsidP="00C218FB">
      <w:pPr>
        <w:pStyle w:val="paragraph"/>
        <w:spacing w:before="0" w:beforeAutospacing="0" w:after="0" w:afterAutospacing="0"/>
        <w:jc w:val="both"/>
        <w:textAlignment w:val="baseline"/>
        <w:rPr>
          <w:rStyle w:val="normaltextrun"/>
          <w:b/>
          <w:bCs/>
        </w:rPr>
      </w:pPr>
      <w:r w:rsidRPr="00C218FB">
        <w:rPr>
          <w:rStyle w:val="normaltextrun"/>
          <w:b/>
          <w:bCs/>
        </w:rPr>
        <w:t xml:space="preserve">2.- La instrumental de actuaciones en su doble </w:t>
      </w:r>
      <w:r w:rsidR="00FD77CF" w:rsidRPr="00C218FB">
        <w:rPr>
          <w:rStyle w:val="normaltextrun"/>
          <w:b/>
          <w:bCs/>
        </w:rPr>
        <w:t>aspecto</w:t>
      </w:r>
      <w:r w:rsidRPr="00C218FB">
        <w:rPr>
          <w:rStyle w:val="normaltextrun"/>
          <w:b/>
          <w:bCs/>
        </w:rPr>
        <w:t xml:space="preserve"> legal y humano.</w:t>
      </w:r>
    </w:p>
    <w:p w:rsidR="000F603A" w:rsidRPr="00C218FB" w:rsidRDefault="000F603A" w:rsidP="00C218FB">
      <w:pPr>
        <w:spacing w:after="0" w:line="240" w:lineRule="auto"/>
        <w:jc w:val="both"/>
        <w:rPr>
          <w:rStyle w:val="eop"/>
          <w:rFonts w:ascii="Times New Roman" w:hAnsi="Times New Roman" w:cs="Times New Roman"/>
          <w:sz w:val="24"/>
          <w:szCs w:val="24"/>
        </w:rPr>
      </w:pPr>
      <w:r w:rsidRPr="00C218FB">
        <w:rPr>
          <w:rFonts w:ascii="Times New Roman" w:hAnsi="Times New Roman" w:cs="Times New Roman"/>
          <w:sz w:val="24"/>
          <w:szCs w:val="24"/>
        </w:rPr>
        <w:t>Para efectos del presente dictamen, no resulta un medio idóneo para acreditar de manera directa la pertenencia territorial de la superficie en controversia, sin perjuicio de su valoración conjunta con el resto del acervo probatorio.</w:t>
      </w:r>
    </w:p>
    <w:p w:rsidR="000F603A" w:rsidRPr="00C218FB" w:rsidRDefault="000F603A" w:rsidP="00C218FB">
      <w:pPr>
        <w:pStyle w:val="paragraph"/>
        <w:spacing w:before="0" w:beforeAutospacing="0" w:after="0" w:afterAutospacing="0"/>
        <w:jc w:val="both"/>
        <w:textAlignment w:val="baseline"/>
      </w:pPr>
    </w:p>
    <w:p w:rsidR="000F603A" w:rsidRPr="00C218FB" w:rsidRDefault="000F603A" w:rsidP="00C218FB">
      <w:pPr>
        <w:pStyle w:val="paragraph"/>
        <w:spacing w:before="0" w:beforeAutospacing="0" w:after="0" w:afterAutospacing="0"/>
        <w:jc w:val="both"/>
        <w:textAlignment w:val="baseline"/>
        <w:rPr>
          <w:rStyle w:val="normaltextrun"/>
        </w:rPr>
      </w:pPr>
      <w:r w:rsidRPr="00C218FB">
        <w:rPr>
          <w:rStyle w:val="normaltextrun"/>
          <w:b/>
          <w:bCs/>
        </w:rPr>
        <w:t>3.- La presuncional legal y humana</w:t>
      </w:r>
      <w:r w:rsidRPr="00C218FB">
        <w:rPr>
          <w:rStyle w:val="normaltextrun"/>
        </w:rPr>
        <w:t>.</w:t>
      </w: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lastRenderedPageBreak/>
        <w:t>Para efectos del presente dictamen, no resulta un medio idóneo para acreditar de manera directa la pertenencia territorial de la superficie en controversia, sin perjuicio de su valoración conjunta con el resto del acervo probatorio.</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center"/>
        <w:rPr>
          <w:rFonts w:ascii="Times New Roman" w:hAnsi="Times New Roman" w:cs="Times New Roman"/>
          <w:b/>
          <w:bCs/>
          <w:sz w:val="24"/>
          <w:szCs w:val="24"/>
        </w:rPr>
      </w:pPr>
      <w:r w:rsidRPr="00C218FB">
        <w:rPr>
          <w:rFonts w:ascii="Times New Roman" w:hAnsi="Times New Roman" w:cs="Times New Roman"/>
          <w:b/>
          <w:bCs/>
          <w:sz w:val="24"/>
          <w:szCs w:val="24"/>
        </w:rPr>
        <w:t>VALORACIÓN INTEGRAL</w:t>
      </w:r>
    </w:p>
    <w:p w:rsidR="000F603A" w:rsidRPr="00C218FB" w:rsidRDefault="000F603A" w:rsidP="00C218FB">
      <w:pPr>
        <w:spacing w:after="0" w:line="240" w:lineRule="auto"/>
        <w:jc w:val="center"/>
        <w:rPr>
          <w:rFonts w:ascii="Times New Roman" w:hAnsi="Times New Roman" w:cs="Times New Roman"/>
          <w:b/>
          <w:bCs/>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Del análisis conjunto, sistemático y contextual de la totalidad de las pruebas aportadas por los municipios de Acolman y Ecatepec de Morelos, así como de aquellas ofrecidas con carácter superveniente, esta Soberanía advierte que el expediente se encuentra debidamente integrado y que existe un acervo probatorio suficiente para tener por acreditados los elementos necesarios que permiten sustentar los resultandos del presente dictamen.</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Las pruebas ofrecidas por el municipio de Acolman permiten identificar antecedentes documentales, administrativos y de gestión institucional que acreditan su intervención municipal en áreas específicas del territorio en controversia. En particular, las documentales públicas relativas a gestiones, permisos y comunicaciones oficiales vinculadas con instalaciones de Petróleos Mexicanos (PEMEX) evidencian la realización de actos administrativos formales por parte de dicho municipio, lo que constituye únicamente una manifestación objetiva del ejercicio de funciones municipales en esa zona, especialmente en los ámbitos de regulación y control administrativo.</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Dichos elementos se ven reforzados por documentación de carácter histórico, registral y de planeación territorial, la cual permite contextualizar la relación institucional del municipio de Acolman con determinadas áreas del polígono, aportando claridad respecto de la delimitación de zonas donde subsisten vínculos administrativos y territoriales atribuibles a dicho municipio.</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Por su parte, el municipio de Ecatepec de Morelos aportó un conjunto relevante de pruebas documentales públicas mediante las cuales acredita la prestación de servicios públicos municipales y la realización de actos de gobierno y administración en diversas áreas comprendidas dentro del polígono materia del procedimiento. Tales documentales permiten identificar una presencia administrativa sostenida en zonas de carácter predominantemente urbano y poblacional; sin embargo, dichos actos deben valorarse como manifestaciones de gestión administrativa que, por sí mismas, no constituyen un elemento concluyente ni exclusivo para determinar la titularidad territorial, sino que deben ponderarse de manera integral y conjunta con el resto del acervo probatorio.</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Las pruebas supervenientes ofrecidas por Ecatepec de Morelos refuerzan la acreditación de dicha presencia administrativa, en tanto evidencian la continuidad de actos municipales con posterioridad al periodo ordinario de ofrecimiento de pruebas, lo que resulta congruente con la naturaleza permanente de los servicios públicos y con la dinámica ordinaria del ejercicio del gobierno municipal.</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En síntesis, la valoración individual y concatenada de todas las pruebas permite concluir que, si bien Acolman acredita antecedentes históricos relevantes, Ecatepec de Morelos acredita de manera plena, continua y verificable el ejercicio efectivo de actos de gobierno, lo que conduce de forma lógica, razonada y jurídicamente sustentada a los resolutivos finales del dictamen.</w:t>
      </w:r>
    </w:p>
    <w:p w:rsidR="000F603A" w:rsidRPr="00C218FB" w:rsidRDefault="000F603A" w:rsidP="00C218FB">
      <w:pPr>
        <w:spacing w:after="0" w:line="240" w:lineRule="auto"/>
        <w:jc w:val="both"/>
        <w:rPr>
          <w:rFonts w:ascii="Times New Roman" w:hAnsi="Times New Roman" w:cs="Times New Roman"/>
          <w:bCs/>
          <w:sz w:val="24"/>
          <w:szCs w:val="24"/>
        </w:rPr>
      </w:pPr>
    </w:p>
    <w:p w:rsidR="000F603A" w:rsidRPr="00C218FB" w:rsidRDefault="000F603A" w:rsidP="00C218FB">
      <w:pPr>
        <w:spacing w:after="0" w:line="240" w:lineRule="auto"/>
        <w:jc w:val="both"/>
        <w:rPr>
          <w:rFonts w:ascii="Times New Roman" w:hAnsi="Times New Roman" w:cs="Times New Roman"/>
          <w:bCs/>
          <w:sz w:val="24"/>
          <w:szCs w:val="24"/>
        </w:rPr>
      </w:pPr>
      <w:r w:rsidRPr="00C218FB">
        <w:rPr>
          <w:rFonts w:ascii="Times New Roman" w:hAnsi="Times New Roman" w:cs="Times New Roman"/>
          <w:b/>
          <w:bCs/>
          <w:sz w:val="24"/>
          <w:szCs w:val="24"/>
        </w:rPr>
        <w:t>DECIMO TERCERO.</w:t>
      </w:r>
      <w:r w:rsidRPr="00C218FB">
        <w:rPr>
          <w:rFonts w:ascii="Times New Roman" w:hAnsi="Times New Roman" w:cs="Times New Roman"/>
          <w:sz w:val="24"/>
          <w:szCs w:val="24"/>
        </w:rPr>
        <w:t xml:space="preserve"> Con fundamento en los artículos 8 de la Constitución Política de los Estados Unidos Mexicanos, 61 fracción XXV y 112 de la Constitución Política del Estado Libre y </w:t>
      </w:r>
      <w:r w:rsidRPr="00C218FB">
        <w:rPr>
          <w:rFonts w:ascii="Times New Roman" w:hAnsi="Times New Roman" w:cs="Times New Roman"/>
          <w:sz w:val="24"/>
          <w:szCs w:val="24"/>
        </w:rPr>
        <w:lastRenderedPageBreak/>
        <w:t>Soberano de México, 13 A fracción XXV, inciso a) del Reglamento del Poder Legislativo del Estado Libre y Soberano de México, en relación con los artículos 1, 2, 40, 46, 47, 48, 49, 50, 51, 52 de la Ley Reglamentaria del Poder Legislativo del Estado Libre y Soberano de México y en atención a la solicitud formulada por el municipio de Acolman, Estado de México, la Comisión de Límites Territoriales del Estado de México y sus Municipios de la “LXI” Legislatura del Estado de México, con</w:t>
      </w:r>
      <w:r w:rsidRPr="00C218FB">
        <w:rPr>
          <w:rFonts w:ascii="Times New Roman" w:hAnsi="Times New Roman" w:cs="Times New Roman"/>
          <w:bCs/>
          <w:sz w:val="24"/>
          <w:szCs w:val="24"/>
        </w:rPr>
        <w:t xml:space="preserve"> la finalidad de allegarse de los elementos necesarios que le permitan esclarecer el Diferendo Limítrofe Intermunicipal, solicitó los informes siguientes: </w:t>
      </w:r>
    </w:p>
    <w:p w:rsidR="000F603A" w:rsidRPr="00C218FB" w:rsidRDefault="000F603A" w:rsidP="00C218FB">
      <w:pPr>
        <w:spacing w:after="0" w:line="240" w:lineRule="auto"/>
        <w:jc w:val="both"/>
        <w:rPr>
          <w:rFonts w:ascii="Times New Roman" w:hAnsi="Times New Roman" w:cs="Times New Roman"/>
          <w:bCs/>
          <w:sz w:val="24"/>
          <w:szCs w:val="24"/>
        </w:rPr>
      </w:pPr>
    </w:p>
    <w:p w:rsidR="000F603A" w:rsidRPr="00C218FB" w:rsidRDefault="000F603A" w:rsidP="00C218FB">
      <w:pPr>
        <w:pStyle w:val="Prrafodelista"/>
        <w:widowControl/>
        <w:numPr>
          <w:ilvl w:val="0"/>
          <w:numId w:val="46"/>
        </w:numPr>
        <w:autoSpaceDE/>
        <w:autoSpaceDN/>
        <w:ind w:left="567" w:right="0"/>
        <w:contextualSpacing/>
        <w:rPr>
          <w:rFonts w:ascii="Times New Roman" w:hAnsi="Times New Roman" w:cs="Times New Roman"/>
          <w:sz w:val="24"/>
          <w:szCs w:val="24"/>
        </w:rPr>
      </w:pPr>
      <w:r w:rsidRPr="00C218FB">
        <w:rPr>
          <w:rFonts w:ascii="Times New Roman" w:hAnsi="Times New Roman" w:cs="Times New Roman"/>
          <w:b/>
          <w:sz w:val="24"/>
          <w:szCs w:val="24"/>
        </w:rPr>
        <w:t xml:space="preserve">Informe requerido al Maestro Mario Alejandro Carrillo Luvianos, Profesor Investigador del Área de Gestión Estatal y Sistema Político de la Universidad Autónoma Metropolitana- Unidad Xochimilco.- </w:t>
      </w:r>
      <w:r w:rsidRPr="00C218FB">
        <w:rPr>
          <w:rFonts w:ascii="Times New Roman" w:hAnsi="Times New Roman" w:cs="Times New Roman"/>
          <w:sz w:val="24"/>
          <w:szCs w:val="24"/>
        </w:rPr>
        <w:t>Informe rendido ante la Comisión Legislativa de Límites Territoriales del Estado de México y su Municipios, de la “LXI” Legislatura del Estado de México, en fecha 24 de mayo de 2023, consistente en el estudio Sociodemográfico  y/o Auto Adscripción, realizado en la zona del Diferendo Limítrofe, elaborado por personal de la Universidad Autónoma Metropolitana.</w:t>
      </w:r>
    </w:p>
    <w:p w:rsidR="000F603A" w:rsidRPr="00C218FB" w:rsidRDefault="000F603A" w:rsidP="00C218FB">
      <w:pPr>
        <w:pStyle w:val="Prrafodelista"/>
        <w:ind w:left="567"/>
        <w:rPr>
          <w:rFonts w:ascii="Times New Roman" w:hAnsi="Times New Roman" w:cs="Times New Roman"/>
          <w:sz w:val="24"/>
          <w:szCs w:val="24"/>
        </w:rPr>
      </w:pPr>
    </w:p>
    <w:p w:rsidR="000F603A" w:rsidRPr="00C218FB" w:rsidRDefault="000F603A" w:rsidP="00C218FB">
      <w:pPr>
        <w:pStyle w:val="Prrafodelista"/>
        <w:widowControl/>
        <w:numPr>
          <w:ilvl w:val="0"/>
          <w:numId w:val="46"/>
        </w:numPr>
        <w:autoSpaceDE/>
        <w:autoSpaceDN/>
        <w:ind w:left="567" w:right="0"/>
        <w:contextualSpacing/>
        <w:rPr>
          <w:rFonts w:ascii="Times New Roman" w:eastAsia="Aptos" w:hAnsi="Times New Roman" w:cs="Times New Roman"/>
          <w:sz w:val="24"/>
          <w:szCs w:val="24"/>
        </w:rPr>
      </w:pPr>
      <w:r w:rsidRPr="00C218FB">
        <w:rPr>
          <w:rFonts w:ascii="Times New Roman" w:eastAsia="Aptos" w:hAnsi="Times New Roman" w:cs="Times New Roman"/>
          <w:b/>
          <w:sz w:val="24"/>
          <w:szCs w:val="24"/>
        </w:rPr>
        <w:t xml:space="preserve">Informe requerido al Lic. Jesús de la Cruz Martínez, Delegado del Registro Agrario Nacional en el Estado de México, con la finalidad de librar instrucciones para librar contestación a la petición hecha por el Lic. Luis López Ibarra, Director Jurídico y Consultivo del H. Ayuntamiento de Ecatepec de Morelos. - </w:t>
      </w:r>
      <w:r w:rsidRPr="00C218FB">
        <w:rPr>
          <w:rFonts w:ascii="Times New Roman" w:eastAsia="Aptos" w:hAnsi="Times New Roman" w:cs="Times New Roman"/>
          <w:sz w:val="24"/>
          <w:szCs w:val="24"/>
        </w:rPr>
        <w:t>Informe presentado ante la Comisión Legislativa de Límites Territoriales del Estado de México y su Municipios, de la “LXI” Legislatura del Estado de México, en fecha 26 de mayo de 2023, mediante oficio suscrito por el Lic. Luis López Ibarra, Director Jurídico y Consultivo del H. Ayuntamiento de Ecatepec de Morelos, con el cual anexa el informe rendido por la Delegación del Registro Agrario Nacional del Estado de México.</w:t>
      </w:r>
    </w:p>
    <w:p w:rsidR="000F603A" w:rsidRPr="00C218FB" w:rsidRDefault="000F603A" w:rsidP="00C218FB">
      <w:pPr>
        <w:pStyle w:val="Prrafodelista"/>
        <w:ind w:left="567"/>
        <w:rPr>
          <w:rFonts w:ascii="Times New Roman" w:eastAsia="Aptos" w:hAnsi="Times New Roman" w:cs="Times New Roman"/>
          <w:sz w:val="24"/>
          <w:szCs w:val="24"/>
        </w:rPr>
      </w:pPr>
    </w:p>
    <w:p w:rsidR="000F603A" w:rsidRPr="00C218FB" w:rsidRDefault="000F603A" w:rsidP="00C218FB">
      <w:pPr>
        <w:pStyle w:val="Prrafodelista"/>
        <w:widowControl/>
        <w:numPr>
          <w:ilvl w:val="0"/>
          <w:numId w:val="46"/>
        </w:numPr>
        <w:autoSpaceDE/>
        <w:autoSpaceDN/>
        <w:ind w:left="567" w:right="0"/>
        <w:contextualSpacing/>
        <w:rPr>
          <w:rFonts w:ascii="Times New Roman" w:eastAsia="Aptos" w:hAnsi="Times New Roman" w:cs="Times New Roman"/>
          <w:sz w:val="24"/>
          <w:szCs w:val="24"/>
        </w:rPr>
      </w:pPr>
      <w:r w:rsidRPr="00C218FB">
        <w:rPr>
          <w:rFonts w:ascii="Times New Roman" w:eastAsia="Aptos" w:hAnsi="Times New Roman" w:cs="Times New Roman"/>
          <w:b/>
          <w:bCs/>
          <w:sz w:val="24"/>
          <w:szCs w:val="24"/>
        </w:rPr>
        <w:t>Informe emitido</w:t>
      </w:r>
      <w:r w:rsidRPr="00C218FB">
        <w:rPr>
          <w:rFonts w:ascii="Times New Roman" w:eastAsia="Aptos" w:hAnsi="Times New Roman" w:cs="Times New Roman"/>
          <w:b/>
          <w:sz w:val="24"/>
          <w:szCs w:val="24"/>
        </w:rPr>
        <w:t xml:space="preserve"> por la M.C.P. </w:t>
      </w:r>
      <w:r w:rsidRPr="00C218FB">
        <w:rPr>
          <w:rFonts w:ascii="Times New Roman" w:eastAsia="Aptos" w:hAnsi="Times New Roman" w:cs="Times New Roman"/>
          <w:b/>
          <w:bCs/>
          <w:sz w:val="24"/>
          <w:szCs w:val="24"/>
        </w:rPr>
        <w:t>Erika Trejo Flores, Registradora de la Propiedad y del Comercio de Ecatepec, Estado de México</w:t>
      </w:r>
      <w:r w:rsidRPr="00C218FB">
        <w:rPr>
          <w:rFonts w:ascii="Times New Roman" w:eastAsia="Aptos" w:hAnsi="Times New Roman" w:cs="Times New Roman"/>
          <w:b/>
          <w:sz w:val="24"/>
          <w:szCs w:val="24"/>
        </w:rPr>
        <w:t xml:space="preserve">, </w:t>
      </w:r>
      <w:r w:rsidRPr="00C218FB">
        <w:rPr>
          <w:rFonts w:ascii="Times New Roman" w:eastAsia="Aptos" w:hAnsi="Times New Roman" w:cs="Times New Roman"/>
          <w:sz w:val="24"/>
          <w:szCs w:val="24"/>
        </w:rPr>
        <w:t xml:space="preserve">de fecha 06 de junio de 2023 </w:t>
      </w:r>
      <w:r w:rsidRPr="00C218FB">
        <w:rPr>
          <w:rFonts w:ascii="Times New Roman" w:eastAsia="Aptos" w:hAnsi="Times New Roman" w:cs="Times New Roman"/>
          <w:b/>
          <w:sz w:val="24"/>
          <w:szCs w:val="24"/>
        </w:rPr>
        <w:t xml:space="preserve">- </w:t>
      </w:r>
      <w:r w:rsidRPr="00C218FB">
        <w:rPr>
          <w:rFonts w:ascii="Times New Roman" w:eastAsia="Aptos" w:hAnsi="Times New Roman" w:cs="Times New Roman"/>
          <w:sz w:val="24"/>
          <w:szCs w:val="24"/>
        </w:rPr>
        <w:t>Informe presentado ante la Comisión Legislativa de Límites Territoriales del Estado de México y sus Municipios, de la “LXI” Legislatura del Estado de México.</w:t>
      </w:r>
    </w:p>
    <w:p w:rsidR="000F603A" w:rsidRPr="00C218FB" w:rsidRDefault="000F603A" w:rsidP="00C218FB">
      <w:pPr>
        <w:pStyle w:val="Prrafodelista"/>
        <w:rPr>
          <w:rFonts w:ascii="Times New Roman" w:eastAsia="Aptos" w:hAnsi="Times New Roman" w:cs="Times New Roman"/>
          <w:sz w:val="24"/>
          <w:szCs w:val="24"/>
        </w:rPr>
      </w:pPr>
    </w:p>
    <w:p w:rsidR="000F603A" w:rsidRPr="00C218FB" w:rsidRDefault="000F603A" w:rsidP="00C218FB">
      <w:pPr>
        <w:pStyle w:val="Prrafodelista"/>
        <w:ind w:left="567"/>
        <w:rPr>
          <w:rFonts w:ascii="Times New Roman" w:eastAsia="Aptos" w:hAnsi="Times New Roman" w:cs="Times New Roman"/>
          <w:sz w:val="24"/>
          <w:szCs w:val="24"/>
        </w:rPr>
      </w:pPr>
    </w:p>
    <w:p w:rsidR="000F603A" w:rsidRPr="00C218FB" w:rsidRDefault="000F603A" w:rsidP="00C218FB">
      <w:pPr>
        <w:pStyle w:val="Prrafodelista"/>
        <w:widowControl/>
        <w:numPr>
          <w:ilvl w:val="0"/>
          <w:numId w:val="46"/>
        </w:numPr>
        <w:autoSpaceDE/>
        <w:autoSpaceDN/>
        <w:ind w:right="0"/>
        <w:contextualSpacing/>
        <w:rPr>
          <w:rFonts w:ascii="Times New Roman" w:eastAsia="Aptos" w:hAnsi="Times New Roman" w:cs="Times New Roman"/>
          <w:sz w:val="24"/>
          <w:szCs w:val="24"/>
        </w:rPr>
      </w:pPr>
      <w:r w:rsidRPr="00C218FB">
        <w:rPr>
          <w:rFonts w:ascii="Times New Roman" w:eastAsia="Aptos" w:hAnsi="Times New Roman" w:cs="Times New Roman"/>
          <w:sz w:val="24"/>
          <w:szCs w:val="24"/>
        </w:rPr>
        <w:t>Al amparo del artículo 51 de la Ley Reglamentaria de las Fracciones XXV y XXVI de la Constitución Política del Estado Libre y Soberano del Estado de México, el cual establece:</w:t>
      </w:r>
    </w:p>
    <w:p w:rsidR="000F603A" w:rsidRPr="00C218FB" w:rsidRDefault="000F603A" w:rsidP="00C218FB">
      <w:pPr>
        <w:pStyle w:val="Prrafodelista"/>
        <w:rPr>
          <w:rFonts w:ascii="Times New Roman" w:eastAsia="Aptos" w:hAnsi="Times New Roman" w:cs="Times New Roman"/>
          <w:sz w:val="24"/>
          <w:szCs w:val="24"/>
        </w:rPr>
      </w:pPr>
    </w:p>
    <w:p w:rsidR="000F603A" w:rsidRPr="00C218FB" w:rsidRDefault="000F603A" w:rsidP="00C218FB">
      <w:pPr>
        <w:pStyle w:val="Prrafodelista"/>
        <w:ind w:left="1416"/>
        <w:rPr>
          <w:rFonts w:ascii="Times New Roman" w:eastAsia="Aptos" w:hAnsi="Times New Roman" w:cs="Times New Roman"/>
          <w:i/>
          <w:iCs/>
          <w:sz w:val="24"/>
          <w:szCs w:val="24"/>
        </w:rPr>
      </w:pPr>
      <w:r w:rsidRPr="00C218FB">
        <w:rPr>
          <w:rFonts w:ascii="Times New Roman" w:eastAsia="Aptos" w:hAnsi="Times New Roman" w:cs="Times New Roman"/>
          <w:i/>
          <w:iCs/>
          <w:sz w:val="24"/>
          <w:szCs w:val="24"/>
        </w:rPr>
        <w:t xml:space="preserve">“Artículo 51. Para favorecer el desarrollo del procedimiento, la Comisión Legislativa podrá solicitar el apoyo e intervención de cualquiera de las dependencias de los Poderes del Estado.” </w:t>
      </w:r>
    </w:p>
    <w:p w:rsidR="000F603A" w:rsidRPr="00C218FB" w:rsidRDefault="000F603A" w:rsidP="00C218FB">
      <w:pPr>
        <w:pStyle w:val="Prrafodelista"/>
        <w:rPr>
          <w:rFonts w:ascii="Times New Roman" w:eastAsia="Aptos" w:hAnsi="Times New Roman" w:cs="Times New Roman"/>
          <w:sz w:val="24"/>
          <w:szCs w:val="24"/>
        </w:rPr>
      </w:pPr>
    </w:p>
    <w:p w:rsidR="000F603A" w:rsidRPr="00C218FB" w:rsidRDefault="000F603A" w:rsidP="00C218FB">
      <w:pPr>
        <w:spacing w:after="0" w:line="240" w:lineRule="auto"/>
        <w:jc w:val="both"/>
        <w:rPr>
          <w:rFonts w:ascii="Times New Roman" w:eastAsia="Aptos" w:hAnsi="Times New Roman" w:cs="Times New Roman"/>
          <w:sz w:val="24"/>
          <w:szCs w:val="24"/>
        </w:rPr>
      </w:pPr>
      <w:r w:rsidRPr="00C218FB">
        <w:rPr>
          <w:rFonts w:ascii="Times New Roman" w:eastAsia="Aptos" w:hAnsi="Times New Roman" w:cs="Times New Roman"/>
          <w:sz w:val="24"/>
          <w:szCs w:val="24"/>
        </w:rPr>
        <w:t>Se solicitó al Instituto de Información Geográfica del Estado de México (IGECEM), el 01 de julio de 2025, el apoyo interinstitucional de lo siguiente:</w:t>
      </w:r>
    </w:p>
    <w:p w:rsidR="000F603A" w:rsidRPr="00C218FB" w:rsidRDefault="000F603A" w:rsidP="00C218FB">
      <w:pPr>
        <w:pStyle w:val="Prrafodelista"/>
        <w:ind w:left="1416"/>
        <w:rPr>
          <w:rFonts w:ascii="Times New Roman" w:eastAsia="Aptos" w:hAnsi="Times New Roman" w:cs="Times New Roman"/>
          <w:i/>
          <w:iCs/>
          <w:sz w:val="24"/>
          <w:szCs w:val="24"/>
        </w:rPr>
      </w:pPr>
      <w:r w:rsidRPr="00C218FB">
        <w:rPr>
          <w:rFonts w:ascii="Times New Roman" w:eastAsia="Aptos" w:hAnsi="Times New Roman" w:cs="Times New Roman"/>
          <w:i/>
          <w:iCs/>
          <w:sz w:val="24"/>
          <w:szCs w:val="24"/>
        </w:rPr>
        <w:t xml:space="preserve">“Antecedentes Cartográficos: Se solicita atentamente se informe a esta Comisión si en los registros y acervos documentales del IGECEM existe fundamento legal y cartografía histórica o vigente que establezca el límite intermunicipal actual entre Acolman y Ecatepec, remitiendo, de ser posible, la documentación soporte. </w:t>
      </w:r>
    </w:p>
    <w:p w:rsidR="000F603A" w:rsidRPr="00C218FB" w:rsidRDefault="000F603A" w:rsidP="00C218FB">
      <w:pPr>
        <w:spacing w:after="0" w:line="240" w:lineRule="auto"/>
        <w:jc w:val="both"/>
        <w:rPr>
          <w:rFonts w:ascii="Times New Roman" w:eastAsia="Aptos" w:hAnsi="Times New Roman" w:cs="Times New Roman"/>
          <w:sz w:val="24"/>
          <w:szCs w:val="24"/>
        </w:rPr>
      </w:pPr>
    </w:p>
    <w:p w:rsidR="000F603A" w:rsidRPr="00C218FB" w:rsidRDefault="000F603A" w:rsidP="00C218FB">
      <w:pPr>
        <w:spacing w:after="0" w:line="240" w:lineRule="auto"/>
        <w:jc w:val="both"/>
        <w:rPr>
          <w:rFonts w:ascii="Times New Roman" w:eastAsia="Aptos" w:hAnsi="Times New Roman" w:cs="Times New Roman"/>
          <w:sz w:val="24"/>
          <w:szCs w:val="24"/>
        </w:rPr>
      </w:pPr>
      <w:r w:rsidRPr="00C218FB">
        <w:rPr>
          <w:rFonts w:ascii="Times New Roman" w:eastAsia="Aptos" w:hAnsi="Times New Roman" w:cs="Times New Roman"/>
          <w:sz w:val="24"/>
          <w:szCs w:val="24"/>
        </w:rPr>
        <w:t>En fecha 10 de julio de 2025, en respuesta el IGECEM emitió informe estableciendo la inexistencia de soporte cartográfico oficial.</w:t>
      </w:r>
    </w:p>
    <w:p w:rsidR="000F603A" w:rsidRPr="00C218FB" w:rsidRDefault="000F603A" w:rsidP="00C218FB">
      <w:pPr>
        <w:spacing w:after="0" w:line="240" w:lineRule="auto"/>
        <w:jc w:val="both"/>
        <w:rPr>
          <w:rFonts w:ascii="Times New Roman" w:eastAsia="Arial" w:hAnsi="Times New Roman" w:cs="Times New Roman"/>
          <w:b/>
          <w:sz w:val="24"/>
          <w:szCs w:val="24"/>
        </w:rPr>
      </w:pPr>
    </w:p>
    <w:p w:rsidR="000F603A" w:rsidRPr="00C218FB" w:rsidRDefault="000F603A" w:rsidP="00C218FB">
      <w:pPr>
        <w:spacing w:after="0" w:line="240" w:lineRule="auto"/>
        <w:jc w:val="both"/>
        <w:rPr>
          <w:rFonts w:ascii="Times New Roman" w:eastAsia="Arial" w:hAnsi="Times New Roman" w:cs="Times New Roman"/>
          <w:b/>
          <w:sz w:val="24"/>
          <w:szCs w:val="24"/>
        </w:rPr>
      </w:pPr>
      <w:r w:rsidRPr="00C218FB">
        <w:rPr>
          <w:rFonts w:ascii="Times New Roman" w:eastAsia="Arial" w:hAnsi="Times New Roman" w:cs="Times New Roman"/>
          <w:b/>
          <w:sz w:val="24"/>
          <w:szCs w:val="24"/>
        </w:rPr>
        <w:t>VALORACIÓN DE LOS INFORMES</w:t>
      </w:r>
    </w:p>
    <w:p w:rsidR="000F603A" w:rsidRPr="00C218FB" w:rsidRDefault="000F603A" w:rsidP="00C218FB">
      <w:pPr>
        <w:spacing w:after="0" w:line="240" w:lineRule="auto"/>
        <w:jc w:val="both"/>
        <w:rPr>
          <w:rFonts w:ascii="Times New Roman" w:eastAsia="Arial" w:hAnsi="Times New Roman" w:cs="Times New Roman"/>
          <w:sz w:val="24"/>
          <w:szCs w:val="24"/>
        </w:rPr>
      </w:pPr>
      <w:r w:rsidRPr="00C218FB">
        <w:rPr>
          <w:rFonts w:ascii="Times New Roman" w:eastAsia="Arial" w:hAnsi="Times New Roman" w:cs="Times New Roman"/>
          <w:sz w:val="24"/>
          <w:szCs w:val="24"/>
        </w:rPr>
        <w:t>En atención a los informes recabados por esta Comisión Legislativa de Límites Territoriales del Estado de México y sus Municipios, se procede a su análisis integral, con el objeto de determinar su alcance probatorio y su contribución para la resolución del Diferendo Limítrofe Intermunicipal entre los municipios de Acolman y Ecatepec de Morelos.</w:t>
      </w:r>
    </w:p>
    <w:p w:rsidR="000F603A" w:rsidRPr="00C218FB" w:rsidRDefault="000F603A" w:rsidP="00C218FB">
      <w:pPr>
        <w:spacing w:after="0" w:line="240" w:lineRule="auto"/>
        <w:jc w:val="both"/>
        <w:rPr>
          <w:rFonts w:ascii="Times New Roman" w:eastAsia="Arial" w:hAnsi="Times New Roman" w:cs="Times New Roman"/>
          <w:sz w:val="24"/>
          <w:szCs w:val="24"/>
        </w:rPr>
      </w:pPr>
    </w:p>
    <w:p w:rsidR="000F603A" w:rsidRPr="00C218FB" w:rsidRDefault="000F603A" w:rsidP="00C218FB">
      <w:pPr>
        <w:spacing w:after="0" w:line="240" w:lineRule="auto"/>
        <w:jc w:val="both"/>
        <w:rPr>
          <w:rFonts w:ascii="Times New Roman" w:eastAsia="Arial" w:hAnsi="Times New Roman" w:cs="Times New Roman"/>
          <w:sz w:val="24"/>
          <w:szCs w:val="24"/>
        </w:rPr>
      </w:pPr>
      <w:r w:rsidRPr="00C218FB">
        <w:rPr>
          <w:rFonts w:ascii="Times New Roman" w:eastAsia="Arial" w:hAnsi="Times New Roman" w:cs="Times New Roman"/>
          <w:sz w:val="24"/>
          <w:szCs w:val="24"/>
        </w:rPr>
        <w:t>En primer término, el informe rendido por el Profesor Investigador de la Universidad Autónoma Metropolitana, Unidad Xochimilco, consistente en el estudio sociodemográfico y/o de auto adscripción realizado en la zona del diferendo, constituye un elemento técnico relevante para identificar la dinámica social, identidad comunitaria y patrones de pertenencia territorial de la población asentada en el polígono en disputa. No obstante, si bien dicho estudio aporta elementos de contexto que permiten comprender la realidad social del territorio, su naturaleza no es determinante por sí misma para la definición jurídica de límites territoriales, en tanto que dicha determinación corresponde a criterios de carácter histórico, jurídico, técnico-cartográfico y administrativo.</w:t>
      </w:r>
    </w:p>
    <w:p w:rsidR="000F603A" w:rsidRPr="00C218FB" w:rsidRDefault="000F603A" w:rsidP="00C218FB">
      <w:pPr>
        <w:spacing w:after="0" w:line="240" w:lineRule="auto"/>
        <w:jc w:val="both"/>
        <w:rPr>
          <w:rFonts w:ascii="Times New Roman" w:eastAsia="Arial" w:hAnsi="Times New Roman" w:cs="Times New Roman"/>
          <w:sz w:val="24"/>
          <w:szCs w:val="24"/>
        </w:rPr>
      </w:pPr>
    </w:p>
    <w:p w:rsidR="000F603A" w:rsidRPr="00C218FB" w:rsidRDefault="000F603A" w:rsidP="00C218FB">
      <w:pPr>
        <w:spacing w:after="0" w:line="240" w:lineRule="auto"/>
        <w:jc w:val="both"/>
        <w:rPr>
          <w:rFonts w:ascii="Times New Roman" w:eastAsia="Arial" w:hAnsi="Times New Roman" w:cs="Times New Roman"/>
          <w:sz w:val="24"/>
          <w:szCs w:val="24"/>
        </w:rPr>
      </w:pPr>
      <w:r w:rsidRPr="00C218FB">
        <w:rPr>
          <w:rFonts w:ascii="Times New Roman" w:eastAsia="Arial" w:hAnsi="Times New Roman" w:cs="Times New Roman"/>
          <w:sz w:val="24"/>
          <w:szCs w:val="24"/>
        </w:rPr>
        <w:t>Por otra parte, el informe relacionado con el Registro Agrario Nacional, aportado a través del Ayuntamiento de Ecatepec de Morelos, reviste especial importancia al incorporar antecedentes documentales de carácter agrario que permiten advertir la evolución histórica del territorio, particularmente en lo relativo a la dotación, ampliación y reconocimiento de núcleos ejidales. Sin embargo, estos elementos deben ser valorados de manera sistemática y correlacionada con el resto del acervo probatorio, ya que si bien constituyen documentales públicas, su alcance se circunscribe al ámbito agrario y no necesariamente define, de manera directa, los límites político-administrativos municipales.</w:t>
      </w:r>
    </w:p>
    <w:p w:rsidR="000F603A" w:rsidRPr="00C218FB" w:rsidRDefault="000F603A" w:rsidP="00C218FB">
      <w:pPr>
        <w:spacing w:after="0" w:line="240" w:lineRule="auto"/>
        <w:jc w:val="both"/>
        <w:rPr>
          <w:rFonts w:ascii="Times New Roman" w:eastAsia="Arial" w:hAnsi="Times New Roman" w:cs="Times New Roman"/>
          <w:sz w:val="24"/>
          <w:szCs w:val="24"/>
        </w:rPr>
      </w:pPr>
    </w:p>
    <w:p w:rsidR="000F603A" w:rsidRPr="00C218FB" w:rsidRDefault="000F603A" w:rsidP="00C218FB">
      <w:pPr>
        <w:spacing w:after="0" w:line="240" w:lineRule="auto"/>
        <w:jc w:val="both"/>
        <w:rPr>
          <w:rFonts w:ascii="Times New Roman" w:eastAsia="Arial" w:hAnsi="Times New Roman" w:cs="Times New Roman"/>
          <w:sz w:val="24"/>
          <w:szCs w:val="24"/>
        </w:rPr>
      </w:pPr>
      <w:r w:rsidRPr="00C218FB">
        <w:rPr>
          <w:rFonts w:ascii="Times New Roman" w:eastAsia="Arial" w:hAnsi="Times New Roman" w:cs="Times New Roman"/>
          <w:sz w:val="24"/>
          <w:szCs w:val="24"/>
        </w:rPr>
        <w:t>En cuanto al informe emitido por la Registradora de la Propiedad y del Comercio de Ecatepec, Estado de México, éste aporta información relevante respecto de los actos registrales vinculados al territorio en controversia, lo que permite identificar la existencia de inscripciones, actos jurídicos y antecedentes de dominio relacionados con el polígono en disputa. No obstante, al igual que en el caso anterior, dichos elementos deben valorarse como indicios que contribuyen a la reconstrucción del contexto territorial, sin que por sí mismos resulten concluyentes para determinar la delimitación intermunicipal.</w:t>
      </w:r>
    </w:p>
    <w:p w:rsidR="000F603A" w:rsidRPr="00C218FB" w:rsidRDefault="000F603A" w:rsidP="00C218FB">
      <w:pPr>
        <w:spacing w:after="0" w:line="240" w:lineRule="auto"/>
        <w:jc w:val="both"/>
        <w:rPr>
          <w:rFonts w:ascii="Times New Roman" w:eastAsia="Arial" w:hAnsi="Times New Roman" w:cs="Times New Roman"/>
          <w:sz w:val="24"/>
          <w:szCs w:val="24"/>
        </w:rPr>
      </w:pPr>
    </w:p>
    <w:p w:rsidR="000F603A" w:rsidRPr="00C218FB" w:rsidRDefault="000F603A" w:rsidP="00C218FB">
      <w:pPr>
        <w:spacing w:after="0" w:line="240" w:lineRule="auto"/>
        <w:jc w:val="both"/>
        <w:rPr>
          <w:rFonts w:ascii="Times New Roman" w:eastAsia="Arial" w:hAnsi="Times New Roman" w:cs="Times New Roman"/>
          <w:sz w:val="24"/>
          <w:szCs w:val="24"/>
        </w:rPr>
      </w:pPr>
      <w:r w:rsidRPr="00C218FB">
        <w:rPr>
          <w:rFonts w:ascii="Times New Roman" w:eastAsia="Arial" w:hAnsi="Times New Roman" w:cs="Times New Roman"/>
          <w:sz w:val="24"/>
          <w:szCs w:val="24"/>
        </w:rPr>
        <w:t>Finalmente, resulta particularmente relevante el informe emitido por el Instituto de Información e Investigación Geográfica, Estadística y Catastral del Estado de México (IGECEM), en el que se señala la inexistencia de soporte cartográfico oficial que establezca de manera precisa el límite intermunicipal entre Acolman y Ecatepec de Morelos. Este elemento adquiere un valor probatorio significativo, en tanto confirma la existencia de una indefinición técnica y jurídica del límite territorial, lo cual justifica la intervención de esta Soberanía para fijar de manera clara y definitiva la delimitación correspondiente, en ejercicio de sus facultades constitucionales.</w:t>
      </w:r>
    </w:p>
    <w:p w:rsidR="000F603A" w:rsidRPr="00C218FB" w:rsidRDefault="000F603A" w:rsidP="00C218FB">
      <w:pPr>
        <w:spacing w:after="0" w:line="240" w:lineRule="auto"/>
        <w:jc w:val="both"/>
        <w:rPr>
          <w:rFonts w:ascii="Times New Roman" w:eastAsia="Arial" w:hAnsi="Times New Roman" w:cs="Times New Roman"/>
          <w:sz w:val="24"/>
          <w:szCs w:val="24"/>
        </w:rPr>
      </w:pPr>
    </w:p>
    <w:p w:rsidR="000F603A" w:rsidRPr="00C218FB" w:rsidRDefault="000F603A" w:rsidP="00C218FB">
      <w:pPr>
        <w:spacing w:after="0" w:line="240" w:lineRule="auto"/>
        <w:jc w:val="both"/>
        <w:rPr>
          <w:rFonts w:ascii="Times New Roman" w:eastAsia="Arial" w:hAnsi="Times New Roman" w:cs="Times New Roman"/>
          <w:sz w:val="24"/>
          <w:szCs w:val="24"/>
        </w:rPr>
      </w:pPr>
      <w:r w:rsidRPr="00C218FB">
        <w:rPr>
          <w:rFonts w:ascii="Times New Roman" w:eastAsia="Arial" w:hAnsi="Times New Roman" w:cs="Times New Roman"/>
          <w:sz w:val="24"/>
          <w:szCs w:val="24"/>
        </w:rPr>
        <w:t>En consecuencia, del análisis conjunto de los informes recabados, esta Comisión concluye que los mismos, en su carácter de elementos técnicos, documentales y contextuales, no resultan por sí solos determinantes, pero sí constituyen insumos relevantes que, valorados de manera integral y adminiculada con el resto de las pruebas aportadas en el procedimiento, permiten generar convicción respecto de la necesidad de definir con precisión el límite territorial en la zona materia del diferendo, atendiendo a criterios de certeza jurídica, funcionalidad administrativa y realidad territorial.</w:t>
      </w:r>
    </w:p>
    <w:p w:rsidR="000F603A" w:rsidRPr="00C218FB" w:rsidRDefault="000F603A" w:rsidP="00C218FB">
      <w:pPr>
        <w:spacing w:after="0" w:line="240" w:lineRule="auto"/>
        <w:jc w:val="both"/>
        <w:rPr>
          <w:rFonts w:ascii="Times New Roman" w:eastAsia="Arial" w:hAnsi="Times New Roman" w:cs="Times New Roman"/>
          <w:b/>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DÉCIMO CUARTO</w:t>
      </w:r>
      <w:r w:rsidRPr="00C218FB">
        <w:rPr>
          <w:rFonts w:ascii="Times New Roman" w:hAnsi="Times New Roman" w:cs="Times New Roman"/>
          <w:sz w:val="24"/>
          <w:szCs w:val="24"/>
        </w:rPr>
        <w:t xml:space="preserve">. Con fundamento en lo dispuesto en el artículo 124 de la Constitución Política de los Estados Unidos Mexicanos, 61, fracción XXV y 112 de la Constitución Política del Estado Libre y Soberano de México, 13 A, fracción XXV, inciso a) del Reglamento del Poder Legislativo del Estado Libre y Soberano de México, en relación con los artículos 1, 2, 3, fracción IV, 4, 6, 40, 41, 42, 45 fracción IV, 46, 47, 48 y 50 de la Ley Reglamentaria, la Comisión Legislativa de Límites Territoriales del Estado de México y sus Municipios de la “LXI” Legislatura del Estado de México, en fechas </w:t>
      </w:r>
      <w:r w:rsidRPr="00C218FB">
        <w:rPr>
          <w:rFonts w:ascii="Times New Roman" w:eastAsia="Yu Mincho" w:hAnsi="Times New Roman" w:cs="Times New Roman"/>
          <w:sz w:val="24"/>
          <w:szCs w:val="24"/>
          <w:lang w:val="es-ES"/>
        </w:rPr>
        <w:t>25 de noviembre de 2022</w:t>
      </w:r>
      <w:r w:rsidRPr="00C218FB">
        <w:rPr>
          <w:rFonts w:ascii="Times New Roman" w:hAnsi="Times New Roman" w:cs="Times New Roman"/>
          <w:sz w:val="24"/>
          <w:szCs w:val="24"/>
        </w:rPr>
        <w:t xml:space="preserve">, </w:t>
      </w:r>
      <w:r w:rsidRPr="00C218FB">
        <w:rPr>
          <w:rFonts w:ascii="Times New Roman" w:eastAsia="Times New Roman" w:hAnsi="Times New Roman" w:cs="Times New Roman"/>
          <w:sz w:val="24"/>
          <w:szCs w:val="24"/>
          <w:lang w:eastAsia="es-MX"/>
        </w:rPr>
        <w:t>solicitó</w:t>
      </w:r>
      <w:r w:rsidRPr="00C218FB">
        <w:rPr>
          <w:rFonts w:ascii="Times New Roman" w:hAnsi="Times New Roman" w:cs="Times New Roman"/>
          <w:sz w:val="24"/>
          <w:szCs w:val="24"/>
        </w:rPr>
        <w:t xml:space="preserve"> a la Comisión de Límites del Gobierno del Estado de México el dictamen técnico relacionado con el diferendo planteado</w:t>
      </w:r>
      <w:r w:rsidRPr="00C218FB">
        <w:rPr>
          <w:rFonts w:ascii="Times New Roman" w:eastAsia="Times New Roman" w:hAnsi="Times New Roman" w:cs="Times New Roman"/>
          <w:sz w:val="24"/>
          <w:szCs w:val="24"/>
          <w:lang w:eastAsia="es-MX"/>
        </w:rPr>
        <w:t xml:space="preserve">, </w:t>
      </w:r>
      <w:r w:rsidRPr="00C218FB">
        <w:rPr>
          <w:rFonts w:ascii="Times New Roman" w:hAnsi="Times New Roman" w:cs="Times New Roman"/>
          <w:sz w:val="24"/>
          <w:szCs w:val="24"/>
        </w:rPr>
        <w:t>en su carácter de órgano técnico y de consulta del Poder Ejecutivo del Estado de México, en materia de conservación y demarcación de los límites del Estado y sus municipios, a fin de que se pudiera contar con elementos de convicción que permitan esclarecer el asunto planteado, mismo que fue recibido el día 15 de septiembre de 2023.</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 xml:space="preserve">Del estudio técnico emitido por la Comisión de Límites del Gobierno del Estado de México, se observa, dentro de sus conclusiones generales lo siguiente: </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ind w:left="851" w:right="918"/>
        <w:jc w:val="both"/>
        <w:rPr>
          <w:rFonts w:ascii="Times New Roman" w:hAnsi="Times New Roman" w:cs="Times New Roman"/>
          <w:i/>
          <w:sz w:val="24"/>
          <w:szCs w:val="24"/>
        </w:rPr>
      </w:pPr>
      <w:r w:rsidRPr="00C218FB">
        <w:rPr>
          <w:rFonts w:ascii="Times New Roman" w:hAnsi="Times New Roman" w:cs="Times New Roman"/>
          <w:i/>
          <w:sz w:val="24"/>
          <w:szCs w:val="24"/>
        </w:rPr>
        <w:t>“(…)</w:t>
      </w:r>
    </w:p>
    <w:p w:rsidR="000F603A" w:rsidRPr="00C218FB" w:rsidRDefault="000F603A" w:rsidP="00C218FB">
      <w:pPr>
        <w:spacing w:after="0" w:line="240" w:lineRule="auto"/>
        <w:ind w:left="851" w:right="918"/>
        <w:jc w:val="both"/>
        <w:rPr>
          <w:rFonts w:ascii="Times New Roman" w:hAnsi="Times New Roman" w:cs="Times New Roman"/>
          <w:i/>
          <w:sz w:val="24"/>
          <w:szCs w:val="24"/>
        </w:rPr>
      </w:pPr>
      <w:r w:rsidRPr="00C218FB">
        <w:rPr>
          <w:rFonts w:ascii="Times New Roman" w:hAnsi="Times New Roman" w:cs="Times New Roman"/>
          <w:b/>
          <w:bCs/>
          <w:i/>
          <w:sz w:val="24"/>
          <w:szCs w:val="24"/>
        </w:rPr>
        <w:t>PRIMERO:</w:t>
      </w:r>
      <w:r w:rsidRPr="00C218FB">
        <w:rPr>
          <w:rFonts w:ascii="Times New Roman" w:hAnsi="Times New Roman" w:cs="Times New Roman"/>
          <w:i/>
          <w:sz w:val="24"/>
          <w:szCs w:val="24"/>
        </w:rPr>
        <w:t xml:space="preserve"> Conforme a los resultados que arrojan las documentales consultadas y de una adminiculación de las mismas, históricamente la Hacienda de Tepexpan y su anexa Ixtapan, territorialmente pertenecen al municipio de Acolman. </w:t>
      </w:r>
    </w:p>
    <w:p w:rsidR="000F603A" w:rsidRPr="00C218FB" w:rsidRDefault="000F603A" w:rsidP="00C218FB">
      <w:pPr>
        <w:spacing w:after="0" w:line="240" w:lineRule="auto"/>
        <w:ind w:left="851" w:right="918"/>
        <w:jc w:val="both"/>
        <w:rPr>
          <w:rFonts w:ascii="Times New Roman" w:hAnsi="Times New Roman" w:cs="Times New Roman"/>
          <w:i/>
          <w:sz w:val="24"/>
          <w:szCs w:val="24"/>
        </w:rPr>
      </w:pPr>
    </w:p>
    <w:p w:rsidR="000F603A" w:rsidRPr="00C218FB" w:rsidRDefault="000F603A" w:rsidP="00C218FB">
      <w:pPr>
        <w:spacing w:after="0" w:line="240" w:lineRule="auto"/>
        <w:ind w:left="851" w:right="918"/>
        <w:jc w:val="both"/>
        <w:rPr>
          <w:rFonts w:ascii="Times New Roman" w:hAnsi="Times New Roman" w:cs="Times New Roman"/>
          <w:i/>
          <w:sz w:val="24"/>
          <w:szCs w:val="24"/>
        </w:rPr>
      </w:pPr>
      <w:r w:rsidRPr="00C218FB">
        <w:rPr>
          <w:rFonts w:ascii="Times New Roman" w:hAnsi="Times New Roman" w:cs="Times New Roman"/>
          <w:b/>
          <w:bCs/>
          <w:i/>
          <w:sz w:val="24"/>
          <w:szCs w:val="24"/>
        </w:rPr>
        <w:t>SEGUNDO:</w:t>
      </w:r>
      <w:r w:rsidRPr="00C218FB">
        <w:rPr>
          <w:rFonts w:ascii="Times New Roman" w:hAnsi="Times New Roman" w:cs="Times New Roman"/>
          <w:i/>
          <w:sz w:val="24"/>
          <w:szCs w:val="24"/>
        </w:rPr>
        <w:t xml:space="preserve"> Se desprende de las documentales atingentes al Plan del Centro de Población Estratégico de Ecatepec de Morelos que las áreas objeto del diferencio, históricamente, no se encuentran dentro del territorio del municipio de Ecatepec de Morelos, Estado de México. </w:t>
      </w:r>
    </w:p>
    <w:p w:rsidR="000F603A" w:rsidRPr="00C218FB" w:rsidRDefault="000F603A" w:rsidP="00C218FB">
      <w:pPr>
        <w:spacing w:after="0" w:line="240" w:lineRule="auto"/>
        <w:ind w:left="851" w:right="918"/>
        <w:jc w:val="both"/>
        <w:rPr>
          <w:rFonts w:ascii="Times New Roman" w:hAnsi="Times New Roman" w:cs="Times New Roman"/>
          <w:i/>
          <w:sz w:val="24"/>
          <w:szCs w:val="24"/>
        </w:rPr>
      </w:pPr>
    </w:p>
    <w:p w:rsidR="000F603A" w:rsidRPr="00C218FB" w:rsidRDefault="000F603A" w:rsidP="00C218FB">
      <w:pPr>
        <w:spacing w:after="0" w:line="240" w:lineRule="auto"/>
        <w:ind w:left="851" w:right="918"/>
        <w:jc w:val="both"/>
        <w:rPr>
          <w:rFonts w:ascii="Times New Roman" w:hAnsi="Times New Roman" w:cs="Times New Roman"/>
          <w:i/>
          <w:sz w:val="24"/>
          <w:szCs w:val="24"/>
        </w:rPr>
      </w:pPr>
      <w:r w:rsidRPr="00C218FB">
        <w:rPr>
          <w:rFonts w:ascii="Times New Roman" w:hAnsi="Times New Roman" w:cs="Times New Roman"/>
          <w:b/>
          <w:bCs/>
          <w:i/>
          <w:sz w:val="24"/>
          <w:szCs w:val="24"/>
        </w:rPr>
        <w:t>TERCERO:</w:t>
      </w:r>
      <w:r w:rsidRPr="00C218FB">
        <w:rPr>
          <w:rFonts w:ascii="Times New Roman" w:hAnsi="Times New Roman" w:cs="Times New Roman"/>
          <w:i/>
          <w:sz w:val="24"/>
          <w:szCs w:val="24"/>
        </w:rPr>
        <w:t xml:space="preserve"> El territorio objeto del diferencio en que se actúa, es decir, las colonias Prados San Juan, Guerrero, Pirules, Lázaro Cárdenas y la Laguna, así como el Ejido de Santa María Chiconautla, y el cual ha sufrido expropiaciones por causa de utilidad pública, tales como: el Centro Preventivo de Readaptación Social, las Instalaciones de Petróleos Mexicanos (PEMEX) y la Termoeléctrica de la Comisión Federal de Electricidad (CFE), históricamente y conforme a los límites oficialmente reconocidos por el Ejecutivo, se encuentran en territorio del municipio de Acolman.</w:t>
      </w:r>
    </w:p>
    <w:p w:rsidR="000F603A" w:rsidRPr="00C218FB" w:rsidRDefault="000F603A" w:rsidP="00C218FB">
      <w:pPr>
        <w:spacing w:after="0" w:line="240" w:lineRule="auto"/>
        <w:ind w:left="851" w:right="918"/>
        <w:jc w:val="both"/>
        <w:rPr>
          <w:rFonts w:ascii="Times New Roman" w:hAnsi="Times New Roman" w:cs="Times New Roman"/>
          <w:i/>
          <w:sz w:val="24"/>
          <w:szCs w:val="24"/>
        </w:rPr>
      </w:pPr>
      <w:r w:rsidRPr="00C218FB">
        <w:rPr>
          <w:rFonts w:ascii="Times New Roman" w:hAnsi="Times New Roman" w:cs="Times New Roman"/>
          <w:i/>
          <w:sz w:val="24"/>
          <w:szCs w:val="24"/>
        </w:rPr>
        <w:t>(…)”</w:t>
      </w:r>
    </w:p>
    <w:p w:rsidR="000F603A" w:rsidRPr="00C218FB" w:rsidRDefault="000F603A" w:rsidP="00C218FB">
      <w:pPr>
        <w:spacing w:after="0" w:line="240" w:lineRule="auto"/>
        <w:ind w:right="616"/>
        <w:jc w:val="both"/>
        <w:rPr>
          <w:rFonts w:ascii="Times New Roman" w:hAnsi="Times New Roman" w:cs="Times New Roman"/>
          <w:sz w:val="24"/>
          <w:szCs w:val="24"/>
        </w:rPr>
      </w:pPr>
    </w:p>
    <w:p w:rsidR="000F603A" w:rsidRPr="00C218FB" w:rsidRDefault="000F603A" w:rsidP="00C218FB">
      <w:pPr>
        <w:spacing w:after="0" w:line="240" w:lineRule="auto"/>
        <w:ind w:right="67"/>
        <w:jc w:val="both"/>
        <w:rPr>
          <w:rFonts w:ascii="Times New Roman" w:hAnsi="Times New Roman" w:cs="Times New Roman"/>
          <w:b/>
          <w:sz w:val="24"/>
          <w:szCs w:val="24"/>
        </w:rPr>
      </w:pPr>
      <w:r w:rsidRPr="00C218FB">
        <w:rPr>
          <w:rFonts w:ascii="Times New Roman" w:hAnsi="Times New Roman" w:cs="Times New Roman"/>
          <w:b/>
          <w:sz w:val="24"/>
          <w:szCs w:val="24"/>
        </w:rPr>
        <w:t>VALORACIÓN DEL ESTUDIO TÉCNICO</w:t>
      </w:r>
    </w:p>
    <w:p w:rsidR="000F603A" w:rsidRPr="00C218FB" w:rsidRDefault="000F603A" w:rsidP="00C218FB">
      <w:pPr>
        <w:spacing w:after="0" w:line="240" w:lineRule="auto"/>
        <w:ind w:right="67"/>
        <w:jc w:val="both"/>
        <w:rPr>
          <w:rFonts w:ascii="Times New Roman" w:hAnsi="Times New Roman" w:cs="Times New Roman"/>
          <w:sz w:val="24"/>
          <w:szCs w:val="24"/>
        </w:rPr>
      </w:pPr>
      <w:r w:rsidRPr="00C218FB">
        <w:rPr>
          <w:rFonts w:ascii="Times New Roman" w:hAnsi="Times New Roman" w:cs="Times New Roman"/>
          <w:sz w:val="24"/>
          <w:szCs w:val="24"/>
        </w:rPr>
        <w:t>En atención al dictamen técnico emitido por la Comisión de Límites del Gobierno del Estado de México, solicitado por esta Comisión Legislativa, se procede a su análisis y valoración.</w:t>
      </w:r>
    </w:p>
    <w:p w:rsidR="000F603A" w:rsidRPr="00C218FB" w:rsidRDefault="000F603A" w:rsidP="00C218FB">
      <w:pPr>
        <w:spacing w:after="0" w:line="240" w:lineRule="auto"/>
        <w:ind w:right="67"/>
        <w:jc w:val="both"/>
        <w:rPr>
          <w:rFonts w:ascii="Times New Roman" w:hAnsi="Times New Roman" w:cs="Times New Roman"/>
          <w:sz w:val="24"/>
          <w:szCs w:val="24"/>
        </w:rPr>
      </w:pPr>
    </w:p>
    <w:p w:rsidR="000F603A" w:rsidRPr="00C218FB" w:rsidRDefault="000F603A" w:rsidP="00C218FB">
      <w:pPr>
        <w:spacing w:after="0" w:line="240" w:lineRule="auto"/>
        <w:ind w:right="67"/>
        <w:jc w:val="both"/>
        <w:rPr>
          <w:rFonts w:ascii="Times New Roman" w:hAnsi="Times New Roman" w:cs="Times New Roman"/>
          <w:sz w:val="24"/>
          <w:szCs w:val="24"/>
        </w:rPr>
      </w:pPr>
      <w:r w:rsidRPr="00C218FB">
        <w:rPr>
          <w:rFonts w:ascii="Times New Roman" w:hAnsi="Times New Roman" w:cs="Times New Roman"/>
          <w:sz w:val="24"/>
          <w:szCs w:val="24"/>
        </w:rPr>
        <w:t>El referido estudio técnico constituye un elemento probatorio relevante, al haber sido emitido por un órgano especializado en materia de delimitación territorial, del cual se desprende que, conforme a la adminiculación de documentales históricas, agrarias y de planeación urbana, el polígono en controversia ha sido históricamente vinculado al municipio de Acolman.</w:t>
      </w:r>
    </w:p>
    <w:p w:rsidR="000F603A" w:rsidRPr="00C218FB" w:rsidRDefault="000F603A" w:rsidP="00C218FB">
      <w:pPr>
        <w:spacing w:after="0" w:line="240" w:lineRule="auto"/>
        <w:ind w:right="67"/>
        <w:jc w:val="both"/>
        <w:rPr>
          <w:rFonts w:ascii="Times New Roman" w:hAnsi="Times New Roman" w:cs="Times New Roman"/>
          <w:sz w:val="24"/>
          <w:szCs w:val="24"/>
        </w:rPr>
      </w:pPr>
    </w:p>
    <w:p w:rsidR="000F603A" w:rsidRPr="00C218FB" w:rsidRDefault="000F603A" w:rsidP="00C218FB">
      <w:pPr>
        <w:spacing w:after="0" w:line="240" w:lineRule="auto"/>
        <w:ind w:right="67"/>
        <w:jc w:val="both"/>
        <w:rPr>
          <w:rFonts w:ascii="Times New Roman" w:hAnsi="Times New Roman" w:cs="Times New Roman"/>
          <w:sz w:val="24"/>
          <w:szCs w:val="24"/>
        </w:rPr>
      </w:pPr>
      <w:r w:rsidRPr="00C218FB">
        <w:rPr>
          <w:rFonts w:ascii="Times New Roman" w:hAnsi="Times New Roman" w:cs="Times New Roman"/>
          <w:sz w:val="24"/>
          <w:szCs w:val="24"/>
        </w:rPr>
        <w:t xml:space="preserve">No obstante, esta Comisión advierte que la resolución del diferendo limítrofe no puede sustentarse exclusivamente en criterios históricos, sino que debe atender también a la realidad actual del </w:t>
      </w:r>
      <w:r w:rsidRPr="00C218FB">
        <w:rPr>
          <w:rFonts w:ascii="Times New Roman" w:hAnsi="Times New Roman" w:cs="Times New Roman"/>
          <w:sz w:val="24"/>
          <w:szCs w:val="24"/>
        </w:rPr>
        <w:lastRenderedPageBreak/>
        <w:t>territorio, particularmente a los actos de gobierno, la prestación efectiva de servicios públicos y la administración material de las zonas en disputa, elementos que inciden directamente en la certeza jurídica y en la gobernabilidad.</w:t>
      </w:r>
    </w:p>
    <w:p w:rsidR="000F603A" w:rsidRPr="00C218FB" w:rsidRDefault="000F603A" w:rsidP="00C218FB">
      <w:pPr>
        <w:spacing w:after="0" w:line="240" w:lineRule="auto"/>
        <w:ind w:right="67"/>
        <w:jc w:val="both"/>
        <w:rPr>
          <w:rFonts w:ascii="Times New Roman" w:hAnsi="Times New Roman" w:cs="Times New Roman"/>
          <w:sz w:val="24"/>
          <w:szCs w:val="24"/>
        </w:rPr>
      </w:pPr>
    </w:p>
    <w:p w:rsidR="000F603A" w:rsidRPr="00C218FB" w:rsidRDefault="000F603A" w:rsidP="00C218FB">
      <w:pPr>
        <w:spacing w:after="0" w:line="240" w:lineRule="auto"/>
        <w:ind w:right="67"/>
        <w:jc w:val="both"/>
        <w:rPr>
          <w:rFonts w:ascii="Times New Roman" w:hAnsi="Times New Roman" w:cs="Times New Roman"/>
          <w:sz w:val="24"/>
          <w:szCs w:val="24"/>
        </w:rPr>
      </w:pPr>
      <w:r w:rsidRPr="00C218FB">
        <w:rPr>
          <w:rFonts w:ascii="Times New Roman" w:hAnsi="Times New Roman" w:cs="Times New Roman"/>
          <w:sz w:val="24"/>
          <w:szCs w:val="24"/>
        </w:rPr>
        <w:t>En ese sentido, del análisis conjunto del expediente se acredita que, si bien existen antecedentes que vinculan territorialmente el polígono con el municipio de Acolman, también se encuentra plenamente demostrado que el municipio de Ecatepec de Morelos ha ejercido de manera continua actos de autoridad y prestación de servicios públicos en una parte significativa del territorio en conflicto, mientras que el municipio de Acolman ha mantenido presencia administrativa y recaudatoria en otra porción del mismo.</w:t>
      </w:r>
    </w:p>
    <w:p w:rsidR="000F603A" w:rsidRPr="00C218FB" w:rsidRDefault="000F603A" w:rsidP="00C218FB">
      <w:pPr>
        <w:spacing w:after="0" w:line="240" w:lineRule="auto"/>
        <w:ind w:right="67"/>
        <w:jc w:val="both"/>
        <w:rPr>
          <w:rFonts w:ascii="Times New Roman" w:hAnsi="Times New Roman" w:cs="Times New Roman"/>
          <w:sz w:val="24"/>
          <w:szCs w:val="24"/>
        </w:rPr>
      </w:pPr>
    </w:p>
    <w:p w:rsidR="000F603A" w:rsidRPr="00C218FB" w:rsidRDefault="000F603A" w:rsidP="00C218FB">
      <w:pPr>
        <w:spacing w:after="0" w:line="240" w:lineRule="auto"/>
        <w:ind w:right="67"/>
        <w:jc w:val="both"/>
        <w:rPr>
          <w:rFonts w:ascii="Times New Roman" w:hAnsi="Times New Roman" w:cs="Times New Roman"/>
          <w:sz w:val="24"/>
          <w:szCs w:val="24"/>
        </w:rPr>
      </w:pPr>
      <w:r w:rsidRPr="00C218FB">
        <w:rPr>
          <w:rFonts w:ascii="Times New Roman" w:hAnsi="Times New Roman" w:cs="Times New Roman"/>
          <w:sz w:val="24"/>
          <w:szCs w:val="24"/>
        </w:rPr>
        <w:t>Por ello, el dictamen técnico se valora como un elemento que confirma los antecedentes históricos del territorio, pero que, adminiculado con los demás medios de prueba, permite a esta Comisión adoptar una determinación que reconoce tanto dichos antecedentes como la realidad administrativa vigente.</w:t>
      </w:r>
    </w:p>
    <w:p w:rsidR="000F603A" w:rsidRPr="00C218FB" w:rsidRDefault="000F603A" w:rsidP="00C218FB">
      <w:pPr>
        <w:spacing w:after="0" w:line="240" w:lineRule="auto"/>
        <w:ind w:right="67"/>
        <w:jc w:val="both"/>
        <w:rPr>
          <w:rFonts w:ascii="Times New Roman" w:hAnsi="Times New Roman" w:cs="Times New Roman"/>
          <w:sz w:val="24"/>
          <w:szCs w:val="24"/>
        </w:rPr>
      </w:pPr>
    </w:p>
    <w:p w:rsidR="000F603A" w:rsidRPr="00C218FB" w:rsidRDefault="000F603A" w:rsidP="00C218FB">
      <w:pPr>
        <w:spacing w:after="0" w:line="240" w:lineRule="auto"/>
        <w:ind w:right="67"/>
        <w:jc w:val="both"/>
        <w:rPr>
          <w:rFonts w:ascii="Times New Roman" w:hAnsi="Times New Roman" w:cs="Times New Roman"/>
          <w:sz w:val="24"/>
          <w:szCs w:val="24"/>
        </w:rPr>
      </w:pPr>
      <w:r w:rsidRPr="00C218FB">
        <w:rPr>
          <w:rFonts w:ascii="Times New Roman" w:hAnsi="Times New Roman" w:cs="Times New Roman"/>
          <w:sz w:val="24"/>
          <w:szCs w:val="24"/>
        </w:rPr>
        <w:t>En consecuencia, el estudio técnico coadyuva a sustentar la decisión de esta Legislatura en el sentido de delimitar el polígono en controversia de manera diferenciada, asignando a cada municipio aquellas áreas en las que se encuentra acreditado el ejercicio efectivo de funciones públicas, con lo cual se garantiza la certeza jurídica, la adecuada prestación de servicios y la estabilidad territorial, en congruencia con los criterios de equidad, funcionalidad y paz social que rigen la resolución del presente diferendo.</w:t>
      </w:r>
    </w:p>
    <w:p w:rsidR="000F603A" w:rsidRPr="00C218FB" w:rsidRDefault="000F603A" w:rsidP="00C218FB">
      <w:pPr>
        <w:spacing w:after="0" w:line="240" w:lineRule="auto"/>
        <w:ind w:right="616"/>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bCs/>
          <w:sz w:val="24"/>
          <w:szCs w:val="24"/>
        </w:rPr>
        <w:t>DÉCIMO QUINTO.</w:t>
      </w:r>
      <w:r w:rsidRPr="00C218FB">
        <w:rPr>
          <w:rFonts w:ascii="Times New Roman" w:hAnsi="Times New Roman" w:cs="Times New Roman"/>
          <w:sz w:val="24"/>
          <w:szCs w:val="24"/>
        </w:rPr>
        <w:t xml:space="preserve"> </w:t>
      </w:r>
      <w:r w:rsidRPr="00C218FB">
        <w:rPr>
          <w:rFonts w:ascii="Times New Roman" w:eastAsia="Times New Roman" w:hAnsi="Times New Roman" w:cs="Times New Roman"/>
          <w:sz w:val="24"/>
          <w:szCs w:val="24"/>
          <w:lang w:eastAsia="es-MX"/>
        </w:rPr>
        <w:t xml:space="preserve">Con fundamento en lo previsto por los artículos 124 de la Constitución Política de los Estados Unidos Mexicanos, 61, fracción XXV y 112 de la Constitución Política del Estado Libre y Soberano de México, 13 A, fracción XXV, inciso a) del Reglamento del Poder Legislativo del Estado Libre y Soberano de México, en relación con los artículos 1, 2, 3, fracción IV, 4, 6, 40, 41, 42, 45 fracción IV, 46, 47, 50, 51, 52, 53 y 54 de la Ley Reglamentaria, la Comisión Legislativa de </w:t>
      </w:r>
      <w:r w:rsidRPr="00C218FB">
        <w:rPr>
          <w:rFonts w:ascii="Times New Roman" w:hAnsi="Times New Roman" w:cs="Times New Roman"/>
          <w:bCs/>
          <w:sz w:val="24"/>
          <w:szCs w:val="24"/>
        </w:rPr>
        <w:t xml:space="preserve">Límites Territoriales del Estado de México y sus Municipios de la “LXI” Legislatura del Estado Libre y Soberano de México, en fecha 28 de noviembre de 2023, </w:t>
      </w:r>
      <w:r w:rsidRPr="00C218FB">
        <w:rPr>
          <w:rFonts w:ascii="Times New Roman" w:hAnsi="Times New Roman" w:cs="Times New Roman"/>
          <w:sz w:val="24"/>
          <w:szCs w:val="24"/>
        </w:rPr>
        <w:t>emitió el acuerdo por el que se da por concluido el periodo de desahogo de pruebas en el Procedimiento para la Solución de Diferendo Limítrofe entre los municipios de Acolman y Ecatepec, con los municipios Tecámac y Atenco en calidad de terceros y se ordena procede a elaborar el dictamen técnico correspondiente.</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eastAsia="Yu Mincho" w:hAnsi="Times New Roman" w:cs="Times New Roman"/>
          <w:sz w:val="24"/>
          <w:szCs w:val="24"/>
          <w:lang w:val="es-ES"/>
        </w:rPr>
      </w:pPr>
      <w:r w:rsidRPr="00C218FB">
        <w:rPr>
          <w:rFonts w:ascii="Times New Roman" w:hAnsi="Times New Roman" w:cs="Times New Roman"/>
          <w:b/>
          <w:bCs/>
          <w:sz w:val="24"/>
          <w:szCs w:val="24"/>
        </w:rPr>
        <w:t>DÉCIMO SEXTO.</w:t>
      </w:r>
      <w:r w:rsidRPr="00C218FB">
        <w:rPr>
          <w:rFonts w:ascii="Times New Roman" w:hAnsi="Times New Roman" w:cs="Times New Roman"/>
          <w:sz w:val="24"/>
          <w:szCs w:val="24"/>
        </w:rPr>
        <w:t xml:space="preserve"> Por lo anteriormente expuesto, mediante las pruebas aportadas, y registro de expropiaciones, que sustentan actos del Gobierno Federal, reconociendo territorialidad, se desprende que </w:t>
      </w:r>
      <w:r w:rsidRPr="00C218FB">
        <w:rPr>
          <w:rFonts w:ascii="Times New Roman" w:eastAsia="Yu Mincho" w:hAnsi="Times New Roman" w:cs="Times New Roman"/>
          <w:sz w:val="24"/>
          <w:szCs w:val="24"/>
          <w:lang w:val="es-ES"/>
        </w:rPr>
        <w:t xml:space="preserve">el polígono con 475 hectáreas, constituido por las colonias </w:t>
      </w:r>
      <w:r w:rsidRPr="00C218FB">
        <w:rPr>
          <w:rFonts w:ascii="Times New Roman" w:hAnsi="Times New Roman" w:cs="Times New Roman"/>
          <w:sz w:val="24"/>
          <w:szCs w:val="24"/>
        </w:rPr>
        <w:t xml:space="preserve">Prado San Juan, Guerrero, Pirules, Lázaro Cárdenas, La Laguna, y </w:t>
      </w:r>
      <w:r w:rsidRPr="00C218FB">
        <w:rPr>
          <w:rFonts w:ascii="Times New Roman" w:eastAsia="Yu Mincho" w:hAnsi="Times New Roman" w:cs="Times New Roman"/>
          <w:kern w:val="2"/>
          <w:sz w:val="24"/>
          <w:szCs w:val="24"/>
          <w:lang w:val="es-ES"/>
        </w:rPr>
        <w:t xml:space="preserve">Ejido Santa María Chiconautla, </w:t>
      </w:r>
      <w:r w:rsidRPr="00C218FB">
        <w:rPr>
          <w:rFonts w:ascii="Times New Roman" w:eastAsia="Yu Mincho" w:hAnsi="Times New Roman" w:cs="Times New Roman"/>
          <w:sz w:val="24"/>
          <w:szCs w:val="24"/>
          <w:lang w:val="es-ES"/>
        </w:rPr>
        <w:t>cuentan con viviendas, infraestructura educativa y unidades económicas, mismas que históricamente han requerido los servicios básicos de agua, drenaje, seguridad, servicios de emergencia, recolección de desechos y limpia pública, además de obras públicas para el mejoramiento y mantenimiento de vialidades.</w:t>
      </w:r>
    </w:p>
    <w:p w:rsidR="000F603A" w:rsidRPr="00C218FB" w:rsidRDefault="000F603A" w:rsidP="00C218FB">
      <w:pPr>
        <w:spacing w:after="0" w:line="240" w:lineRule="auto"/>
        <w:jc w:val="both"/>
        <w:rPr>
          <w:rFonts w:ascii="Times New Roman" w:eastAsia="Yu Mincho" w:hAnsi="Times New Roman" w:cs="Times New Roman"/>
          <w:sz w:val="24"/>
          <w:szCs w:val="24"/>
          <w:lang w:val="es-ES"/>
        </w:rPr>
      </w:pPr>
    </w:p>
    <w:p w:rsidR="000F603A" w:rsidRPr="00C218FB" w:rsidRDefault="000F603A" w:rsidP="00C218FB">
      <w:pPr>
        <w:spacing w:after="0" w:line="240" w:lineRule="auto"/>
        <w:jc w:val="both"/>
        <w:rPr>
          <w:rFonts w:ascii="Times New Roman" w:eastAsia="Yu Mincho" w:hAnsi="Times New Roman" w:cs="Times New Roman"/>
          <w:sz w:val="24"/>
          <w:szCs w:val="24"/>
          <w:lang w:val="es-ES"/>
        </w:rPr>
      </w:pPr>
      <w:r w:rsidRPr="00C218FB">
        <w:rPr>
          <w:rFonts w:ascii="Times New Roman" w:eastAsia="Yu Mincho" w:hAnsi="Times New Roman" w:cs="Times New Roman"/>
          <w:sz w:val="24"/>
          <w:szCs w:val="24"/>
          <w:lang w:val="es-ES"/>
        </w:rPr>
        <w:t xml:space="preserve">Presenta actos de gobierno en las colonias “Prado San Juan </w:t>
      </w:r>
      <w:r w:rsidRPr="00C218FB">
        <w:rPr>
          <w:rFonts w:ascii="Times New Roman" w:eastAsia="Yu Mincho" w:hAnsi="Times New Roman" w:cs="Times New Roman"/>
          <w:bCs/>
          <w:sz w:val="24"/>
          <w:szCs w:val="24"/>
          <w:lang w:val="es-ES"/>
        </w:rPr>
        <w:t>(</w:t>
      </w:r>
      <w:r w:rsidRPr="00C218FB">
        <w:rPr>
          <w:rFonts w:ascii="Times New Roman" w:eastAsia="Yu Mincho" w:hAnsi="Times New Roman" w:cs="Times New Roman"/>
          <w:sz w:val="24"/>
          <w:szCs w:val="24"/>
          <w:lang w:val="es-ES"/>
        </w:rPr>
        <w:t>solo las calles denominadas Girasol, Laurel, Gardenias y Bugambilias</w:t>
      </w:r>
      <w:r w:rsidRPr="00C218FB">
        <w:rPr>
          <w:rFonts w:ascii="Times New Roman" w:eastAsia="Yu Mincho" w:hAnsi="Times New Roman" w:cs="Times New Roman"/>
          <w:bCs/>
          <w:sz w:val="24"/>
          <w:szCs w:val="24"/>
          <w:lang w:val="es-ES"/>
        </w:rPr>
        <w:t>)</w:t>
      </w:r>
      <w:r w:rsidRPr="00C218FB">
        <w:rPr>
          <w:rFonts w:ascii="Times New Roman" w:eastAsia="Yu Mincho" w:hAnsi="Times New Roman" w:cs="Times New Roman"/>
          <w:b/>
          <w:bCs/>
          <w:sz w:val="24"/>
          <w:szCs w:val="24"/>
          <w:lang w:val="es-ES"/>
        </w:rPr>
        <w:t xml:space="preserve">, </w:t>
      </w:r>
      <w:r w:rsidRPr="00C218FB">
        <w:rPr>
          <w:rFonts w:ascii="Times New Roman" w:hAnsi="Times New Roman" w:cs="Times New Roman"/>
          <w:sz w:val="24"/>
          <w:szCs w:val="24"/>
        </w:rPr>
        <w:t>Guerrero</w:t>
      </w:r>
      <w:r w:rsidRPr="00C218FB">
        <w:rPr>
          <w:rFonts w:ascii="Times New Roman" w:eastAsia="Yu Mincho" w:hAnsi="Times New Roman" w:cs="Times New Roman"/>
          <w:sz w:val="24"/>
          <w:szCs w:val="24"/>
          <w:lang w:val="es-ES"/>
        </w:rPr>
        <w:t xml:space="preserve"> y Pirules” y actos históricos de recaudación en áreas de utilidad pública, denominadas “La termoeléctrica e Instalaciones de Pemex”, por parte del municipio de Acolman, áreas equivalentes a 202.18 hectáreas, mismas que integran parte del polígono litis de este dictamen.</w:t>
      </w:r>
    </w:p>
    <w:p w:rsidR="000F603A" w:rsidRPr="00C218FB" w:rsidRDefault="000F603A" w:rsidP="00C218FB">
      <w:pPr>
        <w:spacing w:after="0" w:line="240" w:lineRule="auto"/>
        <w:jc w:val="both"/>
        <w:rPr>
          <w:rFonts w:ascii="Times New Roman" w:eastAsia="Yu Mincho" w:hAnsi="Times New Roman" w:cs="Times New Roman"/>
          <w:sz w:val="24"/>
          <w:szCs w:val="24"/>
          <w:lang w:val="es-ES"/>
        </w:rPr>
      </w:pPr>
    </w:p>
    <w:p w:rsidR="000F603A" w:rsidRPr="00C218FB" w:rsidRDefault="000F603A" w:rsidP="00C218FB">
      <w:pPr>
        <w:spacing w:after="0" w:line="240" w:lineRule="auto"/>
        <w:jc w:val="both"/>
        <w:rPr>
          <w:rFonts w:ascii="Times New Roman" w:eastAsia="Yu Mincho" w:hAnsi="Times New Roman" w:cs="Times New Roman"/>
          <w:sz w:val="24"/>
          <w:szCs w:val="24"/>
          <w:lang w:val="es-ES"/>
        </w:rPr>
      </w:pPr>
      <w:r w:rsidRPr="00C218FB">
        <w:rPr>
          <w:rFonts w:ascii="Times New Roman" w:eastAsia="Yu Mincho" w:hAnsi="Times New Roman" w:cs="Times New Roman"/>
          <w:sz w:val="24"/>
          <w:szCs w:val="24"/>
          <w:lang w:val="es-ES"/>
        </w:rPr>
        <w:lastRenderedPageBreak/>
        <w:t>En las colonias “</w:t>
      </w:r>
      <w:r w:rsidRPr="00C218FB">
        <w:rPr>
          <w:rFonts w:ascii="Times New Roman" w:hAnsi="Times New Roman" w:cs="Times New Roman"/>
          <w:sz w:val="24"/>
          <w:szCs w:val="24"/>
        </w:rPr>
        <w:t xml:space="preserve">Prado San Juan </w:t>
      </w:r>
      <w:r w:rsidRPr="00C218FB">
        <w:rPr>
          <w:rFonts w:ascii="Times New Roman" w:eastAsia="Yu Mincho" w:hAnsi="Times New Roman" w:cs="Times New Roman"/>
          <w:sz w:val="24"/>
          <w:szCs w:val="24"/>
          <w:lang w:val="es-ES"/>
        </w:rPr>
        <w:t>(excepto las calles denominadas Girasol, Laurel, Gardenias y Bugambilias</w:t>
      </w:r>
      <w:r w:rsidRPr="00C218FB">
        <w:rPr>
          <w:rFonts w:ascii="Times New Roman" w:eastAsia="Yu Mincho" w:hAnsi="Times New Roman" w:cs="Times New Roman"/>
          <w:bCs/>
          <w:sz w:val="24"/>
          <w:szCs w:val="24"/>
          <w:lang w:val="es-ES"/>
        </w:rPr>
        <w:t>)</w:t>
      </w:r>
      <w:r w:rsidRPr="00C218FB">
        <w:rPr>
          <w:rFonts w:ascii="Times New Roman" w:hAnsi="Times New Roman" w:cs="Times New Roman"/>
          <w:sz w:val="24"/>
          <w:szCs w:val="24"/>
        </w:rPr>
        <w:t xml:space="preserve">, Lázaro Cárdenas, La Laguna, y </w:t>
      </w:r>
      <w:r w:rsidRPr="00C218FB">
        <w:rPr>
          <w:rFonts w:ascii="Times New Roman" w:eastAsia="Yu Mincho" w:hAnsi="Times New Roman" w:cs="Times New Roman"/>
          <w:kern w:val="2"/>
          <w:sz w:val="24"/>
          <w:szCs w:val="24"/>
          <w:lang w:val="es-ES"/>
        </w:rPr>
        <w:t xml:space="preserve">Ejido Santa María Chiconautla” </w:t>
      </w:r>
      <w:r w:rsidRPr="00C218FB">
        <w:rPr>
          <w:rFonts w:ascii="Times New Roman" w:eastAsia="Yu Mincho" w:hAnsi="Times New Roman" w:cs="Times New Roman"/>
          <w:sz w:val="24"/>
          <w:szCs w:val="24"/>
          <w:lang w:val="es-ES"/>
        </w:rPr>
        <w:t>y las áreas conocidas como “El tiradero, Juzgados Penales de Ecatepec”, mismos que conforman parte del polígono, comprendiendo con un área equivalentes a 272.82 hectáreas, mismas que integran parte del polígono litis de este dictamen, se identifica la prestación histórica de servicios públicos, por el municipio de Ecatepec de Morelos.</w:t>
      </w:r>
    </w:p>
    <w:p w:rsidR="000F603A" w:rsidRPr="00C218FB" w:rsidRDefault="000F603A" w:rsidP="00C218FB">
      <w:pPr>
        <w:spacing w:after="0" w:line="240" w:lineRule="auto"/>
        <w:jc w:val="both"/>
        <w:rPr>
          <w:rFonts w:ascii="Times New Roman" w:eastAsia="Yu Mincho" w:hAnsi="Times New Roman" w:cs="Times New Roman"/>
          <w:sz w:val="24"/>
          <w:szCs w:val="24"/>
          <w:lang w:val="es-ES"/>
        </w:rPr>
      </w:pPr>
    </w:p>
    <w:p w:rsidR="000F603A" w:rsidRPr="00C218FB" w:rsidRDefault="000F603A" w:rsidP="00C218FB">
      <w:pPr>
        <w:spacing w:after="0" w:line="240" w:lineRule="auto"/>
        <w:jc w:val="both"/>
        <w:rPr>
          <w:rFonts w:ascii="Times New Roman" w:eastAsia="Yu Mincho" w:hAnsi="Times New Roman" w:cs="Times New Roman"/>
          <w:sz w:val="24"/>
          <w:szCs w:val="24"/>
          <w:lang w:val="es-ES"/>
        </w:rPr>
      </w:pPr>
      <w:r w:rsidRPr="00C218FB">
        <w:rPr>
          <w:rFonts w:ascii="Times New Roman" w:eastAsia="Yu Mincho" w:hAnsi="Times New Roman" w:cs="Times New Roman"/>
          <w:sz w:val="24"/>
          <w:szCs w:val="24"/>
          <w:lang w:val="es-ES"/>
        </w:rPr>
        <w:t xml:space="preserve">Del análisis integral del expediente que conforma el Procedimiento para la Solución del Diferendo Limítrofe Intermunicipal entre los municipios de Acolman y Ecatepec de Morelos, esta Comisión Legislativa advierte que los distintos medios de convicción aportados por las partes permiten reconstruir, desde perspectivas complementarias, tanto la evolución histórica del territorio como su realidad administrativa y social actual. </w:t>
      </w:r>
    </w:p>
    <w:p w:rsidR="000F603A" w:rsidRPr="00C218FB" w:rsidRDefault="000F603A" w:rsidP="00C218FB">
      <w:pPr>
        <w:spacing w:after="0" w:line="240" w:lineRule="auto"/>
        <w:jc w:val="both"/>
        <w:rPr>
          <w:rFonts w:ascii="Times New Roman" w:eastAsia="Yu Mincho" w:hAnsi="Times New Roman" w:cs="Times New Roman"/>
          <w:sz w:val="24"/>
          <w:szCs w:val="24"/>
          <w:lang w:val="es-ES"/>
        </w:rPr>
      </w:pPr>
    </w:p>
    <w:p w:rsidR="000F603A" w:rsidRPr="00C218FB" w:rsidRDefault="000F603A" w:rsidP="00C218FB">
      <w:pPr>
        <w:spacing w:after="0" w:line="240" w:lineRule="auto"/>
        <w:jc w:val="both"/>
        <w:rPr>
          <w:rFonts w:ascii="Times New Roman" w:eastAsia="Yu Mincho" w:hAnsi="Times New Roman" w:cs="Times New Roman"/>
          <w:sz w:val="24"/>
          <w:szCs w:val="24"/>
          <w:lang w:val="es-ES"/>
        </w:rPr>
      </w:pPr>
      <w:r w:rsidRPr="00C218FB">
        <w:rPr>
          <w:rFonts w:ascii="Times New Roman" w:eastAsia="Yu Mincho" w:hAnsi="Times New Roman" w:cs="Times New Roman"/>
          <w:sz w:val="24"/>
          <w:szCs w:val="24"/>
          <w:lang w:val="es-ES"/>
        </w:rPr>
        <w:t>Las pruebas documentales históricas, agrarias y registrales, ofrecidas principalmente por el municipio de Acolman y reforzadas por el Dictamen Técnico de la Comisión de Límites del Gobierno del Estado de México, evidencian la inexistencia de decretos originarios y acreditan que, en diversos momentos históricos, el polígono conocido como Santa María Chiconautla fue vinculado administrativa y territorialmente con Acolman, estas pruebas permiten contextualizar el origen y desarrollo del diferendo, aunque por su propia naturaleza no resultan suficientes para definir, por sí mismas, la adscripción municipal actual del territorio.</w:t>
      </w:r>
    </w:p>
    <w:p w:rsidR="000F603A" w:rsidRPr="00C218FB" w:rsidRDefault="000F603A" w:rsidP="00C218FB">
      <w:pPr>
        <w:spacing w:after="0" w:line="240" w:lineRule="auto"/>
        <w:jc w:val="both"/>
        <w:rPr>
          <w:rFonts w:ascii="Times New Roman" w:eastAsia="Yu Mincho" w:hAnsi="Times New Roman" w:cs="Times New Roman"/>
          <w:sz w:val="24"/>
          <w:szCs w:val="24"/>
          <w:lang w:val="es-ES"/>
        </w:rPr>
      </w:pPr>
    </w:p>
    <w:p w:rsidR="000F603A" w:rsidRPr="00C218FB" w:rsidRDefault="000F603A" w:rsidP="00C218FB">
      <w:pPr>
        <w:spacing w:after="0" w:line="240" w:lineRule="auto"/>
        <w:jc w:val="both"/>
        <w:rPr>
          <w:rFonts w:ascii="Times New Roman" w:eastAsia="Yu Mincho" w:hAnsi="Times New Roman" w:cs="Times New Roman"/>
          <w:sz w:val="24"/>
          <w:szCs w:val="24"/>
          <w:lang w:val="es-ES"/>
        </w:rPr>
      </w:pPr>
      <w:r w:rsidRPr="00C218FB">
        <w:rPr>
          <w:rFonts w:ascii="Times New Roman" w:eastAsia="Yu Mincho" w:hAnsi="Times New Roman" w:cs="Times New Roman"/>
          <w:sz w:val="24"/>
          <w:szCs w:val="24"/>
          <w:lang w:val="es-ES"/>
        </w:rPr>
        <w:t xml:space="preserve">Por otra parte, las pruebas documentales públicas contemporáneas aportadas por el municipio de Ecatepec de Morelos, consistentes en informes oficiales de dependencias municipales, constancias de prestación de servicios públicos, obras, seguridad, recaudación y administración territorial, acreditan de manera objetiva y verificable el ejercicio efectivo, continuo y prolongado de actos de gobierno en el área en disputa, dichos elementos se ven reforzados por pruebas técnicas, cartográficas, periciales e inspecciones oculares, así como por estudios sociodemográficos, que permiten corroborar la presencia institucional material de Ecatepec y el arraigo e identificación poblacional con dicho municipio. </w:t>
      </w:r>
    </w:p>
    <w:p w:rsidR="000F603A" w:rsidRPr="00C218FB" w:rsidRDefault="000F603A" w:rsidP="00C218FB">
      <w:pPr>
        <w:spacing w:after="0" w:line="240" w:lineRule="auto"/>
        <w:jc w:val="both"/>
        <w:rPr>
          <w:rFonts w:ascii="Times New Roman" w:eastAsia="Yu Mincho" w:hAnsi="Times New Roman" w:cs="Times New Roman"/>
          <w:sz w:val="24"/>
          <w:szCs w:val="24"/>
          <w:lang w:val="es-ES"/>
        </w:rPr>
      </w:pPr>
    </w:p>
    <w:p w:rsidR="000F603A" w:rsidRPr="00C218FB" w:rsidRDefault="000F603A" w:rsidP="00C218FB">
      <w:pPr>
        <w:spacing w:after="0" w:line="240" w:lineRule="auto"/>
        <w:jc w:val="both"/>
        <w:rPr>
          <w:rFonts w:ascii="Times New Roman" w:eastAsia="Yu Mincho" w:hAnsi="Times New Roman" w:cs="Times New Roman"/>
          <w:sz w:val="24"/>
          <w:szCs w:val="24"/>
          <w:lang w:val="es-ES"/>
        </w:rPr>
      </w:pPr>
      <w:r w:rsidRPr="00C218FB">
        <w:rPr>
          <w:rFonts w:ascii="Times New Roman" w:eastAsia="Yu Mincho" w:hAnsi="Times New Roman" w:cs="Times New Roman"/>
          <w:sz w:val="24"/>
          <w:szCs w:val="24"/>
          <w:lang w:val="es-ES"/>
        </w:rPr>
        <w:t>En conjunto, estas pruebas reflejan con mayor claridad la realidad fáctica vigente del territorio.</w:t>
      </w:r>
    </w:p>
    <w:p w:rsidR="000F603A" w:rsidRPr="00C218FB" w:rsidRDefault="000F603A" w:rsidP="00C218FB">
      <w:pPr>
        <w:spacing w:after="0" w:line="240" w:lineRule="auto"/>
        <w:jc w:val="both"/>
        <w:rPr>
          <w:rFonts w:ascii="Times New Roman" w:eastAsia="Yu Mincho" w:hAnsi="Times New Roman" w:cs="Times New Roman"/>
          <w:sz w:val="24"/>
          <w:szCs w:val="24"/>
          <w:lang w:val="es-ES"/>
        </w:rPr>
      </w:pPr>
    </w:p>
    <w:p w:rsidR="000F603A" w:rsidRPr="00C218FB" w:rsidRDefault="000F603A" w:rsidP="00C218FB">
      <w:pPr>
        <w:spacing w:after="0" w:line="240" w:lineRule="auto"/>
        <w:jc w:val="both"/>
        <w:rPr>
          <w:rFonts w:ascii="Times New Roman" w:eastAsia="Yu Mincho" w:hAnsi="Times New Roman" w:cs="Times New Roman"/>
          <w:sz w:val="24"/>
          <w:szCs w:val="24"/>
          <w:lang w:val="es-ES"/>
        </w:rPr>
      </w:pPr>
      <w:r w:rsidRPr="00C218FB">
        <w:rPr>
          <w:rFonts w:ascii="Times New Roman" w:eastAsia="Yu Mincho" w:hAnsi="Times New Roman" w:cs="Times New Roman"/>
          <w:sz w:val="24"/>
          <w:szCs w:val="24"/>
          <w:lang w:val="es-ES"/>
        </w:rPr>
        <w:t xml:space="preserve">Por cuanto hace al Dictamen Técnico emitido por la Comisión de Límites del Gobierno del Estado de México, valorado como medio de convicción de apoyo, contribuye a fortalecer el análisis histórico y documental del diferendo, sin desplazar la competencia decisoria de esta Legislatura ni sustituir la valoración integral de las pruebas rendidas por los municipios. </w:t>
      </w:r>
    </w:p>
    <w:p w:rsidR="000F603A" w:rsidRPr="00C218FB" w:rsidRDefault="000F603A" w:rsidP="00C218FB">
      <w:pPr>
        <w:spacing w:after="0" w:line="240" w:lineRule="auto"/>
        <w:jc w:val="both"/>
        <w:rPr>
          <w:rFonts w:ascii="Times New Roman" w:eastAsia="Yu Mincho" w:hAnsi="Times New Roman" w:cs="Times New Roman"/>
          <w:sz w:val="24"/>
          <w:szCs w:val="24"/>
          <w:lang w:val="es-ES"/>
        </w:rPr>
      </w:pPr>
    </w:p>
    <w:p w:rsidR="000F603A" w:rsidRPr="00C218FB" w:rsidRDefault="000F603A" w:rsidP="00C218FB">
      <w:pPr>
        <w:spacing w:after="0" w:line="240" w:lineRule="auto"/>
        <w:jc w:val="both"/>
        <w:rPr>
          <w:rFonts w:ascii="Times New Roman" w:eastAsia="Yu Mincho" w:hAnsi="Times New Roman" w:cs="Times New Roman"/>
          <w:sz w:val="24"/>
          <w:szCs w:val="24"/>
          <w:lang w:val="es-ES"/>
        </w:rPr>
      </w:pPr>
      <w:r w:rsidRPr="00C218FB">
        <w:rPr>
          <w:rFonts w:ascii="Times New Roman" w:eastAsia="Yu Mincho" w:hAnsi="Times New Roman" w:cs="Times New Roman"/>
          <w:sz w:val="24"/>
          <w:szCs w:val="24"/>
          <w:lang w:val="es-ES"/>
        </w:rPr>
        <w:t>Su alcance es auxiliar, pues no analiza de manera concluyente el ejercicio actual de funciones municipales, pero sí aporta elementos relevantes para comprender la formación y evolución territorial del área en conflicto.</w:t>
      </w:r>
    </w:p>
    <w:p w:rsidR="000F603A" w:rsidRPr="00C218FB" w:rsidRDefault="000F603A" w:rsidP="00C218FB">
      <w:pPr>
        <w:spacing w:after="0" w:line="240" w:lineRule="auto"/>
        <w:jc w:val="both"/>
        <w:rPr>
          <w:rFonts w:ascii="Times New Roman" w:eastAsia="Yu Mincho" w:hAnsi="Times New Roman" w:cs="Times New Roman"/>
          <w:sz w:val="24"/>
          <w:szCs w:val="24"/>
          <w:lang w:val="es-ES"/>
        </w:rPr>
      </w:pPr>
    </w:p>
    <w:p w:rsidR="000F603A" w:rsidRPr="00C218FB" w:rsidRDefault="000F603A" w:rsidP="00C218FB">
      <w:pPr>
        <w:spacing w:after="0" w:line="240" w:lineRule="auto"/>
        <w:jc w:val="both"/>
        <w:rPr>
          <w:rFonts w:ascii="Times New Roman" w:eastAsia="Yu Mincho" w:hAnsi="Times New Roman" w:cs="Times New Roman"/>
          <w:b/>
          <w:sz w:val="24"/>
          <w:szCs w:val="24"/>
          <w:lang w:val="es-ES"/>
        </w:rPr>
      </w:pPr>
      <w:r w:rsidRPr="00C218FB">
        <w:rPr>
          <w:rFonts w:ascii="Times New Roman" w:eastAsia="Yu Mincho" w:hAnsi="Times New Roman" w:cs="Times New Roman"/>
          <w:b/>
          <w:sz w:val="24"/>
          <w:szCs w:val="24"/>
          <w:lang w:val="es-ES"/>
        </w:rPr>
        <w:t>JUSTIFICACIÓN DE LA DETERMINACIÓN TERRITORIAL</w:t>
      </w: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 xml:space="preserve">Esta Comisión considera que la solución del diferendo limítrofe no puede sustentarse exclusivamente en antecedentes históricos, ni tampoco en una apreciación aislada de la situación fáctica, sino en una ponderación razonada y equilibrada de ambos planos. </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 xml:space="preserve">En ejercicio de la facultad conferida por el artículo 61, fracción XXV, de la Constitución Política del Estado Libre y Soberano de México, la Legislatura debe privilegiar aquellos elementos que </w:t>
      </w:r>
      <w:r w:rsidRPr="00C218FB">
        <w:rPr>
          <w:rFonts w:ascii="Times New Roman" w:hAnsi="Times New Roman" w:cs="Times New Roman"/>
          <w:sz w:val="24"/>
          <w:szCs w:val="24"/>
        </w:rPr>
        <w:lastRenderedPageBreak/>
        <w:t>permitan garantizar la certeza jurídica, la gobernabilidad y la continuidad en la prestación de servicios públicos, atendiendo al interés de la población asentada en la zona.</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Bajo este criterio, aun cuando se reconocen los antecedentes históricos y agrarios vinculados al municipio de Acolman, esta Comisión estima jurídicamente válido otorgar mayor peso probatorio a las pruebas que acreditan el ejercicio efectivo y verificable de actos de autoridad municipal, en tanto reflejan la realidad administrativa y social vigente y permiten evitar escenarios de incertidumbre, duplicidad de funciones o vacíos de autoridad.</w:t>
      </w:r>
    </w:p>
    <w:p w:rsidR="000F603A" w:rsidRPr="00C218FB" w:rsidRDefault="000F603A" w:rsidP="00C218FB">
      <w:pPr>
        <w:spacing w:after="0" w:line="240" w:lineRule="auto"/>
        <w:jc w:val="both"/>
        <w:rPr>
          <w:rFonts w:ascii="Times New Roman" w:eastAsia="Yu Mincho" w:hAnsi="Times New Roman" w:cs="Times New Roman"/>
          <w:b/>
          <w:sz w:val="24"/>
          <w:szCs w:val="24"/>
          <w:lang w:val="es-ES"/>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La valoración conjunta de todas las pruebas y medios de convicción, permite concluir que en el territorio materia del diferendo existe una concurrencia histórica de vínculos territoriales entre los municipios involucrados; sin embargo, la evidencia demuestra que la realidad actual del polígono se encuentra definida principalmente por la presencia institucional, administrativa y poblacional del municipio de Ecatepec de Morelos, esta circunstancia resulta determinante para efectos de adscripción municipal, en la medida en que garantiza la continuidad de los servicios públicos, la seguridad jurídica de los actos de autoridad y la estabilidad administrativa en la zona.</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En este sentido, la determinación territorial adoptada no implica desconocer los antecedentes históricos acreditados, sino armonizarlos con la realidad fáctica existente, en atención a criterios de razonabilidad, proporcionalidad y eficacia en el ejercicio de las funciones municipales.</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En consecuencia, la concatenación de las pruebas aportadas por ambas partes y su valoración integral conducen de manera directa, lógica y fundada a los resolutivos del presente dictamen, mediante los cuales esta Legislatura fija una línea limítrofe precisa y definitiva, apoyada en planos, vértices y referencias técnicas, y ordena la emisión del decreto correspondiente. Con ello se pone fin al estado de indefinición territorial que dio origen al diferendo, se dota de certeza jurídica a la población y a las autoridades municipales, y se asegura la gobernabilidad en la zona limítrofe.</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both"/>
        <w:rPr>
          <w:rFonts w:ascii="Times New Roman" w:eastAsia="Times New Roman" w:hAnsi="Times New Roman" w:cs="Times New Roman"/>
          <w:sz w:val="24"/>
          <w:szCs w:val="24"/>
          <w:lang w:eastAsia="es-MX"/>
        </w:rPr>
      </w:pPr>
      <w:r w:rsidRPr="00C218FB">
        <w:rPr>
          <w:rFonts w:ascii="Times New Roman" w:eastAsia="Times New Roman" w:hAnsi="Times New Roman" w:cs="Times New Roman"/>
          <w:sz w:val="24"/>
          <w:szCs w:val="24"/>
          <w:lang w:eastAsia="es-MX"/>
        </w:rPr>
        <w:t xml:space="preserve">Esta resolución busca </w:t>
      </w:r>
      <w:r w:rsidRPr="00C218FB">
        <w:rPr>
          <w:rFonts w:ascii="Times New Roman" w:eastAsia="Times New Roman" w:hAnsi="Times New Roman" w:cs="Times New Roman"/>
          <w:b/>
          <w:bCs/>
          <w:sz w:val="24"/>
          <w:szCs w:val="24"/>
          <w:lang w:eastAsia="es-MX"/>
        </w:rPr>
        <w:t>dotar de materialidad jurídica</w:t>
      </w:r>
      <w:r w:rsidRPr="00C218FB">
        <w:rPr>
          <w:rFonts w:ascii="Times New Roman" w:eastAsia="Times New Roman" w:hAnsi="Times New Roman" w:cs="Times New Roman"/>
          <w:sz w:val="24"/>
          <w:szCs w:val="24"/>
          <w:lang w:eastAsia="es-MX"/>
        </w:rPr>
        <w:t xml:space="preserve"> a los actos de gobierno, recaudación y administración.</w:t>
      </w:r>
    </w:p>
    <w:p w:rsidR="000F603A" w:rsidRPr="00C218FB" w:rsidRDefault="000F603A" w:rsidP="00C218FB">
      <w:pPr>
        <w:spacing w:after="0" w:line="240" w:lineRule="auto"/>
        <w:jc w:val="both"/>
        <w:rPr>
          <w:rFonts w:ascii="Times New Roman" w:eastAsia="Times New Roman" w:hAnsi="Times New Roman" w:cs="Times New Roman"/>
          <w:sz w:val="24"/>
          <w:szCs w:val="24"/>
          <w:lang w:eastAsia="es-MX"/>
        </w:rPr>
      </w:pPr>
    </w:p>
    <w:p w:rsidR="000F603A" w:rsidRPr="00C218FB" w:rsidRDefault="000F603A" w:rsidP="00C218FB">
      <w:pPr>
        <w:pStyle w:val="Prrafodelista"/>
        <w:widowControl/>
        <w:numPr>
          <w:ilvl w:val="3"/>
          <w:numId w:val="37"/>
        </w:numPr>
        <w:autoSpaceDE/>
        <w:autoSpaceDN/>
        <w:ind w:left="709" w:right="0"/>
        <w:contextualSpacing/>
        <w:rPr>
          <w:rFonts w:ascii="Times New Roman" w:eastAsia="Times New Roman" w:hAnsi="Times New Roman" w:cs="Times New Roman"/>
          <w:sz w:val="24"/>
          <w:szCs w:val="24"/>
          <w:lang w:eastAsia="es-MX"/>
        </w:rPr>
      </w:pPr>
      <w:r w:rsidRPr="00C218FB">
        <w:rPr>
          <w:rFonts w:ascii="Times New Roman" w:eastAsia="Times New Roman" w:hAnsi="Times New Roman" w:cs="Times New Roman"/>
          <w:b/>
          <w:bCs/>
          <w:sz w:val="24"/>
          <w:szCs w:val="24"/>
          <w:lang w:eastAsia="es-MX"/>
        </w:rPr>
        <w:t>Criterios de Resolución</w:t>
      </w:r>
    </w:p>
    <w:p w:rsidR="000F603A" w:rsidRPr="00C218FB" w:rsidRDefault="000F603A" w:rsidP="00C218FB">
      <w:pPr>
        <w:spacing w:after="0" w:line="240" w:lineRule="auto"/>
        <w:ind w:left="708"/>
        <w:jc w:val="both"/>
        <w:rPr>
          <w:rFonts w:ascii="Times New Roman" w:eastAsia="Times New Roman" w:hAnsi="Times New Roman" w:cs="Times New Roman"/>
          <w:sz w:val="24"/>
          <w:szCs w:val="24"/>
          <w:lang w:eastAsia="es-MX"/>
        </w:rPr>
      </w:pPr>
      <w:r w:rsidRPr="00C218FB">
        <w:rPr>
          <w:rFonts w:ascii="Times New Roman" w:eastAsia="Times New Roman" w:hAnsi="Times New Roman" w:cs="Times New Roman"/>
          <w:sz w:val="24"/>
          <w:szCs w:val="24"/>
          <w:lang w:eastAsia="es-MX"/>
        </w:rPr>
        <w:t xml:space="preserve">A diferencia de un juicio puramente técnico, el Poder Legislativo utilizó una </w:t>
      </w:r>
      <w:r w:rsidRPr="00C218FB">
        <w:rPr>
          <w:rFonts w:ascii="Times New Roman" w:eastAsia="Times New Roman" w:hAnsi="Times New Roman" w:cs="Times New Roman"/>
          <w:b/>
          <w:bCs/>
          <w:sz w:val="24"/>
          <w:szCs w:val="24"/>
          <w:lang w:eastAsia="es-MX"/>
        </w:rPr>
        <w:t>valoración integral</w:t>
      </w:r>
      <w:r w:rsidRPr="00C218FB">
        <w:rPr>
          <w:rFonts w:ascii="Times New Roman" w:eastAsia="Times New Roman" w:hAnsi="Times New Roman" w:cs="Times New Roman"/>
          <w:sz w:val="24"/>
          <w:szCs w:val="24"/>
          <w:lang w:eastAsia="es-MX"/>
        </w:rPr>
        <w:t>:</w:t>
      </w:r>
    </w:p>
    <w:p w:rsidR="000F603A" w:rsidRPr="00C218FB" w:rsidRDefault="000F603A" w:rsidP="00C218FB">
      <w:pPr>
        <w:numPr>
          <w:ilvl w:val="0"/>
          <w:numId w:val="40"/>
        </w:numPr>
        <w:tabs>
          <w:tab w:val="clear" w:pos="1428"/>
        </w:tabs>
        <w:spacing w:after="0" w:line="240" w:lineRule="auto"/>
        <w:jc w:val="both"/>
        <w:rPr>
          <w:rFonts w:ascii="Times New Roman" w:eastAsia="Times New Roman" w:hAnsi="Times New Roman" w:cs="Times New Roman"/>
          <w:sz w:val="24"/>
          <w:szCs w:val="24"/>
          <w:lang w:eastAsia="es-MX"/>
        </w:rPr>
      </w:pPr>
      <w:r w:rsidRPr="00C218FB">
        <w:rPr>
          <w:rFonts w:ascii="Times New Roman" w:eastAsia="Times New Roman" w:hAnsi="Times New Roman" w:cs="Times New Roman"/>
          <w:b/>
          <w:bCs/>
          <w:sz w:val="24"/>
          <w:szCs w:val="24"/>
          <w:lang w:eastAsia="es-MX"/>
        </w:rPr>
        <w:t>Realidad fáctica:</w:t>
      </w:r>
      <w:r w:rsidRPr="00C218FB">
        <w:rPr>
          <w:rFonts w:ascii="Times New Roman" w:eastAsia="Times New Roman" w:hAnsi="Times New Roman" w:cs="Times New Roman"/>
          <w:sz w:val="24"/>
          <w:szCs w:val="24"/>
          <w:lang w:eastAsia="es-MX"/>
        </w:rPr>
        <w:t xml:space="preserve"> Se tomó en cuenta quién está proporcionando los servicios realmente hoy en día.</w:t>
      </w:r>
    </w:p>
    <w:p w:rsidR="000F603A" w:rsidRPr="00C218FB" w:rsidRDefault="000F603A" w:rsidP="00C218FB">
      <w:pPr>
        <w:spacing w:after="0" w:line="240" w:lineRule="auto"/>
        <w:ind w:left="1428"/>
        <w:jc w:val="both"/>
        <w:rPr>
          <w:rFonts w:ascii="Times New Roman" w:eastAsia="Times New Roman" w:hAnsi="Times New Roman" w:cs="Times New Roman"/>
          <w:sz w:val="24"/>
          <w:szCs w:val="24"/>
          <w:lang w:eastAsia="es-MX"/>
        </w:rPr>
      </w:pPr>
    </w:p>
    <w:p w:rsidR="000F603A" w:rsidRPr="00C218FB" w:rsidRDefault="000F603A" w:rsidP="00C218FB">
      <w:pPr>
        <w:numPr>
          <w:ilvl w:val="0"/>
          <w:numId w:val="40"/>
        </w:numPr>
        <w:tabs>
          <w:tab w:val="clear" w:pos="1428"/>
        </w:tabs>
        <w:spacing w:after="0" w:line="240" w:lineRule="auto"/>
        <w:jc w:val="both"/>
        <w:rPr>
          <w:rFonts w:ascii="Times New Roman" w:eastAsia="Times New Roman" w:hAnsi="Times New Roman" w:cs="Times New Roman"/>
          <w:sz w:val="24"/>
          <w:szCs w:val="24"/>
          <w:lang w:eastAsia="es-MX"/>
        </w:rPr>
      </w:pPr>
      <w:r w:rsidRPr="00C218FB">
        <w:rPr>
          <w:rFonts w:ascii="Times New Roman" w:eastAsia="Times New Roman" w:hAnsi="Times New Roman" w:cs="Times New Roman"/>
          <w:b/>
          <w:bCs/>
          <w:sz w:val="24"/>
          <w:szCs w:val="24"/>
          <w:lang w:eastAsia="es-MX"/>
        </w:rPr>
        <w:t>Equidad y Proporcionalidad:</w:t>
      </w:r>
      <w:r w:rsidRPr="00C218FB">
        <w:rPr>
          <w:rFonts w:ascii="Times New Roman" w:eastAsia="Times New Roman" w:hAnsi="Times New Roman" w:cs="Times New Roman"/>
          <w:sz w:val="24"/>
          <w:szCs w:val="24"/>
          <w:lang w:eastAsia="es-MX"/>
        </w:rPr>
        <w:t xml:space="preserve"> </w:t>
      </w:r>
    </w:p>
    <w:p w:rsidR="000F603A" w:rsidRPr="00C218FB" w:rsidRDefault="000F603A" w:rsidP="00C218FB">
      <w:pPr>
        <w:spacing w:after="0" w:line="240" w:lineRule="auto"/>
        <w:ind w:left="1428"/>
        <w:jc w:val="both"/>
        <w:rPr>
          <w:rFonts w:ascii="Times New Roman" w:eastAsia="Aptos" w:hAnsi="Times New Roman" w:cs="Times New Roman"/>
          <w:sz w:val="24"/>
          <w:szCs w:val="24"/>
        </w:rPr>
      </w:pPr>
      <w:r w:rsidRPr="00C218FB">
        <w:rPr>
          <w:rFonts w:ascii="Times New Roman" w:eastAsia="Aptos" w:hAnsi="Times New Roman" w:cs="Times New Roman"/>
          <w:sz w:val="24"/>
          <w:szCs w:val="24"/>
        </w:rPr>
        <w:t>La determinación atiende a la ponderación objetiva de los antecedentes históricos, administrativos y de ejercicio efectivo de funciones públicas, a fin de asignar jurisdicción conforme a criterios de gobernabilidad, continuidad institucional y certeza jurídica.</w:t>
      </w:r>
    </w:p>
    <w:p w:rsidR="000F603A" w:rsidRPr="00C218FB" w:rsidRDefault="000F603A" w:rsidP="00C218FB">
      <w:pPr>
        <w:spacing w:after="0" w:line="240" w:lineRule="auto"/>
        <w:ind w:left="1428"/>
        <w:jc w:val="both"/>
        <w:rPr>
          <w:rFonts w:ascii="Times New Roman" w:eastAsia="Times New Roman" w:hAnsi="Times New Roman" w:cs="Times New Roman"/>
          <w:sz w:val="24"/>
          <w:szCs w:val="24"/>
          <w:lang w:eastAsia="es-MX"/>
        </w:rPr>
      </w:pPr>
    </w:p>
    <w:p w:rsidR="000F603A" w:rsidRPr="00C218FB" w:rsidRDefault="000F603A" w:rsidP="00C218FB">
      <w:pPr>
        <w:numPr>
          <w:ilvl w:val="0"/>
          <w:numId w:val="40"/>
        </w:numPr>
        <w:tabs>
          <w:tab w:val="clear" w:pos="1428"/>
        </w:tabs>
        <w:spacing w:after="0" w:line="240" w:lineRule="auto"/>
        <w:jc w:val="both"/>
        <w:rPr>
          <w:rFonts w:ascii="Times New Roman" w:eastAsia="Times New Roman" w:hAnsi="Times New Roman" w:cs="Times New Roman"/>
          <w:sz w:val="24"/>
          <w:szCs w:val="24"/>
          <w:lang w:eastAsia="es-MX"/>
        </w:rPr>
      </w:pPr>
      <w:r w:rsidRPr="00C218FB">
        <w:rPr>
          <w:rFonts w:ascii="Times New Roman" w:eastAsia="Times New Roman" w:hAnsi="Times New Roman" w:cs="Times New Roman"/>
          <w:b/>
          <w:bCs/>
          <w:sz w:val="24"/>
          <w:szCs w:val="24"/>
          <w:lang w:eastAsia="es-MX"/>
        </w:rPr>
        <w:t>Certeza Jurídica:</w:t>
      </w:r>
      <w:r w:rsidRPr="00C218FB">
        <w:rPr>
          <w:rFonts w:ascii="Times New Roman" w:eastAsia="Times New Roman" w:hAnsi="Times New Roman" w:cs="Times New Roman"/>
          <w:sz w:val="24"/>
          <w:szCs w:val="24"/>
          <w:lang w:eastAsia="es-MX"/>
        </w:rPr>
        <w:t xml:space="preserve"> Que los habitantes sepan, de una vez por todas, a qué municipio pertenecen.</w:t>
      </w:r>
    </w:p>
    <w:p w:rsidR="000F603A" w:rsidRPr="00C218FB" w:rsidRDefault="000F603A" w:rsidP="00C218FB">
      <w:pPr>
        <w:spacing w:after="0" w:line="240" w:lineRule="auto"/>
        <w:jc w:val="both"/>
        <w:rPr>
          <w:rFonts w:ascii="Times New Roman" w:eastAsia="Times New Roman" w:hAnsi="Times New Roman" w:cs="Times New Roman"/>
          <w:sz w:val="24"/>
          <w:szCs w:val="24"/>
          <w:lang w:eastAsia="es-MX"/>
        </w:rPr>
      </w:pPr>
    </w:p>
    <w:p w:rsidR="000F603A" w:rsidRPr="00C218FB" w:rsidRDefault="000F603A" w:rsidP="00C218FB">
      <w:pPr>
        <w:pStyle w:val="Prrafodelista"/>
        <w:widowControl/>
        <w:numPr>
          <w:ilvl w:val="0"/>
          <w:numId w:val="37"/>
        </w:numPr>
        <w:autoSpaceDE/>
        <w:autoSpaceDN/>
        <w:ind w:left="709" w:right="0"/>
        <w:contextualSpacing/>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El Objetivo Final: Paz Social</w:t>
      </w:r>
    </w:p>
    <w:p w:rsidR="000F603A" w:rsidRPr="00C218FB" w:rsidRDefault="000F603A" w:rsidP="00C218FB">
      <w:pPr>
        <w:spacing w:after="0" w:line="240" w:lineRule="auto"/>
        <w:ind w:left="708"/>
        <w:jc w:val="both"/>
        <w:rPr>
          <w:rFonts w:ascii="Times New Roman" w:eastAsia="Times New Roman" w:hAnsi="Times New Roman" w:cs="Times New Roman"/>
          <w:sz w:val="24"/>
          <w:szCs w:val="24"/>
          <w:lang w:eastAsia="es-MX"/>
        </w:rPr>
      </w:pPr>
      <w:r w:rsidRPr="00C218FB">
        <w:rPr>
          <w:rFonts w:ascii="Times New Roman" w:eastAsia="Times New Roman" w:hAnsi="Times New Roman" w:cs="Times New Roman"/>
          <w:sz w:val="24"/>
          <w:szCs w:val="24"/>
          <w:lang w:eastAsia="es-MX"/>
        </w:rPr>
        <w:lastRenderedPageBreak/>
        <w:t xml:space="preserve">Al definir el territorio, se garantiza la </w:t>
      </w:r>
      <w:r w:rsidRPr="00C218FB">
        <w:rPr>
          <w:rFonts w:ascii="Times New Roman" w:eastAsia="Times New Roman" w:hAnsi="Times New Roman" w:cs="Times New Roman"/>
          <w:b/>
          <w:bCs/>
          <w:sz w:val="24"/>
          <w:szCs w:val="24"/>
          <w:lang w:eastAsia="es-MX"/>
        </w:rPr>
        <w:t>gobernabilidad</w:t>
      </w:r>
      <w:r w:rsidRPr="00C218FB">
        <w:rPr>
          <w:rFonts w:ascii="Times New Roman" w:eastAsia="Times New Roman" w:hAnsi="Times New Roman" w:cs="Times New Roman"/>
          <w:sz w:val="24"/>
          <w:szCs w:val="24"/>
          <w:lang w:eastAsia="es-MX"/>
        </w:rPr>
        <w:t xml:space="preserve"> y se asegura que los recursos públicos se apliquen de manera eficiente en beneficio de la población.</w:t>
      </w:r>
    </w:p>
    <w:p w:rsidR="000F603A" w:rsidRPr="00C218FB" w:rsidRDefault="000F603A" w:rsidP="00C218FB">
      <w:pPr>
        <w:spacing w:after="0" w:line="240" w:lineRule="auto"/>
        <w:jc w:val="both"/>
        <w:rPr>
          <w:rFonts w:ascii="Times New Roman" w:eastAsia="Yu Mincho" w:hAnsi="Times New Roman" w:cs="Times New Roman"/>
          <w:sz w:val="24"/>
          <w:szCs w:val="24"/>
        </w:rPr>
      </w:pPr>
    </w:p>
    <w:p w:rsidR="000F603A" w:rsidRPr="00C218FB" w:rsidRDefault="000F603A" w:rsidP="00C218FB">
      <w:pPr>
        <w:numPr>
          <w:ilvl w:val="0"/>
          <w:numId w:val="39"/>
        </w:numPr>
        <w:tabs>
          <w:tab w:val="clear" w:pos="720"/>
        </w:tabs>
        <w:spacing w:after="0" w:line="240" w:lineRule="auto"/>
        <w:ind w:left="1416"/>
        <w:jc w:val="both"/>
        <w:rPr>
          <w:rFonts w:ascii="Times New Roman" w:eastAsia="Yu Mincho" w:hAnsi="Times New Roman" w:cs="Times New Roman"/>
          <w:sz w:val="24"/>
          <w:szCs w:val="24"/>
        </w:rPr>
      </w:pPr>
      <w:r w:rsidRPr="00C218FB">
        <w:rPr>
          <w:rFonts w:ascii="Times New Roman" w:eastAsia="Yu Mincho" w:hAnsi="Times New Roman" w:cs="Times New Roman"/>
          <w:b/>
          <w:bCs/>
          <w:sz w:val="24"/>
          <w:szCs w:val="24"/>
        </w:rPr>
        <w:t>Jurisdicción de Ecatepec de Morelos:</w:t>
      </w:r>
      <w:r w:rsidRPr="00C218FB">
        <w:rPr>
          <w:rFonts w:ascii="Times New Roman" w:eastAsia="Yu Mincho" w:hAnsi="Times New Roman" w:cs="Times New Roman"/>
          <w:sz w:val="24"/>
          <w:szCs w:val="24"/>
        </w:rPr>
        <w:t xml:space="preserve"> </w:t>
      </w:r>
    </w:p>
    <w:p w:rsidR="000F603A" w:rsidRPr="00C218FB" w:rsidRDefault="000F603A" w:rsidP="00C218FB">
      <w:pPr>
        <w:spacing w:after="0" w:line="240" w:lineRule="auto"/>
        <w:ind w:left="1404"/>
        <w:jc w:val="both"/>
        <w:rPr>
          <w:rFonts w:ascii="Times New Roman" w:hAnsi="Times New Roman" w:cs="Times New Roman"/>
          <w:sz w:val="24"/>
          <w:szCs w:val="24"/>
        </w:rPr>
      </w:pPr>
      <w:r w:rsidRPr="00C218FB">
        <w:rPr>
          <w:rFonts w:ascii="Times New Roman" w:eastAsia="Yu Mincho" w:hAnsi="Times New Roman" w:cs="Times New Roman"/>
          <w:sz w:val="24"/>
          <w:szCs w:val="24"/>
        </w:rPr>
        <w:t xml:space="preserve">Se reconoce su soberanía </w:t>
      </w:r>
      <w:r w:rsidRPr="00C218FB">
        <w:rPr>
          <w:rFonts w:ascii="Times New Roman" w:eastAsia="Yu Mincho" w:hAnsi="Times New Roman" w:cs="Times New Roman"/>
          <w:b/>
          <w:bCs/>
          <w:sz w:val="24"/>
          <w:szCs w:val="24"/>
        </w:rPr>
        <w:t xml:space="preserve">sobre </w:t>
      </w:r>
      <w:r w:rsidRPr="00C218FB">
        <w:rPr>
          <w:rFonts w:ascii="Times New Roman" w:eastAsia="Yu Mincho" w:hAnsi="Times New Roman" w:cs="Times New Roman"/>
          <w:b/>
          <w:bCs/>
          <w:sz w:val="24"/>
          <w:szCs w:val="24"/>
          <w:lang w:val="es-ES"/>
        </w:rPr>
        <w:t xml:space="preserve">las colonias Prado San Juan, </w:t>
      </w:r>
      <w:r w:rsidRPr="00C218FB">
        <w:rPr>
          <w:rFonts w:ascii="Times New Roman" w:eastAsia="Yu Mincho" w:hAnsi="Times New Roman" w:cs="Times New Roman"/>
          <w:sz w:val="24"/>
          <w:szCs w:val="24"/>
          <w:lang w:val="es-ES"/>
        </w:rPr>
        <w:t>(excepto las calles denominadas Girasol, Laurel, Gardenias y Bugambilias)</w:t>
      </w:r>
      <w:r w:rsidRPr="00C218FB">
        <w:rPr>
          <w:rFonts w:ascii="Times New Roman" w:eastAsia="Yu Mincho" w:hAnsi="Times New Roman" w:cs="Times New Roman"/>
          <w:b/>
          <w:bCs/>
          <w:sz w:val="24"/>
          <w:szCs w:val="24"/>
          <w:lang w:val="es-ES"/>
        </w:rPr>
        <w:t xml:space="preserve">, Lazaro </w:t>
      </w:r>
      <w:proofErr w:type="spellStart"/>
      <w:r w:rsidRPr="00C218FB">
        <w:rPr>
          <w:rFonts w:ascii="Times New Roman" w:eastAsia="Yu Mincho" w:hAnsi="Times New Roman" w:cs="Times New Roman"/>
          <w:b/>
          <w:bCs/>
          <w:sz w:val="24"/>
          <w:szCs w:val="24"/>
          <w:lang w:val="es-ES"/>
        </w:rPr>
        <w:t>Cardenas</w:t>
      </w:r>
      <w:proofErr w:type="spellEnd"/>
      <w:r w:rsidRPr="00C218FB">
        <w:rPr>
          <w:rFonts w:ascii="Times New Roman" w:eastAsia="Yu Mincho" w:hAnsi="Times New Roman" w:cs="Times New Roman"/>
          <w:b/>
          <w:bCs/>
          <w:sz w:val="24"/>
          <w:szCs w:val="24"/>
          <w:lang w:val="es-ES"/>
        </w:rPr>
        <w:t>, La Laguna, y Ejido Santa María Chiconautla</w:t>
      </w:r>
      <w:r w:rsidRPr="00C218FB">
        <w:rPr>
          <w:rFonts w:ascii="Times New Roman" w:eastAsia="Yu Mincho" w:hAnsi="Times New Roman" w:cs="Times New Roman"/>
          <w:b/>
          <w:bCs/>
          <w:kern w:val="2"/>
          <w:sz w:val="24"/>
          <w:szCs w:val="24"/>
          <w:lang w:val="es-ES"/>
        </w:rPr>
        <w:t>, J</w:t>
      </w:r>
      <w:r w:rsidRPr="00C218FB">
        <w:rPr>
          <w:rFonts w:ascii="Times New Roman" w:eastAsia="Yu Mincho" w:hAnsi="Times New Roman" w:cs="Times New Roman"/>
          <w:b/>
          <w:bCs/>
          <w:sz w:val="24"/>
          <w:szCs w:val="24"/>
          <w:lang w:val="es-ES"/>
        </w:rPr>
        <w:t>uzgados Penales de Ecatepec y el área conocida como el tiradero</w:t>
      </w:r>
      <w:r w:rsidRPr="00C218FB">
        <w:rPr>
          <w:rFonts w:ascii="Times New Roman" w:eastAsia="Yu Mincho" w:hAnsi="Times New Roman" w:cs="Times New Roman"/>
          <w:sz w:val="24"/>
          <w:szCs w:val="24"/>
          <w:lang w:val="es-ES"/>
        </w:rPr>
        <w:t xml:space="preserve">, estos conforman parte del polígono, comprendiendo un área de 272.82 hectáreas, </w:t>
      </w:r>
      <w:r w:rsidRPr="00C218FB">
        <w:rPr>
          <w:rFonts w:ascii="Times New Roman" w:eastAsia="Yu Mincho" w:hAnsi="Times New Roman" w:cs="Times New Roman"/>
          <w:sz w:val="24"/>
          <w:szCs w:val="24"/>
        </w:rPr>
        <w:t xml:space="preserve">en virtud de los actos de autoridad y la atención directa a la población. </w:t>
      </w:r>
    </w:p>
    <w:p w:rsidR="000F603A" w:rsidRPr="00C218FB" w:rsidRDefault="000F603A" w:rsidP="00C218FB">
      <w:pPr>
        <w:spacing w:after="0" w:line="240" w:lineRule="auto"/>
        <w:ind w:left="1416"/>
        <w:jc w:val="both"/>
        <w:rPr>
          <w:rFonts w:ascii="Times New Roman" w:eastAsia="Yu Mincho" w:hAnsi="Times New Roman" w:cs="Times New Roman"/>
          <w:sz w:val="24"/>
          <w:szCs w:val="24"/>
        </w:rPr>
      </w:pPr>
    </w:p>
    <w:p w:rsidR="000F603A" w:rsidRPr="00C218FB" w:rsidRDefault="000F603A" w:rsidP="00C218FB">
      <w:pPr>
        <w:spacing w:after="0" w:line="240" w:lineRule="auto"/>
        <w:ind w:left="1416"/>
        <w:jc w:val="both"/>
        <w:rPr>
          <w:rFonts w:ascii="Times New Roman" w:eastAsia="Yu Mincho" w:hAnsi="Times New Roman" w:cs="Times New Roman"/>
          <w:sz w:val="24"/>
          <w:szCs w:val="24"/>
        </w:rPr>
      </w:pPr>
      <w:r w:rsidRPr="00C218FB">
        <w:rPr>
          <w:rFonts w:ascii="Times New Roman" w:eastAsia="Yu Mincho" w:hAnsi="Times New Roman" w:cs="Times New Roman"/>
          <w:sz w:val="24"/>
          <w:szCs w:val="24"/>
        </w:rPr>
        <w:t>Dicha zona se integra formalmente a su cartografía municipal conforme al plano resolutivo anexo.</w:t>
      </w:r>
    </w:p>
    <w:p w:rsidR="000F603A" w:rsidRPr="00C218FB" w:rsidRDefault="000F603A" w:rsidP="00C218FB">
      <w:pPr>
        <w:spacing w:after="0" w:line="240" w:lineRule="auto"/>
        <w:ind w:left="1416"/>
        <w:jc w:val="both"/>
        <w:rPr>
          <w:rFonts w:ascii="Times New Roman" w:eastAsia="Yu Mincho" w:hAnsi="Times New Roman" w:cs="Times New Roman"/>
          <w:sz w:val="24"/>
          <w:szCs w:val="24"/>
        </w:rPr>
      </w:pPr>
    </w:p>
    <w:p w:rsidR="000F603A" w:rsidRPr="00C218FB" w:rsidRDefault="000F603A" w:rsidP="00C218FB">
      <w:pPr>
        <w:numPr>
          <w:ilvl w:val="0"/>
          <w:numId w:val="39"/>
        </w:numPr>
        <w:tabs>
          <w:tab w:val="clear" w:pos="720"/>
        </w:tabs>
        <w:spacing w:after="0" w:line="240" w:lineRule="auto"/>
        <w:ind w:left="1416"/>
        <w:jc w:val="both"/>
        <w:rPr>
          <w:rFonts w:ascii="Times New Roman" w:eastAsia="Yu Mincho" w:hAnsi="Times New Roman" w:cs="Times New Roman"/>
          <w:sz w:val="24"/>
          <w:szCs w:val="24"/>
        </w:rPr>
      </w:pPr>
      <w:r w:rsidRPr="00C218FB">
        <w:rPr>
          <w:rFonts w:ascii="Times New Roman" w:eastAsia="Yu Mincho" w:hAnsi="Times New Roman" w:cs="Times New Roman"/>
          <w:b/>
          <w:bCs/>
          <w:sz w:val="24"/>
          <w:szCs w:val="24"/>
        </w:rPr>
        <w:t>Reconocimiento a Acolman:</w:t>
      </w:r>
      <w:r w:rsidRPr="00C218FB">
        <w:rPr>
          <w:rFonts w:ascii="Times New Roman" w:eastAsia="Yu Mincho" w:hAnsi="Times New Roman" w:cs="Times New Roman"/>
          <w:sz w:val="24"/>
          <w:szCs w:val="24"/>
        </w:rPr>
        <w:t xml:space="preserve"> </w:t>
      </w:r>
    </w:p>
    <w:p w:rsidR="000F603A" w:rsidRPr="00C218FB" w:rsidRDefault="000F603A" w:rsidP="00C218FB">
      <w:pPr>
        <w:spacing w:after="0" w:line="240" w:lineRule="auto"/>
        <w:ind w:left="1416"/>
        <w:jc w:val="both"/>
        <w:rPr>
          <w:rFonts w:ascii="Times New Roman" w:eastAsia="Yu Mincho" w:hAnsi="Times New Roman" w:cs="Times New Roman"/>
          <w:sz w:val="24"/>
          <w:szCs w:val="24"/>
        </w:rPr>
      </w:pPr>
      <w:r w:rsidRPr="00C218FB">
        <w:rPr>
          <w:rFonts w:ascii="Times New Roman" w:eastAsia="Yu Mincho" w:hAnsi="Times New Roman" w:cs="Times New Roman"/>
          <w:sz w:val="24"/>
          <w:szCs w:val="24"/>
        </w:rPr>
        <w:t xml:space="preserve">Atendiendo al tracto histórico de recaudación, se determina que </w:t>
      </w:r>
      <w:r w:rsidRPr="00C218FB">
        <w:rPr>
          <w:rFonts w:ascii="Times New Roman" w:eastAsia="Yu Mincho" w:hAnsi="Times New Roman" w:cs="Times New Roman"/>
          <w:b/>
          <w:bCs/>
          <w:sz w:val="24"/>
          <w:szCs w:val="24"/>
        </w:rPr>
        <w:t xml:space="preserve">las Colonias “Prado San Juan </w:t>
      </w:r>
      <w:r w:rsidRPr="00C218FB">
        <w:rPr>
          <w:rFonts w:ascii="Times New Roman" w:eastAsia="Yu Mincho" w:hAnsi="Times New Roman" w:cs="Times New Roman"/>
          <w:b/>
          <w:bCs/>
          <w:sz w:val="24"/>
          <w:szCs w:val="24"/>
          <w:lang w:val="es-ES"/>
        </w:rPr>
        <w:t>(</w:t>
      </w:r>
      <w:r w:rsidRPr="00C218FB">
        <w:rPr>
          <w:rFonts w:ascii="Times New Roman" w:eastAsia="Yu Mincho" w:hAnsi="Times New Roman" w:cs="Times New Roman"/>
          <w:sz w:val="24"/>
          <w:szCs w:val="24"/>
          <w:lang w:val="es-ES"/>
        </w:rPr>
        <w:t>solo las calles denominadas Girasol, Laurel, Gardenias y Bugambilias</w:t>
      </w:r>
      <w:r w:rsidRPr="00C218FB">
        <w:rPr>
          <w:rFonts w:ascii="Times New Roman" w:eastAsia="Yu Mincho" w:hAnsi="Times New Roman" w:cs="Times New Roman"/>
          <w:b/>
          <w:bCs/>
          <w:sz w:val="24"/>
          <w:szCs w:val="24"/>
          <w:lang w:val="es-ES"/>
        </w:rPr>
        <w:t xml:space="preserve">), </w:t>
      </w:r>
      <w:r w:rsidRPr="00C218FB">
        <w:rPr>
          <w:rFonts w:ascii="Times New Roman" w:eastAsia="Yu Mincho" w:hAnsi="Times New Roman" w:cs="Times New Roman"/>
          <w:b/>
          <w:bCs/>
          <w:sz w:val="24"/>
          <w:szCs w:val="24"/>
        </w:rPr>
        <w:t xml:space="preserve">Guerrero y Pirules”, así como La Termoeléctrica e Instalaciones de PEMEX, </w:t>
      </w:r>
      <w:r w:rsidRPr="00C218FB">
        <w:rPr>
          <w:rFonts w:ascii="Times New Roman" w:eastAsia="Yu Mincho" w:hAnsi="Times New Roman" w:cs="Times New Roman"/>
          <w:sz w:val="24"/>
          <w:szCs w:val="24"/>
        </w:rPr>
        <w:t xml:space="preserve">lugares que equivalen a 202.18 hectáreas que conforman parte del polígono, litis de este dictamen, </w:t>
      </w:r>
      <w:r w:rsidRPr="00C218FB">
        <w:rPr>
          <w:rFonts w:ascii="Times New Roman" w:eastAsia="Aptos" w:hAnsi="Times New Roman" w:cs="Times New Roman"/>
          <w:sz w:val="24"/>
          <w:szCs w:val="24"/>
        </w:rPr>
        <w:t>permanecerán bajo la jurisdicción administrativa del municipio de Acolman, atendiendo a los antecedentes históricos, administrativos y de gestión institucional acreditados en autos, así como a la necesidad de otorgar certeza jurídica y gobernabilidad en dicha porción territorial.</w:t>
      </w:r>
    </w:p>
    <w:p w:rsidR="000F603A" w:rsidRPr="00C218FB" w:rsidRDefault="000F603A" w:rsidP="00C218FB">
      <w:pPr>
        <w:spacing w:after="0" w:line="240" w:lineRule="auto"/>
        <w:ind w:left="1416"/>
        <w:jc w:val="both"/>
        <w:rPr>
          <w:rFonts w:ascii="Times New Roman" w:eastAsia="Yu Mincho" w:hAnsi="Times New Roman" w:cs="Times New Roman"/>
          <w:sz w:val="24"/>
          <w:szCs w:val="24"/>
        </w:rPr>
      </w:pPr>
    </w:p>
    <w:p w:rsidR="000F603A" w:rsidRPr="00C218FB" w:rsidRDefault="000F603A" w:rsidP="00C218FB">
      <w:pPr>
        <w:spacing w:after="0" w:line="240" w:lineRule="auto"/>
        <w:ind w:left="1416"/>
        <w:jc w:val="both"/>
        <w:rPr>
          <w:rFonts w:ascii="Times New Roman" w:eastAsia="Yu Mincho" w:hAnsi="Times New Roman" w:cs="Times New Roman"/>
          <w:sz w:val="24"/>
          <w:szCs w:val="24"/>
        </w:rPr>
      </w:pPr>
      <w:r w:rsidRPr="00C218FB">
        <w:rPr>
          <w:rFonts w:ascii="Times New Roman" w:eastAsia="Yu Mincho" w:hAnsi="Times New Roman" w:cs="Times New Roman"/>
          <w:sz w:val="24"/>
          <w:szCs w:val="24"/>
        </w:rPr>
        <w:t>Dicha zona se integra formalmente a su cartografía municipal conforme al plano resolutivo anexo.</w:t>
      </w:r>
    </w:p>
    <w:p w:rsidR="000F603A" w:rsidRPr="00C218FB" w:rsidRDefault="000F603A" w:rsidP="00C218FB">
      <w:pPr>
        <w:spacing w:after="0" w:line="240" w:lineRule="auto"/>
        <w:ind w:left="1416"/>
        <w:jc w:val="both"/>
        <w:rPr>
          <w:rFonts w:ascii="Times New Roman" w:eastAsia="Yu Mincho" w:hAnsi="Times New Roman" w:cs="Times New Roman"/>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sz w:val="24"/>
          <w:szCs w:val="24"/>
        </w:rPr>
        <w:t>Por lo expuesto y el análisis exhaustivo de los antecedentes y consideraciones se emiten los siguientes:</w:t>
      </w:r>
    </w:p>
    <w:p w:rsidR="000F603A" w:rsidRPr="00C218FB" w:rsidRDefault="000F603A" w:rsidP="00C218FB">
      <w:pPr>
        <w:spacing w:after="0" w:line="240" w:lineRule="auto"/>
        <w:jc w:val="both"/>
        <w:rPr>
          <w:rFonts w:ascii="Times New Roman" w:hAnsi="Times New Roman" w:cs="Times New Roman"/>
          <w:sz w:val="24"/>
          <w:szCs w:val="24"/>
        </w:rPr>
      </w:pPr>
    </w:p>
    <w:p w:rsidR="000F603A" w:rsidRPr="00C218FB" w:rsidRDefault="000F603A" w:rsidP="00C218FB">
      <w:pPr>
        <w:spacing w:after="0" w:line="240" w:lineRule="auto"/>
        <w:jc w:val="center"/>
        <w:rPr>
          <w:rFonts w:ascii="Times New Roman" w:hAnsi="Times New Roman" w:cs="Times New Roman"/>
          <w:b/>
          <w:sz w:val="24"/>
          <w:szCs w:val="24"/>
        </w:rPr>
      </w:pPr>
      <w:r w:rsidRPr="00C218FB">
        <w:rPr>
          <w:rFonts w:ascii="Times New Roman" w:hAnsi="Times New Roman" w:cs="Times New Roman"/>
          <w:b/>
          <w:sz w:val="24"/>
          <w:szCs w:val="24"/>
        </w:rPr>
        <w:t xml:space="preserve">RESOLUTIVOS </w:t>
      </w:r>
    </w:p>
    <w:p w:rsidR="000F603A" w:rsidRPr="00C218FB" w:rsidRDefault="000F603A" w:rsidP="00C218FB">
      <w:pPr>
        <w:spacing w:after="0" w:line="240" w:lineRule="auto"/>
        <w:jc w:val="center"/>
        <w:rPr>
          <w:rFonts w:ascii="Times New Roman" w:hAnsi="Times New Roman" w:cs="Times New Roman"/>
          <w:b/>
          <w:sz w:val="24"/>
          <w:szCs w:val="24"/>
        </w:rPr>
      </w:pPr>
    </w:p>
    <w:p w:rsidR="000F603A" w:rsidRPr="00C218FB" w:rsidRDefault="000F603A" w:rsidP="00C218FB">
      <w:pPr>
        <w:spacing w:after="0" w:line="240" w:lineRule="auto"/>
        <w:jc w:val="both"/>
        <w:rPr>
          <w:rFonts w:ascii="Times New Roman" w:hAnsi="Times New Roman" w:cs="Times New Roman"/>
          <w:sz w:val="24"/>
          <w:szCs w:val="24"/>
        </w:rPr>
      </w:pPr>
      <w:r w:rsidRPr="00C218FB">
        <w:rPr>
          <w:rFonts w:ascii="Times New Roman" w:hAnsi="Times New Roman" w:cs="Times New Roman"/>
          <w:b/>
          <w:sz w:val="24"/>
          <w:szCs w:val="24"/>
        </w:rPr>
        <w:t>PRIMERO.</w:t>
      </w:r>
      <w:r w:rsidRPr="00C218FB">
        <w:rPr>
          <w:rFonts w:ascii="Times New Roman" w:hAnsi="Times New Roman" w:cs="Times New Roman"/>
          <w:sz w:val="24"/>
          <w:szCs w:val="24"/>
        </w:rPr>
        <w:t xml:space="preserve"> La “LXII” Legislatura del Estado Libre y Soberano de México, siendo competente para conocer y resolver del Procedimiento de Diferendo Limítrofe Intermunicipal entre los municipios de Acolman y Ecatepec de Morelos, con los Municipios de Tecámac y Atenco en calidad de terceros, con fundamento en lo dispuesto por el artículo 61 fracciones I, XXV y XXVI de la Constitución Política del Estado Libre y Soberano de México, </w:t>
      </w:r>
      <w:r w:rsidRPr="00C218FB">
        <w:rPr>
          <w:rFonts w:ascii="Times New Roman" w:eastAsia="Times New Roman" w:hAnsi="Times New Roman" w:cs="Times New Roman"/>
          <w:sz w:val="24"/>
          <w:szCs w:val="24"/>
          <w:lang w:eastAsia="es-MX"/>
        </w:rPr>
        <w:t xml:space="preserve">13 A, fracción XXV, inciso a) del Reglamento del Poder Legislativo del Estado Libre y Soberano de México, en relación con los artículos 1, 2, 3, fracción IV, 4, 6, 40, 41, 42, 45 fracción IV, 46, 47, 50, 51, 52, 53 y 54 de la Ley Reglamentaria de las Fracciones XXV y XXVI del artículo 61 de la Constitución Política del Estado Libre y Soberano de México, </w:t>
      </w:r>
      <w:r w:rsidRPr="00C218FB">
        <w:rPr>
          <w:rFonts w:ascii="Times New Roman" w:hAnsi="Times New Roman" w:cs="Times New Roman"/>
          <w:sz w:val="24"/>
          <w:szCs w:val="24"/>
        </w:rPr>
        <w:t xml:space="preserve">se resuelve el conflicto de límites territoriales sometido a la competencia de la “LXII” Legislatura del Estado de México, por lo que se reconoce que </w:t>
      </w:r>
      <w:r w:rsidRPr="00C218FB">
        <w:rPr>
          <w:rFonts w:ascii="Times New Roman" w:eastAsia="Yu Mincho" w:hAnsi="Times New Roman" w:cs="Times New Roman"/>
          <w:b/>
          <w:bCs/>
          <w:sz w:val="24"/>
          <w:szCs w:val="24"/>
        </w:rPr>
        <w:t xml:space="preserve">las Colonias “Prado San Juan </w:t>
      </w:r>
      <w:r w:rsidRPr="00C218FB">
        <w:rPr>
          <w:rFonts w:ascii="Times New Roman" w:eastAsia="Yu Mincho" w:hAnsi="Times New Roman" w:cs="Times New Roman"/>
          <w:b/>
          <w:bCs/>
          <w:sz w:val="24"/>
          <w:szCs w:val="24"/>
          <w:lang w:val="es-ES"/>
        </w:rPr>
        <w:t>(</w:t>
      </w:r>
      <w:r w:rsidRPr="00C218FB">
        <w:rPr>
          <w:rFonts w:ascii="Times New Roman" w:eastAsia="Yu Mincho" w:hAnsi="Times New Roman" w:cs="Times New Roman"/>
          <w:sz w:val="24"/>
          <w:szCs w:val="24"/>
          <w:lang w:val="es-ES"/>
        </w:rPr>
        <w:t>solo las calles denominadas Girasol, Laurel, Gardenias y Bugambilias</w:t>
      </w:r>
      <w:r w:rsidRPr="00C218FB">
        <w:rPr>
          <w:rFonts w:ascii="Times New Roman" w:eastAsia="Yu Mincho" w:hAnsi="Times New Roman" w:cs="Times New Roman"/>
          <w:b/>
          <w:bCs/>
          <w:sz w:val="24"/>
          <w:szCs w:val="24"/>
          <w:lang w:val="es-ES"/>
        </w:rPr>
        <w:t xml:space="preserve">), </w:t>
      </w:r>
      <w:r w:rsidRPr="00C218FB">
        <w:rPr>
          <w:rFonts w:ascii="Times New Roman" w:eastAsia="Yu Mincho" w:hAnsi="Times New Roman" w:cs="Times New Roman"/>
          <w:b/>
          <w:bCs/>
          <w:sz w:val="24"/>
          <w:szCs w:val="24"/>
        </w:rPr>
        <w:t xml:space="preserve">Guerrero y Pirules”, así como La Termoeléctrica e Instalaciones de PEMEX, </w:t>
      </w:r>
      <w:r w:rsidRPr="00C218FB">
        <w:rPr>
          <w:rFonts w:ascii="Times New Roman" w:hAnsi="Times New Roman" w:cs="Times New Roman"/>
          <w:sz w:val="24"/>
          <w:szCs w:val="24"/>
        </w:rPr>
        <w:t xml:space="preserve">con un área de 202.18 hectáreas forman parte del municipio de </w:t>
      </w:r>
      <w:r w:rsidRPr="00C218FB">
        <w:rPr>
          <w:rFonts w:ascii="Times New Roman" w:hAnsi="Times New Roman" w:cs="Times New Roman"/>
          <w:b/>
          <w:bCs/>
          <w:sz w:val="24"/>
          <w:szCs w:val="24"/>
        </w:rPr>
        <w:t>Acolman</w:t>
      </w:r>
      <w:r w:rsidRPr="00C218FB">
        <w:rPr>
          <w:rFonts w:ascii="Times New Roman" w:hAnsi="Times New Roman" w:cs="Times New Roman"/>
          <w:sz w:val="24"/>
          <w:szCs w:val="24"/>
        </w:rPr>
        <w:t xml:space="preserve"> y que </w:t>
      </w:r>
      <w:r w:rsidRPr="00C218FB">
        <w:rPr>
          <w:rFonts w:ascii="Times New Roman" w:eastAsia="Yu Mincho" w:hAnsi="Times New Roman" w:cs="Times New Roman"/>
          <w:b/>
          <w:bCs/>
          <w:sz w:val="24"/>
          <w:szCs w:val="24"/>
          <w:lang w:val="es-ES"/>
        </w:rPr>
        <w:t xml:space="preserve">las colonias Prado San Juan, </w:t>
      </w:r>
      <w:r w:rsidRPr="00C218FB">
        <w:rPr>
          <w:rFonts w:ascii="Times New Roman" w:eastAsia="Yu Mincho" w:hAnsi="Times New Roman" w:cs="Times New Roman"/>
          <w:sz w:val="24"/>
          <w:szCs w:val="24"/>
          <w:lang w:val="es-ES"/>
        </w:rPr>
        <w:t>(excepto las calles denominadas Girasol, Laurel, Gardenias y Bugambilias)</w:t>
      </w:r>
      <w:r w:rsidRPr="00C218FB">
        <w:rPr>
          <w:rFonts w:ascii="Times New Roman" w:eastAsia="Yu Mincho" w:hAnsi="Times New Roman" w:cs="Times New Roman"/>
          <w:b/>
          <w:bCs/>
          <w:sz w:val="24"/>
          <w:szCs w:val="24"/>
          <w:lang w:val="es-ES"/>
        </w:rPr>
        <w:t>, Lázaro Cárdenas, La Laguna, y Ejido Santa María Chiconautla</w:t>
      </w:r>
      <w:r w:rsidRPr="00C218FB">
        <w:rPr>
          <w:rFonts w:ascii="Times New Roman" w:eastAsia="Yu Mincho" w:hAnsi="Times New Roman" w:cs="Times New Roman"/>
          <w:b/>
          <w:bCs/>
          <w:kern w:val="2"/>
          <w:sz w:val="24"/>
          <w:szCs w:val="24"/>
          <w:lang w:val="es-ES"/>
        </w:rPr>
        <w:t>, J</w:t>
      </w:r>
      <w:r w:rsidRPr="00C218FB">
        <w:rPr>
          <w:rFonts w:ascii="Times New Roman" w:eastAsia="Yu Mincho" w:hAnsi="Times New Roman" w:cs="Times New Roman"/>
          <w:b/>
          <w:bCs/>
          <w:sz w:val="24"/>
          <w:szCs w:val="24"/>
          <w:lang w:val="es-ES"/>
        </w:rPr>
        <w:t>uzgados Penales de Ecatepec y el área conocida como el tiradero</w:t>
      </w:r>
      <w:r w:rsidRPr="00C218FB">
        <w:rPr>
          <w:rFonts w:ascii="Times New Roman" w:eastAsia="Yu Mincho" w:hAnsi="Times New Roman" w:cs="Times New Roman"/>
          <w:sz w:val="24"/>
          <w:szCs w:val="24"/>
          <w:lang w:val="es-ES"/>
        </w:rPr>
        <w:t xml:space="preserve">, </w:t>
      </w:r>
      <w:r w:rsidRPr="00C218FB">
        <w:rPr>
          <w:rFonts w:ascii="Times New Roman" w:hAnsi="Times New Roman" w:cs="Times New Roman"/>
          <w:sz w:val="24"/>
          <w:szCs w:val="24"/>
        </w:rPr>
        <w:t xml:space="preserve">con un área de 272.82 hectáreas forman parte del municipio de </w:t>
      </w:r>
      <w:r w:rsidRPr="00C218FB">
        <w:rPr>
          <w:rFonts w:ascii="Times New Roman" w:hAnsi="Times New Roman" w:cs="Times New Roman"/>
          <w:b/>
          <w:bCs/>
          <w:sz w:val="24"/>
          <w:szCs w:val="24"/>
        </w:rPr>
        <w:t>Ecatepec de Morelos</w:t>
      </w:r>
      <w:r w:rsidRPr="00C218FB">
        <w:rPr>
          <w:rFonts w:ascii="Times New Roman" w:hAnsi="Times New Roman" w:cs="Times New Roman"/>
          <w:sz w:val="24"/>
          <w:szCs w:val="24"/>
        </w:rPr>
        <w:t xml:space="preserve"> y sus delimitaciones territoriales correspondientes se indican en el plano de </w:t>
      </w:r>
      <w:r w:rsidRPr="00C218FB">
        <w:rPr>
          <w:rFonts w:ascii="Times New Roman" w:hAnsi="Times New Roman" w:cs="Times New Roman"/>
          <w:sz w:val="24"/>
          <w:szCs w:val="24"/>
        </w:rPr>
        <w:lastRenderedPageBreak/>
        <w:t>levantamiento topográfico, que se adjunta al presente como anexo 01, elaborado por la Comisión Legislativa de Límites Territoriales del Estado de México y sus Municipios de la “LXII” Legislatura del Estado de México, en apoyo interinstitucional del Instituto de Información e Investigación Geográfica, Estadística y Catastral del Estado de México IGECEM.</w:t>
      </w:r>
    </w:p>
    <w:p w:rsidR="000F603A" w:rsidRPr="00C218FB" w:rsidRDefault="000F603A" w:rsidP="00C218FB">
      <w:pPr>
        <w:spacing w:after="0" w:line="240" w:lineRule="auto"/>
        <w:jc w:val="both"/>
        <w:rPr>
          <w:rFonts w:ascii="Times New Roman" w:eastAsia="Times New Roman" w:hAnsi="Times New Roman" w:cs="Times New Roman"/>
          <w:b/>
          <w:sz w:val="24"/>
          <w:szCs w:val="24"/>
          <w:lang w:eastAsia="es-MX"/>
        </w:rPr>
      </w:pPr>
    </w:p>
    <w:p w:rsidR="000F603A" w:rsidRPr="00C218FB" w:rsidRDefault="000F603A" w:rsidP="00C218FB">
      <w:pPr>
        <w:spacing w:after="0" w:line="240" w:lineRule="auto"/>
        <w:jc w:val="both"/>
        <w:rPr>
          <w:rFonts w:ascii="Times New Roman" w:eastAsia="Yu Mincho" w:hAnsi="Times New Roman" w:cs="Times New Roman"/>
          <w:sz w:val="24"/>
          <w:szCs w:val="24"/>
        </w:rPr>
      </w:pPr>
      <w:r w:rsidRPr="00C218FB">
        <w:rPr>
          <w:rFonts w:ascii="Times New Roman" w:eastAsia="Times New Roman" w:hAnsi="Times New Roman" w:cs="Times New Roman"/>
          <w:b/>
          <w:sz w:val="24"/>
          <w:szCs w:val="24"/>
          <w:lang w:eastAsia="es-MX"/>
        </w:rPr>
        <w:t xml:space="preserve">SEGUNDO. </w:t>
      </w:r>
      <w:r w:rsidRPr="00C218FB">
        <w:rPr>
          <w:rFonts w:ascii="Times New Roman" w:eastAsia="Yu Mincho" w:hAnsi="Times New Roman" w:cs="Times New Roman"/>
          <w:sz w:val="24"/>
          <w:szCs w:val="24"/>
        </w:rPr>
        <w:t xml:space="preserve">La presente resolución dota de </w:t>
      </w:r>
      <w:r w:rsidRPr="00C218FB">
        <w:rPr>
          <w:rFonts w:ascii="Times New Roman" w:eastAsia="Yu Mincho" w:hAnsi="Times New Roman" w:cs="Times New Roman"/>
          <w:b/>
          <w:bCs/>
          <w:sz w:val="24"/>
          <w:szCs w:val="24"/>
        </w:rPr>
        <w:t>materialidad jurídica y certidumbre técnica</w:t>
      </w:r>
      <w:r w:rsidRPr="00C218FB">
        <w:rPr>
          <w:rFonts w:ascii="Times New Roman" w:eastAsia="Yu Mincho" w:hAnsi="Times New Roman" w:cs="Times New Roman"/>
          <w:sz w:val="24"/>
          <w:szCs w:val="24"/>
        </w:rPr>
        <w:t xml:space="preserve"> a los actos de gobierno, administración y aplicación de recursos públicos en la zona. Con este fallo, el Poder Legislativo del Estado de México garantiza la </w:t>
      </w:r>
      <w:r w:rsidRPr="00C218FB">
        <w:rPr>
          <w:rFonts w:ascii="Times New Roman" w:eastAsia="Yu Mincho" w:hAnsi="Times New Roman" w:cs="Times New Roman"/>
          <w:b/>
          <w:bCs/>
          <w:sz w:val="24"/>
          <w:szCs w:val="24"/>
        </w:rPr>
        <w:t>paz social, la gobernabilidad y la seguridad jurídica</w:t>
      </w:r>
      <w:r w:rsidRPr="00C218FB">
        <w:rPr>
          <w:rFonts w:ascii="Times New Roman" w:eastAsia="Yu Mincho" w:hAnsi="Times New Roman" w:cs="Times New Roman"/>
          <w:sz w:val="24"/>
          <w:szCs w:val="24"/>
        </w:rPr>
        <w:t>, erradicando el estado de indefinición territorial en beneficio de los habitantes del polígono "Santa María Chiconautla".</w:t>
      </w:r>
    </w:p>
    <w:p w:rsidR="000F603A" w:rsidRPr="00C218FB" w:rsidRDefault="000F603A" w:rsidP="00C218FB">
      <w:pPr>
        <w:spacing w:after="0" w:line="240" w:lineRule="auto"/>
        <w:jc w:val="both"/>
        <w:rPr>
          <w:rFonts w:ascii="Times New Roman" w:eastAsia="Times New Roman" w:hAnsi="Times New Roman" w:cs="Times New Roman"/>
          <w:b/>
          <w:sz w:val="24"/>
          <w:szCs w:val="24"/>
          <w:lang w:eastAsia="es-MX"/>
        </w:rPr>
      </w:pPr>
    </w:p>
    <w:p w:rsidR="000F603A" w:rsidRPr="00C218FB" w:rsidRDefault="000F603A" w:rsidP="00C218FB">
      <w:pPr>
        <w:spacing w:after="0" w:line="240" w:lineRule="auto"/>
        <w:jc w:val="both"/>
        <w:rPr>
          <w:rFonts w:ascii="Times New Roman" w:eastAsia="Times New Roman" w:hAnsi="Times New Roman" w:cs="Times New Roman"/>
          <w:sz w:val="24"/>
          <w:szCs w:val="24"/>
          <w:lang w:eastAsia="es-MX"/>
        </w:rPr>
      </w:pPr>
      <w:r w:rsidRPr="00C218FB">
        <w:rPr>
          <w:rFonts w:ascii="Times New Roman" w:eastAsia="Times New Roman" w:hAnsi="Times New Roman" w:cs="Times New Roman"/>
          <w:b/>
          <w:bCs/>
          <w:sz w:val="24"/>
          <w:szCs w:val="24"/>
          <w:lang w:eastAsia="es-MX"/>
        </w:rPr>
        <w:t>TERCERO.</w:t>
      </w:r>
      <w:r w:rsidRPr="00C218FB">
        <w:rPr>
          <w:rFonts w:ascii="Times New Roman" w:eastAsia="Times New Roman" w:hAnsi="Times New Roman" w:cs="Times New Roman"/>
          <w:sz w:val="24"/>
          <w:szCs w:val="24"/>
          <w:lang w:eastAsia="es-MX"/>
        </w:rPr>
        <w:t xml:space="preserve"> La línea limítrofe inicia en el punto marcado en el plano con el número 1, correspondiente a la intersección de los límites entre los municipios de Tecámac y Ecatepec de Morelos, a partir de este punto, sigue un rumbo noreste (NE), pasando por el vértice número 2 hasta llegar al punto trino entre los municipios de Ecatepec de Morelos, Tecámac y Acolman, identificado como el vértice número 3, con una distancia aproximada de 1,057.65 metros; posteriormente, cambia al rumbo suroeste (SW) hasta alcanzar el vértice 4, con una distancia aproximada de 1,006.06 metros, la línea limítrofe sigue los rumbos noroeste (NW), pasando por los vértices 5, 6, siguiendo las construcciones limítrofes de la colonia Prados de San Juan con una distancia aproximada de 461.95 metros, se continúa en dirección suroeste (SW), siguiendo las construcciones limítrofes de la colonia Prados de San Juan para llegar al vértice 7 con una distancia aproximada de 109.11 metros, cambiando el rumbo con dirección sureste (SE) seguimos al vértice 8 con una distancia aproximada de 47.30 metros, continuando por el centro del camellón aproximadamente 50.22 metros en dirección suroeste (SW) llegamos al vértice 9, posteriormente en dirección sureste (SE) con 258.75 metros de distancia aproximada y siguiendo la perimetral de los Juzgados y el Centro Penitenciario Estatal conectamos con los vértices 10, 11 y 12, asimismo siguiendo la perimetral antes mencionada pero en dirección suroeste (SW) con 181.78 metros de distancia llegamos al vértice 13, cambiando el rumbo hacia una dirección noroeste (NW) de igual manera sobre la misma perimetral con una distancia de 187.13 metros de distancia conectamos al vértice 14, seguimos por un rumbo suroeste (SW) para encontrarnos con los vértices 15 y 16 llegando a la Avenida Reclusorio y sumando una distancia aproximada de 65.29 metros aproximadamente, continuamos por Avenida Reclusorio durante 78.81 metros aproximadamente en dirección noroeste (NW) llegando al vértice 17 en la intersección de calle Insurgentes con Avenida Reclusorio; cambiando el rumbo hacia el noreste (NE), siguiendo por la misma Avenida, hasta la intersección de un camino de terracería con una distancia aproximada de 147.34 metros, encontramos el vértice 18, seguimos por camino de terracería en dirección noroeste (NW), aproximadamente 251.33 metros de distancia llegamos al vértice 19 en la intersección de la calle Lorenzo Meyer y siguiendo rumbos suroeste (SW) y sureste (SE) con una distancia aproximada de 1,226.12 sobre la misma calle de Lorenzo Meyer hasta llegar a la intersección con la calle el Cerezo y camino de terracería cubrimos los vértices 20, 21, 22, 23, 24 y 25 se continua por camino de terracería con dirección de rumbos suroeste (SW) y sureste (SE), interceptando la autopista México-Tuxpan y siguiendo por Avenida Control, interceptando la autopista Lechería-Texcoco, continuando por Calle Lázaro Cárdenas, cubrimos los vértices </w:t>
      </w:r>
      <w:bookmarkStart w:id="10" w:name="_Hlk225436786"/>
      <w:r w:rsidRPr="00C218FB">
        <w:rPr>
          <w:rFonts w:ascii="Times New Roman" w:eastAsia="Times New Roman" w:hAnsi="Times New Roman" w:cs="Times New Roman"/>
          <w:sz w:val="24"/>
          <w:szCs w:val="24"/>
          <w:lang w:eastAsia="es-MX"/>
        </w:rPr>
        <w:t xml:space="preserve">26, 27 y 28, hasta llegar al 29 y 30 frente a la Central Termoeléctrica Valle de México sumando una distancia de 1,332.61 metros; con un cambio de rumbo hacia el sureste (SE) y atravesando la carretera Lechería-Texcoco a una distancia de 39.86 metros llegamos al vértice 31 que se encuentra con la perimetral del Sector Ductos Venta de Carpio (PEMEX), luego continuando por la perimetral, define el vértice 32 por un cambio de rumbo al suroeste (SW) y una distancia aproximada de 415.34 metros; luego hay una serie de cambios de rumbo hacia el sureste (SE) para llegar al vértice 33 con una distancia de </w:t>
      </w:r>
      <w:r w:rsidRPr="00C218FB">
        <w:rPr>
          <w:rFonts w:ascii="Times New Roman" w:eastAsia="Times New Roman" w:hAnsi="Times New Roman" w:cs="Times New Roman"/>
          <w:sz w:val="24"/>
          <w:szCs w:val="24"/>
          <w:lang w:eastAsia="es-MX"/>
        </w:rPr>
        <w:lastRenderedPageBreak/>
        <w:t xml:space="preserve">369.66 metros, al noreste (NE) hasta el vértice 34 a una distancia de 23.31 metros, luego hacia el vértice 35 con una distancia de 18.14 metros en dirección sureste (SE), continuando con el vértice 36 con rumbo noreste (NE) a una distancia de 36.42 metros, con rumbo noroeste (NW) a una distancia 18.55 metros se llega al vértice 37, continuando con el rumbo noreste (NE) delimitado por las construcciones en la zona oriente del Sector Ductos </w:t>
      </w:r>
      <w:bookmarkEnd w:id="10"/>
      <w:r w:rsidRPr="00C218FB">
        <w:rPr>
          <w:rFonts w:ascii="Times New Roman" w:eastAsia="Times New Roman" w:hAnsi="Times New Roman" w:cs="Times New Roman"/>
          <w:sz w:val="24"/>
          <w:szCs w:val="24"/>
          <w:lang w:eastAsia="es-MX"/>
        </w:rPr>
        <w:t xml:space="preserve">pasando por el vértice 38 hasta llegar al 39 a una distancia de 370.63, hasta llegar a la carretera Lechería-Texcoco; con un rumbo sureste (SE) siguiendo por la misma vía llegamos al vértice 40 en la intersección de la calle Álvaro Obregón con una distancia aproximada de 282.98 metros, continuamos con rumbo suroeste (SW) sobre el costado de la calle Álvaro Obregón pasando por los vértices 41, 42, 43, 44, 45, 46, 47, 48, 49, 50, 51, 52, 53, 54, 55, 56, 57, 58, 59, 60, 61, 62, 63, 64, 65, 66, 67, 68, con una distancia aproximada de 995.52 metros, hasta llegar a la intersección con la calle Ferrocarril Veracruz; cruzando las vías férreas, para después continuar por los vértices 69, 70, 71, 72, 73, 74, 75, 76, 77, 78, 79, 80, y 81, ubicados en los límites de las construcciones del lado oriente de la calle Venustiano Carranza, con una distancia aproximada de 341.17 metros, manteniendo la línea sobre los límites de las construcciones del lado oriente de la intersección de la calle Ernesto Zedillo y Avenida Lago </w:t>
      </w:r>
      <w:proofErr w:type="spellStart"/>
      <w:r w:rsidRPr="00C218FB">
        <w:rPr>
          <w:rFonts w:ascii="Times New Roman" w:eastAsia="Times New Roman" w:hAnsi="Times New Roman" w:cs="Times New Roman"/>
          <w:sz w:val="24"/>
          <w:szCs w:val="24"/>
          <w:lang w:eastAsia="es-MX"/>
        </w:rPr>
        <w:t>Kokonor</w:t>
      </w:r>
      <w:proofErr w:type="spellEnd"/>
      <w:r w:rsidRPr="00C218FB">
        <w:rPr>
          <w:rFonts w:ascii="Times New Roman" w:eastAsia="Times New Roman" w:hAnsi="Times New Roman" w:cs="Times New Roman"/>
          <w:sz w:val="24"/>
          <w:szCs w:val="24"/>
          <w:lang w:eastAsia="es-MX"/>
        </w:rPr>
        <w:t xml:space="preserve"> siguiendo el rumbo suroeste(SW), la línea pasa por los vértices 81, 82, 83, 84 y 85 con una distancia aproximada de 104.26 metros; a continuación, por la misma dirección pasando por los vértices 86, 87, 88, 89, 90, 91, 92, 93, 94, 95, 96, 97, 98, 99, 100, 101, 102, 103, 104, 105, 106, 107, 108, 109, 110, 111, 112, 113, 114, 115, 116 , 117, 118, 119, 120, 121, 122, 123, 124, 125, 126, 127, 128, 129, 130, 131, 132, 133, 134, 135, 136, 137, 138, 139, 140, 141, 142, 143, 144, 145, 146, 147, 148, 149, 150, 151, 152, 153, 154 sobre los límites de las construcciones del lado oriente del canal de aguas negras, con una distancia aproximada de 1,733.30 metros; finalmente, manteniendo el rumbo suroeste (SW), la línea limítrofe avanza por los vértices 155, 156, 157, 158, 159, 160, 161, 162, 163, 164, 165, 166, 167, 168, 169, 170, 171, 172, 173, 174, 175, 176, 177, 178, 179, 180, 181, 182, 183, ubicados sobre los límites de las construcciones al oriente de la Avenida Lago de Xochimilco, con una distancia aproximada de 446.15 metros; cambiando un rumbo noroeste (NW) para llegar al vértice 184 librando la construcción con una distancia aproximada de 6.56 metros, siguiendo con rumbo suroeste (SW), por los límites de las construcciones del lado oriente de la Avenida Lago de Xochimilco con una distancia aproximada de 62.94 metros pasa por el vértice 185 y llega al 186 vértice que constituye el punto trino entre los municipios de Ecatepec de Morelos, Acolman y Atenco; cambia con rumbo noroeste (NW) hasta llegar al vértice 187 en línea recta sobre la Avenida San Salvador Atenco, en el límite con el municipio de Atenco con una distancia de 993.94 metros. La línea limítrofe antes descrita tiene una longitud total aproximada de 12,720.15 metros.</w:t>
      </w:r>
    </w:p>
    <w:p w:rsidR="000F603A" w:rsidRPr="00C218FB" w:rsidRDefault="000F603A" w:rsidP="00C218FB">
      <w:pPr>
        <w:spacing w:after="0" w:line="240" w:lineRule="auto"/>
        <w:jc w:val="both"/>
        <w:rPr>
          <w:rFonts w:ascii="Times New Roman" w:eastAsia="Times New Roman" w:hAnsi="Times New Roman" w:cs="Times New Roman"/>
          <w:sz w:val="24"/>
          <w:szCs w:val="24"/>
          <w:lang w:eastAsia="es-MX"/>
        </w:rPr>
      </w:pPr>
    </w:p>
    <w:p w:rsidR="000F603A" w:rsidRPr="00C218FB" w:rsidRDefault="000F603A" w:rsidP="00C218FB">
      <w:pPr>
        <w:spacing w:after="0" w:line="240" w:lineRule="auto"/>
        <w:jc w:val="both"/>
        <w:rPr>
          <w:rFonts w:ascii="Times New Roman" w:eastAsia="Times New Roman" w:hAnsi="Times New Roman" w:cs="Times New Roman"/>
          <w:sz w:val="24"/>
          <w:szCs w:val="24"/>
          <w:lang w:eastAsia="es-MX"/>
        </w:rPr>
      </w:pPr>
      <w:r w:rsidRPr="00C218FB">
        <w:rPr>
          <w:rFonts w:ascii="Times New Roman" w:eastAsia="Times New Roman" w:hAnsi="Times New Roman" w:cs="Times New Roman"/>
          <w:sz w:val="24"/>
          <w:szCs w:val="24"/>
          <w:lang w:eastAsia="es-MX"/>
        </w:rPr>
        <w:t>Los lados y vértices que definen los límites intermunicipales entre Ecatepec de Morelos y Acolman, resolutivo del diferendo limítrofe, tienen los rumbos, distancias y coordenadas UTM (Universal Transversa de Mercator) siguientes:</w:t>
      </w:r>
    </w:p>
    <w:p w:rsidR="000F603A" w:rsidRPr="00C218FB" w:rsidRDefault="000F603A" w:rsidP="00C218FB">
      <w:pPr>
        <w:spacing w:after="0" w:line="240" w:lineRule="auto"/>
        <w:jc w:val="both"/>
        <w:rPr>
          <w:rFonts w:ascii="Times New Roman" w:eastAsia="Yu Mincho" w:hAnsi="Times New Roman" w:cs="Times New Roman"/>
          <w:sz w:val="24"/>
          <w:szCs w:val="24"/>
        </w:rPr>
      </w:pPr>
    </w:p>
    <w:tbl>
      <w:tblPr>
        <w:tblW w:w="9437" w:type="dxa"/>
        <w:jc w:val="center"/>
        <w:tblCellMar>
          <w:left w:w="70" w:type="dxa"/>
          <w:right w:w="70" w:type="dxa"/>
        </w:tblCellMar>
        <w:tblLook w:val="04A0" w:firstRow="1" w:lastRow="0" w:firstColumn="1" w:lastColumn="0" w:noHBand="0" w:noVBand="1"/>
      </w:tblPr>
      <w:tblGrid>
        <w:gridCol w:w="795"/>
        <w:gridCol w:w="808"/>
        <w:gridCol w:w="2150"/>
        <w:gridCol w:w="1612"/>
        <w:gridCol w:w="806"/>
        <w:gridCol w:w="1612"/>
        <w:gridCol w:w="1654"/>
      </w:tblGrid>
      <w:tr w:rsidR="000F603A" w:rsidRPr="00C218FB" w:rsidTr="005F2489">
        <w:trPr>
          <w:trHeight w:val="270"/>
          <w:jc w:val="center"/>
        </w:trPr>
        <w:tc>
          <w:tcPr>
            <w:tcW w:w="9437" w:type="dxa"/>
            <w:gridSpan w:val="7"/>
            <w:tcBorders>
              <w:top w:val="single" w:sz="8" w:space="0" w:color="auto"/>
              <w:left w:val="single" w:sz="8" w:space="0" w:color="auto"/>
              <w:bottom w:val="nil"/>
              <w:right w:val="single" w:sz="8" w:space="0" w:color="000000"/>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CUADRO DE CONSTRUCCIÓN</w:t>
            </w:r>
          </w:p>
        </w:tc>
      </w:tr>
      <w:tr w:rsidR="000F603A" w:rsidRPr="00C218FB" w:rsidTr="005F2489">
        <w:trPr>
          <w:trHeight w:val="255"/>
          <w:jc w:val="center"/>
        </w:trPr>
        <w:tc>
          <w:tcPr>
            <w:tcW w:w="1603" w:type="dxa"/>
            <w:gridSpan w:val="2"/>
            <w:tcBorders>
              <w:top w:val="single" w:sz="8" w:space="0" w:color="auto"/>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LADO</w:t>
            </w:r>
          </w:p>
        </w:tc>
        <w:tc>
          <w:tcPr>
            <w:tcW w:w="2150" w:type="dxa"/>
            <w:vMerge w:val="restart"/>
            <w:tcBorders>
              <w:top w:val="single" w:sz="8" w:space="0" w:color="auto"/>
              <w:left w:val="single" w:sz="4" w:space="0" w:color="auto"/>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RUMBO</w:t>
            </w:r>
          </w:p>
        </w:tc>
        <w:tc>
          <w:tcPr>
            <w:tcW w:w="1612" w:type="dxa"/>
            <w:vMerge w:val="restart"/>
            <w:tcBorders>
              <w:top w:val="single" w:sz="8" w:space="0" w:color="auto"/>
              <w:left w:val="single" w:sz="4" w:space="0" w:color="auto"/>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DISTANCIA</w:t>
            </w:r>
          </w:p>
        </w:tc>
        <w:tc>
          <w:tcPr>
            <w:tcW w:w="806" w:type="dxa"/>
            <w:vMerge w:val="restart"/>
            <w:tcBorders>
              <w:top w:val="single" w:sz="8" w:space="0" w:color="auto"/>
              <w:left w:val="single" w:sz="4" w:space="0" w:color="auto"/>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V</w:t>
            </w:r>
          </w:p>
        </w:tc>
        <w:tc>
          <w:tcPr>
            <w:tcW w:w="3263" w:type="dxa"/>
            <w:gridSpan w:val="2"/>
            <w:tcBorders>
              <w:top w:val="single" w:sz="8" w:space="0" w:color="auto"/>
              <w:left w:val="nil"/>
              <w:bottom w:val="single" w:sz="4" w:space="0" w:color="auto"/>
              <w:right w:val="single" w:sz="8" w:space="0" w:color="000000"/>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COORDENADAS</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EST.</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P.V.</w:t>
            </w:r>
          </w:p>
        </w:tc>
        <w:tc>
          <w:tcPr>
            <w:tcW w:w="2150" w:type="dxa"/>
            <w:vMerge/>
            <w:tcBorders>
              <w:top w:val="single" w:sz="8" w:space="0" w:color="auto"/>
              <w:left w:val="single" w:sz="4" w:space="0" w:color="auto"/>
              <w:bottom w:val="single" w:sz="4" w:space="0" w:color="auto"/>
              <w:right w:val="single" w:sz="4" w:space="0" w:color="auto"/>
            </w:tcBorders>
            <w:vAlign w:val="center"/>
            <w:hideMark/>
          </w:tcPr>
          <w:p w:rsidR="000F603A" w:rsidRPr="00C218FB" w:rsidRDefault="000F603A" w:rsidP="00C218FB">
            <w:pPr>
              <w:spacing w:after="0" w:line="240" w:lineRule="auto"/>
              <w:rPr>
                <w:rFonts w:ascii="Times New Roman" w:eastAsia="Times New Roman" w:hAnsi="Times New Roman" w:cs="Times New Roman"/>
                <w:b/>
                <w:bCs/>
                <w:sz w:val="24"/>
                <w:szCs w:val="24"/>
                <w:lang w:eastAsia="es-MX"/>
              </w:rPr>
            </w:pPr>
          </w:p>
        </w:tc>
        <w:tc>
          <w:tcPr>
            <w:tcW w:w="1612" w:type="dxa"/>
            <w:vMerge/>
            <w:tcBorders>
              <w:top w:val="single" w:sz="8" w:space="0" w:color="auto"/>
              <w:left w:val="single" w:sz="4" w:space="0" w:color="auto"/>
              <w:bottom w:val="single" w:sz="4" w:space="0" w:color="auto"/>
              <w:right w:val="single" w:sz="4" w:space="0" w:color="auto"/>
            </w:tcBorders>
            <w:vAlign w:val="center"/>
            <w:hideMark/>
          </w:tcPr>
          <w:p w:rsidR="000F603A" w:rsidRPr="00C218FB" w:rsidRDefault="000F603A" w:rsidP="00C218FB">
            <w:pPr>
              <w:spacing w:after="0" w:line="240" w:lineRule="auto"/>
              <w:rPr>
                <w:rFonts w:ascii="Times New Roman" w:eastAsia="Times New Roman" w:hAnsi="Times New Roman" w:cs="Times New Roman"/>
                <w:b/>
                <w:bCs/>
                <w:sz w:val="24"/>
                <w:szCs w:val="24"/>
                <w:lang w:eastAsia="es-MX"/>
              </w:rPr>
            </w:pPr>
          </w:p>
        </w:tc>
        <w:tc>
          <w:tcPr>
            <w:tcW w:w="806" w:type="dxa"/>
            <w:vMerge/>
            <w:tcBorders>
              <w:top w:val="single" w:sz="8" w:space="0" w:color="auto"/>
              <w:left w:val="single" w:sz="4" w:space="0" w:color="auto"/>
              <w:bottom w:val="single" w:sz="4" w:space="0" w:color="auto"/>
              <w:right w:val="single" w:sz="4" w:space="0" w:color="auto"/>
            </w:tcBorders>
            <w:vAlign w:val="center"/>
            <w:hideMark/>
          </w:tcPr>
          <w:p w:rsidR="000F603A" w:rsidRPr="00C218FB" w:rsidRDefault="000F603A" w:rsidP="00C218FB">
            <w:pPr>
              <w:spacing w:after="0" w:line="240" w:lineRule="auto"/>
              <w:rPr>
                <w:rFonts w:ascii="Times New Roman" w:eastAsia="Times New Roman" w:hAnsi="Times New Roman" w:cs="Times New Roman"/>
                <w:b/>
                <w:bCs/>
                <w:sz w:val="24"/>
                <w:szCs w:val="24"/>
                <w:lang w:eastAsia="es-MX"/>
              </w:rPr>
            </w:pP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X</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Y</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 xml:space="preserve"> </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 xml:space="preserve"> </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 xml:space="preserve"> </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 xml:space="preserve"> </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502553.30</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2172067.22</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N 50°14'57.86" E</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655.04</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503056.91</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2172486.09</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N 52°49'14.97" E</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402.61</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503377.70</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2172729.39</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12°35'15.77"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1006.06</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503158.44</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2171747.51</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N 77°22'00.91"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350.16</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502816.76</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2171824.09</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N 80°44'17.97"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111.79</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502706.43</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2171842.08</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lastRenderedPageBreak/>
              <w:t>6</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15°52'27.44"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109.11</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502676.58</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2171737.14</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80°20'24.38" E</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47.30</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502723.22</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2171729.20</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14°29'37.92"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50.22</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502710.65</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2171680.58</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80°14'28.81" E</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61.11</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502770.88</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2171670.22</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44°09'59.52" E</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14.79</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502781.18</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2171659.61</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12</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80°48'27.19" E</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182.85</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12</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502961.68</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2171630.40</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12</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13</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08°52'31.83"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181.78</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13</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502933.63</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2171450.80</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13</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14</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N 81°40'01.62"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187.13</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14</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502748.48</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2171477.92</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14</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15</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07°36'15.14"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30.79</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15</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502744.40</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2171447.40</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15</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16</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53°20'29.23"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34.50</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16</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502716.73</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2171426.81</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16</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17</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N 81°58'21.68"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78.81</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17</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502638.69</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2171437.81</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17</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18</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N 14°08'09.82" E</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147.34</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18</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502674.67</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2171580.69</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18</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19</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N 80°10'50.52"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251.33</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19</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502427.02</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2171623.55</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19</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20</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14°26'05.60"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603.13</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20</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502276.68</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2171039.46</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20</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12°42'52.41"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77.90</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502259.53</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2170963.47</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22</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18°47'17.11"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141.96</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22</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502213.81</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2170829.08</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22</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23</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04°26'12.00"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48.63</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23</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502210.05</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2170780.59</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23</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24</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02°09'50.16" E</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330.49</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24</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502222.53</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2170450.33</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24</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25</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06°08'00.44"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24.01</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25</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502219.96</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2170426.46</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25</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26</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13°58'45.21"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246.58</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26</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502160.40</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2170187.18</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26</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27</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14°45'18.13"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451.81</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27</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502045.33</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2169750.27</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27</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28</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11°00'04.43"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90.06</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28</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502028.14</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2169661.86</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28</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29</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17°53'38.80"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233.89</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29</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501956.27</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2169439.29</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29</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30</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11°55'39.58"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310.27</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30</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501892.15</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2169135.72</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30</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31</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07°03'15.31" E</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39.86</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31</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501897.04</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2169096.16</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31</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32</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10°58'13.64"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415.34</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32</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501818.00</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2168688.41</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32</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33</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79°16'46.44" E</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369.66</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33</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502181.21</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2168619.64</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33</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34</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N 09°52'55.41" E</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23.31</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34</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502185.21</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2168642.61</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34</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35</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79°55'09.85" E</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18.14</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35</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502203.07</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2168639.43</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35</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36</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N 10°50'09.68" E</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36.42</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36</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502209.91</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2168675.21</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36</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37</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N 79°43'54.10"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18.55</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37</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502191.66</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2168678.51</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37</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38</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N 11°16'42.93" E</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220.00</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38</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502234.68</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2168894.26</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38</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39</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N 09°43'53.77" E</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150.63</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39</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502260.15</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2169042.72</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39</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40</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78°29'28.51" E</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282.98</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40</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502537.44</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2168986.27</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40</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41</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20°10'31.81"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35.69</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41</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502525.13</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2168952.76</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41</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42</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13°36'26.21"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67.71</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42</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502509.20</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2168886.96</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42</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43</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24°31'43.24"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67.22</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43</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502481.29</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2168825.80</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43</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44</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23°48'56.22"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6.54</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44</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502478.65</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2168819.83</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44</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45</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23°16'30.37"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31.66</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45</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502466.14</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2168790.74</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45</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46</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23°16'25.27"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40.47</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46</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502450.15</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2168753.56</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46</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47</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22°03'32.36"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75.22</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47</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502421.90</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2168683.85</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47</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48</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25°48'37.38"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24.31</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48</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502411.32</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2168661.96</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48</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49</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25°04'18.70"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36.98</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49</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502395.64</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2168628.46</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49</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25°04'18.70"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11.38</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502390.82</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2168618.16</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51</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28°30'31.77"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9.49</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51</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502386.29</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2168609.81</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51</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52</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22°00'49.60"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29.91</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52</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502375.08</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2168582.09</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52</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53</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25°43'46.90"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8.62</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53</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502371.34</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2168574.32</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lastRenderedPageBreak/>
              <w:t>53</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54</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20°29'20.95"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1.10</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54</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502370.95</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2168573.29</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54</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55</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24°08'05.14"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124.07</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55</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502320.22</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2168460.06</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55</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56</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24°08'05.14"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38.97</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56</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502304.29</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2168424.50</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56</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57</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20°45'18.93"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9.02</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57</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502301.09</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2168416.06</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57</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58</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22°26'43.02"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52.76</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58</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502280.95</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2168367.30</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58</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59</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22°49'51.78"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8.54</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59</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502277.63</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2168359.43</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59</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60</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22°53'48.18"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50.42</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60</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502258.02</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2168312.99</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60</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61</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22°45'51.55"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9.58</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61</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502254.31</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2168304.15</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61</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62</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23°31'01.21"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51.18</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62</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502233.89</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2168257.23</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62</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63</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22°31'05.83"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9.63</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63</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502230.20</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2168248.33</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63</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64</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23°08'11.30"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51.96</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64</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502209.79</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2168200.55</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64</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65</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21°52'09.07"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8.95</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65</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502206.45</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2168192.25</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65</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66</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22°35'47.83"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67.50</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66</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502180.52</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2168129.93</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66</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67</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07°43'34.76"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5.78</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67</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502179.74</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2168124.20</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67</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68</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10°00'00.06"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60.86</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68</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502169.17</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2168064.26</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68</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69</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19°55'59.50"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86.50</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69</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502139.68</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2167982.95</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69</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70</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17°20'37.12"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7.90</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70</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502137.32</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2167975.40</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70</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71</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19°42'33.55"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97.85</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71</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502104.32</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2167883.28</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71</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72</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19°40'29.13"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1.30</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72</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502103.88</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2167882.05</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72</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73</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19°40'29.13"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9.19</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73</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502100.79</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2167873.40</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73</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74</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19°26'13.22"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26.22</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74</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502092.07</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2167848.68</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74</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75</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15°45'50.23"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5.42</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75</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502090.59</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2167843.46</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75</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76</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19°37'29.00"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15.04</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76</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502085.54</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2167829.29</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76</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77</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19°37'29.00"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30.26</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77</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502075.38</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2167800.80</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77</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78</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18°47'44.04"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5.88</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78</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502073.49</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2167795.23</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78</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79</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19°14'52.98"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45.97</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79</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502058.33</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2167751.83</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79</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80</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21°43'53.89"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5.64</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80</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502056.24</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2167746.59</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80</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81</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20°47'33.32"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4.00</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81</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502054.82</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2167742.85</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81</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82</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18°29'48.66"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42.15</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82</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502041.45</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2167702.88</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82</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83</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22°23'52.37"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10.19</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83</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502037.57</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2167693.46</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83</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84</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19°56'51.48"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35.05</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84</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502025.61</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2167660.51</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84</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85</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20°54'15.64"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16.87</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85</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502019.59</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2167644.76</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85</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86</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19°42'14.20"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92.20</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86</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501988.51</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2167557.96</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86</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87</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20°27'43.64"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10.64</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87</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501984.79</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2167547.99</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87</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88</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20°24'10.92"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84.58</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88</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501955.30</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2167468.71</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88</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89</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18°51'38.86"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9.87</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89</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501952.11</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2167459.37</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89</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90</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18°52'34.89"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35.63</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90</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501940.58</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2167425.66</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90</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91</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20°23'41.55"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8.40</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91</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501937.65</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2167417.78</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91</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92</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19°37'14.25"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35.41</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92</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501925.76</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2167384.43</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92</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93</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21°48'47.06"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8.21</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93</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501922.71</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2167376.80</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93</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94</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25°56'44.73"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42.62</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94</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501904.07</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2167338.48</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94</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95</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21°39'04.41"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8.22</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95</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501901.04</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2167330.84</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95</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96</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12°42'16.78"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37.07</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96</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501892.88</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2167294.68</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96</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97</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13°25'36.31"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9.92</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97</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501890.58</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2167285.03</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97</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98</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18°16'27.10"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36.63</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98</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501879.09</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2167250.25</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98</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99</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17°23'52.06"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10.31</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99</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501876.01</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2167240.41</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99</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100</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19°50'50.15"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59.49</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100</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501855.81</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2167184.45</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lastRenderedPageBreak/>
              <w:t>100</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101</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20°57'56.56"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6.76</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101</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501853.39</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2167178.14</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101</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102</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21°21'41.08"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20.65</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102</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501845.87</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2167158.91</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102</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103</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19°35'20.59"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7.08</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103</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501843.50</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2167152.24</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103</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104</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17°47'14.02"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35.44</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104</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501832.67</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2167118.49</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104</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105</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18°20'46.10"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5.71</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105</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501830.87</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2167113.07</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105</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106</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20°41'10.49"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28.81</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106</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501820.69</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2167086.11</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106</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107</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20°41'10.49"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60.84</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107</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501799.20</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2167029.19</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107</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108</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20°41'10.49"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3.52</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108</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501797.96</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2167025.90</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108</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109</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17°50'06.05"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7.25</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109</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501795.74</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2167019.00</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109</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110</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19°24'38.95"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30.02</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110</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501785.76</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2166990.69</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110</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111</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18°22'46.57"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8.84</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111</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501782.97</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2166982.30</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111</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112</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14°35'01.12"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16.70</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112</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501778.77</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2166966.13</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112</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113</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20°34'15.08"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9.96</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113</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501775.27</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2166956.81</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113</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114</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20°14'51.01"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2.00</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114</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501774.58</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2166954.93</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114</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115</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20°12'53.44"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39.84</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115</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501760.81</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2166917.54</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115</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116</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20°38'49.45"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9.80</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116</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501757.36</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2166908.38</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116</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117</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20°04'27.22"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84.61</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117</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501728.31</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2166828.91</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117</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118</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17°16'57.61"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9.34</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118</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501725.54</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2166819.99</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118</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119</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19°32'16.95"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91.61</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119</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501694.90</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2166733.65</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119</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120</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18°46'38.96"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7.99</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120</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501692.33</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2166726.09</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120</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121</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18°49'36.45"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40.83</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121</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501679.16</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2166687.45</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121</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122</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21°41'18.71"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10.18</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122</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501675.39</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2166677.99</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122</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123</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25°30'11.20"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41.50</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123</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501657.52</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2166640.53</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123</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124</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22°46'02.25"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9.09</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124</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501654.01</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2166632.15</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124</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125</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15°37'32.25"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42.75</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125</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501642.49</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2166590.98</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125</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126</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25°10'56.89"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8.17</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126</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501639.01</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2166583.58</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126</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127</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17°37'36.41"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40.40</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127</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501626.78</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2166545.08</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127</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128</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25°20'17.00"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9.73</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128</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501622.61</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2166536.28</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128</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129</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19°59'04.38"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40.67</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129</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501608.71</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2166498.06</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129</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130</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16°52'34.35"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11.01</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130</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501605.52</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2166487.52</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130</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131</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19°13'32.06"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36.76</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131</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501593.41</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2166452.81</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131</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132</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19°13'32.06"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52.78</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132</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501576.03</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2166402.98</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132</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133</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18°05'44.79"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10.10</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133</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501572.90</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2166393.38</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133</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134</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19°20'50.74"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41.94</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134</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501559.00</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2166353.81</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134</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135</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14°03'00.71"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3.98</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135</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501558.04</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2166349.95</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135</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136</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19°45'31.18"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29.46</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136</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501548.08</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2166322.22</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136</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137</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19°45'31.18"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12.64</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137</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501543.81</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2166310.33</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137</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138</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18°03'33.11"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10.22</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138</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501540.64</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2166300.61</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138</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139</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19°47'44.78"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28.48</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139</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501530.99</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2166273.81</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139</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140</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17°34'22.49"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10.45</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140</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501527.84</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2166263.85</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140</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141</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19°23'58.89"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27.97</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141</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501518.55</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2166237.48</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141</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142</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23°50'41.21"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9.69</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142</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501514.63</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2166228.62</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142</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143</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19°03'27.86"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28.02</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143</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501505.49</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2166202.14</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143</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144</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21°05'46.94"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10.41</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144</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501501.74</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2166192.42</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144</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145</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19°19'10.23"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28.27</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145</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501492.39</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2166165.74</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145</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146</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22°14'59.21"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9.54</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146</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501488.77</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2166156.92</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146</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147</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19°05'43.40"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27.46</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147</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501479.79</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2166130.96</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lastRenderedPageBreak/>
              <w:t>147</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148</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21°02'13.67"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10.79</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148</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501475.92</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2166120.89</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148</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149</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19°29'42.04"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27.69</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149</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501466.68</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2166094.79</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149</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150</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18°35'15.48"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10.21</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150</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501463.42</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2166085.12</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150</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151</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19°08'58.71"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27.96</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151</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501454.25</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2166058.70</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151</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152</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18°08'14.78"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10.23</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152</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501451.06</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2166048.98</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152</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153</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19°03'00.18"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27.66</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153</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501442.04</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2166022.83</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153</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154</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27°33'58.81"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10.29</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154</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501437.28</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2166013.71</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154</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155</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18°56'22.68"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27.90</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155</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501428.22</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2165987.33</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155</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156</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20°00'27.14"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3.35</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156</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501427.07</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2165984.18</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156</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157</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20°00'27.14"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6.46</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157</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501424.86</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2165978.10</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157</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158</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19°23'01.76"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27.48</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158</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501415.74</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2165952.18</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158</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159</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18°01'45.65"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10.01</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159</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501412.65</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2165942.67</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159</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160</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19°30'05.40"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26.06</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160</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501403.95</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2165918.10</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160</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161</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20°55'04.06"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9.62</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161</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501400.51</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2165909.12</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161</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162</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19°03'19.81"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27.74</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162</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501391.45</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2165882.90</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162</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163</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23°28'41.45"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9.53</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163</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501387.66</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2165874.16</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163</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164</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20°39'34.22"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28.00</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164</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501377.78</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2165847.96</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164</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165</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18°21'37.37"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10.25</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165</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501374.55</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2165838.23</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165</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166</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19°34'37.89"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27.32</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166</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501365.40</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2165812.49</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166</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167</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16°32'27.98"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10.13</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167</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501362.51</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2165802.77</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167</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168</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18°16'45.25"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27.69</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168</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501353.83</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2165776.48</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168</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169</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22°09'24.10"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9.16</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169</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501350.37</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2165767.99</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169</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170</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18°39'48.55"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27.83</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170</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501341.46</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2165741.63</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170</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171</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18°38'27.45"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2.69</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171</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501340.61</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2165739.08</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171</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172</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18°38'27.45"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7.52</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172</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501338.20</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2165731.96</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172</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173</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18°54'42.01"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27.21</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173</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501329.38</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2165706.22</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173</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174</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20°31'21.07"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9.80</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174</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501325.95</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2165697.04</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174</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175</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20°18'08.28"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27.70</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175</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501316.34</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2165671.06</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175</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176</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20°12'22.84"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10.09</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176</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501312.85</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2165661.60</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176</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177</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19°49'19.64"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15.91</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177</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501307.46</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2165646.63</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177</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178</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19°49'19.64"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11.64</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178</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501303.51</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2165635.68</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178</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179</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20°34'55.66"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10.03</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179</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501299.99</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2165626.29</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179</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180</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18°50'11.33"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25.39</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180</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501291.79</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2165602.26</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180</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181</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18°50'11.33"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2.05</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181</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501291.13</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2165600.33</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181</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182</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18°12'12.20"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3.15</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182</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501290.14</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2165597.33</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182</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183</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18°12'12.20"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4.44</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183</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501288.76</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2165593.12</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183</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184</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N 86°56'55.07"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6.56</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184</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501282.21</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2165593.46</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184</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185</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20°19'27.16"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32.35</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185</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501270.98</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2165563.13</w:t>
            </w:r>
          </w:p>
        </w:tc>
      </w:tr>
      <w:tr w:rsidR="000F603A" w:rsidRPr="00C218FB" w:rsidTr="005F2489">
        <w:trPr>
          <w:trHeight w:val="255"/>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185</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186</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S 20°19'27.16"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30.59</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186</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501260.35</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2165534.45</w:t>
            </w:r>
          </w:p>
        </w:tc>
      </w:tr>
      <w:tr w:rsidR="000F603A" w:rsidRPr="00C218FB" w:rsidTr="005F2489">
        <w:trPr>
          <w:trHeight w:val="270"/>
          <w:jc w:val="center"/>
        </w:trPr>
        <w:tc>
          <w:tcPr>
            <w:tcW w:w="795" w:type="dxa"/>
            <w:tcBorders>
              <w:top w:val="nil"/>
              <w:left w:val="single" w:sz="8" w:space="0" w:color="auto"/>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186</w:t>
            </w:r>
          </w:p>
        </w:tc>
        <w:tc>
          <w:tcPr>
            <w:tcW w:w="808"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187</w:t>
            </w:r>
          </w:p>
        </w:tc>
        <w:tc>
          <w:tcPr>
            <w:tcW w:w="2150"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N 79°09'29.25" W</w:t>
            </w:r>
          </w:p>
        </w:tc>
        <w:tc>
          <w:tcPr>
            <w:tcW w:w="1612"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993.94</w:t>
            </w:r>
          </w:p>
        </w:tc>
        <w:tc>
          <w:tcPr>
            <w:tcW w:w="806" w:type="dxa"/>
            <w:tcBorders>
              <w:top w:val="nil"/>
              <w:left w:val="nil"/>
              <w:bottom w:val="single" w:sz="4" w:space="0" w:color="auto"/>
              <w:right w:val="single" w:sz="4" w:space="0" w:color="auto"/>
            </w:tcBorders>
            <w:noWrap/>
            <w:vAlign w:val="center"/>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187</w:t>
            </w:r>
          </w:p>
        </w:tc>
        <w:tc>
          <w:tcPr>
            <w:tcW w:w="1612" w:type="dxa"/>
            <w:tcBorders>
              <w:top w:val="nil"/>
              <w:left w:val="nil"/>
              <w:bottom w:val="single" w:sz="4" w:space="0" w:color="auto"/>
              <w:right w:val="single" w:sz="4"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500284.15</w:t>
            </w:r>
          </w:p>
        </w:tc>
        <w:tc>
          <w:tcPr>
            <w:tcW w:w="1651" w:type="dxa"/>
            <w:tcBorders>
              <w:top w:val="nil"/>
              <w:left w:val="nil"/>
              <w:bottom w:val="single" w:sz="4" w:space="0" w:color="auto"/>
              <w:right w:val="single" w:sz="8" w:space="0" w:color="auto"/>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2165721.41</w:t>
            </w:r>
          </w:p>
        </w:tc>
      </w:tr>
      <w:tr w:rsidR="000F603A" w:rsidRPr="00C218FB" w:rsidTr="005F2489">
        <w:trPr>
          <w:trHeight w:val="330"/>
          <w:jc w:val="center"/>
        </w:trPr>
        <w:tc>
          <w:tcPr>
            <w:tcW w:w="9437" w:type="dxa"/>
            <w:gridSpan w:val="7"/>
            <w:tcBorders>
              <w:top w:val="single" w:sz="8" w:space="0" w:color="auto"/>
              <w:left w:val="single" w:sz="8" w:space="0" w:color="auto"/>
              <w:bottom w:val="single" w:sz="8" w:space="0" w:color="auto"/>
              <w:right w:val="single" w:sz="8" w:space="0" w:color="000000"/>
            </w:tcBorders>
            <w:noWrap/>
            <w:vAlign w:val="bottom"/>
            <w:hideMark/>
          </w:tcPr>
          <w:p w:rsidR="000F603A" w:rsidRPr="00C218FB" w:rsidRDefault="000F603A" w:rsidP="00C218FB">
            <w:pPr>
              <w:spacing w:after="0" w:line="240" w:lineRule="auto"/>
              <w:jc w:val="center"/>
              <w:rPr>
                <w:rFonts w:ascii="Times New Roman" w:eastAsia="Times New Roman" w:hAnsi="Times New Roman" w:cs="Times New Roman"/>
                <w:b/>
                <w:bCs/>
                <w:sz w:val="24"/>
                <w:szCs w:val="24"/>
                <w:lang w:eastAsia="es-MX"/>
              </w:rPr>
            </w:pPr>
            <w:r w:rsidRPr="00C218FB">
              <w:rPr>
                <w:rFonts w:ascii="Times New Roman" w:eastAsia="Times New Roman" w:hAnsi="Times New Roman" w:cs="Times New Roman"/>
                <w:b/>
                <w:bCs/>
                <w:sz w:val="24"/>
                <w:szCs w:val="24"/>
                <w:lang w:eastAsia="es-MX"/>
              </w:rPr>
              <w:t>LONGITUD = 12,720.15 m</w:t>
            </w:r>
          </w:p>
        </w:tc>
      </w:tr>
    </w:tbl>
    <w:p w:rsidR="000F603A" w:rsidRPr="00C218FB" w:rsidRDefault="000F603A" w:rsidP="00C218FB">
      <w:pPr>
        <w:spacing w:after="0" w:line="240" w:lineRule="auto"/>
        <w:jc w:val="both"/>
        <w:rPr>
          <w:rFonts w:ascii="Times New Roman" w:eastAsia="Times New Roman" w:hAnsi="Times New Roman" w:cs="Times New Roman"/>
          <w:sz w:val="24"/>
          <w:szCs w:val="24"/>
          <w:lang w:eastAsia="es-MX"/>
        </w:rPr>
      </w:pPr>
    </w:p>
    <w:p w:rsidR="000F603A" w:rsidRPr="00C218FB" w:rsidRDefault="000F603A" w:rsidP="00C218FB">
      <w:pPr>
        <w:spacing w:after="0" w:line="240" w:lineRule="auto"/>
        <w:contextualSpacing/>
        <w:jc w:val="both"/>
        <w:rPr>
          <w:rFonts w:ascii="Times New Roman" w:hAnsi="Times New Roman" w:cs="Times New Roman"/>
          <w:sz w:val="24"/>
          <w:szCs w:val="24"/>
        </w:rPr>
      </w:pPr>
      <w:r w:rsidRPr="00C218FB">
        <w:rPr>
          <w:rFonts w:ascii="Times New Roman" w:hAnsi="Times New Roman" w:cs="Times New Roman"/>
          <w:b/>
          <w:sz w:val="24"/>
          <w:szCs w:val="24"/>
        </w:rPr>
        <w:t>CUARTO.</w:t>
      </w:r>
      <w:r w:rsidRPr="00C218FB">
        <w:rPr>
          <w:rFonts w:ascii="Times New Roman" w:hAnsi="Times New Roman" w:cs="Times New Roman"/>
          <w:sz w:val="24"/>
          <w:szCs w:val="24"/>
        </w:rPr>
        <w:t xml:space="preserve"> Se adjunta el proyecto de decreto, para los efectos procedentes.</w:t>
      </w:r>
    </w:p>
    <w:p w:rsidR="000F603A" w:rsidRPr="00C218FB" w:rsidRDefault="000F603A" w:rsidP="00C218FB">
      <w:pPr>
        <w:spacing w:after="0" w:line="240" w:lineRule="auto"/>
        <w:contextualSpacing/>
        <w:jc w:val="both"/>
        <w:rPr>
          <w:rFonts w:ascii="Times New Roman" w:hAnsi="Times New Roman" w:cs="Times New Roman"/>
          <w:sz w:val="24"/>
          <w:szCs w:val="24"/>
          <w:highlight w:val="yellow"/>
        </w:rPr>
      </w:pPr>
    </w:p>
    <w:p w:rsidR="000F603A" w:rsidRPr="00C218FB" w:rsidRDefault="000F603A" w:rsidP="00C218FB">
      <w:pPr>
        <w:spacing w:after="0" w:line="240" w:lineRule="auto"/>
        <w:contextualSpacing/>
        <w:jc w:val="both"/>
        <w:rPr>
          <w:rFonts w:ascii="Times New Roman" w:hAnsi="Times New Roman" w:cs="Times New Roman"/>
          <w:sz w:val="24"/>
          <w:szCs w:val="24"/>
        </w:rPr>
      </w:pPr>
      <w:r w:rsidRPr="00C218FB">
        <w:rPr>
          <w:rFonts w:ascii="Times New Roman" w:hAnsi="Times New Roman" w:cs="Times New Roman"/>
          <w:b/>
          <w:sz w:val="24"/>
          <w:szCs w:val="24"/>
        </w:rPr>
        <w:t>QUINTO.</w:t>
      </w:r>
      <w:r w:rsidRPr="00C218FB">
        <w:rPr>
          <w:rFonts w:ascii="Times New Roman" w:hAnsi="Times New Roman" w:cs="Times New Roman"/>
          <w:sz w:val="24"/>
          <w:szCs w:val="24"/>
        </w:rPr>
        <w:t xml:space="preserve"> Previa discusión y aprobación por la Legislatura en Pleno, remítase a la Titular del Poder Ejecutivo, para los efectos procedentes.</w:t>
      </w:r>
    </w:p>
    <w:p w:rsidR="000F603A" w:rsidRPr="00C218FB" w:rsidRDefault="000F603A" w:rsidP="00C218FB">
      <w:pPr>
        <w:spacing w:after="0" w:line="240" w:lineRule="auto"/>
        <w:contextualSpacing/>
        <w:jc w:val="both"/>
        <w:rPr>
          <w:rFonts w:ascii="Times New Roman" w:hAnsi="Times New Roman" w:cs="Times New Roman"/>
          <w:sz w:val="24"/>
          <w:szCs w:val="24"/>
        </w:rPr>
      </w:pPr>
    </w:p>
    <w:p w:rsidR="000F603A" w:rsidRPr="00C218FB" w:rsidRDefault="000F603A" w:rsidP="00C218FB">
      <w:pPr>
        <w:spacing w:after="0" w:line="240" w:lineRule="auto"/>
        <w:contextualSpacing/>
        <w:jc w:val="both"/>
        <w:rPr>
          <w:rFonts w:ascii="Times New Roman" w:hAnsi="Times New Roman" w:cs="Times New Roman"/>
          <w:sz w:val="24"/>
          <w:szCs w:val="24"/>
        </w:rPr>
      </w:pPr>
      <w:r w:rsidRPr="00C218FB">
        <w:rPr>
          <w:rFonts w:ascii="Times New Roman" w:hAnsi="Times New Roman" w:cs="Times New Roman"/>
          <w:sz w:val="24"/>
          <w:szCs w:val="24"/>
        </w:rPr>
        <w:lastRenderedPageBreak/>
        <w:t>Dado en el Palacio del Poder Legislativo, en la ciudad de Toluca de Lerdo, capital del Estado de México a los treinta días del mes de enero del año dos mil veintiséis.</w:t>
      </w:r>
    </w:p>
    <w:p w:rsidR="000F603A" w:rsidRPr="00C218FB" w:rsidRDefault="000F603A" w:rsidP="00C218FB">
      <w:pPr>
        <w:spacing w:after="0" w:line="240" w:lineRule="auto"/>
        <w:jc w:val="center"/>
        <w:rPr>
          <w:rFonts w:ascii="Times New Roman" w:hAnsi="Times New Roman" w:cs="Times New Roman"/>
          <w:sz w:val="24"/>
          <w:szCs w:val="24"/>
        </w:rPr>
      </w:pPr>
    </w:p>
    <w:p w:rsidR="000F603A" w:rsidRPr="00C218FB" w:rsidRDefault="000F603A" w:rsidP="00C218FB">
      <w:pPr>
        <w:spacing w:after="0" w:line="240" w:lineRule="auto"/>
        <w:contextualSpacing/>
        <w:jc w:val="center"/>
        <w:rPr>
          <w:rFonts w:ascii="Times New Roman" w:hAnsi="Times New Roman" w:cs="Times New Roman"/>
          <w:b/>
          <w:sz w:val="24"/>
          <w:szCs w:val="24"/>
        </w:rPr>
      </w:pPr>
      <w:r w:rsidRPr="00C218FB">
        <w:rPr>
          <w:rFonts w:ascii="Times New Roman" w:hAnsi="Times New Roman" w:cs="Times New Roman"/>
          <w:b/>
          <w:sz w:val="24"/>
          <w:szCs w:val="24"/>
        </w:rPr>
        <w:t>LISTA DE VOTACIÓN</w:t>
      </w:r>
    </w:p>
    <w:p w:rsidR="000F603A" w:rsidRPr="00C218FB" w:rsidRDefault="000F603A" w:rsidP="00C218FB">
      <w:pPr>
        <w:spacing w:after="0" w:line="240" w:lineRule="auto"/>
        <w:contextualSpacing/>
        <w:rPr>
          <w:rFonts w:ascii="Times New Roman" w:hAnsi="Times New Roman" w:cs="Times New Roman"/>
          <w:b/>
          <w:sz w:val="24"/>
          <w:szCs w:val="24"/>
        </w:rPr>
      </w:pPr>
    </w:p>
    <w:p w:rsidR="000F603A" w:rsidRPr="00C218FB" w:rsidRDefault="000F603A" w:rsidP="00C218FB">
      <w:pPr>
        <w:spacing w:after="0" w:line="240" w:lineRule="auto"/>
        <w:contextualSpacing/>
        <w:rPr>
          <w:rFonts w:ascii="Times New Roman" w:hAnsi="Times New Roman" w:cs="Times New Roman"/>
          <w:sz w:val="24"/>
          <w:szCs w:val="24"/>
        </w:rPr>
      </w:pPr>
      <w:r w:rsidRPr="00C218FB">
        <w:rPr>
          <w:rFonts w:ascii="Times New Roman" w:hAnsi="Times New Roman" w:cs="Times New Roman"/>
          <w:b/>
          <w:sz w:val="24"/>
          <w:szCs w:val="24"/>
        </w:rPr>
        <w:t xml:space="preserve">FECHA: </w:t>
      </w:r>
      <w:r w:rsidRPr="00C218FB">
        <w:rPr>
          <w:rFonts w:ascii="Times New Roman" w:hAnsi="Times New Roman" w:cs="Times New Roman"/>
          <w:sz w:val="24"/>
          <w:szCs w:val="24"/>
        </w:rPr>
        <w:t>30/ENERO/2026.</w:t>
      </w:r>
    </w:p>
    <w:p w:rsidR="000F603A" w:rsidRPr="00C218FB" w:rsidRDefault="000F603A" w:rsidP="00C218FB">
      <w:pPr>
        <w:pStyle w:val="Default"/>
        <w:jc w:val="both"/>
        <w:rPr>
          <w:rFonts w:ascii="Times New Roman" w:hAnsi="Times New Roman" w:cs="Times New Roman"/>
          <w:color w:val="auto"/>
        </w:rPr>
      </w:pPr>
      <w:r w:rsidRPr="00C218FB">
        <w:rPr>
          <w:rFonts w:ascii="Times New Roman" w:hAnsi="Times New Roman" w:cs="Times New Roman"/>
          <w:color w:val="auto"/>
        </w:rPr>
        <w:t>ASUNTO: DICTAMEN DE LA SOLICITUD DEL INICIO DEL PROCEDIMIENTO DE DIFERENDO LIMÍTROFE INTERMUNICIPAL ENTRE LOS MUNICIPIOS DE ACOLMAN Y ECATEPEC DE MORELOS, Y COMO TERCEROS INTERESADOS A LOS MUNICIPIOS DE TECÁMAC Y ATENCO, ESTADO DE MÉXICO.</w:t>
      </w:r>
    </w:p>
    <w:p w:rsidR="000F603A" w:rsidRPr="00C218FB" w:rsidRDefault="000F603A" w:rsidP="00C218FB">
      <w:pPr>
        <w:spacing w:after="0" w:line="240" w:lineRule="auto"/>
        <w:contextualSpacing/>
        <w:jc w:val="center"/>
        <w:rPr>
          <w:rFonts w:ascii="Times New Roman" w:hAnsi="Times New Roman" w:cs="Times New Roman"/>
          <w:b/>
          <w:sz w:val="24"/>
          <w:szCs w:val="24"/>
        </w:rPr>
      </w:pPr>
    </w:p>
    <w:p w:rsidR="000F603A" w:rsidRPr="00C218FB" w:rsidRDefault="000F603A" w:rsidP="00C218FB">
      <w:pPr>
        <w:spacing w:after="0" w:line="240" w:lineRule="auto"/>
        <w:contextualSpacing/>
        <w:jc w:val="center"/>
        <w:rPr>
          <w:rFonts w:ascii="Times New Roman" w:hAnsi="Times New Roman" w:cs="Times New Roman"/>
          <w:b/>
          <w:sz w:val="24"/>
          <w:szCs w:val="24"/>
        </w:rPr>
      </w:pPr>
      <w:r w:rsidRPr="00C218FB">
        <w:rPr>
          <w:rFonts w:ascii="Times New Roman" w:hAnsi="Times New Roman" w:cs="Times New Roman"/>
          <w:b/>
          <w:sz w:val="24"/>
          <w:szCs w:val="24"/>
        </w:rPr>
        <w:t>COMISIÓN LEGISLATIVA DE</w:t>
      </w:r>
    </w:p>
    <w:p w:rsidR="000F603A" w:rsidRPr="00C218FB" w:rsidRDefault="000F603A" w:rsidP="00C218FB">
      <w:pPr>
        <w:spacing w:after="0" w:line="240" w:lineRule="auto"/>
        <w:contextualSpacing/>
        <w:jc w:val="center"/>
        <w:rPr>
          <w:rFonts w:ascii="Times New Roman" w:hAnsi="Times New Roman" w:cs="Times New Roman"/>
          <w:b/>
          <w:sz w:val="24"/>
          <w:szCs w:val="24"/>
        </w:rPr>
      </w:pPr>
      <w:r w:rsidRPr="00C218FB">
        <w:rPr>
          <w:rFonts w:ascii="Times New Roman" w:hAnsi="Times New Roman" w:cs="Times New Roman"/>
          <w:b/>
          <w:sz w:val="24"/>
          <w:szCs w:val="24"/>
        </w:rPr>
        <w:t xml:space="preserve">LÍMITES TERRITORIALES DEL ESTADO DE MÉXICO Y SUS MUNICIPIOS </w:t>
      </w:r>
    </w:p>
    <w:p w:rsidR="000F603A" w:rsidRPr="00C218FB" w:rsidRDefault="000F603A" w:rsidP="00C218FB">
      <w:pPr>
        <w:spacing w:after="0" w:line="240" w:lineRule="auto"/>
        <w:contextualSpacing/>
        <w:jc w:val="center"/>
        <w:rPr>
          <w:rFonts w:ascii="Times New Roman" w:hAnsi="Times New Roman" w:cs="Times New Roman"/>
          <w:b/>
          <w:sz w:val="24"/>
          <w:szCs w:val="24"/>
        </w:rPr>
      </w:pPr>
    </w:p>
    <w:tbl>
      <w:tblPr>
        <w:tblW w:w="95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1"/>
        <w:gridCol w:w="2337"/>
        <w:gridCol w:w="2338"/>
        <w:gridCol w:w="2338"/>
      </w:tblGrid>
      <w:tr w:rsidR="000F603A" w:rsidRPr="00C218FB" w:rsidTr="005F2489">
        <w:trPr>
          <w:trHeight w:val="20"/>
          <w:tblHeader/>
          <w:jc w:val="center"/>
        </w:trPr>
        <w:tc>
          <w:tcPr>
            <w:tcW w:w="2521" w:type="dxa"/>
            <w:vMerge w:val="restart"/>
            <w:shd w:val="clear" w:color="auto" w:fill="D9D9D9"/>
            <w:vAlign w:val="center"/>
          </w:tcPr>
          <w:p w:rsidR="000F603A" w:rsidRPr="00C218FB" w:rsidRDefault="000F603A" w:rsidP="00C218FB">
            <w:pPr>
              <w:spacing w:after="0" w:line="240" w:lineRule="auto"/>
              <w:contextualSpacing/>
              <w:jc w:val="center"/>
              <w:rPr>
                <w:rFonts w:ascii="Times New Roman" w:hAnsi="Times New Roman" w:cs="Times New Roman"/>
                <w:b/>
                <w:sz w:val="24"/>
                <w:szCs w:val="24"/>
              </w:rPr>
            </w:pPr>
            <w:r w:rsidRPr="00C218FB">
              <w:rPr>
                <w:rFonts w:ascii="Times New Roman" w:hAnsi="Times New Roman" w:cs="Times New Roman"/>
                <w:b/>
                <w:sz w:val="24"/>
                <w:szCs w:val="24"/>
              </w:rPr>
              <w:t>DIPUTADA(O)</w:t>
            </w:r>
          </w:p>
        </w:tc>
        <w:tc>
          <w:tcPr>
            <w:tcW w:w="7013" w:type="dxa"/>
            <w:gridSpan w:val="3"/>
            <w:shd w:val="clear" w:color="auto" w:fill="D9D9D9"/>
          </w:tcPr>
          <w:p w:rsidR="000F603A" w:rsidRPr="00C218FB" w:rsidRDefault="000F603A" w:rsidP="00C218FB">
            <w:pPr>
              <w:spacing w:after="0" w:line="240" w:lineRule="auto"/>
              <w:contextualSpacing/>
              <w:jc w:val="center"/>
              <w:rPr>
                <w:rFonts w:ascii="Times New Roman" w:hAnsi="Times New Roman" w:cs="Times New Roman"/>
                <w:b/>
                <w:sz w:val="24"/>
                <w:szCs w:val="24"/>
              </w:rPr>
            </w:pPr>
            <w:r w:rsidRPr="00C218FB">
              <w:rPr>
                <w:rFonts w:ascii="Times New Roman" w:hAnsi="Times New Roman" w:cs="Times New Roman"/>
                <w:b/>
                <w:sz w:val="24"/>
                <w:szCs w:val="24"/>
              </w:rPr>
              <w:t>FIRMA</w:t>
            </w:r>
          </w:p>
        </w:tc>
      </w:tr>
      <w:tr w:rsidR="000F603A" w:rsidRPr="00C218FB" w:rsidTr="005F2489">
        <w:trPr>
          <w:trHeight w:val="20"/>
          <w:tblHeader/>
          <w:jc w:val="center"/>
        </w:trPr>
        <w:tc>
          <w:tcPr>
            <w:tcW w:w="2521" w:type="dxa"/>
            <w:vMerge/>
            <w:shd w:val="clear" w:color="auto" w:fill="D9D9D9"/>
          </w:tcPr>
          <w:p w:rsidR="000F603A" w:rsidRPr="00C218FB" w:rsidRDefault="000F603A" w:rsidP="00C218FB">
            <w:pPr>
              <w:spacing w:after="0" w:line="240" w:lineRule="auto"/>
              <w:contextualSpacing/>
              <w:jc w:val="center"/>
              <w:rPr>
                <w:rFonts w:ascii="Times New Roman" w:hAnsi="Times New Roman" w:cs="Times New Roman"/>
                <w:b/>
                <w:sz w:val="24"/>
                <w:szCs w:val="24"/>
              </w:rPr>
            </w:pPr>
          </w:p>
        </w:tc>
        <w:tc>
          <w:tcPr>
            <w:tcW w:w="2337" w:type="dxa"/>
            <w:shd w:val="clear" w:color="auto" w:fill="D9D9D9"/>
          </w:tcPr>
          <w:p w:rsidR="000F603A" w:rsidRPr="00C218FB" w:rsidRDefault="000F603A" w:rsidP="00C218FB">
            <w:pPr>
              <w:spacing w:after="0" w:line="240" w:lineRule="auto"/>
              <w:contextualSpacing/>
              <w:jc w:val="center"/>
              <w:rPr>
                <w:rFonts w:ascii="Times New Roman" w:hAnsi="Times New Roman" w:cs="Times New Roman"/>
                <w:b/>
                <w:sz w:val="24"/>
                <w:szCs w:val="24"/>
              </w:rPr>
            </w:pPr>
            <w:r w:rsidRPr="00C218FB">
              <w:rPr>
                <w:rFonts w:ascii="Times New Roman" w:hAnsi="Times New Roman" w:cs="Times New Roman"/>
                <w:b/>
                <w:sz w:val="24"/>
                <w:szCs w:val="24"/>
              </w:rPr>
              <w:t>A FAVOR</w:t>
            </w:r>
          </w:p>
        </w:tc>
        <w:tc>
          <w:tcPr>
            <w:tcW w:w="2338" w:type="dxa"/>
            <w:shd w:val="clear" w:color="auto" w:fill="D9D9D9"/>
          </w:tcPr>
          <w:p w:rsidR="000F603A" w:rsidRPr="00C218FB" w:rsidRDefault="000F603A" w:rsidP="00C218FB">
            <w:pPr>
              <w:spacing w:after="0" w:line="240" w:lineRule="auto"/>
              <w:contextualSpacing/>
              <w:jc w:val="center"/>
              <w:rPr>
                <w:rFonts w:ascii="Times New Roman" w:hAnsi="Times New Roman" w:cs="Times New Roman"/>
                <w:b/>
                <w:sz w:val="24"/>
                <w:szCs w:val="24"/>
              </w:rPr>
            </w:pPr>
            <w:r w:rsidRPr="00C218FB">
              <w:rPr>
                <w:rFonts w:ascii="Times New Roman" w:hAnsi="Times New Roman" w:cs="Times New Roman"/>
                <w:b/>
                <w:sz w:val="24"/>
                <w:szCs w:val="24"/>
              </w:rPr>
              <w:t>EN CONTRA</w:t>
            </w:r>
          </w:p>
        </w:tc>
        <w:tc>
          <w:tcPr>
            <w:tcW w:w="2338" w:type="dxa"/>
            <w:shd w:val="clear" w:color="auto" w:fill="D9D9D9"/>
          </w:tcPr>
          <w:p w:rsidR="000F603A" w:rsidRPr="00C218FB" w:rsidRDefault="000F603A" w:rsidP="00C218FB">
            <w:pPr>
              <w:spacing w:after="0" w:line="240" w:lineRule="auto"/>
              <w:contextualSpacing/>
              <w:jc w:val="center"/>
              <w:rPr>
                <w:rFonts w:ascii="Times New Roman" w:hAnsi="Times New Roman" w:cs="Times New Roman"/>
                <w:b/>
                <w:sz w:val="24"/>
                <w:szCs w:val="24"/>
              </w:rPr>
            </w:pPr>
            <w:r w:rsidRPr="00C218FB">
              <w:rPr>
                <w:rFonts w:ascii="Times New Roman" w:hAnsi="Times New Roman" w:cs="Times New Roman"/>
                <w:b/>
                <w:sz w:val="24"/>
                <w:szCs w:val="24"/>
              </w:rPr>
              <w:t>ABSTENCIÓN</w:t>
            </w:r>
          </w:p>
        </w:tc>
      </w:tr>
      <w:tr w:rsidR="000F603A" w:rsidRPr="00C218FB" w:rsidTr="005F2489">
        <w:trPr>
          <w:trHeight w:val="20"/>
          <w:jc w:val="center"/>
        </w:trPr>
        <w:tc>
          <w:tcPr>
            <w:tcW w:w="2521"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sz w:val="24"/>
                <w:szCs w:val="24"/>
              </w:rPr>
            </w:pPr>
            <w:r w:rsidRPr="00C218FB">
              <w:rPr>
                <w:rFonts w:ascii="Times New Roman" w:hAnsi="Times New Roman" w:cs="Times New Roman"/>
                <w:b/>
                <w:sz w:val="24"/>
                <w:szCs w:val="24"/>
              </w:rPr>
              <w:t>Presidente</w:t>
            </w:r>
          </w:p>
          <w:p w:rsidR="000F603A" w:rsidRPr="00C218FB" w:rsidRDefault="000F603A" w:rsidP="00C218FB">
            <w:pPr>
              <w:spacing w:after="0" w:line="240" w:lineRule="auto"/>
              <w:contextualSpacing/>
              <w:jc w:val="center"/>
              <w:rPr>
                <w:rFonts w:ascii="Times New Roman" w:hAnsi="Times New Roman" w:cs="Times New Roman"/>
                <w:b/>
                <w:sz w:val="24"/>
                <w:szCs w:val="24"/>
              </w:rPr>
            </w:pPr>
            <w:r w:rsidRPr="00C218FB">
              <w:rPr>
                <w:rFonts w:ascii="Times New Roman" w:hAnsi="Times New Roman" w:cs="Times New Roman"/>
                <w:sz w:val="24"/>
                <w:szCs w:val="24"/>
              </w:rPr>
              <w:t>Dip. Román Francisco Cortés Lugo</w:t>
            </w:r>
          </w:p>
        </w:tc>
        <w:tc>
          <w:tcPr>
            <w:tcW w:w="2337"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b/>
                <w:sz w:val="24"/>
                <w:szCs w:val="24"/>
              </w:rPr>
            </w:pPr>
            <w:r w:rsidRPr="00C218FB">
              <w:rPr>
                <w:rFonts w:ascii="Times New Roman" w:hAnsi="Times New Roman" w:cs="Times New Roman"/>
                <w:b/>
                <w:sz w:val="24"/>
                <w:szCs w:val="24"/>
              </w:rPr>
              <w:t>√</w:t>
            </w:r>
          </w:p>
        </w:tc>
        <w:tc>
          <w:tcPr>
            <w:tcW w:w="2338"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b/>
                <w:sz w:val="24"/>
                <w:szCs w:val="24"/>
              </w:rPr>
            </w:pPr>
          </w:p>
        </w:tc>
        <w:tc>
          <w:tcPr>
            <w:tcW w:w="2338"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b/>
                <w:sz w:val="24"/>
                <w:szCs w:val="24"/>
              </w:rPr>
            </w:pPr>
          </w:p>
        </w:tc>
      </w:tr>
      <w:tr w:rsidR="000F603A" w:rsidRPr="00C218FB" w:rsidTr="005F2489">
        <w:trPr>
          <w:trHeight w:val="20"/>
          <w:jc w:val="center"/>
        </w:trPr>
        <w:tc>
          <w:tcPr>
            <w:tcW w:w="2521"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sz w:val="24"/>
                <w:szCs w:val="24"/>
              </w:rPr>
            </w:pPr>
            <w:r w:rsidRPr="00C218FB">
              <w:rPr>
                <w:rFonts w:ascii="Times New Roman" w:hAnsi="Times New Roman" w:cs="Times New Roman"/>
                <w:b/>
                <w:sz w:val="24"/>
                <w:szCs w:val="24"/>
              </w:rPr>
              <w:t>Secretario</w:t>
            </w:r>
          </w:p>
          <w:p w:rsidR="000F603A" w:rsidRPr="00C218FB" w:rsidRDefault="000F603A" w:rsidP="00C218FB">
            <w:pPr>
              <w:spacing w:after="0" w:line="240" w:lineRule="auto"/>
              <w:contextualSpacing/>
              <w:jc w:val="center"/>
              <w:rPr>
                <w:rFonts w:ascii="Times New Roman" w:hAnsi="Times New Roman" w:cs="Times New Roman"/>
                <w:sz w:val="24"/>
                <w:szCs w:val="24"/>
              </w:rPr>
            </w:pPr>
            <w:r w:rsidRPr="00C218FB">
              <w:rPr>
                <w:rFonts w:ascii="Times New Roman" w:hAnsi="Times New Roman" w:cs="Times New Roman"/>
                <w:sz w:val="24"/>
                <w:szCs w:val="24"/>
              </w:rPr>
              <w:t xml:space="preserve">Dip. Ernesto </w:t>
            </w:r>
          </w:p>
          <w:p w:rsidR="000F603A" w:rsidRPr="00C218FB" w:rsidRDefault="000F603A" w:rsidP="00C218FB">
            <w:pPr>
              <w:spacing w:after="0" w:line="240" w:lineRule="auto"/>
              <w:contextualSpacing/>
              <w:jc w:val="center"/>
              <w:rPr>
                <w:rFonts w:ascii="Times New Roman" w:hAnsi="Times New Roman" w:cs="Times New Roman"/>
                <w:b/>
                <w:sz w:val="24"/>
                <w:szCs w:val="24"/>
              </w:rPr>
            </w:pPr>
            <w:r w:rsidRPr="00C218FB">
              <w:rPr>
                <w:rFonts w:ascii="Times New Roman" w:hAnsi="Times New Roman" w:cs="Times New Roman"/>
                <w:sz w:val="24"/>
                <w:szCs w:val="24"/>
              </w:rPr>
              <w:t>Santillán Ramírez</w:t>
            </w:r>
          </w:p>
        </w:tc>
        <w:tc>
          <w:tcPr>
            <w:tcW w:w="2337"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b/>
                <w:sz w:val="24"/>
                <w:szCs w:val="24"/>
              </w:rPr>
            </w:pPr>
            <w:r w:rsidRPr="00C218FB">
              <w:rPr>
                <w:rFonts w:ascii="Times New Roman" w:hAnsi="Times New Roman" w:cs="Times New Roman"/>
                <w:b/>
                <w:sz w:val="24"/>
                <w:szCs w:val="24"/>
              </w:rPr>
              <w:t>√</w:t>
            </w:r>
          </w:p>
        </w:tc>
        <w:tc>
          <w:tcPr>
            <w:tcW w:w="2338"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b/>
                <w:sz w:val="24"/>
                <w:szCs w:val="24"/>
              </w:rPr>
            </w:pPr>
          </w:p>
        </w:tc>
        <w:tc>
          <w:tcPr>
            <w:tcW w:w="2338"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b/>
                <w:sz w:val="24"/>
                <w:szCs w:val="24"/>
              </w:rPr>
            </w:pPr>
          </w:p>
        </w:tc>
      </w:tr>
      <w:tr w:rsidR="000F603A" w:rsidRPr="00C218FB" w:rsidTr="005F2489">
        <w:trPr>
          <w:trHeight w:val="20"/>
          <w:jc w:val="center"/>
        </w:trPr>
        <w:tc>
          <w:tcPr>
            <w:tcW w:w="2521"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sz w:val="24"/>
                <w:szCs w:val="24"/>
                <w:lang w:eastAsia="es-MX"/>
              </w:rPr>
            </w:pPr>
            <w:r w:rsidRPr="00C218FB">
              <w:rPr>
                <w:rFonts w:ascii="Times New Roman" w:hAnsi="Times New Roman" w:cs="Times New Roman"/>
                <w:b/>
                <w:sz w:val="24"/>
                <w:szCs w:val="24"/>
              </w:rPr>
              <w:t>Prosecretaria</w:t>
            </w:r>
          </w:p>
          <w:p w:rsidR="000F603A" w:rsidRPr="00C218FB" w:rsidRDefault="000F603A" w:rsidP="00C218FB">
            <w:pPr>
              <w:spacing w:after="0" w:line="240" w:lineRule="auto"/>
              <w:contextualSpacing/>
              <w:jc w:val="center"/>
              <w:rPr>
                <w:rFonts w:ascii="Times New Roman" w:hAnsi="Times New Roman" w:cs="Times New Roman"/>
                <w:sz w:val="24"/>
                <w:szCs w:val="24"/>
              </w:rPr>
            </w:pPr>
            <w:r w:rsidRPr="00C218FB">
              <w:rPr>
                <w:rFonts w:ascii="Times New Roman" w:hAnsi="Times New Roman" w:cs="Times New Roman"/>
                <w:sz w:val="24"/>
                <w:szCs w:val="24"/>
              </w:rPr>
              <w:t xml:space="preserve">Dip. María José </w:t>
            </w:r>
          </w:p>
          <w:p w:rsidR="000F603A" w:rsidRPr="00C218FB" w:rsidRDefault="000F603A" w:rsidP="00C218FB">
            <w:pPr>
              <w:spacing w:after="0" w:line="240" w:lineRule="auto"/>
              <w:contextualSpacing/>
              <w:jc w:val="center"/>
              <w:rPr>
                <w:rFonts w:ascii="Times New Roman" w:hAnsi="Times New Roman" w:cs="Times New Roman"/>
                <w:b/>
                <w:sz w:val="24"/>
                <w:szCs w:val="24"/>
              </w:rPr>
            </w:pPr>
            <w:r w:rsidRPr="00C218FB">
              <w:rPr>
                <w:rFonts w:ascii="Times New Roman" w:hAnsi="Times New Roman" w:cs="Times New Roman"/>
                <w:sz w:val="24"/>
                <w:szCs w:val="24"/>
              </w:rPr>
              <w:t>Pérez Domínguez</w:t>
            </w:r>
          </w:p>
        </w:tc>
        <w:tc>
          <w:tcPr>
            <w:tcW w:w="2337"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b/>
                <w:sz w:val="24"/>
                <w:szCs w:val="24"/>
              </w:rPr>
            </w:pPr>
            <w:r w:rsidRPr="00C218FB">
              <w:rPr>
                <w:rFonts w:ascii="Times New Roman" w:hAnsi="Times New Roman" w:cs="Times New Roman"/>
                <w:b/>
                <w:sz w:val="24"/>
                <w:szCs w:val="24"/>
              </w:rPr>
              <w:t>√</w:t>
            </w:r>
          </w:p>
        </w:tc>
        <w:tc>
          <w:tcPr>
            <w:tcW w:w="2338"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b/>
                <w:sz w:val="24"/>
                <w:szCs w:val="24"/>
              </w:rPr>
            </w:pPr>
          </w:p>
        </w:tc>
        <w:tc>
          <w:tcPr>
            <w:tcW w:w="2338"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b/>
                <w:sz w:val="24"/>
                <w:szCs w:val="24"/>
              </w:rPr>
            </w:pPr>
          </w:p>
        </w:tc>
      </w:tr>
      <w:tr w:rsidR="000F603A" w:rsidRPr="00C218FB" w:rsidTr="005F2489">
        <w:trPr>
          <w:trHeight w:val="20"/>
          <w:jc w:val="center"/>
        </w:trPr>
        <w:tc>
          <w:tcPr>
            <w:tcW w:w="2521"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b/>
                <w:sz w:val="24"/>
                <w:szCs w:val="24"/>
              </w:rPr>
            </w:pPr>
            <w:r w:rsidRPr="00C218FB">
              <w:rPr>
                <w:rFonts w:ascii="Times New Roman" w:hAnsi="Times New Roman" w:cs="Times New Roman"/>
                <w:sz w:val="24"/>
                <w:szCs w:val="24"/>
              </w:rPr>
              <w:t>Dip. Arleth Stephanie Grimaldo Osorio</w:t>
            </w:r>
          </w:p>
        </w:tc>
        <w:tc>
          <w:tcPr>
            <w:tcW w:w="2337"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b/>
                <w:sz w:val="24"/>
                <w:szCs w:val="24"/>
              </w:rPr>
            </w:pPr>
            <w:r w:rsidRPr="00C218FB">
              <w:rPr>
                <w:rFonts w:ascii="Times New Roman" w:hAnsi="Times New Roman" w:cs="Times New Roman"/>
                <w:b/>
                <w:sz w:val="24"/>
                <w:szCs w:val="24"/>
              </w:rPr>
              <w:t>√</w:t>
            </w:r>
          </w:p>
        </w:tc>
        <w:tc>
          <w:tcPr>
            <w:tcW w:w="2338"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b/>
                <w:sz w:val="24"/>
                <w:szCs w:val="24"/>
              </w:rPr>
            </w:pPr>
          </w:p>
        </w:tc>
        <w:tc>
          <w:tcPr>
            <w:tcW w:w="2338"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b/>
                <w:sz w:val="24"/>
                <w:szCs w:val="24"/>
              </w:rPr>
            </w:pPr>
          </w:p>
        </w:tc>
      </w:tr>
      <w:tr w:rsidR="000F603A" w:rsidRPr="00C218FB" w:rsidTr="005F2489">
        <w:trPr>
          <w:trHeight w:val="20"/>
          <w:jc w:val="center"/>
        </w:trPr>
        <w:tc>
          <w:tcPr>
            <w:tcW w:w="2521"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sz w:val="24"/>
                <w:szCs w:val="24"/>
              </w:rPr>
            </w:pPr>
            <w:r w:rsidRPr="00C218FB">
              <w:rPr>
                <w:rFonts w:ascii="Times New Roman" w:hAnsi="Times New Roman" w:cs="Times New Roman"/>
                <w:sz w:val="24"/>
                <w:szCs w:val="24"/>
              </w:rPr>
              <w:t xml:space="preserve">Dip. Javier </w:t>
            </w:r>
          </w:p>
          <w:p w:rsidR="000F603A" w:rsidRPr="00C218FB" w:rsidRDefault="000F603A" w:rsidP="00C218FB">
            <w:pPr>
              <w:spacing w:after="0" w:line="240" w:lineRule="auto"/>
              <w:contextualSpacing/>
              <w:jc w:val="center"/>
              <w:rPr>
                <w:rFonts w:ascii="Times New Roman" w:hAnsi="Times New Roman" w:cs="Times New Roman"/>
                <w:sz w:val="24"/>
                <w:szCs w:val="24"/>
                <w:lang w:val="es-ES_tradnl"/>
              </w:rPr>
            </w:pPr>
            <w:r w:rsidRPr="00C218FB">
              <w:rPr>
                <w:rFonts w:ascii="Times New Roman" w:hAnsi="Times New Roman" w:cs="Times New Roman"/>
                <w:sz w:val="24"/>
                <w:szCs w:val="24"/>
              </w:rPr>
              <w:t>Cruz Jaramillo</w:t>
            </w:r>
          </w:p>
        </w:tc>
        <w:tc>
          <w:tcPr>
            <w:tcW w:w="2337"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b/>
                <w:sz w:val="24"/>
                <w:szCs w:val="24"/>
              </w:rPr>
            </w:pPr>
            <w:r w:rsidRPr="00C218FB">
              <w:rPr>
                <w:rFonts w:ascii="Times New Roman" w:hAnsi="Times New Roman" w:cs="Times New Roman"/>
                <w:b/>
                <w:sz w:val="24"/>
                <w:szCs w:val="24"/>
              </w:rPr>
              <w:t>√</w:t>
            </w:r>
          </w:p>
        </w:tc>
        <w:tc>
          <w:tcPr>
            <w:tcW w:w="2338"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b/>
                <w:sz w:val="24"/>
                <w:szCs w:val="24"/>
              </w:rPr>
            </w:pPr>
          </w:p>
        </w:tc>
        <w:tc>
          <w:tcPr>
            <w:tcW w:w="2338"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b/>
                <w:sz w:val="24"/>
                <w:szCs w:val="24"/>
              </w:rPr>
            </w:pPr>
          </w:p>
        </w:tc>
      </w:tr>
      <w:tr w:rsidR="000F603A" w:rsidRPr="00C218FB" w:rsidTr="005F2489">
        <w:trPr>
          <w:trHeight w:val="20"/>
          <w:jc w:val="center"/>
        </w:trPr>
        <w:tc>
          <w:tcPr>
            <w:tcW w:w="2521"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sz w:val="24"/>
                <w:szCs w:val="24"/>
              </w:rPr>
            </w:pPr>
            <w:r w:rsidRPr="00C218FB">
              <w:rPr>
                <w:rFonts w:ascii="Times New Roman" w:hAnsi="Times New Roman" w:cs="Times New Roman"/>
                <w:sz w:val="24"/>
                <w:szCs w:val="24"/>
              </w:rPr>
              <w:t xml:space="preserve">Dip. Angélica </w:t>
            </w:r>
          </w:p>
          <w:p w:rsidR="000F603A" w:rsidRPr="00C218FB" w:rsidRDefault="000F603A" w:rsidP="00C218FB">
            <w:pPr>
              <w:spacing w:after="0" w:line="240" w:lineRule="auto"/>
              <w:contextualSpacing/>
              <w:jc w:val="center"/>
              <w:rPr>
                <w:rFonts w:ascii="Times New Roman" w:hAnsi="Times New Roman" w:cs="Times New Roman"/>
                <w:sz w:val="24"/>
                <w:szCs w:val="24"/>
                <w:lang w:val="es-ES_tradnl"/>
              </w:rPr>
            </w:pPr>
            <w:r w:rsidRPr="00C218FB">
              <w:rPr>
                <w:rFonts w:ascii="Times New Roman" w:hAnsi="Times New Roman" w:cs="Times New Roman"/>
                <w:sz w:val="24"/>
                <w:szCs w:val="24"/>
              </w:rPr>
              <w:t>Pérez Cerón</w:t>
            </w:r>
          </w:p>
        </w:tc>
        <w:tc>
          <w:tcPr>
            <w:tcW w:w="2337"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b/>
                <w:sz w:val="24"/>
                <w:szCs w:val="24"/>
              </w:rPr>
            </w:pPr>
            <w:r w:rsidRPr="00C218FB">
              <w:rPr>
                <w:rFonts w:ascii="Times New Roman" w:hAnsi="Times New Roman" w:cs="Times New Roman"/>
                <w:b/>
                <w:sz w:val="24"/>
                <w:szCs w:val="24"/>
              </w:rPr>
              <w:t>√</w:t>
            </w:r>
          </w:p>
        </w:tc>
        <w:tc>
          <w:tcPr>
            <w:tcW w:w="2338"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b/>
                <w:sz w:val="24"/>
                <w:szCs w:val="24"/>
              </w:rPr>
            </w:pPr>
          </w:p>
        </w:tc>
        <w:tc>
          <w:tcPr>
            <w:tcW w:w="2338"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b/>
                <w:sz w:val="24"/>
                <w:szCs w:val="24"/>
              </w:rPr>
            </w:pPr>
          </w:p>
        </w:tc>
      </w:tr>
      <w:tr w:rsidR="000F603A" w:rsidRPr="00C218FB" w:rsidTr="005F2489">
        <w:trPr>
          <w:trHeight w:val="20"/>
          <w:jc w:val="center"/>
        </w:trPr>
        <w:tc>
          <w:tcPr>
            <w:tcW w:w="2521"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sz w:val="24"/>
                <w:szCs w:val="24"/>
                <w:lang w:val="es-ES_tradnl"/>
              </w:rPr>
            </w:pPr>
            <w:r w:rsidRPr="00C218FB">
              <w:rPr>
                <w:rFonts w:ascii="Times New Roman" w:hAnsi="Times New Roman" w:cs="Times New Roman"/>
                <w:sz w:val="24"/>
                <w:szCs w:val="24"/>
              </w:rPr>
              <w:t xml:space="preserve">Dip. Armando Navarrete López </w:t>
            </w:r>
          </w:p>
        </w:tc>
        <w:tc>
          <w:tcPr>
            <w:tcW w:w="2337"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b/>
                <w:sz w:val="24"/>
                <w:szCs w:val="24"/>
              </w:rPr>
            </w:pPr>
            <w:r w:rsidRPr="00C218FB">
              <w:rPr>
                <w:rFonts w:ascii="Times New Roman" w:hAnsi="Times New Roman" w:cs="Times New Roman"/>
                <w:b/>
                <w:sz w:val="24"/>
                <w:szCs w:val="24"/>
              </w:rPr>
              <w:t>√</w:t>
            </w:r>
          </w:p>
        </w:tc>
        <w:tc>
          <w:tcPr>
            <w:tcW w:w="2338"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b/>
                <w:sz w:val="24"/>
                <w:szCs w:val="24"/>
              </w:rPr>
            </w:pPr>
          </w:p>
        </w:tc>
        <w:tc>
          <w:tcPr>
            <w:tcW w:w="2338"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b/>
                <w:sz w:val="24"/>
                <w:szCs w:val="24"/>
              </w:rPr>
            </w:pPr>
          </w:p>
        </w:tc>
      </w:tr>
      <w:tr w:rsidR="000F603A" w:rsidRPr="00C218FB" w:rsidTr="005F2489">
        <w:trPr>
          <w:trHeight w:val="20"/>
          <w:jc w:val="center"/>
        </w:trPr>
        <w:tc>
          <w:tcPr>
            <w:tcW w:w="2521"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sz w:val="24"/>
                <w:szCs w:val="24"/>
              </w:rPr>
            </w:pPr>
            <w:r w:rsidRPr="00C218FB">
              <w:rPr>
                <w:rFonts w:ascii="Times New Roman" w:hAnsi="Times New Roman" w:cs="Times New Roman"/>
                <w:sz w:val="24"/>
                <w:szCs w:val="24"/>
              </w:rPr>
              <w:t xml:space="preserve">Dip. Mariano </w:t>
            </w:r>
          </w:p>
          <w:p w:rsidR="000F603A" w:rsidRPr="00C218FB" w:rsidRDefault="000F603A" w:rsidP="00C218FB">
            <w:pPr>
              <w:spacing w:after="0" w:line="240" w:lineRule="auto"/>
              <w:contextualSpacing/>
              <w:jc w:val="center"/>
              <w:rPr>
                <w:rFonts w:ascii="Times New Roman" w:hAnsi="Times New Roman" w:cs="Times New Roman"/>
                <w:sz w:val="24"/>
                <w:szCs w:val="24"/>
                <w:lang w:val="es-ES_tradnl"/>
              </w:rPr>
            </w:pPr>
            <w:r w:rsidRPr="00C218FB">
              <w:rPr>
                <w:rFonts w:ascii="Times New Roman" w:hAnsi="Times New Roman" w:cs="Times New Roman"/>
                <w:sz w:val="24"/>
                <w:szCs w:val="24"/>
              </w:rPr>
              <w:t>Camacho San Martín</w:t>
            </w:r>
          </w:p>
        </w:tc>
        <w:tc>
          <w:tcPr>
            <w:tcW w:w="2337"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b/>
                <w:sz w:val="24"/>
                <w:szCs w:val="24"/>
              </w:rPr>
            </w:pPr>
            <w:r w:rsidRPr="00C218FB">
              <w:rPr>
                <w:rFonts w:ascii="Times New Roman" w:hAnsi="Times New Roman" w:cs="Times New Roman"/>
                <w:b/>
                <w:sz w:val="24"/>
                <w:szCs w:val="24"/>
              </w:rPr>
              <w:t>√</w:t>
            </w:r>
          </w:p>
        </w:tc>
        <w:tc>
          <w:tcPr>
            <w:tcW w:w="2338"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b/>
                <w:sz w:val="24"/>
                <w:szCs w:val="24"/>
              </w:rPr>
            </w:pPr>
          </w:p>
        </w:tc>
        <w:tc>
          <w:tcPr>
            <w:tcW w:w="2338"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b/>
                <w:sz w:val="24"/>
                <w:szCs w:val="24"/>
              </w:rPr>
            </w:pPr>
          </w:p>
        </w:tc>
      </w:tr>
      <w:tr w:rsidR="000F603A" w:rsidRPr="00C218FB" w:rsidTr="005F2489">
        <w:trPr>
          <w:trHeight w:val="20"/>
          <w:jc w:val="center"/>
        </w:trPr>
        <w:tc>
          <w:tcPr>
            <w:tcW w:w="2521"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sz w:val="24"/>
                <w:szCs w:val="24"/>
              </w:rPr>
            </w:pPr>
            <w:r w:rsidRPr="00C218FB">
              <w:rPr>
                <w:rFonts w:ascii="Times New Roman" w:hAnsi="Times New Roman" w:cs="Times New Roman"/>
                <w:sz w:val="24"/>
                <w:szCs w:val="24"/>
              </w:rPr>
              <w:t xml:space="preserve">Dip. Araceli </w:t>
            </w:r>
          </w:p>
          <w:p w:rsidR="000F603A" w:rsidRPr="00C218FB" w:rsidRDefault="000F603A" w:rsidP="00C218FB">
            <w:pPr>
              <w:spacing w:after="0" w:line="240" w:lineRule="auto"/>
              <w:contextualSpacing/>
              <w:jc w:val="center"/>
              <w:rPr>
                <w:rFonts w:ascii="Times New Roman" w:hAnsi="Times New Roman" w:cs="Times New Roman"/>
                <w:sz w:val="24"/>
                <w:szCs w:val="24"/>
                <w:lang w:val="es-ES_tradnl"/>
              </w:rPr>
            </w:pPr>
            <w:r w:rsidRPr="00C218FB">
              <w:rPr>
                <w:rFonts w:ascii="Times New Roman" w:hAnsi="Times New Roman" w:cs="Times New Roman"/>
                <w:sz w:val="24"/>
                <w:szCs w:val="24"/>
              </w:rPr>
              <w:t>Casasola Salazar</w:t>
            </w:r>
          </w:p>
        </w:tc>
        <w:tc>
          <w:tcPr>
            <w:tcW w:w="2337"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b/>
                <w:sz w:val="24"/>
                <w:szCs w:val="24"/>
              </w:rPr>
            </w:pPr>
          </w:p>
        </w:tc>
        <w:tc>
          <w:tcPr>
            <w:tcW w:w="2338"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b/>
                <w:sz w:val="24"/>
                <w:szCs w:val="24"/>
              </w:rPr>
            </w:pPr>
          </w:p>
        </w:tc>
        <w:tc>
          <w:tcPr>
            <w:tcW w:w="2338"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b/>
                <w:sz w:val="24"/>
                <w:szCs w:val="24"/>
              </w:rPr>
            </w:pPr>
          </w:p>
        </w:tc>
      </w:tr>
      <w:tr w:rsidR="000F603A" w:rsidRPr="00C218FB" w:rsidTr="005F2489">
        <w:trPr>
          <w:trHeight w:val="20"/>
          <w:jc w:val="center"/>
        </w:trPr>
        <w:tc>
          <w:tcPr>
            <w:tcW w:w="2521"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sz w:val="24"/>
                <w:szCs w:val="24"/>
              </w:rPr>
            </w:pPr>
            <w:r w:rsidRPr="00C218FB">
              <w:rPr>
                <w:rFonts w:ascii="Times New Roman" w:hAnsi="Times New Roman" w:cs="Times New Roman"/>
                <w:sz w:val="24"/>
                <w:szCs w:val="24"/>
              </w:rPr>
              <w:t xml:space="preserve">Dip. Miriam </w:t>
            </w:r>
          </w:p>
          <w:p w:rsidR="000F603A" w:rsidRPr="00C218FB" w:rsidRDefault="000F603A" w:rsidP="00C218FB">
            <w:pPr>
              <w:spacing w:after="0" w:line="240" w:lineRule="auto"/>
              <w:contextualSpacing/>
              <w:jc w:val="center"/>
              <w:rPr>
                <w:rFonts w:ascii="Times New Roman" w:hAnsi="Times New Roman" w:cs="Times New Roman"/>
                <w:sz w:val="24"/>
                <w:szCs w:val="24"/>
              </w:rPr>
            </w:pPr>
            <w:r w:rsidRPr="00C218FB">
              <w:rPr>
                <w:rFonts w:ascii="Times New Roman" w:hAnsi="Times New Roman" w:cs="Times New Roman"/>
                <w:sz w:val="24"/>
                <w:szCs w:val="24"/>
              </w:rPr>
              <w:t xml:space="preserve">Silva Mata </w:t>
            </w:r>
          </w:p>
        </w:tc>
        <w:tc>
          <w:tcPr>
            <w:tcW w:w="2337"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b/>
                <w:sz w:val="24"/>
                <w:szCs w:val="24"/>
              </w:rPr>
            </w:pPr>
            <w:r w:rsidRPr="00C218FB">
              <w:rPr>
                <w:rFonts w:ascii="Times New Roman" w:hAnsi="Times New Roman" w:cs="Times New Roman"/>
                <w:b/>
                <w:sz w:val="24"/>
                <w:szCs w:val="24"/>
              </w:rPr>
              <w:t>√</w:t>
            </w:r>
          </w:p>
        </w:tc>
        <w:tc>
          <w:tcPr>
            <w:tcW w:w="2338"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b/>
                <w:sz w:val="24"/>
                <w:szCs w:val="24"/>
              </w:rPr>
            </w:pPr>
          </w:p>
        </w:tc>
        <w:tc>
          <w:tcPr>
            <w:tcW w:w="2338"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b/>
                <w:sz w:val="24"/>
                <w:szCs w:val="24"/>
              </w:rPr>
            </w:pPr>
          </w:p>
        </w:tc>
      </w:tr>
      <w:tr w:rsidR="000F603A" w:rsidRPr="00C218FB" w:rsidTr="005F2489">
        <w:trPr>
          <w:trHeight w:val="20"/>
          <w:jc w:val="center"/>
        </w:trPr>
        <w:tc>
          <w:tcPr>
            <w:tcW w:w="2521"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sz w:val="24"/>
                <w:szCs w:val="24"/>
              </w:rPr>
            </w:pPr>
            <w:r w:rsidRPr="00C218FB">
              <w:rPr>
                <w:rFonts w:ascii="Times New Roman" w:hAnsi="Times New Roman" w:cs="Times New Roman"/>
                <w:sz w:val="24"/>
                <w:szCs w:val="24"/>
              </w:rPr>
              <w:t xml:space="preserve">Dip. Rocío Alexia Dávila Sánchez </w:t>
            </w:r>
          </w:p>
        </w:tc>
        <w:tc>
          <w:tcPr>
            <w:tcW w:w="2337"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b/>
                <w:sz w:val="24"/>
                <w:szCs w:val="24"/>
              </w:rPr>
            </w:pPr>
            <w:r w:rsidRPr="00C218FB">
              <w:rPr>
                <w:rFonts w:ascii="Times New Roman" w:hAnsi="Times New Roman" w:cs="Times New Roman"/>
                <w:b/>
                <w:sz w:val="24"/>
                <w:szCs w:val="24"/>
              </w:rPr>
              <w:t>√</w:t>
            </w:r>
          </w:p>
        </w:tc>
        <w:tc>
          <w:tcPr>
            <w:tcW w:w="2338"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b/>
                <w:sz w:val="24"/>
                <w:szCs w:val="24"/>
              </w:rPr>
            </w:pPr>
          </w:p>
        </w:tc>
        <w:tc>
          <w:tcPr>
            <w:tcW w:w="2338" w:type="dxa"/>
            <w:shd w:val="clear" w:color="auto" w:fill="auto"/>
            <w:vAlign w:val="center"/>
          </w:tcPr>
          <w:p w:rsidR="000F603A" w:rsidRPr="00C218FB" w:rsidRDefault="000F603A" w:rsidP="00C218FB">
            <w:pPr>
              <w:spacing w:after="0" w:line="240" w:lineRule="auto"/>
              <w:contextualSpacing/>
              <w:jc w:val="center"/>
              <w:rPr>
                <w:rFonts w:ascii="Times New Roman" w:hAnsi="Times New Roman" w:cs="Times New Roman"/>
                <w:b/>
                <w:sz w:val="24"/>
                <w:szCs w:val="24"/>
              </w:rPr>
            </w:pPr>
          </w:p>
        </w:tc>
      </w:tr>
    </w:tbl>
    <w:p w:rsidR="000F603A" w:rsidRPr="00C218FB" w:rsidRDefault="000F603A" w:rsidP="00C218FB">
      <w:pPr>
        <w:spacing w:after="0" w:line="240" w:lineRule="auto"/>
        <w:rPr>
          <w:rFonts w:ascii="Times New Roman" w:hAnsi="Times New Roman" w:cs="Times New Roman"/>
          <w:sz w:val="24"/>
          <w:szCs w:val="24"/>
        </w:rPr>
      </w:pPr>
    </w:p>
    <w:p w:rsidR="000F603A" w:rsidRPr="00D34A16" w:rsidRDefault="000F603A" w:rsidP="00D34A16">
      <w:pPr>
        <w:spacing w:after="0" w:line="240" w:lineRule="auto"/>
        <w:rPr>
          <w:rFonts w:ascii="Times New Roman" w:hAnsi="Times New Roman" w:cs="Times New Roman"/>
          <w:sz w:val="24"/>
          <w:szCs w:val="24"/>
        </w:rPr>
      </w:pPr>
    </w:p>
    <w:p w:rsidR="003244AB" w:rsidRPr="00D34A16" w:rsidRDefault="003244AB" w:rsidP="00D34A16">
      <w:pPr>
        <w:spacing w:after="0" w:line="240" w:lineRule="auto"/>
        <w:jc w:val="both"/>
        <w:rPr>
          <w:rFonts w:ascii="Times New Roman" w:eastAsia="Calibri" w:hAnsi="Times New Roman" w:cs="Times New Roman"/>
          <w:b/>
          <w:sz w:val="24"/>
          <w:szCs w:val="24"/>
        </w:rPr>
      </w:pPr>
      <w:r w:rsidRPr="00D34A16">
        <w:rPr>
          <w:rFonts w:ascii="Times New Roman" w:eastAsia="Calibri" w:hAnsi="Times New Roman" w:cs="Times New Roman"/>
          <w:b/>
          <w:sz w:val="24"/>
          <w:szCs w:val="24"/>
        </w:rPr>
        <w:t>DECRETO NÚMERO</w:t>
      </w:r>
    </w:p>
    <w:p w:rsidR="003244AB" w:rsidRPr="00D34A16" w:rsidRDefault="003244AB" w:rsidP="00D34A16">
      <w:pPr>
        <w:spacing w:after="0" w:line="240" w:lineRule="auto"/>
        <w:jc w:val="both"/>
        <w:rPr>
          <w:rFonts w:ascii="Times New Roman" w:eastAsia="Calibri" w:hAnsi="Times New Roman" w:cs="Times New Roman"/>
          <w:b/>
          <w:sz w:val="24"/>
          <w:szCs w:val="24"/>
        </w:rPr>
      </w:pPr>
      <w:r w:rsidRPr="00D34A16">
        <w:rPr>
          <w:rFonts w:ascii="Times New Roman" w:eastAsia="Calibri" w:hAnsi="Times New Roman" w:cs="Times New Roman"/>
          <w:b/>
          <w:sz w:val="24"/>
          <w:szCs w:val="24"/>
        </w:rPr>
        <w:t xml:space="preserve">DE LA “LXII” LEGISLATURA </w:t>
      </w:r>
    </w:p>
    <w:p w:rsidR="003244AB" w:rsidRPr="00D34A16" w:rsidRDefault="003244AB" w:rsidP="00D34A16">
      <w:pPr>
        <w:spacing w:after="0" w:line="240" w:lineRule="auto"/>
        <w:jc w:val="both"/>
        <w:rPr>
          <w:rFonts w:ascii="Times New Roman" w:eastAsia="Calibri" w:hAnsi="Times New Roman" w:cs="Times New Roman"/>
          <w:b/>
          <w:sz w:val="24"/>
          <w:szCs w:val="24"/>
        </w:rPr>
      </w:pPr>
      <w:r w:rsidRPr="00D34A16">
        <w:rPr>
          <w:rFonts w:ascii="Times New Roman" w:eastAsia="Calibri" w:hAnsi="Times New Roman" w:cs="Times New Roman"/>
          <w:b/>
          <w:sz w:val="24"/>
          <w:szCs w:val="24"/>
        </w:rPr>
        <w:t>DEL ESTADO DE MÉXICO</w:t>
      </w:r>
    </w:p>
    <w:p w:rsidR="003244AB" w:rsidRPr="00D34A16" w:rsidRDefault="003244AB" w:rsidP="00D34A16">
      <w:pPr>
        <w:spacing w:after="0" w:line="240" w:lineRule="auto"/>
        <w:jc w:val="both"/>
        <w:rPr>
          <w:rFonts w:ascii="Times New Roman" w:eastAsia="Calibri" w:hAnsi="Times New Roman" w:cs="Times New Roman"/>
          <w:b/>
          <w:sz w:val="24"/>
          <w:szCs w:val="24"/>
        </w:rPr>
      </w:pPr>
      <w:r w:rsidRPr="00D34A16">
        <w:rPr>
          <w:rFonts w:ascii="Times New Roman" w:eastAsia="Calibri" w:hAnsi="Times New Roman" w:cs="Times New Roman"/>
          <w:b/>
          <w:sz w:val="24"/>
          <w:szCs w:val="24"/>
        </w:rPr>
        <w:t>DECRETA:</w:t>
      </w:r>
    </w:p>
    <w:p w:rsidR="003244AB" w:rsidRPr="00D34A16" w:rsidRDefault="003244AB" w:rsidP="00D34A16">
      <w:pPr>
        <w:spacing w:after="0" w:line="240" w:lineRule="auto"/>
        <w:jc w:val="both"/>
        <w:rPr>
          <w:rFonts w:ascii="Times New Roman" w:eastAsia="Calibri" w:hAnsi="Times New Roman" w:cs="Times New Roman"/>
          <w:sz w:val="24"/>
          <w:szCs w:val="24"/>
        </w:rPr>
      </w:pPr>
    </w:p>
    <w:p w:rsidR="003244AB" w:rsidRPr="00D34A16" w:rsidRDefault="003244AB" w:rsidP="00D34A16">
      <w:pPr>
        <w:spacing w:after="0" w:line="240" w:lineRule="auto"/>
        <w:jc w:val="both"/>
        <w:rPr>
          <w:rFonts w:ascii="Times New Roman" w:eastAsia="Calibri" w:hAnsi="Times New Roman" w:cs="Times New Roman"/>
          <w:sz w:val="24"/>
          <w:szCs w:val="24"/>
        </w:rPr>
      </w:pPr>
      <w:r w:rsidRPr="00D34A16">
        <w:rPr>
          <w:rFonts w:ascii="Times New Roman" w:eastAsia="Calibri" w:hAnsi="Times New Roman" w:cs="Times New Roman"/>
          <w:b/>
          <w:sz w:val="24"/>
          <w:szCs w:val="24"/>
        </w:rPr>
        <w:lastRenderedPageBreak/>
        <w:t>ARTÍCULO PRIMERO.</w:t>
      </w:r>
      <w:r w:rsidRPr="00D34A16">
        <w:rPr>
          <w:rFonts w:ascii="Times New Roman" w:eastAsia="Calibri" w:hAnsi="Times New Roman" w:cs="Times New Roman"/>
          <w:sz w:val="24"/>
          <w:szCs w:val="24"/>
        </w:rPr>
        <w:t xml:space="preserve"> La Presidencia de la “LXI” Legislatura, en fecha quince de febrero de dos mil veintidós, remitió a la Comisión Legislativa de Límites Territoriales del Estado de México y sus Municipios, la solicitud del inicio del Procedimiento de Diferendo Limítrofe Intermunicipal entre los municipios de </w:t>
      </w:r>
      <w:r w:rsidRPr="00D34A16">
        <w:rPr>
          <w:rFonts w:ascii="Times New Roman" w:eastAsia="Aptos" w:hAnsi="Times New Roman" w:cs="Times New Roman"/>
          <w:sz w:val="24"/>
          <w:szCs w:val="24"/>
        </w:rPr>
        <w:t>Acolman y Ecatepec de Morelos, y con la intervención de los municipios de Tecámac y Atenco, Estado de México, como terceros interesados</w:t>
      </w:r>
      <w:r w:rsidRPr="00D34A16">
        <w:rPr>
          <w:rFonts w:ascii="Times New Roman" w:eastAsia="Calibri" w:hAnsi="Times New Roman" w:cs="Times New Roman"/>
          <w:sz w:val="24"/>
          <w:szCs w:val="24"/>
        </w:rPr>
        <w:t xml:space="preserve">. </w:t>
      </w:r>
    </w:p>
    <w:p w:rsidR="003244AB" w:rsidRPr="00D34A16" w:rsidRDefault="003244AB" w:rsidP="00D34A16">
      <w:pPr>
        <w:spacing w:after="0" w:line="240" w:lineRule="auto"/>
        <w:jc w:val="both"/>
        <w:rPr>
          <w:rFonts w:ascii="Times New Roman" w:eastAsia="Calibri" w:hAnsi="Times New Roman" w:cs="Times New Roman"/>
          <w:sz w:val="24"/>
          <w:szCs w:val="24"/>
        </w:rPr>
      </w:pPr>
    </w:p>
    <w:p w:rsidR="003244AB" w:rsidRPr="00D34A16" w:rsidRDefault="003244AB" w:rsidP="00D34A16">
      <w:pPr>
        <w:spacing w:after="0" w:line="240" w:lineRule="auto"/>
        <w:jc w:val="both"/>
        <w:rPr>
          <w:rFonts w:ascii="Times New Roman" w:eastAsia="Calibri" w:hAnsi="Times New Roman" w:cs="Times New Roman"/>
          <w:sz w:val="24"/>
          <w:szCs w:val="24"/>
        </w:rPr>
      </w:pPr>
      <w:r w:rsidRPr="00D34A16">
        <w:rPr>
          <w:rFonts w:ascii="Times New Roman" w:eastAsia="Calibri" w:hAnsi="Times New Roman" w:cs="Times New Roman"/>
          <w:sz w:val="24"/>
          <w:szCs w:val="24"/>
        </w:rPr>
        <w:t xml:space="preserve">Con fundamento en lo dispuesto en el artículo 61 fracciones I, XXV y XXVI de la Constitución Política del Estado Libre y Soberano de México, 13 A, fracción XXV, inciso a) del Reglamento del Poder Legislativo del Estado Libre y Soberano de México, en relación con los artículos 1, 2, 3, 4, 6, 40, 41, 42, 43, 44, 45, 46, 47, 48, 49 50, 51, 52, 53 y 54 de la Ley Reglamentaria de las Fracciones XXV y XXVI del artículo 61 de la Constitución Política del Estado Libre y Soberano de México, la “LXII” Legislatura del Congreso del Estado Libre y Soberano de México, es competente para conocer y resolver el Procedimiento de Diferendo Limítrofe Intermunicipal entre los municipios de </w:t>
      </w:r>
      <w:r w:rsidRPr="00D34A16">
        <w:rPr>
          <w:rFonts w:ascii="Times New Roman" w:eastAsia="Aptos" w:hAnsi="Times New Roman" w:cs="Times New Roman"/>
          <w:sz w:val="24"/>
          <w:szCs w:val="24"/>
        </w:rPr>
        <w:t>Acolman y Ecatepec de Morelos, teniendo como terceros interesados a los municipios de Tecámac y Atenco, Estado de México</w:t>
      </w:r>
      <w:r w:rsidRPr="00D34A16">
        <w:rPr>
          <w:rFonts w:ascii="Times New Roman" w:eastAsia="Calibri" w:hAnsi="Times New Roman" w:cs="Times New Roman"/>
          <w:sz w:val="24"/>
          <w:szCs w:val="24"/>
        </w:rPr>
        <w:t xml:space="preserve">. </w:t>
      </w:r>
    </w:p>
    <w:p w:rsidR="003244AB" w:rsidRPr="00D34A16" w:rsidRDefault="003244AB" w:rsidP="00D34A16">
      <w:pPr>
        <w:spacing w:after="0" w:line="240" w:lineRule="auto"/>
        <w:jc w:val="both"/>
        <w:rPr>
          <w:rFonts w:ascii="Times New Roman" w:eastAsia="Calibri" w:hAnsi="Times New Roman" w:cs="Times New Roman"/>
          <w:sz w:val="24"/>
          <w:szCs w:val="24"/>
        </w:rPr>
      </w:pPr>
    </w:p>
    <w:p w:rsidR="003244AB" w:rsidRPr="00D34A16" w:rsidRDefault="003244AB" w:rsidP="00D34A16">
      <w:pPr>
        <w:spacing w:after="0" w:line="240" w:lineRule="auto"/>
        <w:jc w:val="both"/>
        <w:rPr>
          <w:rFonts w:ascii="Times New Roman" w:eastAsia="Calibri" w:hAnsi="Times New Roman" w:cs="Times New Roman"/>
          <w:sz w:val="24"/>
          <w:szCs w:val="24"/>
        </w:rPr>
      </w:pPr>
      <w:r w:rsidRPr="00D34A16">
        <w:rPr>
          <w:rFonts w:ascii="Times New Roman" w:eastAsia="Calibri" w:hAnsi="Times New Roman" w:cs="Times New Roman"/>
          <w:b/>
          <w:sz w:val="24"/>
          <w:szCs w:val="24"/>
        </w:rPr>
        <w:t>ARTÍCULO SEGUNDO.</w:t>
      </w:r>
      <w:r w:rsidRPr="00D34A16">
        <w:rPr>
          <w:rFonts w:ascii="Times New Roman" w:eastAsia="Calibri" w:hAnsi="Times New Roman" w:cs="Times New Roman"/>
          <w:sz w:val="24"/>
          <w:szCs w:val="24"/>
        </w:rPr>
        <w:t xml:space="preserve"> La solicitud de inicio del Procedimiento para la Solución de Diferendo Limítrofe Intermunicipal entre los municipios de </w:t>
      </w:r>
      <w:r w:rsidRPr="00D34A16">
        <w:rPr>
          <w:rFonts w:ascii="Times New Roman" w:eastAsia="Aptos" w:hAnsi="Times New Roman" w:cs="Times New Roman"/>
          <w:sz w:val="24"/>
          <w:szCs w:val="24"/>
        </w:rPr>
        <w:t>Acolman y Ecatepec de Morelos, en la que además se señaló como terceros interesados a los municipios de Tecámac y Atenco, Estado de México</w:t>
      </w:r>
      <w:r w:rsidRPr="00D34A16">
        <w:rPr>
          <w:rFonts w:ascii="Times New Roman" w:eastAsia="Calibri" w:hAnsi="Times New Roman" w:cs="Times New Roman"/>
          <w:sz w:val="24"/>
          <w:szCs w:val="24"/>
        </w:rPr>
        <w:t xml:space="preserve">, presentada por </w:t>
      </w:r>
      <w:r w:rsidRPr="00D34A16">
        <w:rPr>
          <w:rFonts w:ascii="Times New Roman" w:eastAsia="Aptos" w:hAnsi="Times New Roman" w:cs="Times New Roman"/>
          <w:sz w:val="24"/>
          <w:szCs w:val="24"/>
        </w:rPr>
        <w:t>la Diputada Beatriz García Villegas, integrante del Grupo Parlamentario del Partido Morena</w:t>
      </w:r>
      <w:r w:rsidRPr="00D34A16">
        <w:rPr>
          <w:rFonts w:ascii="Times New Roman" w:eastAsia="Calibri" w:hAnsi="Times New Roman" w:cs="Times New Roman"/>
          <w:sz w:val="24"/>
          <w:szCs w:val="24"/>
        </w:rPr>
        <w:t xml:space="preserve">, </w:t>
      </w:r>
      <w:r w:rsidRPr="00D34A16">
        <w:rPr>
          <w:rFonts w:ascii="Times New Roman" w:eastAsia="Aptos" w:hAnsi="Times New Roman" w:cs="Times New Roman"/>
          <w:sz w:val="24"/>
          <w:szCs w:val="24"/>
        </w:rPr>
        <w:t xml:space="preserve">ante el Pleno de la “LXI” Legislatura del Congreso del Estado de México, en términos de lo establecido en el artículo 41 de la Ley de la materia, misma que fue ratificada </w:t>
      </w:r>
      <w:r w:rsidRPr="00D34A16">
        <w:rPr>
          <w:rFonts w:ascii="Times New Roman" w:eastAsia="Calibri" w:hAnsi="Times New Roman" w:cs="Times New Roman"/>
          <w:sz w:val="24"/>
          <w:szCs w:val="24"/>
        </w:rPr>
        <w:t>a través de sus representantes los CC. Rigoberto Cortés Melgoza y Blanca Guadalupe Sánchez Osorio, Presidente Municipal y Síndica Municipal respectivamente del Municipio de Acolman, da cumplimiento a los requisitos que señala el artículo 42 de la Ley Reglamentaria de las Fracciones XXV y XXVI del artículo 61 de la Constitución Política del Estado Libre y Soberano de México.</w:t>
      </w:r>
    </w:p>
    <w:p w:rsidR="003244AB" w:rsidRPr="00D34A16" w:rsidRDefault="003244AB" w:rsidP="00D34A16">
      <w:pPr>
        <w:spacing w:after="0" w:line="240" w:lineRule="auto"/>
        <w:jc w:val="both"/>
        <w:rPr>
          <w:rFonts w:ascii="Times New Roman" w:eastAsia="Calibri" w:hAnsi="Times New Roman" w:cs="Times New Roman"/>
          <w:sz w:val="24"/>
          <w:szCs w:val="24"/>
        </w:rPr>
      </w:pPr>
    </w:p>
    <w:p w:rsidR="003244AB" w:rsidRPr="00D34A16" w:rsidRDefault="003244AB" w:rsidP="00D34A16">
      <w:pPr>
        <w:spacing w:after="0" w:line="240" w:lineRule="auto"/>
        <w:jc w:val="both"/>
        <w:rPr>
          <w:rFonts w:ascii="Times New Roman" w:eastAsia="Calibri" w:hAnsi="Times New Roman" w:cs="Times New Roman"/>
          <w:sz w:val="24"/>
          <w:szCs w:val="24"/>
        </w:rPr>
      </w:pPr>
      <w:r w:rsidRPr="00D34A16">
        <w:rPr>
          <w:rFonts w:ascii="Times New Roman" w:eastAsia="Calibri" w:hAnsi="Times New Roman" w:cs="Times New Roman"/>
          <w:sz w:val="24"/>
          <w:szCs w:val="24"/>
        </w:rPr>
        <w:t>En cumplimiento a lo dispuesto en el artículo 44 de la Ley Reglamentaria de las Fracciones XXV y XXVI del artículo 61 de la Constitución Política del Estado Libre y Soberano de México, y en atención a la solicitud de Procedimiento para la Solución de Diferendo Limítrofe Intermunicipal, presentada por la Diputada Beatriz García Villegas, integrante del Grupo Parlamentario del Partido Morena y ratificada por el Municipio de Acolman a través de sus representantes Presidente y Síndica Municipal, en contra del Municipio de Ecatepec de Morelos, en fecha quince de marzo de dos mil veintidós, la Comisión Legislativa de Límites Territoriales del Estado de México y sus Municipios de la “LXI” Legislatura emitió el acuerdo de radicación, por el que se admitió a trámite la Solicitud de Procedimiento para la Solución de Diferendos Limítrofes Intermunicipales, se reconoció la calidad de terceros interesados a los municipios de Tecámac y Atenco, Estado de México, se identificó el polígono en disputa como correspondiente a las colonias Prado San Juan, Guerrero, Pirules, Lázaro Cárdenas, La Laguna y Ejido Santa María Chiconautla, y se ordenó notificar a los municipios involucrados para darles oportunidad de exponer sus argumentos respecto del diferendo limítrofe planteado.</w:t>
      </w:r>
    </w:p>
    <w:p w:rsidR="003244AB" w:rsidRPr="00D34A16" w:rsidRDefault="003244AB" w:rsidP="00D34A16">
      <w:pPr>
        <w:spacing w:after="0" w:line="240" w:lineRule="auto"/>
        <w:jc w:val="both"/>
        <w:rPr>
          <w:rFonts w:ascii="Times New Roman" w:eastAsia="Calibri" w:hAnsi="Times New Roman" w:cs="Times New Roman"/>
          <w:sz w:val="24"/>
          <w:szCs w:val="24"/>
        </w:rPr>
      </w:pPr>
    </w:p>
    <w:p w:rsidR="003244AB" w:rsidRPr="00D34A16" w:rsidRDefault="003244AB" w:rsidP="00D34A16">
      <w:pPr>
        <w:spacing w:after="0" w:line="240" w:lineRule="auto"/>
        <w:jc w:val="both"/>
        <w:rPr>
          <w:rFonts w:ascii="Times New Roman" w:eastAsia="Calibri" w:hAnsi="Times New Roman" w:cs="Times New Roman"/>
          <w:sz w:val="24"/>
          <w:szCs w:val="24"/>
        </w:rPr>
      </w:pPr>
      <w:r w:rsidRPr="00D34A16">
        <w:rPr>
          <w:rFonts w:ascii="Times New Roman" w:eastAsia="Calibri" w:hAnsi="Times New Roman" w:cs="Times New Roman"/>
          <w:sz w:val="24"/>
          <w:szCs w:val="24"/>
        </w:rPr>
        <w:t xml:space="preserve">Durante la secuela procesal y desahogada la garantía de audiencia, la Comisión Legislativa de Límites Territoriales del Estado de México y sus Municipios de la “LXI” Legislatura, requirió a los municipios de Acolman y Ecatepec de Morelos, así como a los terceros interesados, </w:t>
      </w:r>
      <w:r w:rsidRPr="00D34A16">
        <w:rPr>
          <w:rFonts w:ascii="Times New Roman" w:eastAsia="Aptos" w:hAnsi="Times New Roman" w:cs="Times New Roman"/>
          <w:sz w:val="24"/>
          <w:szCs w:val="24"/>
        </w:rPr>
        <w:t xml:space="preserve">Tecámac y Atenco, </w:t>
      </w:r>
      <w:r w:rsidRPr="00D34A16">
        <w:rPr>
          <w:rFonts w:ascii="Times New Roman" w:eastAsia="Calibri" w:hAnsi="Times New Roman" w:cs="Times New Roman"/>
          <w:sz w:val="24"/>
          <w:szCs w:val="24"/>
        </w:rPr>
        <w:t xml:space="preserve">a través de sus representantes Presidentes y Síndicos Municipales, el ofrecimiento de pruebas, mismas que fueron admitidas y desahogadas, otorgándose vista a los municipios interesados a fin de que formularan sus manifestaciones, lo que se llevó a cabo en términos de los </w:t>
      </w:r>
      <w:r w:rsidRPr="00D34A16">
        <w:rPr>
          <w:rFonts w:ascii="Times New Roman" w:eastAsia="Calibri" w:hAnsi="Times New Roman" w:cs="Times New Roman"/>
          <w:sz w:val="24"/>
          <w:szCs w:val="24"/>
        </w:rPr>
        <w:lastRenderedPageBreak/>
        <w:t>artículos 45, 46 y 47 de la Ley Reglamentaria de las Fracciones XXV y XXVI del artículo 61 de la Constitución Política del Estado Libre y Soberano de México.</w:t>
      </w:r>
    </w:p>
    <w:p w:rsidR="003244AB" w:rsidRPr="00D34A16" w:rsidRDefault="003244AB" w:rsidP="00D34A16">
      <w:pPr>
        <w:spacing w:after="0" w:line="240" w:lineRule="auto"/>
        <w:jc w:val="both"/>
        <w:rPr>
          <w:rFonts w:ascii="Times New Roman" w:eastAsia="Calibri" w:hAnsi="Times New Roman" w:cs="Times New Roman"/>
          <w:sz w:val="24"/>
          <w:szCs w:val="24"/>
        </w:rPr>
      </w:pPr>
    </w:p>
    <w:p w:rsidR="003244AB" w:rsidRPr="00D34A16" w:rsidRDefault="003244AB" w:rsidP="00D34A16">
      <w:pPr>
        <w:spacing w:after="0" w:line="240" w:lineRule="auto"/>
        <w:jc w:val="both"/>
        <w:rPr>
          <w:rFonts w:ascii="Times New Roman" w:eastAsia="Calibri" w:hAnsi="Times New Roman" w:cs="Times New Roman"/>
          <w:sz w:val="24"/>
          <w:szCs w:val="24"/>
        </w:rPr>
      </w:pPr>
      <w:r w:rsidRPr="00D34A16">
        <w:rPr>
          <w:rFonts w:ascii="Times New Roman" w:eastAsia="Calibri" w:hAnsi="Times New Roman" w:cs="Times New Roman"/>
          <w:b/>
          <w:sz w:val="24"/>
          <w:szCs w:val="24"/>
        </w:rPr>
        <w:t>ARTÍCULO TERCERO.</w:t>
      </w:r>
      <w:r w:rsidRPr="00D34A16">
        <w:rPr>
          <w:rFonts w:ascii="Times New Roman" w:eastAsia="Calibri" w:hAnsi="Times New Roman" w:cs="Times New Roman"/>
          <w:sz w:val="24"/>
          <w:szCs w:val="24"/>
        </w:rPr>
        <w:t xml:space="preserve"> Derivado del estudio y valoración de las pruebas aportadas por los municipios de Acolman y Ecatepec de Morelos, así como por los municipios de Tecámac y Atenco en su calidad de terceros interesados, todos del Estado de México, la Comisión Legislativa de Límites Territoriales del Estado de México y sus Municipios, emitió el dictamen correspondiente por el que se determina la delimitación territorial del polígono objeto del diferendo.</w:t>
      </w:r>
    </w:p>
    <w:p w:rsidR="003244AB" w:rsidRPr="00D34A16" w:rsidRDefault="003244AB" w:rsidP="00D34A16">
      <w:pPr>
        <w:spacing w:after="0" w:line="240" w:lineRule="auto"/>
        <w:jc w:val="both"/>
        <w:rPr>
          <w:rFonts w:ascii="Times New Roman" w:eastAsia="Calibri" w:hAnsi="Times New Roman" w:cs="Times New Roman"/>
          <w:sz w:val="24"/>
          <w:szCs w:val="24"/>
        </w:rPr>
      </w:pPr>
    </w:p>
    <w:p w:rsidR="003244AB" w:rsidRPr="00D34A16" w:rsidRDefault="003244AB" w:rsidP="00D34A16">
      <w:pPr>
        <w:spacing w:after="0" w:line="240" w:lineRule="auto"/>
        <w:jc w:val="both"/>
        <w:rPr>
          <w:rFonts w:ascii="Times New Roman" w:eastAsia="Calibri" w:hAnsi="Times New Roman" w:cs="Times New Roman"/>
          <w:sz w:val="24"/>
          <w:szCs w:val="24"/>
        </w:rPr>
      </w:pPr>
      <w:r w:rsidRPr="00D34A16">
        <w:rPr>
          <w:rFonts w:ascii="Times New Roman" w:eastAsia="Calibri" w:hAnsi="Times New Roman" w:cs="Times New Roman"/>
          <w:sz w:val="24"/>
          <w:szCs w:val="24"/>
        </w:rPr>
        <w:t xml:space="preserve">En consecuencia, se reconoce que las Colonias “Prado San Juan (únicamente las calles denominadas Girasol, Laurel, Gardenias y </w:t>
      </w:r>
      <w:proofErr w:type="spellStart"/>
      <w:r w:rsidRPr="00D34A16">
        <w:rPr>
          <w:rFonts w:ascii="Times New Roman" w:eastAsia="Calibri" w:hAnsi="Times New Roman" w:cs="Times New Roman"/>
          <w:sz w:val="24"/>
          <w:szCs w:val="24"/>
        </w:rPr>
        <w:t>Bugambilias</w:t>
      </w:r>
      <w:proofErr w:type="spellEnd"/>
      <w:r w:rsidRPr="00D34A16">
        <w:rPr>
          <w:rFonts w:ascii="Times New Roman" w:eastAsia="Calibri" w:hAnsi="Times New Roman" w:cs="Times New Roman"/>
          <w:sz w:val="24"/>
          <w:szCs w:val="24"/>
        </w:rPr>
        <w:t>), Guerrero y Pirules”, así como la Termoeléctrica e instalaciones de PEMEX, con un área de 202.18 hectáreas forman parte del Municipio de Acolman.</w:t>
      </w:r>
    </w:p>
    <w:p w:rsidR="003244AB" w:rsidRPr="00D34A16" w:rsidRDefault="003244AB" w:rsidP="00D34A16">
      <w:pPr>
        <w:spacing w:after="0" w:line="240" w:lineRule="auto"/>
        <w:jc w:val="both"/>
        <w:rPr>
          <w:rFonts w:ascii="Times New Roman" w:eastAsia="Calibri" w:hAnsi="Times New Roman" w:cs="Times New Roman"/>
          <w:sz w:val="24"/>
          <w:szCs w:val="24"/>
        </w:rPr>
      </w:pPr>
    </w:p>
    <w:p w:rsidR="003244AB" w:rsidRPr="00D34A16" w:rsidRDefault="003244AB" w:rsidP="00D34A16">
      <w:pPr>
        <w:spacing w:after="0" w:line="240" w:lineRule="auto"/>
        <w:jc w:val="both"/>
        <w:rPr>
          <w:rFonts w:ascii="Times New Roman" w:eastAsia="Calibri" w:hAnsi="Times New Roman" w:cs="Times New Roman"/>
          <w:sz w:val="24"/>
          <w:szCs w:val="24"/>
        </w:rPr>
      </w:pPr>
      <w:r w:rsidRPr="00D34A16">
        <w:rPr>
          <w:rFonts w:ascii="Times New Roman" w:eastAsia="Calibri" w:hAnsi="Times New Roman" w:cs="Times New Roman"/>
          <w:sz w:val="24"/>
          <w:szCs w:val="24"/>
        </w:rPr>
        <w:t xml:space="preserve">Asimismo, se determina que las Colonias “Prado San Juan, (con excepción de las calles denominadas Girasol, Laurel, Gardenias y </w:t>
      </w:r>
      <w:proofErr w:type="spellStart"/>
      <w:r w:rsidRPr="00D34A16">
        <w:rPr>
          <w:rFonts w:ascii="Times New Roman" w:eastAsia="Calibri" w:hAnsi="Times New Roman" w:cs="Times New Roman"/>
          <w:sz w:val="24"/>
          <w:szCs w:val="24"/>
        </w:rPr>
        <w:t>Bugambilias</w:t>
      </w:r>
      <w:proofErr w:type="spellEnd"/>
      <w:r w:rsidRPr="00D34A16">
        <w:rPr>
          <w:rFonts w:ascii="Times New Roman" w:eastAsia="Calibri" w:hAnsi="Times New Roman" w:cs="Times New Roman"/>
          <w:sz w:val="24"/>
          <w:szCs w:val="24"/>
        </w:rPr>
        <w:t>), Lázaro Cárdenas, La Laguna, y Ejido Santa María Chiconautla”, así como los Juzgados Penales de Ecatepec de Morelos y el área conocida como el tiradero, con un área de 272.82 hectáreas forman parte del Municipio de Ecatepec de Morelos.</w:t>
      </w:r>
    </w:p>
    <w:p w:rsidR="003244AB" w:rsidRPr="00D34A16" w:rsidRDefault="003244AB" w:rsidP="00D34A16">
      <w:pPr>
        <w:spacing w:after="0" w:line="240" w:lineRule="auto"/>
        <w:jc w:val="both"/>
        <w:rPr>
          <w:rFonts w:ascii="Times New Roman" w:eastAsia="Calibri" w:hAnsi="Times New Roman" w:cs="Times New Roman"/>
          <w:sz w:val="24"/>
          <w:szCs w:val="24"/>
        </w:rPr>
      </w:pPr>
    </w:p>
    <w:p w:rsidR="003244AB" w:rsidRPr="00D34A16" w:rsidRDefault="003244AB" w:rsidP="00D34A16">
      <w:pPr>
        <w:spacing w:after="0" w:line="240" w:lineRule="auto"/>
        <w:jc w:val="both"/>
        <w:rPr>
          <w:rFonts w:ascii="Times New Roman" w:eastAsia="Calibri" w:hAnsi="Times New Roman" w:cs="Times New Roman"/>
          <w:sz w:val="24"/>
          <w:szCs w:val="24"/>
        </w:rPr>
      </w:pPr>
      <w:r w:rsidRPr="00D34A16">
        <w:rPr>
          <w:rFonts w:ascii="Times New Roman" w:eastAsia="Calibri" w:hAnsi="Times New Roman" w:cs="Times New Roman"/>
          <w:sz w:val="24"/>
          <w:szCs w:val="24"/>
        </w:rPr>
        <w:t>Dichas delimitaciones territoriales, se precisan en el plano de levantamiento topográfico, elaborado por la Comisión Legislativa de Límites Territoriales del Estado de México y sus Municipios de la “LXII” Legislatura del Estado de México, con apoyo interinstitucional del Instituto de Información e Investigación Geográfica, Estadística y Catastral del Estado de México (IGECEM).</w:t>
      </w:r>
    </w:p>
    <w:p w:rsidR="003244AB" w:rsidRPr="00D34A16" w:rsidRDefault="003244AB" w:rsidP="00D34A16">
      <w:pPr>
        <w:spacing w:after="0" w:line="240" w:lineRule="auto"/>
        <w:jc w:val="both"/>
        <w:rPr>
          <w:rFonts w:ascii="Times New Roman" w:eastAsia="Times New Roman" w:hAnsi="Times New Roman" w:cs="Times New Roman"/>
          <w:sz w:val="24"/>
          <w:szCs w:val="24"/>
          <w:lang w:eastAsia="es-MX"/>
        </w:rPr>
      </w:pPr>
    </w:p>
    <w:p w:rsidR="003244AB" w:rsidRPr="00D34A16" w:rsidRDefault="003244AB" w:rsidP="00D34A16">
      <w:pPr>
        <w:spacing w:after="0" w:line="240" w:lineRule="auto"/>
        <w:jc w:val="both"/>
        <w:rPr>
          <w:rFonts w:ascii="Times New Roman" w:eastAsia="Times New Roman" w:hAnsi="Times New Roman" w:cs="Times New Roman"/>
          <w:sz w:val="24"/>
          <w:szCs w:val="24"/>
        </w:rPr>
      </w:pPr>
      <w:r w:rsidRPr="00D34A16">
        <w:rPr>
          <w:rFonts w:ascii="Times New Roman" w:eastAsia="Times New Roman" w:hAnsi="Times New Roman" w:cs="Times New Roman"/>
          <w:sz w:val="24"/>
          <w:szCs w:val="24"/>
          <w:lang w:eastAsia="es-MX"/>
        </w:rPr>
        <w:t>Se establece que la línea limítrofe entre los Municipios de Acolman</w:t>
      </w:r>
      <w:r w:rsidRPr="00D34A16">
        <w:rPr>
          <w:rFonts w:ascii="Times New Roman" w:eastAsia="Calibri" w:hAnsi="Times New Roman" w:cs="Times New Roman"/>
          <w:sz w:val="24"/>
          <w:szCs w:val="24"/>
        </w:rPr>
        <w:t xml:space="preserve"> y Ecatepec de Morelos </w:t>
      </w:r>
      <w:r w:rsidRPr="00D34A16">
        <w:rPr>
          <w:rFonts w:ascii="Times New Roman" w:eastAsia="Times New Roman" w:hAnsi="Times New Roman" w:cs="Times New Roman"/>
          <w:sz w:val="24"/>
          <w:szCs w:val="24"/>
          <w:lang w:eastAsia="es-MX"/>
        </w:rPr>
        <w:t>inicia en</w:t>
      </w:r>
      <w:r w:rsidRPr="00D34A16">
        <w:rPr>
          <w:rFonts w:ascii="Times New Roman" w:eastAsia="Times New Roman" w:hAnsi="Times New Roman" w:cs="Times New Roman"/>
          <w:sz w:val="24"/>
          <w:szCs w:val="24"/>
        </w:rPr>
        <w:t xml:space="preserve"> el punto marcado en el plano con el número 1, correspondiente a la intersección de los límites entre los municipios de Tecámac y Ecatepec de Morelos, a partir de este punto, sigue un rumbo noreste (NE), pasando por el vértice número 2 hasta llegar al punto trino entre los municipios de Ecatepec de Morelos, Tecámac y Acolman, identificado como el vértice número 3, con una distancia aproximada de 1,057.65 metros; posteriormente, cambia al rumbo suroeste (SW) hasta alcanzar el vértice 4, con una distancia aproximada de 1,006.06 metros, la línea limítrofe sigue los rumbos noroeste (NW), pasando por los vértices 5, 6, siguiendo las construcciones limítrofes de la colonia Prados de San Juan con una distancia aproximada de 461.95 metros, se continúa en dirección suroeste (SW), siguiendo las construcciones limítrofes de la colonia Prados de San Juan para llegar al vértice 7 con una distancia aproximada de 109.11 metros, cambiando el rumbo con dirección sureste (SE) seguimos al vértice 8 con una distancia aproximada de 47.30 metros, continuando por el centro del camellón aproximadamente 50.22 metros en dirección suroeste (SW) llegamos al vértice 9, posteriormente en dirección sureste (SE) con 258.75 metros de distancia aproximada y siguiendo la perimetral de los Juzgados y el Centro Penitenciario Estatal conectamos con los vértices 10, 11 y 12, asimismo siguiendo la perimetral antes mencionada pero en dirección suroeste (SW) con 181.78 metros de distancia llegamos al vértice 13, cambiando el rumbo hacia una dirección noroeste (NW) de igual manera sobre la misma perimetral con una distancia de 187.13 metros de distancia conectamos al vértice 14, seguimos por un rumbo suroeste (SW) para encontrarnos con los vértices 15 y 16 llegando a la Avenida Reclusorio y sumando una distancia aproximada de 65.29 metros aproximadamente, continuamos por Avenida Reclusorio durante 78.81 metros aproximadamente en dirección noroeste (NW) llegando al vértice 17 en la intersección de calle Insurgentes con Avenida Reclusorio; cambiando el rumbo hacia el noreste (NE), siguiendo por la misma Avenida, hasta la intersección de un camino de terracería con una </w:t>
      </w:r>
      <w:r w:rsidRPr="00D34A16">
        <w:rPr>
          <w:rFonts w:ascii="Times New Roman" w:eastAsia="Times New Roman" w:hAnsi="Times New Roman" w:cs="Times New Roman"/>
          <w:sz w:val="24"/>
          <w:szCs w:val="24"/>
        </w:rPr>
        <w:lastRenderedPageBreak/>
        <w:t xml:space="preserve">distancia aproximada de 147.34 metros, encontramos el vértice 18, seguimos por camino de terracería en dirección noroeste (NW), aproximadamente 251.33 metros de distancia llegamos al vértice 19 en la intersección de la calle Lorenzo Meyer y siguiendo rumbos suroeste (SW) y sureste (SE) con una distancia aproximada de 1,226.12 sobre la misma calle de Lorenzo Meyer hasta llegar a la intersección con la calle el Cerezo y camino de terracería cubrimos los vértices 20, 21, 22, 23, 24 y 25 se continua por camino de terracería con dirección de rumbos suroeste (SW) y sureste (SE), interceptando la autopista México-Tuxpan y siguiendo por Avenida Control, interceptando la autopista Lechería-Texcoco, continuando por Calle Lázaro Cárdenas, cubrimos los vértices 26, 27 y 28, hasta llegar al 29 y 30 frente a la Central Termoeléctrica Valle de México sumando una distancia de 1,332.61 metros; con un cambio de rumbo hacia el sureste (SE) y atravesando la </w:t>
      </w:r>
      <w:r w:rsidRPr="00D34A16">
        <w:rPr>
          <w:rFonts w:ascii="Times New Roman" w:eastAsia="Times New Roman" w:hAnsi="Times New Roman" w:cs="Times New Roman"/>
          <w:bCs/>
          <w:sz w:val="24"/>
          <w:szCs w:val="24"/>
        </w:rPr>
        <w:t>carretera</w:t>
      </w:r>
      <w:r w:rsidRPr="00D34A16">
        <w:rPr>
          <w:rFonts w:ascii="Times New Roman" w:eastAsia="Times New Roman" w:hAnsi="Times New Roman" w:cs="Times New Roman"/>
          <w:sz w:val="24"/>
          <w:szCs w:val="24"/>
        </w:rPr>
        <w:t xml:space="preserve"> Lechería-Texcoco a una distancia de 39.86 metros llegamos al vértice 31 que se encuentra con la perimetral del Sector Ductos Venta de Carpio (PEMEX), luego continuando por la perimetral, define el vértice 32 por un cambio de rumbo al suroeste (SW) y una distancia aproximada de 415.34 metros; luego hay una serie de cambios de rumbo hacia el sureste (SE) </w:t>
      </w:r>
      <w:r w:rsidRPr="00D34A16">
        <w:rPr>
          <w:rFonts w:ascii="Times New Roman" w:eastAsia="Times New Roman" w:hAnsi="Times New Roman" w:cs="Times New Roman"/>
          <w:bCs/>
          <w:sz w:val="24"/>
          <w:szCs w:val="24"/>
        </w:rPr>
        <w:t>para llegar al vértice</w:t>
      </w:r>
      <w:r w:rsidRPr="00D34A16">
        <w:rPr>
          <w:rFonts w:ascii="Times New Roman" w:eastAsia="Times New Roman" w:hAnsi="Times New Roman" w:cs="Times New Roman"/>
          <w:sz w:val="24"/>
          <w:szCs w:val="24"/>
        </w:rPr>
        <w:t xml:space="preserve"> 33 </w:t>
      </w:r>
      <w:r w:rsidRPr="00D34A16">
        <w:rPr>
          <w:rFonts w:ascii="Times New Roman" w:eastAsia="Times New Roman" w:hAnsi="Times New Roman" w:cs="Times New Roman"/>
          <w:bCs/>
          <w:sz w:val="24"/>
          <w:szCs w:val="24"/>
        </w:rPr>
        <w:t>con una</w:t>
      </w:r>
      <w:r w:rsidRPr="00D34A16">
        <w:rPr>
          <w:rFonts w:ascii="Times New Roman" w:eastAsia="Times New Roman" w:hAnsi="Times New Roman" w:cs="Times New Roman"/>
          <w:sz w:val="24"/>
          <w:szCs w:val="24"/>
        </w:rPr>
        <w:t xml:space="preserve"> distancia de 369.66 metros, al noreste (NE) hasta el vértice 34 a una distancia de 23.31 metros, luego hacia el vértice 35 con una distancia de 18.14 metros en dirección sureste (SE), continuando con el vértice 36 con rumbo noreste (NE) a una distancia de 36.42 metros, con rumbo noroeste (NW) a una distancia 18.55 metros se llega al vértice 37, continuando con el rumbo noreste (NE) delimitado por las construcciones en la zona oriente del Sector Ductos pasando por el vértice 38 hasta llegar al 39 a una distancia de 370.63, hasta llegar a la </w:t>
      </w:r>
      <w:r w:rsidRPr="00D34A16">
        <w:rPr>
          <w:rFonts w:ascii="Times New Roman" w:eastAsia="Times New Roman" w:hAnsi="Times New Roman" w:cs="Times New Roman"/>
          <w:bCs/>
          <w:sz w:val="24"/>
          <w:szCs w:val="24"/>
        </w:rPr>
        <w:t>carretera</w:t>
      </w:r>
      <w:r w:rsidRPr="00D34A16">
        <w:rPr>
          <w:rFonts w:ascii="Times New Roman" w:eastAsia="Times New Roman" w:hAnsi="Times New Roman" w:cs="Times New Roman"/>
          <w:sz w:val="24"/>
          <w:szCs w:val="24"/>
        </w:rPr>
        <w:t xml:space="preserve"> Lechería-Texcoco; con un rumbo sureste (SE) siguiendo por la misma </w:t>
      </w:r>
      <w:r w:rsidRPr="00D34A16">
        <w:rPr>
          <w:rFonts w:ascii="Times New Roman" w:eastAsia="Times New Roman" w:hAnsi="Times New Roman" w:cs="Times New Roman"/>
          <w:bCs/>
          <w:sz w:val="24"/>
          <w:szCs w:val="24"/>
        </w:rPr>
        <w:t>vía</w:t>
      </w:r>
      <w:r w:rsidRPr="00D34A16">
        <w:rPr>
          <w:rFonts w:ascii="Times New Roman" w:eastAsia="Times New Roman" w:hAnsi="Times New Roman" w:cs="Times New Roman"/>
          <w:sz w:val="24"/>
          <w:szCs w:val="24"/>
        </w:rPr>
        <w:t xml:space="preserve"> llegamos al vértice 40 en la intersección de la calle Álvaro Obregón con una distancia aproximada de 282.98 metros, continuamos con rumbo suroeste (SW) sobre el costado de la calle Álvaro Obregón pasando por los vértices 41, 42, 43, 44, 45, 46, 47, 48, 49, 50, 51, 52, 53, 54, 55, 56, 57, 58, 59, 60, 61, 62, 63, 64, 65, 66, 67, 68, con una distancia aproximada de 995.52 metros, hasta llegar a la intersección con la calle Ferrocarril Veracruz; cruzando las vías férreas, para después continuar por los vértices 69, 70, 71, 72, 73, 74, 75, 76, 77, 78, 79, 80, y 81, ubicados en los límites de las construcciones del lado oriente de la calle Venustiano Carranza, con una distancia aproximada de 341.17 metros, manteniendo la línea sobre los límites de las construcciones del lado oriente de la intersección de la calle Ernesto Zedillo y Avenida Lago </w:t>
      </w:r>
      <w:proofErr w:type="spellStart"/>
      <w:r w:rsidRPr="00D34A16">
        <w:rPr>
          <w:rFonts w:ascii="Times New Roman" w:eastAsia="Times New Roman" w:hAnsi="Times New Roman" w:cs="Times New Roman"/>
          <w:sz w:val="24"/>
          <w:szCs w:val="24"/>
        </w:rPr>
        <w:t>Kokonor</w:t>
      </w:r>
      <w:proofErr w:type="spellEnd"/>
      <w:r w:rsidRPr="00D34A16">
        <w:rPr>
          <w:rFonts w:ascii="Times New Roman" w:eastAsia="Times New Roman" w:hAnsi="Times New Roman" w:cs="Times New Roman"/>
          <w:sz w:val="24"/>
          <w:szCs w:val="24"/>
        </w:rPr>
        <w:t xml:space="preserve"> siguiendo el rumbo suroeste(SW), la línea pasa por los vértices 81, 82, 83, 84 y 85 con una distancia aproximada de 104.26 metros; a continuación, por la misma dirección pasando por los vértices 86, 87, 88, 89, 90, 91, 92, 93, 94, 95, 96, 97, 98, 99, 100, 101, 102, 103, 104, 105, 106, 107, 108, 109, 110, 111, 112, 113, 114, 115, 116 , 117, 118, 119, 120, 121, 122, 123, 124, 125, 126, 127, 128, 129, 130, 131, 132, 133, 134, 135, 136, 137, 138, 139, 140, 141, 142, 143, 144, 145, 146, 147, 148, 149, 150, 151, 152, 153, 154 sobre los límites de las construcciones del lado oriente del canal de aguas negras, con una distancia aproximada de 1,733.30 metros; finalmente, manteniendo el rumbo suroeste (SW), la línea limítrofe avanza por los vértices 155, 156, 157, 158, 159, 160, 161, 162, 163, 164, 165, 166, 167, 168, 169, 170, 171, 172, 173, 174, 175, 176, 177, 178, 179, 180, 181, 182, 183, ubicados sobre los límites de las construcciones al oriente de la Avenida Lago de Xochimilco, con una distancia aproximada de 446.15 metros; cambiando un rumbo noroeste (NW) para llegar al vértice 184 librando la construcción con una distancia aproximada de 6.56 metros, siguiendo con rumbo suroeste (SW), por los límites de las construcciones del lado oriente de la Avenida Lago de Xochimilco con una distancia aproximada de 62.94 metros pasa por el vértice 185 y llega al 186 vértice que constituye el punto trino entre los municipios de Ecatepec de Morelos, Acolman y Atenco; cambia con rumbo noroeste (NW) hasta llegar al vértice 187 en línea recta sobre la Avenida San Salvador Atenco, en el límite con el municipio de Atenco con una distancia de 993.94 metros. La línea limítrofe antes descrita tiene una longitud total aproximada de 12,720.15 metros.</w:t>
      </w:r>
    </w:p>
    <w:p w:rsidR="003244AB" w:rsidRPr="00D34A16" w:rsidRDefault="003244AB" w:rsidP="00D34A16">
      <w:pPr>
        <w:spacing w:after="0" w:line="240" w:lineRule="auto"/>
        <w:jc w:val="both"/>
        <w:rPr>
          <w:rFonts w:ascii="Times New Roman" w:eastAsia="Times New Roman" w:hAnsi="Times New Roman" w:cs="Times New Roman"/>
          <w:sz w:val="24"/>
          <w:szCs w:val="24"/>
        </w:rPr>
      </w:pPr>
    </w:p>
    <w:p w:rsidR="003244AB" w:rsidRPr="00D34A16" w:rsidRDefault="003244AB" w:rsidP="00D34A16">
      <w:pPr>
        <w:spacing w:after="0" w:line="240" w:lineRule="auto"/>
        <w:jc w:val="both"/>
        <w:rPr>
          <w:rFonts w:ascii="Times New Roman" w:eastAsia="Arial" w:hAnsi="Times New Roman" w:cs="Times New Roman"/>
          <w:sz w:val="24"/>
          <w:szCs w:val="24"/>
        </w:rPr>
      </w:pPr>
      <w:r w:rsidRPr="00D34A16">
        <w:rPr>
          <w:rFonts w:ascii="Times New Roman" w:eastAsia="Arial" w:hAnsi="Times New Roman" w:cs="Times New Roman"/>
          <w:sz w:val="24"/>
          <w:szCs w:val="24"/>
        </w:rPr>
        <w:lastRenderedPageBreak/>
        <w:t xml:space="preserve">Polígono identificado con las siguientes </w:t>
      </w:r>
      <w:r w:rsidRPr="00D34A16">
        <w:rPr>
          <w:rFonts w:ascii="Times New Roman" w:eastAsia="Arial" w:hAnsi="Times New Roman" w:cs="Times New Roman"/>
          <w:b/>
          <w:bCs/>
          <w:sz w:val="24"/>
          <w:szCs w:val="24"/>
        </w:rPr>
        <w:t>coordenadas UTM (Universal Transversa de Mercator)</w:t>
      </w:r>
      <w:r w:rsidRPr="00D34A16">
        <w:rPr>
          <w:rFonts w:ascii="Times New Roman" w:eastAsia="Arial" w:hAnsi="Times New Roman" w:cs="Times New Roman"/>
          <w:sz w:val="24"/>
          <w:szCs w:val="24"/>
        </w:rPr>
        <w:t>, que se describen de manera enunciativa a continuación:</w:t>
      </w:r>
    </w:p>
    <w:p w:rsidR="003244AB" w:rsidRPr="00D34A16" w:rsidRDefault="003244AB" w:rsidP="00D34A16">
      <w:pPr>
        <w:spacing w:after="0" w:line="240" w:lineRule="auto"/>
        <w:jc w:val="both"/>
        <w:rPr>
          <w:rFonts w:ascii="Times New Roman" w:eastAsia="Times New Roman" w:hAnsi="Times New Roman" w:cs="Times New Roman"/>
          <w:sz w:val="24"/>
          <w:szCs w:val="24"/>
        </w:rPr>
      </w:pPr>
    </w:p>
    <w:tbl>
      <w:tblPr>
        <w:tblW w:w="9400" w:type="dxa"/>
        <w:jc w:val="center"/>
        <w:tblCellMar>
          <w:left w:w="70" w:type="dxa"/>
          <w:right w:w="70" w:type="dxa"/>
        </w:tblCellMar>
        <w:tblLook w:val="04A0" w:firstRow="1" w:lastRow="0" w:firstColumn="1" w:lastColumn="0" w:noHBand="0" w:noVBand="1"/>
      </w:tblPr>
      <w:tblGrid>
        <w:gridCol w:w="792"/>
        <w:gridCol w:w="804"/>
        <w:gridCol w:w="2141"/>
        <w:gridCol w:w="1606"/>
        <w:gridCol w:w="803"/>
        <w:gridCol w:w="1606"/>
        <w:gridCol w:w="1648"/>
      </w:tblGrid>
      <w:tr w:rsidR="003244AB" w:rsidRPr="00D34A16" w:rsidTr="00BC4640">
        <w:trPr>
          <w:trHeight w:val="271"/>
          <w:jc w:val="center"/>
        </w:trPr>
        <w:tc>
          <w:tcPr>
            <w:tcW w:w="9400" w:type="dxa"/>
            <w:gridSpan w:val="7"/>
            <w:tcBorders>
              <w:top w:val="single" w:sz="8" w:space="0" w:color="auto"/>
              <w:left w:val="single" w:sz="8" w:space="0" w:color="auto"/>
              <w:bottom w:val="nil"/>
              <w:right w:val="single" w:sz="8" w:space="0" w:color="000000"/>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CUADRO DE CONSTRUCCIÓN</w:t>
            </w:r>
          </w:p>
        </w:tc>
      </w:tr>
      <w:tr w:rsidR="003244AB" w:rsidRPr="00D34A16" w:rsidTr="00BC4640">
        <w:trPr>
          <w:trHeight w:val="256"/>
          <w:jc w:val="center"/>
        </w:trPr>
        <w:tc>
          <w:tcPr>
            <w:tcW w:w="1596" w:type="dxa"/>
            <w:gridSpan w:val="2"/>
            <w:tcBorders>
              <w:top w:val="single" w:sz="8" w:space="0" w:color="auto"/>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LADO</w:t>
            </w:r>
          </w:p>
        </w:tc>
        <w:tc>
          <w:tcPr>
            <w:tcW w:w="2141" w:type="dxa"/>
            <w:vMerge w:val="restart"/>
            <w:tcBorders>
              <w:top w:val="single" w:sz="8" w:space="0" w:color="auto"/>
              <w:left w:val="single" w:sz="4" w:space="0" w:color="auto"/>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RUMBO</w:t>
            </w:r>
          </w:p>
        </w:tc>
        <w:tc>
          <w:tcPr>
            <w:tcW w:w="1606" w:type="dxa"/>
            <w:vMerge w:val="restart"/>
            <w:tcBorders>
              <w:top w:val="single" w:sz="8" w:space="0" w:color="auto"/>
              <w:left w:val="single" w:sz="4" w:space="0" w:color="auto"/>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DISTANCIA</w:t>
            </w:r>
          </w:p>
        </w:tc>
        <w:tc>
          <w:tcPr>
            <w:tcW w:w="803" w:type="dxa"/>
            <w:vMerge w:val="restart"/>
            <w:tcBorders>
              <w:top w:val="single" w:sz="8" w:space="0" w:color="auto"/>
              <w:left w:val="single" w:sz="4" w:space="0" w:color="auto"/>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V</w:t>
            </w:r>
          </w:p>
        </w:tc>
        <w:tc>
          <w:tcPr>
            <w:tcW w:w="3252" w:type="dxa"/>
            <w:gridSpan w:val="2"/>
            <w:tcBorders>
              <w:top w:val="single" w:sz="8" w:space="0" w:color="auto"/>
              <w:left w:val="nil"/>
              <w:bottom w:val="single" w:sz="4" w:space="0" w:color="auto"/>
              <w:right w:val="single" w:sz="8" w:space="0" w:color="000000"/>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COORDENADAS</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EST.</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P.V.</w:t>
            </w:r>
          </w:p>
        </w:tc>
        <w:tc>
          <w:tcPr>
            <w:tcW w:w="2141" w:type="dxa"/>
            <w:vMerge/>
            <w:tcBorders>
              <w:top w:val="single" w:sz="8" w:space="0" w:color="auto"/>
              <w:left w:val="single" w:sz="4" w:space="0" w:color="auto"/>
              <w:bottom w:val="single" w:sz="4" w:space="0" w:color="auto"/>
              <w:right w:val="single" w:sz="4" w:space="0" w:color="auto"/>
            </w:tcBorders>
            <w:vAlign w:val="center"/>
            <w:hideMark/>
          </w:tcPr>
          <w:p w:rsidR="003244AB" w:rsidRPr="00D34A16" w:rsidRDefault="003244AB" w:rsidP="00D34A16">
            <w:pPr>
              <w:spacing w:after="0" w:line="240" w:lineRule="auto"/>
              <w:rPr>
                <w:rFonts w:ascii="Times New Roman" w:eastAsia="Times New Roman" w:hAnsi="Times New Roman" w:cs="Times New Roman"/>
                <w:b/>
                <w:bCs/>
                <w:sz w:val="24"/>
                <w:szCs w:val="24"/>
                <w:lang w:eastAsia="es-MX"/>
              </w:rPr>
            </w:pPr>
          </w:p>
        </w:tc>
        <w:tc>
          <w:tcPr>
            <w:tcW w:w="1606" w:type="dxa"/>
            <w:vMerge/>
            <w:tcBorders>
              <w:top w:val="single" w:sz="8" w:space="0" w:color="auto"/>
              <w:left w:val="single" w:sz="4" w:space="0" w:color="auto"/>
              <w:bottom w:val="single" w:sz="4" w:space="0" w:color="auto"/>
              <w:right w:val="single" w:sz="4" w:space="0" w:color="auto"/>
            </w:tcBorders>
            <w:vAlign w:val="center"/>
            <w:hideMark/>
          </w:tcPr>
          <w:p w:rsidR="003244AB" w:rsidRPr="00D34A16" w:rsidRDefault="003244AB" w:rsidP="00D34A16">
            <w:pPr>
              <w:spacing w:after="0" w:line="240" w:lineRule="auto"/>
              <w:rPr>
                <w:rFonts w:ascii="Times New Roman" w:eastAsia="Times New Roman" w:hAnsi="Times New Roman" w:cs="Times New Roman"/>
                <w:b/>
                <w:bCs/>
                <w:sz w:val="24"/>
                <w:szCs w:val="24"/>
                <w:lang w:eastAsia="es-MX"/>
              </w:rPr>
            </w:pPr>
          </w:p>
        </w:tc>
        <w:tc>
          <w:tcPr>
            <w:tcW w:w="803" w:type="dxa"/>
            <w:vMerge/>
            <w:tcBorders>
              <w:top w:val="single" w:sz="8" w:space="0" w:color="auto"/>
              <w:left w:val="single" w:sz="4" w:space="0" w:color="auto"/>
              <w:bottom w:val="single" w:sz="4" w:space="0" w:color="auto"/>
              <w:right w:val="single" w:sz="4" w:space="0" w:color="auto"/>
            </w:tcBorders>
            <w:vAlign w:val="center"/>
            <w:hideMark/>
          </w:tcPr>
          <w:p w:rsidR="003244AB" w:rsidRPr="00D34A16" w:rsidRDefault="003244AB" w:rsidP="00D34A16">
            <w:pPr>
              <w:spacing w:after="0" w:line="240" w:lineRule="auto"/>
              <w:rPr>
                <w:rFonts w:ascii="Times New Roman" w:eastAsia="Times New Roman" w:hAnsi="Times New Roman" w:cs="Times New Roman"/>
                <w:b/>
                <w:bCs/>
                <w:sz w:val="24"/>
                <w:szCs w:val="24"/>
                <w:lang w:eastAsia="es-MX"/>
              </w:rPr>
            </w:pP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X</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Y</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 xml:space="preserve"> </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 xml:space="preserve"> </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 xml:space="preserve"> </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 xml:space="preserve"> </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502553.30</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2172067.22</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N 50°14'57.86" E</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655.04</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503056.91</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2172486.09</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N 52°49'14.97" E</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402.61</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503377.70</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2172729.39</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12°35'15.77"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1006.06</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503158.44</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2171747.51</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N 77°22'00.91"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350.16</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502816.76</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2171824.09</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N 80°44'17.97"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111.79</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502706.43</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2171842.08</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15°52'27.44"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109.11</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502676.58</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2171737.14</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80°20'24.38" E</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47.30</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502723.22</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2171729.20</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14°29'37.92"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50.22</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502710.65</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2171680.58</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80°14'28.81" E</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61.11</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502770.88</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2171670.22</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44°09'59.52" E</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14.79</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502781.18</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2171659.61</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12</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80°48'27.19" E</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182.85</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12</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502961.68</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2171630.40</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12</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13</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08°52'31.83"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181.78</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13</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502933.63</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2171450.80</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13</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14</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N 81°40'01.62"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187.13</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14</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502748.48</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2171477.92</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14</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15</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07°36'15.14"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30.79</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15</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502744.40</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2171447.40</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15</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16</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53°20'29.23"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34.50</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16</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502716.73</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2171426.81</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16</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17</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N 81°58'21.68"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78.81</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17</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502638.69</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2171437.81</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17</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18</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N 14°08'09.82" E</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147.34</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18</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502674.67</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2171580.69</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18</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19</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N 80°10'50.52"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251.33</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19</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502427.02</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2171623.55</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19</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20</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14°26'05.60"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603.13</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20</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502276.68</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2171039.46</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20</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12°42'52.41"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77.90</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502259.53</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2170963.47</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22</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18°47'17.11"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141.96</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22</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502213.81</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2170829.08</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22</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23</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04°26'12.00"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48.63</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23</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502210.05</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2170780.59</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23</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24</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02°09'50.16" E</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330.49</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24</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502222.53</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2170450.33</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24</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25</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06°08'00.44"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24.01</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25</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502219.96</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2170426.46</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25</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26</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13°58'45.21"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246.58</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26</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502160.40</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2170187.18</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26</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27</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14°45'18.13"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451.81</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27</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502045.33</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2169750.27</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27</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28</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11°00'04.43"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90.06</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28</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502028.14</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2169661.86</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28</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29</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17°53'38.80"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233.89</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29</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501956.27</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2169439.29</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29</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30</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11°55'39.58"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310.27</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30</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501892.15</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2169135.72</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30</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31</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07°03'15.31" E</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39.86</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31</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501897.04</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2169096.16</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31</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32</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10°58'13.64"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415.34</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32</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501818.00</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2168688.41</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32</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33</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79°16'46.44" E</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369.66</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33</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502181.21</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2168619.64</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33</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34</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N 09°52'55.41" E</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23.31</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34</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502185.21</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2168642.61</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34</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35</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79°55'09.85" E</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18.14</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35</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502203.07</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2168639.43</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35</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36</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N 10°50'09.68" E</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36.42</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36</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502209.91</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2168675.21</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36</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37</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N 79°43'54.10"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18.55</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37</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502191.66</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2168678.51</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37</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38</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N 11°16'42.93" E</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220.00</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38</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502234.68</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2168894.26</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38</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39</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N 09°43'53.77" E</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150.63</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39</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502260.15</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2169042.72</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39</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40</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78°29'28.51" E</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282.98</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40</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502537.44</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2168986.27</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40</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41</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20°10'31.81"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35.69</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41</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502525.13</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2168952.76</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lastRenderedPageBreak/>
              <w:t>41</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42</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13°36'26.21"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67.71</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42</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502509.20</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2168886.96</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42</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43</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24°31'43.24"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67.22</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43</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502481.29</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2168825.80</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43</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44</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23°48'56.22"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6.54</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44</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502478.65</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2168819.83</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44</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45</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23°16'30.37"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31.66</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45</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502466.14</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2168790.74</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45</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46</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23°16'25.27"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40.47</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46</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502450.15</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2168753.56</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46</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47</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22°03'32.36"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75.22</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47</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502421.90</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2168683.85</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47</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48</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25°48'37.38"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24.31</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48</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502411.32</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2168661.96</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48</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49</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25°04'18.70"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36.98</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49</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502395.64</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2168628.46</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49</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25°04'18.70"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11.38</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502390.82</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2168618.16</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51</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28°30'31.77"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9.49</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51</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502386.29</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2168609.81</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51</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52</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22°00'49.60"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29.91</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52</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502375.08</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2168582.09</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52</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53</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25°43'46.90"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8.62</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53</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502371.34</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2168574.32</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53</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54</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20°29'20.95"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1.10</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54</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502370.95</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2168573.29</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54</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55</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24°08'05.14"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124.07</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55</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502320.22</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2168460.06</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55</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56</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24°08'05.14"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38.97</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56</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502304.29</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2168424.50</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56</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57</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20°45'18.93"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9.02</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57</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502301.09</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2168416.06</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57</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58</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22°26'43.02"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52.76</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58</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502280.95</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2168367.30</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58</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59</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22°49'51.78"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8.54</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59</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502277.63</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2168359.43</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59</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60</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22°53'48.18"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50.42</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60</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502258.02</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2168312.99</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60</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61</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22°45'51.55"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9.58</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61</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502254.31</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2168304.15</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61</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62</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23°31'01.21"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51.18</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62</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502233.89</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2168257.23</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62</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63</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22°31'05.83"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9.63</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63</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502230.20</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2168248.33</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63</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64</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23°08'11.30"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51.96</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64</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502209.79</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2168200.55</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64</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65</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21°52'09.07"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8.95</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65</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502206.45</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2168192.25</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65</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66</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22°35'47.83"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67.50</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66</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502180.52</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2168129.93</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66</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67</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07°43'34.76"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5.78</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67</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502179.74</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2168124.20</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67</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68</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10°00'00.06"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60.86</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68</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502169.17</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2168064.26</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68</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69</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19°55'59.50"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86.50</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69</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502139.68</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2167982.95</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69</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70</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17°20'37.12"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7.90</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70</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502137.32</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2167975.40</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70</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71</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19°42'33.55"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97.85</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71</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502104.32</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2167883.28</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71</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72</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19°40'29.13"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1.30</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72</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502103.88</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2167882.05</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72</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73</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19°40'29.13"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9.19</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73</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502100.79</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2167873.40</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73</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74</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19°26'13.22"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26.22</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74</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502092.07</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2167848.68</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74</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75</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15°45'50.23"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5.42</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75</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502090.59</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2167843.46</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75</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76</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19°37'29.00"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15.04</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76</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502085.54</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2167829.29</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76</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77</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19°37'29.00"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30.26</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77</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502075.38</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2167800.80</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77</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78</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18°47'44.04"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5.88</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78</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502073.49</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2167795.23</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78</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79</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19°14'52.98"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45.97</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79</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502058.33</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2167751.83</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79</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80</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21°43'53.89"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5.64</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80</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502056.24</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2167746.59</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80</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81</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20°47'33.32"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4.00</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81</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502054.82</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2167742.85</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81</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82</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18°29'48.66"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42.15</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82</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502041.45</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2167702.88</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82</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83</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22°23'52.37"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10.19</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83</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502037.57</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2167693.46</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83</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84</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19°56'51.48"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35.05</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84</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502025.61</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2167660.51</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84</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85</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20°54'15.64"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16.87</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85</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502019.59</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2167644.76</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85</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86</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19°42'14.20"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92.20</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86</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501988.51</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2167557.96</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86</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87</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20°27'43.64"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10.64</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87</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501984.79</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2167547.99</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87</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88</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20°24'10.92"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84.58</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88</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501955.30</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2167468.71</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lastRenderedPageBreak/>
              <w:t>88</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89</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18°51'38.86"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9.87</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89</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501952.11</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2167459.37</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89</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90</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18°52'34.89"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35.63</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90</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501940.58</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2167425.66</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90</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91</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20°23'41.55"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8.40</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91</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501937.65</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2167417.78</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91</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92</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19°37'14.25"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35.41</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92</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501925.76</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2167384.43</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92</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93</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21°48'47.06"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8.21</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93</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501922.71</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2167376.80</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93</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94</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25°56'44.73"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42.62</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94</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501904.07</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2167338.48</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94</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95</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21°39'04.41"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8.22</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95</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501901.04</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2167330.84</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95</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96</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12°42'16.78"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37.07</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96</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501892.88</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2167294.68</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96</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97</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13°25'36.31"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9.92</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97</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501890.58</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2167285.03</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97</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98</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18°16'27.10"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36.63</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98</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501879.09</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2167250.25</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98</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99</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17°23'52.06"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10.31</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99</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501876.01</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2167240.41</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99</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100</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19°50'50.15"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59.49</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100</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501855.81</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2167184.45</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100</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101</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20°57'56.56"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6.76</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101</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501853.39</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2167178.14</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101</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102</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21°21'41.08"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20.65</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102</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501845.87</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2167158.91</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102</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103</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19°35'20.59"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7.08</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103</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501843.50</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2167152.24</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103</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104</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17°47'14.02"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35.44</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104</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501832.67</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2167118.49</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104</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105</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18°20'46.10"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5.71</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105</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501830.87</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2167113.07</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105</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106</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20°41'10.49"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28.81</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106</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501820.69</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2167086.11</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106</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107</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20°41'10.49"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60.84</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107</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501799.20</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2167029.19</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107</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108</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20°41'10.49"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3.52</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108</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501797.96</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2167025.90</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108</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109</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17°50'06.05"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7.25</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109</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501795.74</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2167019.00</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109</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110</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19°24'38.95"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30.02</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110</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501785.76</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2166990.69</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110</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111</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18°22'46.57"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8.84</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111</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501782.97</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2166982.30</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111</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112</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14°35'01.12"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16.70</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112</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501778.77</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2166966.13</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112</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113</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20°34'15.08"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9.96</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113</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501775.27</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2166956.81</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113</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114</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20°14'51.01"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2.00</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114</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501774.58</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2166954.93</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114</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115</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20°12'53.44"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39.84</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115</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501760.81</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2166917.54</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115</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116</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20°38'49.45"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9.80</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116</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501757.36</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2166908.38</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116</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117</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20°04'27.22"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84.61</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117</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501728.31</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2166828.91</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117</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118</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17°16'57.61"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9.34</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118</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501725.54</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2166819.99</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118</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119</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19°32'16.95"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91.61</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119</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501694.90</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2166733.65</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119</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120</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18°46'38.96"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7.99</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120</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501692.33</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2166726.09</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120</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121</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18°49'36.45"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40.83</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121</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501679.16</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2166687.45</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121</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122</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21°41'18.71"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10.18</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122</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501675.39</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2166677.99</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122</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123</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25°30'11.20"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41.50</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123</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501657.52</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2166640.53</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123</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124</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22°46'02.25"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9.09</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124</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501654.01</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2166632.15</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124</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125</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15°37'32.25"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42.75</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125</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501642.49</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2166590.98</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125</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126</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25°10'56.89"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8.17</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126</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501639.01</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2166583.58</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126</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127</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17°37'36.41"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40.40</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127</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501626.78</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2166545.08</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127</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128</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25°20'17.00"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9.73</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128</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501622.61</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2166536.28</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128</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129</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19°59'04.38"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40.67</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129</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501608.71</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2166498.06</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129</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130</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16°52'34.35"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11.01</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130</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501605.52</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2166487.52</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130</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131</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19°13'32.06"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36.76</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131</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501593.41</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2166452.81</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131</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132</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19°13'32.06"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52.78</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132</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501576.03</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2166402.98</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132</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133</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18°05'44.79"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10.10</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133</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501572.90</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2166393.38</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133</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134</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19°20'50.74"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41.94</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134</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501559.00</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2166353.81</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134</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135</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14°03'00.71"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3.98</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135</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501558.04</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2166349.95</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lastRenderedPageBreak/>
              <w:t>135</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136</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19°45'31.18"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29.46</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136</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501548.08</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2166322.22</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136</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137</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19°45'31.18"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12.64</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137</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501543.81</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2166310.33</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137</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138</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18°03'33.11"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10.22</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138</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501540.64</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2166300.61</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138</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139</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19°47'44.78"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28.48</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139</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501530.99</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2166273.81</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139</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140</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17°34'22.49"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10.45</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140</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501527.84</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2166263.85</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140</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141</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19°23'58.89"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27.97</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141</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501518.55</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2166237.48</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141</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142</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23°50'41.21"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9.69</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142</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501514.63</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2166228.62</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142</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143</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19°03'27.86"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28.02</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143</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501505.49</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2166202.14</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143</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144</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21°05'46.94"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10.41</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144</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501501.74</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2166192.42</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144</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145</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19°19'10.23"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28.27</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145</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501492.39</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2166165.74</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145</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146</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22°14'59.21"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9.54</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146</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501488.77</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2166156.92</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146</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147</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19°05'43.40"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27.46</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147</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501479.79</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2166130.96</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147</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148</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21°02'13.67"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10.79</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148</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501475.92</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2166120.89</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148</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149</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19°29'42.04"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27.69</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149</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501466.68</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2166094.79</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149</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150</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18°35'15.48"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10.21</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150</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501463.42</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2166085.12</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150</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151</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19°08'58.71"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27.96</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151</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501454.25</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2166058.70</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151</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152</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18°08'14.78"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10.23</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152</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501451.06</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2166048.98</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152</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153</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19°03'00.18"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27.66</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153</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501442.04</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2166022.83</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153</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154</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27°33'58.81"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10.29</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154</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501437.28</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2166013.71</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154</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155</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18°56'22.68"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27.90</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155</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501428.22</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2165987.33</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155</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156</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20°00'27.14"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3.35</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156</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501427.07</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2165984.18</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156</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157</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20°00'27.14"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6.46</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157</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501424.86</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2165978.10</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157</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158</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19°23'01.76"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27.48</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158</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501415.74</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2165952.18</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158</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159</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18°01'45.65"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10.01</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159</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501412.65</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2165942.67</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159</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160</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19°30'05.40"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26.06</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160</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501403.95</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2165918.10</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160</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161</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20°55'04.06"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9.62</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161</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501400.51</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2165909.12</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161</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162</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19°03'19.81"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27.74</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162</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501391.45</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2165882.90</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162</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163</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23°28'41.45"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9.53</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163</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501387.66</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2165874.16</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163</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164</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20°39'34.22"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28.00</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164</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501377.78</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2165847.96</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164</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165</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18°21'37.37"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10.25</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165</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501374.55</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2165838.23</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165</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166</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19°34'37.89"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27.32</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166</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501365.40</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2165812.49</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166</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167</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16°32'27.98"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10.13</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167</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501362.51</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2165802.77</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167</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168</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18°16'45.25"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27.69</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168</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501353.83</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2165776.48</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168</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169</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22°09'24.10"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9.16</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169</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501350.37</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2165767.99</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169</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170</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18°39'48.55"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27.83</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170</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501341.46</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2165741.63</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170</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171</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18°38'27.45"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2.69</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171</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501340.61</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2165739.08</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171</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172</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18°38'27.45"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7.52</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172</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501338.20</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2165731.96</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172</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173</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18°54'42.01"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27.21</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173</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501329.38</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2165706.22</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173</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174</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20°31'21.07"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9.80</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174</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501325.95</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2165697.04</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174</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175</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20°18'08.28"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27.70</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175</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501316.34</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2165671.06</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175</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176</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20°12'22.84"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10.09</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176</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501312.85</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2165661.60</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176</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177</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19°49'19.64"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15.91</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177</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501307.46</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2165646.63</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177</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178</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19°49'19.64"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11.64</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178</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501303.51</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2165635.68</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178</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179</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20°34'55.66"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10.03</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179</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501299.99</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2165626.29</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179</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180</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18°50'11.33"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25.39</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180</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501291.79</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2165602.26</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180</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181</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18°50'11.33"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2.05</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181</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501291.13</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2165600.33</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181</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182</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18°12'12.20"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3.15</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182</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501290.14</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2165597.33</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lastRenderedPageBreak/>
              <w:t>182</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183</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18°12'12.20"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4.44</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183</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501288.76</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2165593.12</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183</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184</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N 86°56'55.07"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6.56</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184</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501282.21</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2165593.46</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184</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185</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20°19'27.16"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32.35</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185</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501270.98</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2165563.13</w:t>
            </w:r>
          </w:p>
        </w:tc>
      </w:tr>
      <w:tr w:rsidR="003244AB" w:rsidRPr="00D34A16" w:rsidTr="00BC4640">
        <w:trPr>
          <w:trHeight w:val="256"/>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185</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186</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S 20°19'27.16"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30.59</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186</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501260.35</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2165534.45</w:t>
            </w:r>
          </w:p>
        </w:tc>
      </w:tr>
      <w:tr w:rsidR="003244AB" w:rsidRPr="00D34A16" w:rsidTr="00BC4640">
        <w:trPr>
          <w:trHeight w:val="271"/>
          <w:jc w:val="center"/>
        </w:trPr>
        <w:tc>
          <w:tcPr>
            <w:tcW w:w="792" w:type="dxa"/>
            <w:tcBorders>
              <w:top w:val="nil"/>
              <w:left w:val="single" w:sz="8" w:space="0" w:color="auto"/>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186</w:t>
            </w:r>
          </w:p>
        </w:tc>
        <w:tc>
          <w:tcPr>
            <w:tcW w:w="804"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187</w:t>
            </w:r>
          </w:p>
        </w:tc>
        <w:tc>
          <w:tcPr>
            <w:tcW w:w="2141"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N 79°09'29.25" W</w:t>
            </w:r>
          </w:p>
        </w:tc>
        <w:tc>
          <w:tcPr>
            <w:tcW w:w="1606"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993.94</w:t>
            </w:r>
          </w:p>
        </w:tc>
        <w:tc>
          <w:tcPr>
            <w:tcW w:w="803" w:type="dxa"/>
            <w:tcBorders>
              <w:top w:val="nil"/>
              <w:left w:val="nil"/>
              <w:bottom w:val="single" w:sz="4" w:space="0" w:color="auto"/>
              <w:right w:val="single" w:sz="4" w:space="0" w:color="auto"/>
            </w:tcBorders>
            <w:noWrap/>
            <w:vAlign w:val="center"/>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187</w:t>
            </w:r>
          </w:p>
        </w:tc>
        <w:tc>
          <w:tcPr>
            <w:tcW w:w="1606" w:type="dxa"/>
            <w:tcBorders>
              <w:top w:val="nil"/>
              <w:left w:val="nil"/>
              <w:bottom w:val="single" w:sz="4" w:space="0" w:color="auto"/>
              <w:right w:val="single" w:sz="4"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500284.15</w:t>
            </w:r>
          </w:p>
        </w:tc>
        <w:tc>
          <w:tcPr>
            <w:tcW w:w="1646" w:type="dxa"/>
            <w:tcBorders>
              <w:top w:val="nil"/>
              <w:left w:val="nil"/>
              <w:bottom w:val="single" w:sz="4" w:space="0" w:color="auto"/>
              <w:right w:val="single" w:sz="8" w:space="0" w:color="auto"/>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2165721.41</w:t>
            </w:r>
          </w:p>
        </w:tc>
      </w:tr>
      <w:tr w:rsidR="003244AB" w:rsidRPr="00D34A16" w:rsidTr="00BC4640">
        <w:trPr>
          <w:trHeight w:val="331"/>
          <w:jc w:val="center"/>
        </w:trPr>
        <w:tc>
          <w:tcPr>
            <w:tcW w:w="9400" w:type="dxa"/>
            <w:gridSpan w:val="7"/>
            <w:tcBorders>
              <w:top w:val="single" w:sz="8" w:space="0" w:color="auto"/>
              <w:left w:val="single" w:sz="8" w:space="0" w:color="auto"/>
              <w:bottom w:val="single" w:sz="8" w:space="0" w:color="auto"/>
              <w:right w:val="single" w:sz="8" w:space="0" w:color="000000"/>
            </w:tcBorders>
            <w:noWrap/>
            <w:vAlign w:val="bottom"/>
            <w:hideMark/>
          </w:tcPr>
          <w:p w:rsidR="003244AB" w:rsidRPr="00D34A16" w:rsidRDefault="003244AB" w:rsidP="00D34A16">
            <w:pPr>
              <w:spacing w:after="0" w:line="240" w:lineRule="auto"/>
              <w:jc w:val="center"/>
              <w:rPr>
                <w:rFonts w:ascii="Times New Roman" w:eastAsia="Times New Roman" w:hAnsi="Times New Roman" w:cs="Times New Roman"/>
                <w:b/>
                <w:bCs/>
                <w:sz w:val="24"/>
                <w:szCs w:val="24"/>
                <w:lang w:eastAsia="es-MX"/>
              </w:rPr>
            </w:pPr>
            <w:r w:rsidRPr="00D34A16">
              <w:rPr>
                <w:rFonts w:ascii="Times New Roman" w:eastAsia="Times New Roman" w:hAnsi="Times New Roman" w:cs="Times New Roman"/>
                <w:b/>
                <w:bCs/>
                <w:sz w:val="24"/>
                <w:szCs w:val="24"/>
                <w:lang w:eastAsia="es-MX"/>
              </w:rPr>
              <w:t>LONGITUD = 12,720.15 m</w:t>
            </w:r>
          </w:p>
        </w:tc>
      </w:tr>
    </w:tbl>
    <w:p w:rsidR="003244AB" w:rsidRPr="00D34A16" w:rsidRDefault="003244AB" w:rsidP="00D34A16">
      <w:pPr>
        <w:spacing w:after="0" w:line="240" w:lineRule="auto"/>
        <w:jc w:val="both"/>
        <w:rPr>
          <w:rFonts w:ascii="Times New Roman" w:eastAsia="Times New Roman" w:hAnsi="Times New Roman" w:cs="Times New Roman"/>
          <w:sz w:val="24"/>
          <w:szCs w:val="24"/>
          <w:lang w:eastAsia="es-MX"/>
        </w:rPr>
      </w:pPr>
    </w:p>
    <w:p w:rsidR="003244AB" w:rsidRPr="00D34A16" w:rsidRDefault="003244AB" w:rsidP="00D34A16">
      <w:pPr>
        <w:spacing w:after="0" w:line="240" w:lineRule="auto"/>
        <w:jc w:val="both"/>
        <w:rPr>
          <w:rFonts w:ascii="Times New Roman" w:eastAsia="Times New Roman" w:hAnsi="Times New Roman" w:cs="Times New Roman"/>
          <w:sz w:val="24"/>
          <w:szCs w:val="24"/>
          <w:lang w:eastAsia="es-MX"/>
        </w:rPr>
      </w:pPr>
    </w:p>
    <w:p w:rsidR="003244AB" w:rsidRPr="00D34A16" w:rsidRDefault="003244AB" w:rsidP="00D34A16">
      <w:pPr>
        <w:spacing w:after="0" w:line="240" w:lineRule="auto"/>
        <w:jc w:val="both"/>
        <w:rPr>
          <w:rFonts w:ascii="Times New Roman" w:eastAsia="Calibri" w:hAnsi="Times New Roman" w:cs="Times New Roman"/>
          <w:sz w:val="24"/>
          <w:szCs w:val="24"/>
        </w:rPr>
      </w:pPr>
      <w:r w:rsidRPr="00D34A16">
        <w:rPr>
          <w:rFonts w:ascii="Times New Roman" w:eastAsia="Calibri" w:hAnsi="Times New Roman" w:cs="Times New Roman"/>
          <w:b/>
          <w:sz w:val="24"/>
          <w:szCs w:val="24"/>
        </w:rPr>
        <w:t xml:space="preserve">ARTÍCULO CUARTO. </w:t>
      </w:r>
      <w:r w:rsidRPr="00D34A16">
        <w:rPr>
          <w:rFonts w:ascii="Times New Roman" w:eastAsia="Calibri" w:hAnsi="Times New Roman" w:cs="Times New Roman"/>
          <w:sz w:val="24"/>
          <w:szCs w:val="24"/>
        </w:rPr>
        <w:t>Se anexa el plano topográfico en el que se señala la delimitación territorial entre los municipios de Acolman y Ecatepec de Morelos, mismo que forma parte del presente Decreto y que corresponde al levantamiento topográfico elaborado por la Comisión de Límites Territoriales del Estado de México y sus Municipios de la “LXII” Legislatura del Estado de México, en mención.</w:t>
      </w:r>
    </w:p>
    <w:p w:rsidR="003244AB" w:rsidRPr="00D34A16" w:rsidRDefault="003244AB" w:rsidP="00D34A16">
      <w:pPr>
        <w:spacing w:after="0" w:line="240" w:lineRule="auto"/>
        <w:jc w:val="both"/>
        <w:rPr>
          <w:rFonts w:ascii="Times New Roman" w:eastAsia="Calibri" w:hAnsi="Times New Roman" w:cs="Times New Roman"/>
          <w:sz w:val="24"/>
          <w:szCs w:val="24"/>
        </w:rPr>
      </w:pPr>
    </w:p>
    <w:p w:rsidR="003244AB" w:rsidRPr="00D34A16" w:rsidRDefault="003244AB" w:rsidP="00D34A16">
      <w:pPr>
        <w:spacing w:after="0" w:line="240" w:lineRule="auto"/>
        <w:jc w:val="both"/>
        <w:rPr>
          <w:rFonts w:ascii="Times New Roman" w:eastAsia="Calibri" w:hAnsi="Times New Roman" w:cs="Times New Roman"/>
          <w:sz w:val="24"/>
          <w:szCs w:val="24"/>
        </w:rPr>
      </w:pPr>
    </w:p>
    <w:p w:rsidR="003244AB" w:rsidRPr="00D34A16" w:rsidRDefault="003244AB" w:rsidP="00D34A16">
      <w:pPr>
        <w:spacing w:after="0" w:line="240" w:lineRule="auto"/>
        <w:jc w:val="both"/>
        <w:rPr>
          <w:rFonts w:ascii="Times New Roman" w:eastAsia="Calibri" w:hAnsi="Times New Roman" w:cs="Times New Roman"/>
          <w:sz w:val="24"/>
          <w:szCs w:val="24"/>
        </w:rPr>
      </w:pPr>
    </w:p>
    <w:p w:rsidR="003244AB" w:rsidRPr="00D34A16" w:rsidRDefault="003244AB" w:rsidP="00D34A16">
      <w:pPr>
        <w:spacing w:after="0" w:line="240" w:lineRule="auto"/>
        <w:jc w:val="center"/>
        <w:rPr>
          <w:rFonts w:ascii="Times New Roman" w:eastAsia="Calibri" w:hAnsi="Times New Roman" w:cs="Times New Roman"/>
          <w:b/>
          <w:sz w:val="24"/>
          <w:szCs w:val="24"/>
        </w:rPr>
      </w:pPr>
      <w:r w:rsidRPr="00D34A16">
        <w:rPr>
          <w:rFonts w:ascii="Times New Roman" w:eastAsia="Calibri" w:hAnsi="Times New Roman" w:cs="Times New Roman"/>
          <w:b/>
          <w:sz w:val="24"/>
          <w:szCs w:val="24"/>
        </w:rPr>
        <w:t>T R A N S I T O R I O S</w:t>
      </w:r>
    </w:p>
    <w:p w:rsidR="003244AB" w:rsidRPr="00D34A16" w:rsidRDefault="003244AB" w:rsidP="00D34A16">
      <w:pPr>
        <w:spacing w:after="0" w:line="240" w:lineRule="auto"/>
        <w:jc w:val="center"/>
        <w:rPr>
          <w:rFonts w:ascii="Times New Roman" w:eastAsia="Calibri" w:hAnsi="Times New Roman" w:cs="Times New Roman"/>
          <w:sz w:val="24"/>
          <w:szCs w:val="24"/>
        </w:rPr>
      </w:pPr>
    </w:p>
    <w:p w:rsidR="003244AB" w:rsidRPr="00D34A16" w:rsidRDefault="003244AB" w:rsidP="00D34A16">
      <w:pPr>
        <w:spacing w:after="0" w:line="240" w:lineRule="auto"/>
        <w:jc w:val="both"/>
        <w:rPr>
          <w:rFonts w:ascii="Times New Roman" w:eastAsia="Calibri" w:hAnsi="Times New Roman" w:cs="Times New Roman"/>
          <w:sz w:val="24"/>
          <w:szCs w:val="24"/>
        </w:rPr>
      </w:pPr>
      <w:r w:rsidRPr="00D34A16">
        <w:rPr>
          <w:rFonts w:ascii="Times New Roman" w:eastAsia="Calibri" w:hAnsi="Times New Roman" w:cs="Times New Roman"/>
          <w:b/>
          <w:sz w:val="24"/>
          <w:szCs w:val="24"/>
        </w:rPr>
        <w:t>PRIMERO.</w:t>
      </w:r>
      <w:r w:rsidRPr="00D34A16">
        <w:rPr>
          <w:rFonts w:ascii="Times New Roman" w:eastAsia="Calibri" w:hAnsi="Times New Roman" w:cs="Times New Roman"/>
          <w:sz w:val="24"/>
          <w:szCs w:val="24"/>
        </w:rPr>
        <w:t xml:space="preserve"> Publíquese el presente Decreto en el Periódico Oficial "Gaceta del Gobierno". </w:t>
      </w:r>
    </w:p>
    <w:p w:rsidR="003244AB" w:rsidRPr="00D34A16" w:rsidRDefault="003244AB" w:rsidP="00D34A16">
      <w:pPr>
        <w:spacing w:after="0" w:line="240" w:lineRule="auto"/>
        <w:jc w:val="both"/>
        <w:rPr>
          <w:rFonts w:ascii="Times New Roman" w:eastAsia="Calibri" w:hAnsi="Times New Roman" w:cs="Times New Roman"/>
          <w:sz w:val="24"/>
          <w:szCs w:val="24"/>
        </w:rPr>
      </w:pPr>
    </w:p>
    <w:p w:rsidR="003244AB" w:rsidRPr="00D34A16" w:rsidRDefault="003244AB" w:rsidP="00D34A16">
      <w:pPr>
        <w:spacing w:after="0" w:line="240" w:lineRule="auto"/>
        <w:jc w:val="both"/>
        <w:rPr>
          <w:rFonts w:ascii="Times New Roman" w:eastAsia="Calibri" w:hAnsi="Times New Roman" w:cs="Times New Roman"/>
          <w:sz w:val="24"/>
          <w:szCs w:val="24"/>
        </w:rPr>
      </w:pPr>
      <w:r w:rsidRPr="00D34A16">
        <w:rPr>
          <w:rFonts w:ascii="Times New Roman" w:eastAsia="Calibri" w:hAnsi="Times New Roman" w:cs="Times New Roman"/>
          <w:b/>
          <w:sz w:val="24"/>
          <w:szCs w:val="24"/>
        </w:rPr>
        <w:t>SEGUNDO.</w:t>
      </w:r>
      <w:r w:rsidRPr="00D34A16">
        <w:rPr>
          <w:rFonts w:ascii="Times New Roman" w:eastAsia="Calibri" w:hAnsi="Times New Roman" w:cs="Times New Roman"/>
          <w:sz w:val="24"/>
          <w:szCs w:val="24"/>
        </w:rPr>
        <w:t xml:space="preserve"> El presente Decreto entrará en vigor al día siguiente de su publicación en el Periódico Oficial “Gaceta del Gobierno”.</w:t>
      </w:r>
    </w:p>
    <w:p w:rsidR="003244AB" w:rsidRPr="00D34A16" w:rsidRDefault="003244AB" w:rsidP="00D34A16">
      <w:pPr>
        <w:spacing w:after="0" w:line="240" w:lineRule="auto"/>
        <w:jc w:val="both"/>
        <w:rPr>
          <w:rFonts w:ascii="Times New Roman" w:eastAsia="Calibri" w:hAnsi="Times New Roman" w:cs="Times New Roman"/>
          <w:sz w:val="24"/>
          <w:szCs w:val="24"/>
        </w:rPr>
      </w:pPr>
    </w:p>
    <w:p w:rsidR="003244AB" w:rsidRPr="00D34A16" w:rsidRDefault="003244AB" w:rsidP="00D34A16">
      <w:pPr>
        <w:spacing w:after="0" w:line="240" w:lineRule="auto"/>
        <w:jc w:val="both"/>
        <w:rPr>
          <w:rFonts w:ascii="Times New Roman" w:eastAsia="Calibri" w:hAnsi="Times New Roman" w:cs="Times New Roman"/>
          <w:sz w:val="24"/>
          <w:szCs w:val="24"/>
        </w:rPr>
      </w:pPr>
      <w:r w:rsidRPr="00D34A16">
        <w:rPr>
          <w:rFonts w:ascii="Times New Roman" w:eastAsia="Calibri" w:hAnsi="Times New Roman" w:cs="Times New Roman"/>
          <w:b/>
          <w:sz w:val="24"/>
          <w:szCs w:val="24"/>
        </w:rPr>
        <w:t>TERCERO.</w:t>
      </w:r>
      <w:r w:rsidRPr="00D34A16">
        <w:rPr>
          <w:rFonts w:ascii="Times New Roman" w:eastAsia="Calibri" w:hAnsi="Times New Roman" w:cs="Times New Roman"/>
          <w:sz w:val="24"/>
          <w:szCs w:val="24"/>
        </w:rPr>
        <w:t xml:space="preserve"> Notifíquese el presente Decreto, por oficio, a los municipios de Acolman y Ecatepec de Morelos, Estado de México, así como a los municipios de Tecámac y Atenco, también del Estado de México, en su carácter de terceros interesados, por conducto de sus respectivos Presidentes Municipales y Síndicos Municipales.</w:t>
      </w:r>
    </w:p>
    <w:p w:rsidR="003244AB" w:rsidRPr="00D34A16" w:rsidRDefault="003244AB" w:rsidP="00D34A16">
      <w:pPr>
        <w:spacing w:after="0" w:line="240" w:lineRule="auto"/>
        <w:jc w:val="both"/>
        <w:rPr>
          <w:rFonts w:ascii="Times New Roman" w:eastAsia="Calibri" w:hAnsi="Times New Roman" w:cs="Times New Roman"/>
          <w:b/>
          <w:sz w:val="24"/>
          <w:szCs w:val="24"/>
        </w:rPr>
      </w:pPr>
    </w:p>
    <w:p w:rsidR="003244AB" w:rsidRPr="00D34A16" w:rsidRDefault="003244AB" w:rsidP="00D34A16">
      <w:pPr>
        <w:spacing w:after="0" w:line="240" w:lineRule="auto"/>
        <w:jc w:val="both"/>
        <w:rPr>
          <w:rFonts w:ascii="Times New Roman" w:eastAsia="Calibri" w:hAnsi="Times New Roman" w:cs="Times New Roman"/>
          <w:sz w:val="24"/>
          <w:szCs w:val="24"/>
        </w:rPr>
      </w:pPr>
      <w:r w:rsidRPr="00D34A16">
        <w:rPr>
          <w:rFonts w:ascii="Times New Roman" w:eastAsia="Calibri" w:hAnsi="Times New Roman" w:cs="Times New Roman"/>
          <w:b/>
          <w:sz w:val="24"/>
          <w:szCs w:val="24"/>
        </w:rPr>
        <w:t>CUARTO.</w:t>
      </w:r>
      <w:r w:rsidRPr="00D34A16">
        <w:rPr>
          <w:rFonts w:ascii="Times New Roman" w:eastAsia="Calibri" w:hAnsi="Times New Roman" w:cs="Times New Roman"/>
          <w:sz w:val="24"/>
          <w:szCs w:val="24"/>
        </w:rPr>
        <w:t xml:space="preserve"> Hágase del conocimiento el presente Decreto al Instituto Nacional Electoral, al Instituto Electoral del Estado de México, al Instituto Nacional de Estadística y Geografía, al Instituto de Información e Investigación Geográfica, Estadística y Catastral del Estado de México y al Instituto de la Función Registral del Estado de México, para los efectos legales conducentes.</w:t>
      </w:r>
    </w:p>
    <w:p w:rsidR="003244AB" w:rsidRPr="00D34A16" w:rsidRDefault="003244AB" w:rsidP="00D34A16">
      <w:pPr>
        <w:spacing w:after="0" w:line="240" w:lineRule="auto"/>
        <w:jc w:val="both"/>
        <w:rPr>
          <w:rFonts w:ascii="Times New Roman" w:eastAsia="Calibri" w:hAnsi="Times New Roman" w:cs="Times New Roman"/>
          <w:sz w:val="24"/>
          <w:szCs w:val="24"/>
        </w:rPr>
      </w:pPr>
    </w:p>
    <w:p w:rsidR="003244AB" w:rsidRPr="00D34A16" w:rsidRDefault="003244AB" w:rsidP="00D34A16">
      <w:pPr>
        <w:spacing w:after="0" w:line="240" w:lineRule="auto"/>
        <w:jc w:val="both"/>
        <w:rPr>
          <w:rFonts w:ascii="Times New Roman" w:eastAsia="Calibri" w:hAnsi="Times New Roman" w:cs="Times New Roman"/>
          <w:sz w:val="24"/>
          <w:szCs w:val="24"/>
        </w:rPr>
      </w:pPr>
      <w:r w:rsidRPr="00D34A16">
        <w:rPr>
          <w:rFonts w:ascii="Times New Roman" w:eastAsia="Calibri" w:hAnsi="Times New Roman" w:cs="Times New Roman"/>
          <w:b/>
          <w:sz w:val="24"/>
          <w:szCs w:val="24"/>
        </w:rPr>
        <w:t xml:space="preserve">QUINTO. </w:t>
      </w:r>
      <w:r w:rsidRPr="00D34A16">
        <w:rPr>
          <w:rFonts w:ascii="Times New Roman" w:eastAsia="Calibri" w:hAnsi="Times New Roman" w:cs="Times New Roman"/>
          <w:sz w:val="24"/>
          <w:szCs w:val="24"/>
        </w:rPr>
        <w:t xml:space="preserve">Se abrogan y/o derogan todas las disposiciones de igual o menor jerarquía que se opongan al presente Decreto. </w:t>
      </w:r>
    </w:p>
    <w:p w:rsidR="003244AB" w:rsidRPr="00D34A16" w:rsidRDefault="003244AB" w:rsidP="00D34A16">
      <w:pPr>
        <w:spacing w:after="0" w:line="240" w:lineRule="auto"/>
        <w:jc w:val="both"/>
        <w:rPr>
          <w:rFonts w:ascii="Times New Roman" w:eastAsia="Calibri" w:hAnsi="Times New Roman" w:cs="Times New Roman"/>
          <w:sz w:val="24"/>
          <w:szCs w:val="24"/>
        </w:rPr>
      </w:pPr>
    </w:p>
    <w:p w:rsidR="003244AB" w:rsidRPr="00D34A16" w:rsidRDefault="003244AB" w:rsidP="00D34A16">
      <w:pPr>
        <w:spacing w:after="0" w:line="240" w:lineRule="auto"/>
        <w:jc w:val="both"/>
        <w:rPr>
          <w:rFonts w:ascii="Times New Roman" w:eastAsia="Calibri" w:hAnsi="Times New Roman" w:cs="Times New Roman"/>
          <w:sz w:val="24"/>
          <w:szCs w:val="24"/>
        </w:rPr>
      </w:pPr>
      <w:r w:rsidRPr="00D34A16">
        <w:rPr>
          <w:rFonts w:ascii="Times New Roman" w:eastAsia="Calibri" w:hAnsi="Times New Roman" w:cs="Times New Roman"/>
          <w:sz w:val="24"/>
          <w:szCs w:val="24"/>
        </w:rPr>
        <w:t>Lo tendrá entendido la Gobernadora del Estado, haciendo que se publique y se cumpla.</w:t>
      </w:r>
    </w:p>
    <w:p w:rsidR="003244AB" w:rsidRPr="00D34A16" w:rsidRDefault="003244AB" w:rsidP="00D34A16">
      <w:pPr>
        <w:spacing w:after="0" w:line="240" w:lineRule="auto"/>
        <w:jc w:val="both"/>
        <w:rPr>
          <w:rFonts w:ascii="Times New Roman" w:eastAsia="Calibri" w:hAnsi="Times New Roman" w:cs="Times New Roman"/>
          <w:sz w:val="24"/>
          <w:szCs w:val="24"/>
        </w:rPr>
      </w:pPr>
    </w:p>
    <w:p w:rsidR="003244AB" w:rsidRPr="00D34A16" w:rsidRDefault="003244AB" w:rsidP="00D34A16">
      <w:pPr>
        <w:spacing w:after="0" w:line="240" w:lineRule="auto"/>
        <w:jc w:val="both"/>
        <w:rPr>
          <w:rFonts w:ascii="Times New Roman" w:eastAsia="Calibri" w:hAnsi="Times New Roman" w:cs="Times New Roman"/>
          <w:sz w:val="24"/>
          <w:szCs w:val="24"/>
        </w:rPr>
      </w:pPr>
      <w:r w:rsidRPr="00D34A16">
        <w:rPr>
          <w:rFonts w:ascii="Times New Roman" w:eastAsia="Calibri" w:hAnsi="Times New Roman" w:cs="Times New Roman"/>
          <w:sz w:val="24"/>
          <w:szCs w:val="24"/>
        </w:rPr>
        <w:t xml:space="preserve">Dado en el Palacio del Poder Legislativo, en la ciudad de Toluca de Lerdo, Capital del Estado de México, a los once días del mes de febrero del dos mil veintiséis. </w:t>
      </w:r>
    </w:p>
    <w:p w:rsidR="003244AB" w:rsidRPr="00D34A16" w:rsidRDefault="003244AB" w:rsidP="00D34A16">
      <w:pPr>
        <w:spacing w:after="0" w:line="240" w:lineRule="auto"/>
        <w:jc w:val="center"/>
        <w:rPr>
          <w:rFonts w:ascii="Times New Roman" w:eastAsia="Calibri" w:hAnsi="Times New Roman" w:cs="Times New Roman"/>
          <w:b/>
          <w:sz w:val="24"/>
          <w:szCs w:val="24"/>
        </w:rPr>
      </w:pPr>
    </w:p>
    <w:p w:rsidR="003244AB" w:rsidRPr="00D34A16" w:rsidRDefault="003244AB" w:rsidP="00D34A16">
      <w:pPr>
        <w:spacing w:after="0" w:line="240" w:lineRule="auto"/>
        <w:jc w:val="center"/>
        <w:rPr>
          <w:rFonts w:ascii="Times New Roman" w:eastAsia="Calibri" w:hAnsi="Times New Roman" w:cs="Times New Roman"/>
          <w:b/>
          <w:sz w:val="24"/>
          <w:szCs w:val="24"/>
        </w:rPr>
      </w:pPr>
      <w:r w:rsidRPr="00D34A16">
        <w:rPr>
          <w:rFonts w:ascii="Times New Roman" w:eastAsia="Calibri" w:hAnsi="Times New Roman" w:cs="Times New Roman"/>
          <w:b/>
          <w:sz w:val="24"/>
          <w:szCs w:val="24"/>
        </w:rPr>
        <w:t>PRESIDENTA</w:t>
      </w:r>
    </w:p>
    <w:p w:rsidR="003244AB" w:rsidRPr="00D34A16" w:rsidRDefault="003244AB" w:rsidP="00D34A16">
      <w:pPr>
        <w:spacing w:after="0" w:line="240" w:lineRule="auto"/>
        <w:jc w:val="center"/>
        <w:rPr>
          <w:rFonts w:ascii="Times New Roman" w:eastAsia="Calibri" w:hAnsi="Times New Roman" w:cs="Times New Roman"/>
          <w:b/>
          <w:sz w:val="24"/>
          <w:szCs w:val="24"/>
        </w:rPr>
      </w:pPr>
      <w:r w:rsidRPr="00D34A16">
        <w:rPr>
          <w:rFonts w:ascii="Times New Roman" w:eastAsia="Calibri" w:hAnsi="Times New Roman" w:cs="Times New Roman"/>
          <w:b/>
          <w:sz w:val="24"/>
          <w:szCs w:val="24"/>
        </w:rPr>
        <w:t>DIP. MARTHA AZUCENA CAMACHO REYNOSO</w:t>
      </w:r>
    </w:p>
    <w:p w:rsidR="003244AB" w:rsidRPr="00D34A16" w:rsidRDefault="003244AB" w:rsidP="00D34A16">
      <w:pPr>
        <w:spacing w:after="0" w:line="240" w:lineRule="auto"/>
        <w:jc w:val="center"/>
        <w:rPr>
          <w:rFonts w:ascii="Times New Roman" w:eastAsia="Calibri" w:hAnsi="Times New Roman" w:cs="Times New Roman"/>
          <w:b/>
          <w:sz w:val="24"/>
          <w:szCs w:val="24"/>
        </w:rPr>
      </w:pPr>
    </w:p>
    <w:p w:rsidR="003244AB" w:rsidRPr="00D34A16" w:rsidRDefault="003244AB" w:rsidP="00D34A16">
      <w:pPr>
        <w:spacing w:after="0" w:line="240" w:lineRule="auto"/>
        <w:jc w:val="center"/>
        <w:rPr>
          <w:rFonts w:ascii="Times New Roman" w:eastAsia="Calibri" w:hAnsi="Times New Roman" w:cs="Times New Roman"/>
          <w:b/>
          <w:sz w:val="24"/>
          <w:szCs w:val="24"/>
        </w:rPr>
      </w:pPr>
      <w:r w:rsidRPr="00D34A16">
        <w:rPr>
          <w:rFonts w:ascii="Times New Roman" w:eastAsia="Calibri" w:hAnsi="Times New Roman" w:cs="Times New Roman"/>
          <w:b/>
          <w:sz w:val="24"/>
          <w:szCs w:val="24"/>
        </w:rPr>
        <w:t>SECRETARIOS</w:t>
      </w:r>
    </w:p>
    <w:tbl>
      <w:tblPr>
        <w:tblW w:w="9149" w:type="dxa"/>
        <w:jc w:val="center"/>
        <w:tblLook w:val="04A0" w:firstRow="1" w:lastRow="0" w:firstColumn="1" w:lastColumn="0" w:noHBand="0" w:noVBand="1"/>
      </w:tblPr>
      <w:tblGrid>
        <w:gridCol w:w="4639"/>
        <w:gridCol w:w="4510"/>
      </w:tblGrid>
      <w:tr w:rsidR="003244AB" w:rsidRPr="00D34A16" w:rsidTr="00880C8F">
        <w:trPr>
          <w:trHeight w:val="276"/>
          <w:jc w:val="center"/>
        </w:trPr>
        <w:tc>
          <w:tcPr>
            <w:tcW w:w="4639" w:type="dxa"/>
          </w:tcPr>
          <w:p w:rsidR="003244AB" w:rsidRPr="00D34A16" w:rsidRDefault="003244AB" w:rsidP="00D34A16">
            <w:pPr>
              <w:spacing w:after="0" w:line="240" w:lineRule="auto"/>
              <w:jc w:val="center"/>
              <w:rPr>
                <w:rFonts w:ascii="Times New Roman" w:eastAsia="Calibri" w:hAnsi="Times New Roman" w:cs="Times New Roman"/>
                <w:b/>
                <w:sz w:val="24"/>
                <w:szCs w:val="24"/>
              </w:rPr>
            </w:pPr>
            <w:r w:rsidRPr="00D34A16">
              <w:rPr>
                <w:rFonts w:ascii="Times New Roman" w:eastAsia="Calibri" w:hAnsi="Times New Roman" w:cs="Times New Roman"/>
                <w:b/>
                <w:sz w:val="24"/>
                <w:szCs w:val="24"/>
              </w:rPr>
              <w:t>DIP. EDGAR SAMUEL RÍOS MORENO</w:t>
            </w:r>
          </w:p>
        </w:tc>
        <w:tc>
          <w:tcPr>
            <w:tcW w:w="4510" w:type="dxa"/>
          </w:tcPr>
          <w:p w:rsidR="003244AB" w:rsidRPr="00D34A16" w:rsidRDefault="003244AB" w:rsidP="00D34A16">
            <w:pPr>
              <w:spacing w:after="0" w:line="240" w:lineRule="auto"/>
              <w:jc w:val="center"/>
              <w:rPr>
                <w:rFonts w:ascii="Times New Roman" w:eastAsia="Calibri" w:hAnsi="Times New Roman" w:cs="Times New Roman"/>
                <w:b/>
                <w:sz w:val="24"/>
                <w:szCs w:val="24"/>
              </w:rPr>
            </w:pPr>
            <w:r w:rsidRPr="00D34A16">
              <w:rPr>
                <w:rFonts w:ascii="Times New Roman" w:eastAsia="Calibri" w:hAnsi="Times New Roman" w:cs="Times New Roman"/>
                <w:b/>
                <w:sz w:val="24"/>
                <w:szCs w:val="24"/>
              </w:rPr>
              <w:t>DIP. EDUARDO ZARZOSA SÁNCHEZ</w:t>
            </w:r>
          </w:p>
        </w:tc>
      </w:tr>
    </w:tbl>
    <w:p w:rsidR="000F603A" w:rsidRPr="00D34A16" w:rsidRDefault="000F603A" w:rsidP="00D34A16">
      <w:pPr>
        <w:spacing w:after="0" w:line="240" w:lineRule="auto"/>
        <w:rPr>
          <w:rFonts w:ascii="Times New Roman" w:hAnsi="Times New Roman" w:cs="Times New Roman"/>
          <w:sz w:val="24"/>
          <w:szCs w:val="24"/>
        </w:rPr>
      </w:pPr>
    </w:p>
    <w:p w:rsidR="001A1837" w:rsidRPr="00CB38AA" w:rsidRDefault="001A1837" w:rsidP="00DF6EEA">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(Fin del documento)</w:t>
      </w:r>
    </w:p>
    <w:p w:rsidR="001A1837" w:rsidRPr="00CB38AA" w:rsidRDefault="001A1837" w:rsidP="00DF6EEA">
      <w:pPr>
        <w:spacing w:after="0" w:line="240" w:lineRule="auto"/>
        <w:jc w:val="center"/>
        <w:rPr>
          <w:rFonts w:ascii="Times New Roman" w:hAnsi="Times New Roman" w:cs="Times New Roman"/>
          <w:sz w:val="24"/>
          <w:szCs w:val="24"/>
        </w:rPr>
      </w:pPr>
    </w:p>
    <w:p w:rsidR="00493F42" w:rsidRPr="00CB38AA" w:rsidRDefault="00493F42"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PRESIDENTA DIP. MARTHA AZUCENA CAMACHO REYNOSO. Leído el dictamen con sus antecedentes, pido a quienes estén por su turno de discusión se sirva levantar la mano.</w:t>
      </w:r>
    </w:p>
    <w:p w:rsidR="00493F42" w:rsidRPr="00CB38AA" w:rsidRDefault="00493F42"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SECRETARIO DIP. EDUARDO ZARZOSA SÁNCHEZ. La propuesta ha sido aprobada por unanimidad de votos Presidenta.</w:t>
      </w:r>
    </w:p>
    <w:p w:rsidR="00493F42" w:rsidRPr="00CB38AA" w:rsidRDefault="00493F42"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PRESIDENTA DIP. MARTHA AZUCENA CAMACHO REYNOSO. Gracias. Abro la discusión del dictamen en lo general y pregunto a las diputadas y los diputados si desean hacer uso de la palabra. Pido a la Secretaría registre el turno de oradores.</w:t>
      </w:r>
    </w:p>
    <w:p w:rsidR="00493F42" w:rsidRPr="00CB38AA" w:rsidRDefault="00493F42"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SECRETARIO DIP. EDUARDO ZARZOSA SÁNCHEZ. Sí, registro la participación del diputado Octavio Martínez. ¿Quién más? De la diputada Zaira Cedillo, del diputado Osvaldo Cortés. ¿Alguien más? Del diputado Santillán, Ernesto Santillán. ¿Quién más? Serían todos Presidenta. Son cuatro oradores.</w:t>
      </w:r>
    </w:p>
    <w:p w:rsidR="00493F42" w:rsidRPr="00CB38AA" w:rsidRDefault="00493F42"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PRESIDENTA DIP. MARTHA AZUCENA CAMACHO REYNOSO. Gracias. Tiene el uso de la palabra el diputado Octavio Martínez Vargas.</w:t>
      </w:r>
    </w:p>
    <w:p w:rsidR="00493F42" w:rsidRPr="00CB38AA" w:rsidRDefault="00493F42"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DIP. OCTAVIO MARTÍNEZ VARGAS. Con su permiso Presidenta, con el permiso de la Mesa Directiva.</w:t>
      </w:r>
      <w:bookmarkStart w:id="11" w:name="_GoBack"/>
      <w:bookmarkEnd w:id="11"/>
    </w:p>
    <w:p w:rsidR="00493F42" w:rsidRPr="00CB38AA" w:rsidRDefault="00493F42"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Primero quiero comenzar reconociendo el fino, comprometido y arduo trabajo de todas y todos los que integran la Comisión de Límites Territoriales. Mi reconocimiento, compañero Presidente Román, por su trabajo tan comprometido para resolver éste y otros conflictos.</w:t>
      </w:r>
    </w:p>
    <w:p w:rsidR="00493F42" w:rsidRPr="00CB38AA" w:rsidRDefault="00493F42"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Regularmente en el País y en el Estado de México, las controversias entre un municipio y otro versan siempre en el marco de un enfrentamiento verbal, de un enfrentamiento entre vecinas y vecinos y al extremo; en enfrentamientos armados, en donde las y los núcleos agrarios agarran las armas; me refiero de trabajo y defienden su territorio; esa ha sido como una peculiaridad para efectos de defender territorio en el Estado de México y en otras entidades federativas.</w:t>
      </w:r>
    </w:p>
    <w:p w:rsidR="00493F42" w:rsidRPr="00CB38AA" w:rsidRDefault="00493F42"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En el caso de Ecatepec y Acolman el conflicto se ha discutido en el marco de todos los principios que establece la democracia; el diálogo, el análisis minucioso, la investigación, escuchar a las y a los vecinos, irnos a los antecedentes y bajo ningún motivo un enfrentamiento entre vecinos.</w:t>
      </w:r>
    </w:p>
    <w:p w:rsidR="004419F0" w:rsidRPr="00CB38AA" w:rsidRDefault="00493F42"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Y quiero reconocer a todos los habitantes de estas comunidades, ahora en controversia, La laguna de Chiconautla, Ampliación Lázaro Cárdenas y las comunidades Lázaro Cárdenas y las vecinas de Acolman, porque pese a la indefinición, nunca hubo un enfrentamiento. 29 años, miles de familias viviendo sin agua en red, sin drenaje, sin escuelas dignas, sin centros culturales, sin </w:t>
      </w:r>
      <w:r w:rsidR="00C31324" w:rsidRPr="00CB38AA">
        <w:rPr>
          <w:rFonts w:ascii="Times New Roman" w:hAnsi="Times New Roman" w:cs="Times New Roman"/>
          <w:sz w:val="24"/>
          <w:szCs w:val="24"/>
        </w:rPr>
        <w:t>pavimentación,</w:t>
      </w:r>
      <w:r w:rsidR="005A5A9A" w:rsidRPr="00CB38AA">
        <w:rPr>
          <w:rFonts w:ascii="Times New Roman" w:hAnsi="Times New Roman" w:cs="Times New Roman"/>
          <w:sz w:val="24"/>
          <w:szCs w:val="24"/>
        </w:rPr>
        <w:t xml:space="preserve"> sin transporte. </w:t>
      </w:r>
    </w:p>
    <w:p w:rsidR="005A5A9A" w:rsidRPr="00CB38AA" w:rsidRDefault="005A5A9A"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Una cosa que no hay precedente, en el Estado de México, 6 gobernadores, 15 alcaldes. Y eso no se resolvía, y hoy nuestra Gobernadora, la primer Gobernadora de izquierda, la maestra Delfina Gómez, a poco más de dos años de gobierno, instruye a las áreas de la administración pública a investigar y acercar al Congreso elementos de carácter resolutivo. </w:t>
      </w:r>
    </w:p>
    <w:p w:rsidR="005A5A9A" w:rsidRPr="00CB38AA" w:rsidRDefault="005A5A9A"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La condición de vida en estas comunidades es muy compleja, bueno, ahora que estamos hablando del sarampión, que afortunadamente en el Estado de México no ha crecido y se ha controlado, ya inició una campaña enorme de vacunación, de prevención, de uso obligatorio de cubrebocas, pero ahora imagínense sin agua, esa es la condición en la que se vive ahí, por eso esta fecha, compañeras y compañeros, es histórica, relevante, es trascendente porque busca sentar las bases para que las y los vecinos de estas comunidades tengan identidad</w:t>
      </w:r>
      <w:r w:rsidR="00411AF3" w:rsidRPr="00CB38AA">
        <w:rPr>
          <w:rFonts w:ascii="Times New Roman" w:hAnsi="Times New Roman" w:cs="Times New Roman"/>
          <w:sz w:val="24"/>
          <w:szCs w:val="24"/>
        </w:rPr>
        <w:t>,</w:t>
      </w:r>
      <w:r w:rsidRPr="00CB38AA">
        <w:rPr>
          <w:rFonts w:ascii="Times New Roman" w:hAnsi="Times New Roman" w:cs="Times New Roman"/>
          <w:sz w:val="24"/>
          <w:szCs w:val="24"/>
        </w:rPr>
        <w:t xml:space="preserve"> permanencia, para que las autoridades del municipio, del Estado y de la Federación, los órganos centralizados, los órganos descentralizados no tengan omisiones en términos de justificarse en una controversia jurídica para no invertir, para no resolver los graves problemas de estas comunidades, como no es de Ecatepec, puedo caer en una responsabilidad, si invierto, como no es de Acolman, puedo caer en una responsabilidad si invierto, de naturaleza administrativa, esa es la relevancia.</w:t>
      </w:r>
    </w:p>
    <w:p w:rsidR="005A5A9A" w:rsidRPr="00CB38AA" w:rsidRDefault="005A5A9A"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Compañeras y compañeros, quiero concluir, 29 años, las miles de familias que se asentaron en esta comunidad del núcleo agrario de Santa María, de uno de los núcleos agrarios de un pueblo </w:t>
      </w:r>
      <w:r w:rsidRPr="00CB38AA">
        <w:rPr>
          <w:rFonts w:ascii="Times New Roman" w:hAnsi="Times New Roman" w:cs="Times New Roman"/>
          <w:sz w:val="24"/>
          <w:szCs w:val="24"/>
        </w:rPr>
        <w:lastRenderedPageBreak/>
        <w:t xml:space="preserve">originario de Ecatepec, Santa María Chiconautla, compraron, no invadieron, la gente compró los espacios, los predios, se han organizado desde entonces y hasta hoy para tener una mejor condición de vida, porque vivir sin agua, sin drenaje no es un tema de un color partidario, compañeras y compañeros, ni de una organización social, es un tema de un sentido humano y de un derecho elemental o de derechos fundamentales que hoy se están violando en esta comunidad, derecho a la educación, a una vivienda digna, a la salud, a la cultura, a la movilidad, a votar y ser votados, porque hasta las elecciones se han robado ahí, en ese espacio. Por eso hoy, amigas y amigos, invito, porque nuestro Grupo Parlamentario morena, habrá de refrendar este dictamen y reconocer a nuestra Gobernadora, a la Presidenta Azucena Cisneros, a todas y a todos los legisladores y legisladoras, su compromiso por entender, restablecer y restituir los derechos más elementales del ciudadano en estas comunidades. </w:t>
      </w:r>
    </w:p>
    <w:p w:rsidR="00180104" w:rsidRPr="00CB38AA" w:rsidRDefault="005A5A9A"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Muchísimas gracias, enhorabuena y que viva la Laguna de Chiconautla</w:t>
      </w:r>
      <w:r w:rsidR="00180104" w:rsidRPr="00CB38AA">
        <w:rPr>
          <w:rFonts w:ascii="Times New Roman" w:hAnsi="Times New Roman" w:cs="Times New Roman"/>
          <w:sz w:val="24"/>
          <w:szCs w:val="24"/>
        </w:rPr>
        <w:t xml:space="preserve"> compañeros y compañeras.</w:t>
      </w:r>
    </w:p>
    <w:p w:rsidR="00910BE2" w:rsidRPr="00CB38AA" w:rsidRDefault="00910BE2"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 xml:space="preserve"> </w:t>
      </w:r>
      <w:r w:rsidR="00180104" w:rsidRPr="00CB38AA">
        <w:rPr>
          <w:rFonts w:ascii="Times New Roman" w:hAnsi="Times New Roman" w:cs="Times New Roman"/>
          <w:sz w:val="24"/>
          <w:szCs w:val="24"/>
        </w:rPr>
        <w:tab/>
      </w:r>
      <w:r w:rsidRPr="00CB38AA">
        <w:rPr>
          <w:rFonts w:ascii="Times New Roman" w:hAnsi="Times New Roman" w:cs="Times New Roman"/>
          <w:sz w:val="24"/>
          <w:szCs w:val="24"/>
        </w:rPr>
        <w:t>Muchas gracias.</w:t>
      </w:r>
    </w:p>
    <w:p w:rsidR="00910BE2" w:rsidRPr="00CB38AA" w:rsidRDefault="00910BE2"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 xml:space="preserve">PRESIDENTA DIP. MARTHA AZUCENA CAMACHO REYNOSO. Gracias, Diputado Octavio Martínez Vargas. </w:t>
      </w:r>
    </w:p>
    <w:p w:rsidR="00910BE2" w:rsidRPr="00CB38AA" w:rsidRDefault="00910BE2"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Tiene el uso de la voz la </w:t>
      </w:r>
      <w:r w:rsidR="0083467C" w:rsidRPr="00CB38AA">
        <w:rPr>
          <w:rFonts w:ascii="Times New Roman" w:hAnsi="Times New Roman" w:cs="Times New Roman"/>
          <w:sz w:val="24"/>
          <w:szCs w:val="24"/>
        </w:rPr>
        <w:t>d</w:t>
      </w:r>
      <w:r w:rsidRPr="00CB38AA">
        <w:rPr>
          <w:rFonts w:ascii="Times New Roman" w:hAnsi="Times New Roman" w:cs="Times New Roman"/>
          <w:sz w:val="24"/>
          <w:szCs w:val="24"/>
        </w:rPr>
        <w:t>iputada Zaida Cedillo Silva.</w:t>
      </w:r>
    </w:p>
    <w:p w:rsidR="00910BE2" w:rsidRPr="00CB38AA" w:rsidRDefault="00910BE2" w:rsidP="00DF6EEA">
      <w:pPr>
        <w:pStyle w:val="Sinespaciado"/>
        <w:jc w:val="both"/>
        <w:rPr>
          <w:rFonts w:ascii="Times New Roman" w:hAnsi="Times New Roman" w:cs="Times New Roman"/>
          <w:sz w:val="24"/>
          <w:szCs w:val="24"/>
        </w:rPr>
      </w:pPr>
      <w:r w:rsidRPr="00CB38AA">
        <w:rPr>
          <w:rFonts w:ascii="Times New Roman" w:hAnsi="Times New Roman" w:cs="Times New Roman"/>
          <w:kern w:val="2"/>
          <w:sz w:val="24"/>
          <w:szCs w:val="24"/>
          <w:lang w:eastAsia="es-MX"/>
        </w:rPr>
        <w:t xml:space="preserve">DIP. ZAIRA CEDILLO SILVA. </w:t>
      </w:r>
      <w:r w:rsidRPr="00CB38AA">
        <w:rPr>
          <w:rFonts w:ascii="Times New Roman" w:hAnsi="Times New Roman" w:cs="Times New Roman"/>
          <w:sz w:val="24"/>
          <w:szCs w:val="24"/>
        </w:rPr>
        <w:t>Con su permiso President</w:t>
      </w:r>
      <w:r w:rsidR="003458DF" w:rsidRPr="00CB38AA">
        <w:rPr>
          <w:rFonts w:ascii="Times New Roman" w:hAnsi="Times New Roman" w:cs="Times New Roman"/>
          <w:sz w:val="24"/>
          <w:szCs w:val="24"/>
        </w:rPr>
        <w:t>a</w:t>
      </w:r>
      <w:r w:rsidRPr="00CB38AA">
        <w:rPr>
          <w:rFonts w:ascii="Times New Roman" w:hAnsi="Times New Roman" w:cs="Times New Roman"/>
          <w:sz w:val="24"/>
          <w:szCs w:val="24"/>
        </w:rPr>
        <w:t xml:space="preserve"> de la Directiva, Martha Azucena Camacho. </w:t>
      </w:r>
    </w:p>
    <w:p w:rsidR="00E0072A" w:rsidRPr="00CB38AA" w:rsidRDefault="00910BE2"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Saludo a todas mis compañeras y compañeros legisladores que se encuentran el día de hoy en este Salón de Sesiones. </w:t>
      </w:r>
    </w:p>
    <w:p w:rsidR="003458DF" w:rsidRPr="00CB38AA" w:rsidRDefault="00910BE2"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Saludo con gran agrado a las vecinas y vecinos de la Laguna de Chiconautla que hoy se encuentran presentes, que han hecho un gran trabajo, que se han organizado, que han venido que han ido y tocado puertas de los diputados, de las instituciones siempre. Y también aprovecho el uso de este micrófono para saludar a todas las vecinas y los vecinos de Ecatepec y también del vecino municipio de Acolman, dice nuestra gobernadora, la Maestra Delfina Gómez Álvarez. Y lo dice muy bien donde hay personas debe de haber derechos, debe de haber servicios y también debe de haber paz social. Y eso es lo que se ha buscado todo el tiempo.</w:t>
      </w:r>
    </w:p>
    <w:p w:rsidR="0081478A" w:rsidRPr="00CB38AA" w:rsidRDefault="00910BE2"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Por casi 30 años nuestros vecinos caminaron, fueron a instituciones, pelearon por tener energía eléctrica, pelearon porque les pavimentaron antes que pavimentación por tener drenaje, eso que no ha llegado porque se aprobaron obras y conocemos del tema. También decir que el tema con los ejidatarios que todavía está pendiente y que se tiene que resolver. Hoy el anuncio que se hace desde este Congreso no es un anuncio más, no es un dictamen más. Estamos dando un paso para atender una deuda histórica, pero solamente es el primer paso, porque nos falta que todas las instituciones volteen a ver a nuestro municipio a la Laguna de Chiconautla, </w:t>
      </w:r>
      <w:r w:rsidR="0081478A" w:rsidRPr="00CB38AA">
        <w:rPr>
          <w:rFonts w:ascii="Times New Roman" w:hAnsi="Times New Roman" w:cs="Times New Roman"/>
          <w:sz w:val="24"/>
          <w:szCs w:val="24"/>
        </w:rPr>
        <w:t>a</w:t>
      </w:r>
      <w:r w:rsidRPr="00CB38AA">
        <w:rPr>
          <w:rFonts w:ascii="Times New Roman" w:hAnsi="Times New Roman" w:cs="Times New Roman"/>
          <w:sz w:val="24"/>
          <w:szCs w:val="24"/>
        </w:rPr>
        <w:t xml:space="preserve"> Lázaro Cárdenas, Ampliación Lázaro Cárdenas, a Prado San Juan, a toda esa zona de los juzgados del Penal de Ecatepec. </w:t>
      </w:r>
    </w:p>
    <w:p w:rsidR="00910BE2" w:rsidRPr="00CB38AA" w:rsidRDefault="00910BE2"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No tener identidad claro que va contra nuestros derechos constitucionales, que los gobiernos no atiendan, que nos manden a otro municipio, que nos digan que a ellos no les corresponde, que digan que eso es algo que no ha solucionado el Congreso también es violencia institucional. Así que hoy estamos dando un gran paso y muchas gracias compañeros de la Comisión de Límites Territoriales Presidente por aquí andabas, ya te me perdiste. </w:t>
      </w:r>
    </w:p>
    <w:p w:rsidR="00E258C7" w:rsidRPr="00CB38AA" w:rsidRDefault="00910BE2"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Quién sabe dónde se perdió al compañero Secretario, además diputado de Ecatepec Santillán, la compañera diputada Miriam, que es del verde, el diputado Luis Valdeña, porque podemos decir sí, que han pasado seis gobernadores, que han pasado 15 alcaldes de nuestro municipio, que nunca llegaron a un acuerdo con los vecinos del municipio de Acolman, pero también pasaron 15 Legislaturas, también fueron diputados aquí en este congreso local y han estado una, dos, tres o hasta más veces y nunca dieron solución a estos temas. Así que hoy se ve esa </w:t>
      </w:r>
      <w:r w:rsidRPr="00CB38AA">
        <w:rPr>
          <w:rFonts w:ascii="Times New Roman" w:hAnsi="Times New Roman" w:cs="Times New Roman"/>
          <w:sz w:val="24"/>
          <w:szCs w:val="24"/>
        </w:rPr>
        <w:lastRenderedPageBreak/>
        <w:t xml:space="preserve">sensibilidad de los diputados, de la Comisión de Límites Territoriales de nuestra gobernadora, porque en el 2023 estuvimos con ella varios que hoy estamos aquí. </w:t>
      </w:r>
    </w:p>
    <w:p w:rsidR="000147BB" w:rsidRPr="00CB38AA" w:rsidRDefault="00910BE2"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Estuvimos con ella acompañándola y escuchamos esas exigencias que fueron exigencias. Hubo vecinos que iban con su cubeta exigiendo agua, porque vamos a veces y pedimos el voto, pero ¿Cómo vamos a pedir el voto donde no hay agua, donde no hay drenaje? Donde nuestros vecinos se han caído, han tenido accidentes, se han roto la pierna, el brazo, nuestros adultos mayores no tienen en la comunidad a donde ir a que los atiendan. Así que eso que hemos vivido en el territorio, esos compromisos que se hicieron hoy mostramos que el que gobernara morena, que el que gobernara una coalición sí dio resultados, porque nuestra gobernadora se comprometió y en coordinación con ella este Congreso ha resuelto esta diferencia, este diferendo de límites</w:t>
      </w:r>
      <w:r w:rsidR="00E0072A" w:rsidRPr="00CB38AA">
        <w:rPr>
          <w:rFonts w:ascii="Times New Roman" w:hAnsi="Times New Roman" w:cs="Times New Roman"/>
          <w:sz w:val="24"/>
          <w:szCs w:val="24"/>
        </w:rPr>
        <w:t xml:space="preserve"> territoriales </w:t>
      </w:r>
      <w:r w:rsidR="00141E53" w:rsidRPr="00CB38AA">
        <w:rPr>
          <w:rFonts w:ascii="Times New Roman" w:hAnsi="Times New Roman" w:cs="Times New Roman"/>
          <w:sz w:val="24"/>
          <w:szCs w:val="24"/>
        </w:rPr>
        <w:t xml:space="preserve">de Ecatepec con Acolman son 272.78 hectáreas que hoy pasan a tener certidumbre, que hoy tienen identidad, pero que hoy también viene más trabajo, viene un trabajo intenso con INSUS, viene un trabajo intenso con los ejidatarios, hay que recuperar esas obras que se quedaron abandonadas, esos más de 80 millones en ese drenaje profundo que se requiere para que de verdad tengan los servicios que necesitamos todas y todos en Ecatepec; así que vecinas y vecinos, muchas felicidades, este es el primer paso, que sepan que cuentan con esta LXII Legislatura del Estado de México, con las diputadas y diputados, no solo del Grupo Parlamentario de morena, de la Comisión de Límites Territoriales, y además yo puedo asegurar que con todas y todos. </w:t>
      </w:r>
    </w:p>
    <w:p w:rsidR="00141E53" w:rsidRPr="00CB38AA" w:rsidRDefault="00141E53"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Hoy damos un paso histórico, es un día muy importante para Ecatepec, pero también asumimos una responsabilidad mayor, que la certeza territorial ahora se convierta en derechos, en servicios y en una mejor calidad de vida para nuestras y nuestros vecinos ¡Que viva la Laguna de Chiconautla! ¡Que viva Lázaro Cárdenas! ¡Que viva Prado San Juan! ¡Que viva Ampliación Lázaro Cárdenas! y ¡Que viva Ecatepec!</w:t>
      </w:r>
    </w:p>
    <w:p w:rsidR="00141E53" w:rsidRPr="00CB38AA" w:rsidRDefault="00141E53"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 xml:space="preserve">PRESIDENTA DIP. MARTHA AZUCENA CAMACHO REYNOSO. Gracias diputada Zaira Cedillo Silva. </w:t>
      </w:r>
    </w:p>
    <w:p w:rsidR="00141E53" w:rsidRPr="00CB38AA" w:rsidRDefault="00141E53"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Tiene el uso de la voz el diputado Osvaldo Cortés Contreras.</w:t>
      </w:r>
    </w:p>
    <w:p w:rsidR="00141E53" w:rsidRPr="00CB38AA" w:rsidRDefault="00141E53"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 xml:space="preserve">DIP. OSVALDO CORTÉS CONTRERAS. Muy buenas tardes a todos. </w:t>
      </w:r>
    </w:p>
    <w:p w:rsidR="00141E53" w:rsidRPr="00CB38AA" w:rsidRDefault="00141E53"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Presidenta con el permiso de la mesa, </w:t>
      </w:r>
      <w:r w:rsidR="00F065D8" w:rsidRPr="00CB38AA">
        <w:rPr>
          <w:rFonts w:ascii="Times New Roman" w:hAnsi="Times New Roman" w:cs="Times New Roman"/>
          <w:sz w:val="24"/>
          <w:szCs w:val="24"/>
        </w:rPr>
        <w:t>d</w:t>
      </w:r>
      <w:r w:rsidRPr="00CB38AA">
        <w:rPr>
          <w:rFonts w:ascii="Times New Roman" w:hAnsi="Times New Roman" w:cs="Times New Roman"/>
          <w:sz w:val="24"/>
          <w:szCs w:val="24"/>
        </w:rPr>
        <w:t xml:space="preserve">el presídium, saludo a todos mis compañeros diputados, a los vecinos de las colonias que hoy estamos dando un paso histórico, a todos los vecinos también que nos siguen en redes sociales y a los medios de comunicación, decir creo que seguiremos reiterando, así como lo han hecho mis compañeros que me precedieron en el uso de la voz. </w:t>
      </w:r>
    </w:p>
    <w:p w:rsidR="00141E53" w:rsidRPr="00CB38AA" w:rsidRDefault="00141E53"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Hoy estamos haciendo historia, hace algunos años recorrimos las calles de nuestros respectivos municipios, de nuestros respectivos distritos y decíamos en el 2018 juntos haremos historia y para los funcionarios públicos, presidentes municipales, diputados locales, federales, senadores, presidentes, gobernadores, no es un eslogan, simplemente el decir juntos haremos historia para nosotros es una ley, es una ordenanza de lo que ha requerido nuestro pueblo de México y hoy estamos cumpliendo aquello que comprometimos hacer historia, hacer historia en beneficio de las y los mexiquenses, hoy podemos decir de manera específica que hoy es un día histórico para este polígono, para estas colonias a las que se les está haciendo justicia, a las que por años padecieron incertidumbre en su patrimonio y en todas las condiciones para construir bienestar para ellos y sus familias. </w:t>
      </w:r>
    </w:p>
    <w:p w:rsidR="004C5595" w:rsidRPr="00CB38AA" w:rsidRDefault="00141E53"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Quiero subrayar algo también, que se escuche y que se escuche fuerte y claro, la LXII Legislatura ha cumplido, ya lo dijo mi compañera Zaira, hoy pudimos sacar adelante en esta LXII legislatura, no las anteriores ya hicieron un recuento amplio de todas las legislaturas que han pasado y de todos los nombres que quizá no mencionaremos que no tuvieron esa decisión y ese compromiso con la gente que hoy estoy seguro, los diputados aquí presentes en este pleno estaremos avalando este dictamen que pone fin a cerca de tres décadas de diferendo limítrofe y más allá de esta palabra técnica que se utiliza comúnmente, que hoy le estaremos dando justicia y </w:t>
      </w:r>
      <w:r w:rsidRPr="00CB38AA">
        <w:rPr>
          <w:rFonts w:ascii="Times New Roman" w:hAnsi="Times New Roman" w:cs="Times New Roman"/>
          <w:sz w:val="24"/>
          <w:szCs w:val="24"/>
        </w:rPr>
        <w:lastRenderedPageBreak/>
        <w:t>certidumbre a miles y miles de habitantes que vivieron de esta manera durante tantos años, en el que pusimos por encima de</w:t>
      </w:r>
      <w:r w:rsidR="00CB0A50" w:rsidRPr="00CB38AA">
        <w:rPr>
          <w:rFonts w:ascii="Times New Roman" w:hAnsi="Times New Roman" w:cs="Times New Roman"/>
          <w:sz w:val="24"/>
          <w:szCs w:val="24"/>
        </w:rPr>
        <w:t xml:space="preserve"> cualquier </w:t>
      </w:r>
      <w:r w:rsidR="004C5595" w:rsidRPr="00CB38AA">
        <w:rPr>
          <w:rFonts w:ascii="Times New Roman" w:hAnsi="Times New Roman" w:cs="Times New Roman"/>
          <w:sz w:val="24"/>
          <w:szCs w:val="24"/>
        </w:rPr>
        <w:t>interés personal o de grupo, pusimos el mandato del pueblo, pusimos el interés de la gente y hoy esto que hablamos lo hemos convertido en una realidad.</w:t>
      </w:r>
    </w:p>
    <w:p w:rsidR="004C5595" w:rsidRPr="00CB38AA" w:rsidRDefault="004C5595"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Un reconocimiento primeramente, como ya lo hicieron mis compañeros diputados, primeramente a nuestra querida Gobernadora, la Maestra Delfina Gómez Álvarez por su liderazgo, el liderazgo no sólo se habla en las redes o se recibe por decreto, el liderazgo se demuestra con actitud y con acciones, un reconocimiento Gobernadora, Maestra Delfina por su liderazgo para poder construir lo que hoy estaremos haciendo en unos minutos más una realidad, un reconocimiento también al Secretario de Gobierno, al Maestro Horacio Duarte por este oficio y la disposición para poder trabajar en la construcción de lo que hoy será de enorme beneficio para todos los hoy habitantes y ciudadanos de Ecatepec, pero también con todas las de la Ley para los hoy ciudadanos acolmenses.</w:t>
      </w:r>
    </w:p>
    <w:p w:rsidR="004C5595" w:rsidRPr="00CB38AA" w:rsidRDefault="004C5595"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También quiero agradecer como siempre a mi coordinador, a mi amigo Paco Vázquez por ser siempre un factor de unidad, a veces pareciera poco, pero ser factor de unidad de verdad es algo que poca gente goza, que poca gente construye, querido Paco reconocerte que has sido factor de unidad y has sido un pilar importante en todo lo que se ha venido construyendo en estos meses de esta LXII Legislatura, gracias.</w:t>
      </w:r>
    </w:p>
    <w:p w:rsidR="004C5595" w:rsidRPr="00CB38AA" w:rsidRDefault="004C5595"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Un reconocimiento también a mis compañeros legisladores, los cuales también hemos tenido ese compromiso, ese compromiso no de dicho porque comúnmente a los que nos dedicamos al servicio público se nos tacha de que decimos mucho y hacemos poco, creo que hoy han hablado nuestras acciones, han hablado la voluntad con la que hemos construido esto que hoy será de enorme beneficio para estas miles de familias que hoy por fin se les dará certeza jurídica en su patrimonio y sobre todo en lo venidero, este es el primer paso, este es el primer paso, vienen retos por delante, hoy estos retos por delante vendrán principalmente para los Municipios de Acolman y Ecatepec, hoy las alcaldesas tienen un reto enorme por delante por querer responsabilidad primordialmente de los municipios, dotar de servicios y de urbanización a las colonias.</w:t>
      </w:r>
    </w:p>
    <w:p w:rsidR="004C5595" w:rsidRPr="00CB38AA" w:rsidRDefault="004C5595"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 xml:space="preserve">Hoy yo puedo decir que es un reto enorme el que tienen por delante, porque son casi 3 décadas de atraso y 3 décadas de atraso no se resuelven ni en unos cuantos días, ni en unas cuantas semanas, ni en meses, hoy yo puedo hablar por mi municipio el que es mi casa, por Acolman, yo tengo la plena certeza de que la presidenta municipal a la cual tengo el honor de llamar amiga, a la Licenciada Blanca Osorio, pondrá todo su empeño y dedicación, para comenzar a trabajar en recuperar el tiempo perdido y atender las necesidades de los vecinos de Prados San Juan, de Pirules, de la </w:t>
      </w:r>
      <w:r w:rsidR="00F21926" w:rsidRPr="00CB38AA">
        <w:rPr>
          <w:rFonts w:ascii="Times New Roman" w:hAnsi="Times New Roman" w:cs="Times New Roman"/>
          <w:sz w:val="24"/>
          <w:szCs w:val="24"/>
        </w:rPr>
        <w:t xml:space="preserve">Colonia </w:t>
      </w:r>
      <w:r w:rsidRPr="00CB38AA">
        <w:rPr>
          <w:rFonts w:ascii="Times New Roman" w:hAnsi="Times New Roman" w:cs="Times New Roman"/>
          <w:sz w:val="24"/>
          <w:szCs w:val="24"/>
        </w:rPr>
        <w:t xml:space="preserve">Guerrero, de la </w:t>
      </w:r>
      <w:r w:rsidR="00F21926" w:rsidRPr="00CB38AA">
        <w:rPr>
          <w:rFonts w:ascii="Times New Roman" w:hAnsi="Times New Roman" w:cs="Times New Roman"/>
          <w:sz w:val="24"/>
          <w:szCs w:val="24"/>
        </w:rPr>
        <w:t xml:space="preserve">Colonia </w:t>
      </w:r>
      <w:r w:rsidRPr="00CB38AA">
        <w:rPr>
          <w:rFonts w:ascii="Times New Roman" w:hAnsi="Times New Roman" w:cs="Times New Roman"/>
          <w:sz w:val="24"/>
          <w:szCs w:val="24"/>
        </w:rPr>
        <w:t>San Rafael y todas estas zonas aledañas.</w:t>
      </w:r>
    </w:p>
    <w:p w:rsidR="005D7904" w:rsidRPr="00CB38AA" w:rsidRDefault="004C5595"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Quiero decir también que hay un tema muy importante, no sólo el reto enorme que se tiene en materia de servicios y de urbanización, hay un tema que será importante comenzar a atender a la brevedad y creo que debe ser prioridad, una vez definido este asunto de límites territoriales y me refiero por esto al saneamiento del tiradero a cielo abierto de Chiconautla, un foco de infección y contaminación no solamente para la zona aledaña, no sólo para las colonias aledañas, porque como lo dije por años ha sido un foco de infección para los que viven por ahí, sino algo mucho más grave y más complejo que es la contaminación del subsuelo, cuando se inició hace décadas este tiradero no se cuidaba</w:t>
      </w:r>
      <w:r w:rsidR="00011A09" w:rsidRPr="00CB38AA">
        <w:rPr>
          <w:rFonts w:ascii="Times New Roman" w:hAnsi="Times New Roman" w:cs="Times New Roman"/>
          <w:sz w:val="24"/>
          <w:szCs w:val="24"/>
        </w:rPr>
        <w:t>n</w:t>
      </w:r>
      <w:r w:rsidRPr="00CB38AA">
        <w:rPr>
          <w:rFonts w:ascii="Times New Roman" w:hAnsi="Times New Roman" w:cs="Times New Roman"/>
          <w:sz w:val="24"/>
          <w:szCs w:val="24"/>
        </w:rPr>
        <w:t xml:space="preserve"> las normas ambientales y carece de lo que se llama geomembrana</w:t>
      </w:r>
      <w:r w:rsidR="008839B5" w:rsidRPr="00CB38AA">
        <w:rPr>
          <w:rFonts w:ascii="Times New Roman" w:hAnsi="Times New Roman" w:cs="Times New Roman"/>
          <w:sz w:val="24"/>
          <w:szCs w:val="24"/>
        </w:rPr>
        <w:t xml:space="preserve"> que es la </w:t>
      </w:r>
      <w:r w:rsidR="008839B5" w:rsidRPr="00CB38AA">
        <w:rPr>
          <w:rFonts w:ascii="Times New Roman" w:hAnsi="Times New Roman" w:cs="Times New Roman"/>
          <w:sz w:val="24"/>
          <w:szCs w:val="24"/>
          <w:lang w:eastAsia="es-MX"/>
        </w:rPr>
        <w:t>p</w:t>
      </w:r>
      <w:r w:rsidR="005D7904" w:rsidRPr="00CB38AA">
        <w:rPr>
          <w:rFonts w:ascii="Times New Roman" w:hAnsi="Times New Roman" w:cs="Times New Roman"/>
          <w:sz w:val="24"/>
          <w:szCs w:val="24"/>
          <w:lang w:eastAsia="es-MX"/>
        </w:rPr>
        <w:t xml:space="preserve">rotección que evita que se puedan filtrar lixiviados. </w:t>
      </w:r>
    </w:p>
    <w:p w:rsidR="005D7904" w:rsidRPr="00CB38AA" w:rsidRDefault="005D7904" w:rsidP="00DF6EEA">
      <w:pPr>
        <w:pStyle w:val="Sinespaciado"/>
        <w:ind w:firstLine="708"/>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 xml:space="preserve">Hace algunos años, en el </w:t>
      </w:r>
      <w:r w:rsidR="00305802" w:rsidRPr="00CB38AA">
        <w:rPr>
          <w:rFonts w:ascii="Times New Roman" w:hAnsi="Times New Roman" w:cs="Times New Roman"/>
          <w:sz w:val="24"/>
          <w:szCs w:val="24"/>
          <w:lang w:eastAsia="es-MX"/>
        </w:rPr>
        <w:t xml:space="preserve">Municipio </w:t>
      </w:r>
      <w:r w:rsidRPr="00CB38AA">
        <w:rPr>
          <w:rFonts w:ascii="Times New Roman" w:hAnsi="Times New Roman" w:cs="Times New Roman"/>
          <w:sz w:val="24"/>
          <w:szCs w:val="24"/>
          <w:lang w:eastAsia="es-MX"/>
        </w:rPr>
        <w:t xml:space="preserve">de Acolman, gobiernos anteriores hicieron estudios en la calidad del agua y cómo estaba afectando la filtración de lixiviados, la calidad de los mantos freáticos y eso es un tema que nos debe de interesar a todos aquellos que somos de Acolman y también de Ecatepec, porque los mantos freáticos afectados afectan a ambos municipios, es un tema que creo que debe ser prioridad en la agenda de los múltiples pendientes que hay por resolver, ese es un tema muy importante porque al final sabemos la importancia que tiene el agua, el agua y ese servicio vital en las vidas de cada uno de nosotros y de nuestras familias. </w:t>
      </w:r>
    </w:p>
    <w:p w:rsidR="00CF7F20" w:rsidRPr="00CB38AA" w:rsidRDefault="005D7904" w:rsidP="00DF6EEA">
      <w:pPr>
        <w:pStyle w:val="Sinespaciado"/>
        <w:ind w:firstLine="708"/>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lastRenderedPageBreak/>
        <w:t xml:space="preserve">Quiero decir, enhorabuena de verdad a los vecinos de las colonias que hoy por fin, después de décadas de olvido, de abandono, hoy están siendo atendidos, enhorabuena a los vecinos de la Laguna, de Chiconautla, de Lázaro Cárdenas, pero en especial también, como ya lo mencioné hoy a los vecinos de Prado San Juan, a los vecinos de la colonia Guerrero, de la colonia San Rafael, de la colonia Pirules, a quien oficialmente les decimos bienvenidos Acolman. </w:t>
      </w:r>
    </w:p>
    <w:p w:rsidR="005D7904" w:rsidRPr="00CB38AA" w:rsidRDefault="005D7904" w:rsidP="00DF6EEA">
      <w:pPr>
        <w:pStyle w:val="Sinespaciado"/>
        <w:ind w:firstLine="708"/>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 xml:space="preserve">Muchas gracias. </w:t>
      </w:r>
    </w:p>
    <w:p w:rsidR="005D7904" w:rsidRPr="00CB38AA" w:rsidRDefault="005D7904" w:rsidP="00DF6EEA">
      <w:pPr>
        <w:pStyle w:val="Sinespaciado"/>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 xml:space="preserve">PRESIDENTA DIP. MARTHA AZUCENA CAMACHO REYNOSO. Gracias diputado Osvaldo Cortés Contreras. </w:t>
      </w:r>
    </w:p>
    <w:p w:rsidR="005D7904" w:rsidRPr="00CB38AA" w:rsidRDefault="005D7904" w:rsidP="00DF6EEA">
      <w:pPr>
        <w:pStyle w:val="Sinespaciado"/>
        <w:ind w:firstLine="708"/>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 xml:space="preserve">Tiene el uso de la voz el diputado Ernesto Santillán Ramírez. </w:t>
      </w:r>
    </w:p>
    <w:p w:rsidR="005D7904" w:rsidRPr="00CB38AA" w:rsidRDefault="005D7904" w:rsidP="00DF6EEA">
      <w:pPr>
        <w:pStyle w:val="Sinespaciado"/>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DIP. ERNESTO SANTILLÁN RAMÍREZ. Con su permiso señora Presidenta.</w:t>
      </w:r>
    </w:p>
    <w:p w:rsidR="005D7904" w:rsidRPr="00CB38AA" w:rsidRDefault="005D7904" w:rsidP="00DF6EEA">
      <w:pPr>
        <w:pStyle w:val="Sinespaciado"/>
        <w:ind w:firstLine="708"/>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 xml:space="preserve">Muchas gracias a toda la </w:t>
      </w:r>
      <w:r w:rsidR="00CF7F20" w:rsidRPr="00CB38AA">
        <w:rPr>
          <w:rFonts w:ascii="Times New Roman" w:hAnsi="Times New Roman" w:cs="Times New Roman"/>
          <w:sz w:val="24"/>
          <w:szCs w:val="24"/>
          <w:lang w:eastAsia="es-MX"/>
        </w:rPr>
        <w:t xml:space="preserve">Mesa </w:t>
      </w:r>
      <w:r w:rsidRPr="00CB38AA">
        <w:rPr>
          <w:rFonts w:ascii="Times New Roman" w:hAnsi="Times New Roman" w:cs="Times New Roman"/>
          <w:sz w:val="24"/>
          <w:szCs w:val="24"/>
          <w:lang w:eastAsia="es-MX"/>
        </w:rPr>
        <w:t xml:space="preserve">Directiva, a todos los compañeros legisladores que se encuentran hoy aquí presentes, pero sobre todo quiero dar un fuerte reconocimiento a los compañeros, a los líderes que hoy están aquí en lo que es esta “Casa del Pueblo” gente que ha luchado, gente que se ha comprometido con sus vecinos y que el día de hoy nuevamente vienen a visitar esta “Casa del Pueblo.” </w:t>
      </w:r>
    </w:p>
    <w:p w:rsidR="005D7904" w:rsidRPr="00CB38AA" w:rsidRDefault="005D7904" w:rsidP="00DF6EEA">
      <w:pPr>
        <w:pStyle w:val="Sinespaciado"/>
        <w:ind w:firstLine="708"/>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 xml:space="preserve">Bienvenidos a cada uno de ustedes, bienvenidos a esta “Casa del Pueblo” y quiero comentar que subo a esta tribuna para dar un reconocimiento a tantos años de lucha, años más de 20 años en donde la gente ha salido a manifestarse a las calles, años en donde la gente muchas veces vino a tocar puertas con varios gobernadores en varias Legislaturas y nadie les hizo caso. </w:t>
      </w:r>
    </w:p>
    <w:p w:rsidR="005D7904" w:rsidRPr="00CB38AA" w:rsidRDefault="005D7904" w:rsidP="00DF6EEA">
      <w:pPr>
        <w:pStyle w:val="Sinespaciado"/>
        <w:ind w:firstLine="708"/>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 xml:space="preserve">Hubo una mujer que en el 2023 fue a la Laguna de Chiconautla, una mujer humanista. una mujer que se comprometió precisamente a resolver este tema de límites territoriales y que hoy es esa gran mujer que hoy nos gobierna la </w:t>
      </w:r>
      <w:r w:rsidR="007E4367" w:rsidRPr="00CB38AA">
        <w:rPr>
          <w:rFonts w:ascii="Times New Roman" w:hAnsi="Times New Roman" w:cs="Times New Roman"/>
          <w:sz w:val="24"/>
          <w:szCs w:val="24"/>
          <w:lang w:eastAsia="es-MX"/>
        </w:rPr>
        <w:t xml:space="preserve">Maestra </w:t>
      </w:r>
      <w:r w:rsidRPr="00CB38AA">
        <w:rPr>
          <w:rFonts w:ascii="Times New Roman" w:hAnsi="Times New Roman" w:cs="Times New Roman"/>
          <w:sz w:val="24"/>
          <w:szCs w:val="24"/>
          <w:lang w:eastAsia="es-MX"/>
        </w:rPr>
        <w:t xml:space="preserve">Delfina Gómez Álvarez. </w:t>
      </w:r>
    </w:p>
    <w:p w:rsidR="005D7904" w:rsidRPr="00CB38AA" w:rsidRDefault="005D7904" w:rsidP="00DF6EEA">
      <w:pPr>
        <w:pStyle w:val="Sinespaciado"/>
        <w:ind w:firstLine="708"/>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Efectivamente, como lo dijo nuestra compañera Zaira, varios estuvimos ahí, varios estuvimos al pendiente de lo que dijo nuestra gobernadora y nuestra gobernadora, recuerdo que bajó del templete ese día y se acercó a un grupo de ciudadanos de varias comunidades.</w:t>
      </w:r>
    </w:p>
    <w:p w:rsidR="005D7904" w:rsidRPr="00CB38AA" w:rsidRDefault="005D7904" w:rsidP="00DF6EEA">
      <w:pPr>
        <w:pStyle w:val="Sinespaciado"/>
        <w:ind w:firstLine="708"/>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 xml:space="preserve"> Comunidades como lo fue Laguna Chiconautla, Ampliación Lázaro Cárdenas, Prado San Juan y le decían que ya querían que este tema ya se resolviera, ella dijo que iba a hablar precisamente con la Legislatura para poder sacar este tema, en aquel entonces no, no se resolvió, fue la </w:t>
      </w:r>
      <w:r w:rsidR="00BD0F52" w:rsidRPr="00CB38AA">
        <w:rPr>
          <w:rFonts w:ascii="Times New Roman" w:hAnsi="Times New Roman" w:cs="Times New Roman"/>
          <w:sz w:val="24"/>
          <w:szCs w:val="24"/>
          <w:lang w:eastAsia="es-MX"/>
        </w:rPr>
        <w:t xml:space="preserve">Legislatura </w:t>
      </w:r>
      <w:r w:rsidRPr="00CB38AA">
        <w:rPr>
          <w:rFonts w:ascii="Times New Roman" w:hAnsi="Times New Roman" w:cs="Times New Roman"/>
          <w:sz w:val="24"/>
          <w:szCs w:val="24"/>
          <w:lang w:eastAsia="es-MX"/>
        </w:rPr>
        <w:t xml:space="preserve">pasada, no hubo una buena, no hubo un buen acuerdo. </w:t>
      </w:r>
    </w:p>
    <w:p w:rsidR="00F4423C" w:rsidRPr="00CB38AA" w:rsidRDefault="005D7904"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lang w:eastAsia="es-MX"/>
        </w:rPr>
        <w:t>Y el día</w:t>
      </w:r>
      <w:r w:rsidR="001C66B0" w:rsidRPr="00CB38AA">
        <w:rPr>
          <w:rFonts w:ascii="Times New Roman" w:hAnsi="Times New Roman" w:cs="Times New Roman"/>
          <w:sz w:val="24"/>
          <w:szCs w:val="24"/>
          <w:lang w:eastAsia="es-MX"/>
        </w:rPr>
        <w:t xml:space="preserve">, los días </w:t>
      </w:r>
      <w:r w:rsidR="00F4423C" w:rsidRPr="00CB38AA">
        <w:rPr>
          <w:rFonts w:ascii="Times New Roman" w:hAnsi="Times New Roman" w:cs="Times New Roman"/>
          <w:sz w:val="24"/>
          <w:szCs w:val="24"/>
        </w:rPr>
        <w:t xml:space="preserve">pasados, nos mandaron a llamar, quiero comentarlo, mandó a llamar el Presidente de la </w:t>
      </w:r>
      <w:r w:rsidR="00BD0F52" w:rsidRPr="00CB38AA">
        <w:rPr>
          <w:rFonts w:ascii="Times New Roman" w:hAnsi="Times New Roman" w:cs="Times New Roman"/>
          <w:sz w:val="24"/>
          <w:szCs w:val="24"/>
        </w:rPr>
        <w:t>Comisión</w:t>
      </w:r>
      <w:r w:rsidR="00F4423C" w:rsidRPr="00CB38AA">
        <w:rPr>
          <w:rFonts w:ascii="Times New Roman" w:hAnsi="Times New Roman" w:cs="Times New Roman"/>
          <w:sz w:val="24"/>
          <w:szCs w:val="24"/>
        </w:rPr>
        <w:t>, al diputado Román, muchas gracias por todo tu apoyo que siempre has estado al pendiente, nos mandaron a llamar a varios diputados, precisamente para poder checar el tema de Límites Territoriales y platicamos, estuvimos checando el tema jurídico, estuvimos con IGECEM, estuvimos con la Secretaría General de Gobierno, estuvimos con jurídico</w:t>
      </w:r>
      <w:r w:rsidR="006D688B" w:rsidRPr="00CB38AA">
        <w:rPr>
          <w:rFonts w:ascii="Times New Roman" w:hAnsi="Times New Roman" w:cs="Times New Roman"/>
          <w:sz w:val="24"/>
          <w:szCs w:val="24"/>
        </w:rPr>
        <w:t xml:space="preserve"> de</w:t>
      </w:r>
      <w:r w:rsidR="00F4423C" w:rsidRPr="00CB38AA">
        <w:rPr>
          <w:rFonts w:ascii="Times New Roman" w:hAnsi="Times New Roman" w:cs="Times New Roman"/>
          <w:sz w:val="24"/>
          <w:szCs w:val="24"/>
        </w:rPr>
        <w:t xml:space="preserve"> Gobierno del Estado y pudimos sacar avante este tema.</w:t>
      </w:r>
    </w:p>
    <w:p w:rsidR="00F4423C" w:rsidRPr="00CB38AA" w:rsidRDefault="00F4423C"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Quiero hacer un reconocimiento también a cada uno de los diputados que han caminado por la Laguna Chiconautla, quiero hacer un reconocimiento amplio a mis compañeras diputadas, a la diputada Miriam del Verde Ecologista que ha estado caminando y ahí ha estado ella al pendiente de algunos vecinos de la Laguna Chiconautla, enhorabuena diputada, muchas gracias por estar al pendiente de tu municipio, la diputada Zaira Cedillo que ha estado también al pendiente, ha caminado, ha estado ensuciándose también los zapatos, no nada más las zapatillas; también los zapatos de aquel lado de la Laguna Chiconautla, al compañero Luis Valdeña; también ha estado muy al pendiente de los compañeros de la Laguna Chiconautla y que quiero agradecer porque entre todos pudimos ponernos de acuerdo y pudimos poder sacar este tema.</w:t>
      </w:r>
    </w:p>
    <w:p w:rsidR="00F4423C" w:rsidRPr="00CB38AA" w:rsidRDefault="00F4423C"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Por décadas, muchas décadas la Laguna de Chiconautla siempre fue utilizada como moneda de cambio, siempre fue un tema electorero, siempre fue un tema de dame el voto; pero jamás te cumplo, jamás te pavimento calles, jamás te ilumino, hoy, hoy en día, la Laguna Chiconautla Lázaro Cárdenas, son comunidades muy abandonadas.</w:t>
      </w:r>
    </w:p>
    <w:p w:rsidR="00F4423C" w:rsidRPr="00CB38AA" w:rsidRDefault="00F4423C"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lastRenderedPageBreak/>
        <w:tab/>
        <w:t xml:space="preserve">Hago un llamado desde esta tribuna, a los Ayuntamientos de Ecatepec de Morelos y del Municipio de Acolman, porque esta resolución no debe de verse como una victoria pública, no debe de </w:t>
      </w:r>
      <w:r w:rsidR="007A2206" w:rsidRPr="00CB38AA">
        <w:rPr>
          <w:rFonts w:ascii="Times New Roman" w:hAnsi="Times New Roman" w:cs="Times New Roman"/>
          <w:sz w:val="24"/>
          <w:szCs w:val="24"/>
        </w:rPr>
        <w:t>haber</w:t>
      </w:r>
      <w:r w:rsidRPr="00CB38AA">
        <w:rPr>
          <w:rFonts w:ascii="Times New Roman" w:hAnsi="Times New Roman" w:cs="Times New Roman"/>
          <w:sz w:val="24"/>
          <w:szCs w:val="24"/>
        </w:rPr>
        <w:t xml:space="preserve"> un revanchismo; sino todo lo contrario, a partir de hoy debe de haber una obligación administrativa y exigimos que ambos municipios empiecen a integrar de inmediato a estas zonas a su plan de desarrollo urbano.</w:t>
      </w:r>
    </w:p>
    <w:p w:rsidR="00F4423C" w:rsidRPr="00CB38AA" w:rsidRDefault="00F4423C"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Hago un paréntesis también porque, se me olvidaba mi compañero Osvaldo Cortés, perdóname; pero también quiero comentar que fue uno de los defensores de este tema y que siempre estuvimos en comunicación, tuvimos más de una reunión por no decir como 4 o 5 hasta que nos pusimos de acuerdo; pero quiero comentar que, desde esta Legislatura, vigilaremos la regularización de la tenencia de la tierra, actuemos y actuaremos con documentos de identidad que sean ágiles y gratuitos.</w:t>
      </w:r>
    </w:p>
    <w:p w:rsidR="00F4423C" w:rsidRPr="00CB38AA" w:rsidRDefault="00F4423C"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También quiero comentar que esta Legislatura estará muy presente y vigilando que no haya omisión por parte de ninguno de los 2 ayuntamientos. Es importante recalcar y decirlo, fuerte y claro, lo dije en la comisión de Límites Territoriales, es importante que hoy el ayuntamiento de Ecatepec de Morelos, deje de ser omiso a los temas que incumben en estas colonias, porque del 2025, a la fecha, el ayuntamiento de Ecatepec de Morelos, no emitió ningún documento para darle continuidad al tema de límites territoriales en esta “LXII” Legislatura.</w:t>
      </w:r>
    </w:p>
    <w:p w:rsidR="00F4423C" w:rsidRPr="00CB38AA" w:rsidRDefault="00F4423C"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Es importante que deje de ser omiso ante las necesidades de la gente, por eso, hoy aquí a los vecinos que se encuentran de las diferentes colonias, tienen ya con todo el sartén en la mano para exigirles servicios.</w:t>
      </w:r>
    </w:p>
    <w:p w:rsidR="00F4423C" w:rsidRPr="00CB38AA" w:rsidRDefault="00F4423C"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Hoy, ya no les pueden negar vacunas, hoy ya no les pueden negar el inscribirse a las escuelas, hoy ya no les pueden negar pipas de agua, hoy ya no les pueden negar drenaje.</w:t>
      </w:r>
    </w:p>
    <w:p w:rsidR="00F4423C" w:rsidRPr="00CB38AA" w:rsidRDefault="00F4423C"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Cabe resaltar que los compañeros de la “LXII” Legislatura, le aumentó el presupuesto, al Municipio de Ecatepec. Hoy el Municipio de Ecatepec tiene más presupuesto; entonces no tendrá excusa para no darle servicios a todas estas colonias.</w:t>
      </w:r>
    </w:p>
    <w:p w:rsidR="003E0178" w:rsidRPr="00CB38AA" w:rsidRDefault="00F4423C" w:rsidP="00DF6EEA">
      <w:pPr>
        <w:spacing w:after="0" w:line="240" w:lineRule="aut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Es importante recalcar </w:t>
      </w:r>
      <w:r w:rsidR="003E0178" w:rsidRPr="00CB38AA">
        <w:rPr>
          <w:rFonts w:ascii="Times New Roman" w:hAnsi="Times New Roman" w:cs="Times New Roman"/>
          <w:sz w:val="24"/>
          <w:szCs w:val="24"/>
        </w:rPr>
        <w:t>que el conflicto entre Acolman y Ecatepec hoy da fin, hoy da esa certeza a más de 35 mil ciudadanos y quiero comentar, la disputa de un polígono de 475 hectáreas que durante décadas sufrió un vacío de gobierno</w:t>
      </w:r>
      <w:r w:rsidR="003457EB" w:rsidRPr="00CB38AA">
        <w:rPr>
          <w:rFonts w:ascii="Times New Roman" w:hAnsi="Times New Roman" w:cs="Times New Roman"/>
          <w:sz w:val="24"/>
          <w:szCs w:val="24"/>
        </w:rPr>
        <w:t xml:space="preserve"> </w:t>
      </w:r>
      <w:r w:rsidR="003E0178" w:rsidRPr="00CB38AA">
        <w:rPr>
          <w:rFonts w:ascii="Times New Roman" w:hAnsi="Times New Roman" w:cs="Times New Roman"/>
          <w:sz w:val="24"/>
          <w:szCs w:val="24"/>
        </w:rPr>
        <w:t>hoy llega a su fin.</w:t>
      </w:r>
    </w:p>
    <w:p w:rsidR="003E0178" w:rsidRPr="00CB38AA" w:rsidRDefault="003E0178"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Compañeros de la Laguna de Chiconautla muchas gracias por su lucha, muchas gracias por lo que hicieron y a los compañeros de esta LXII Legislatura muchas gracias por apoyar este dictamen.</w:t>
      </w:r>
    </w:p>
    <w:p w:rsidR="003E0178" w:rsidRPr="00CB38AA" w:rsidRDefault="003E0178"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Sería cuanto.</w:t>
      </w:r>
    </w:p>
    <w:p w:rsidR="003E0178" w:rsidRPr="00CB38AA" w:rsidRDefault="003E0178"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PRESIDENTA DIP. MARTHA AZUCENA CAMACHO REYNOSO. Gracias diputado Ernesto Santill</w:t>
      </w:r>
      <w:r w:rsidR="0034589B" w:rsidRPr="00CB38AA">
        <w:rPr>
          <w:rFonts w:ascii="Times New Roman" w:hAnsi="Times New Roman" w:cs="Times New Roman"/>
          <w:sz w:val="24"/>
          <w:szCs w:val="24"/>
        </w:rPr>
        <w:t>án</w:t>
      </w:r>
      <w:r w:rsidRPr="00CB38AA">
        <w:rPr>
          <w:rFonts w:ascii="Times New Roman" w:hAnsi="Times New Roman" w:cs="Times New Roman"/>
          <w:sz w:val="24"/>
          <w:szCs w:val="24"/>
        </w:rPr>
        <w:t xml:space="preserve"> Ramírez.</w:t>
      </w:r>
    </w:p>
    <w:p w:rsidR="003E0178" w:rsidRPr="00CB38AA" w:rsidRDefault="003E0178"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Tiene el uso de la voz la diputada Miriam Silva Mata.</w:t>
      </w:r>
    </w:p>
    <w:p w:rsidR="003E0178" w:rsidRPr="00CB38AA" w:rsidRDefault="003E0178"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Esta LXII Legislatura le da la más cordial bienvenida a las vecinas y vecinos de La Laguna de Chiconautla del Municipio de Ecatepec, invitados por el diputado Ernesto Santillán Ramírez. Sean todas y todos ustedes bienvenidos a ésta, “La Casa del Pueblo “, su casa. Muchas gracias. </w:t>
      </w:r>
    </w:p>
    <w:p w:rsidR="003E0178" w:rsidRPr="00CB38AA" w:rsidRDefault="003E0178"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 xml:space="preserve">DIP. MIRIAM SILVA MATA. Gracias. Buenas tardes Presidenta, Mesa Directiva, buenas tardes compañeras y compañeros y a todos los que nos siguen mediante las redes sociales. Bienvenidos a todas las vecinas y vecinos de Ecatepec. </w:t>
      </w:r>
    </w:p>
    <w:p w:rsidR="003E0178" w:rsidRPr="00CB38AA" w:rsidRDefault="003E0178"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Este tema, más allá de tecnicismos, más allá de señalar o de ser omisos en los servicios públicos, considero que es un acto de amor, tanto de nuestra Presidenta de la República, la Doctora Claudia Sheinbaum, como de nuestra Gobernadora.</w:t>
      </w:r>
    </w:p>
    <w:p w:rsidR="003E0178" w:rsidRPr="00CB38AA" w:rsidRDefault="003E0178"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Este lugar de Ecatepec denominada La Laguna, cuando caminé ahí por primera vez durante la campaña porque es la primera vez que soy diputada y se me rompió el corazón ver tantas viviendas sin servicios públicos, ver un lugar donde las escuelas no tienen lo mínimo para llevarse a cabo una educación, donde las vecinas y vecinos piden a gritos tener un drenaje, tener agua, tener calles, tener seres sintientes sin condiciones de calle; ver que la temporada de lluvia no estén </w:t>
      </w:r>
      <w:r w:rsidRPr="00CB38AA">
        <w:rPr>
          <w:rFonts w:ascii="Times New Roman" w:hAnsi="Times New Roman" w:cs="Times New Roman"/>
          <w:sz w:val="24"/>
          <w:szCs w:val="24"/>
        </w:rPr>
        <w:lastRenderedPageBreak/>
        <w:t>angustiados porque de sus fosas sépticas sale las heces fecales; estar rogando por una pipa de agua, por servicios médicos, por un mercado. Se me rompió el corazón.</w:t>
      </w:r>
    </w:p>
    <w:p w:rsidR="003E0178" w:rsidRPr="00CB38AA" w:rsidRDefault="003E0178"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Por eso hoy no les hablo como legisladora, les hablo como una vecina más que ha luchado siempre por un tema de justicia social; no hoy desde la diputación, no hace un año, llevo más de 24 años de mi vida luchando por justicia social en este País; porque no son tecnicismos jurídicos ni es una simple herramienta, un código o una Constitución, un tratado internacional, son instrumentos que dan bienestar a las familias de México y le doy gracias a Dios que hoy soy una voz más para mejorar la calidad de vida, que gracias a que en Ecatepec existen varios diputados de diferentes fracciones, hemos logrado converger en un punto que es la humanidad hacia Ecatepec. </w:t>
      </w:r>
    </w:p>
    <w:p w:rsidR="00524941" w:rsidRPr="00CB38AA" w:rsidRDefault="003E0178"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Hoy el municipio no tiene ya ningún argumento para no dar los servicios públicos que se merecen, pudieran pensar que la justicia es algo intangible, que no se ve, pero la justicia se traduce en eso, en dar servicios públicos, en dar salud, en dar educación, en brindar un derecho humano al agua, en mejorar el medio ambiente</w:t>
      </w:r>
      <w:r w:rsidR="006D5168" w:rsidRPr="00CB38AA">
        <w:rPr>
          <w:rFonts w:ascii="Times New Roman" w:hAnsi="Times New Roman" w:cs="Times New Roman"/>
          <w:sz w:val="24"/>
          <w:szCs w:val="24"/>
        </w:rPr>
        <w:t xml:space="preserve">, en </w:t>
      </w:r>
      <w:r w:rsidR="00524941" w:rsidRPr="00CB38AA">
        <w:rPr>
          <w:rFonts w:ascii="Times New Roman" w:hAnsi="Times New Roman" w:cs="Times New Roman"/>
          <w:sz w:val="24"/>
          <w:szCs w:val="24"/>
        </w:rPr>
        <w:t xml:space="preserve">mejorar la seguridad y hoy principalmente le doy gracias a Dios por estar aquí, por ser parte de un bienestar hacia Ecatepec, que más allá de los señalamientos, tenemos que avanzar en la unidad y con amor para mejorar solamente, no nada más nuestro municipio, todo el Estado de México y hoy tenemos una persona con un gran corazón que gobierna el Estado de México, que tuvimos que caminar tal vez ahí para darnos cuenta que no es suficiente a veces solamente alzar la voz, hay que hacer el mayor esfuerzo con la bendición de todos ustedes y con el ánimo de mejorar la calidad de vida de Ecatepec, vamos a ir avanzando, no vamos a ser omisos y nos comprometemos a estar al pendiente del </w:t>
      </w:r>
      <w:r w:rsidR="00E332CF" w:rsidRPr="00CB38AA">
        <w:rPr>
          <w:rFonts w:ascii="Times New Roman" w:hAnsi="Times New Roman" w:cs="Times New Roman"/>
          <w:sz w:val="24"/>
          <w:szCs w:val="24"/>
        </w:rPr>
        <w:t xml:space="preserve">Municipio </w:t>
      </w:r>
      <w:r w:rsidR="00524941" w:rsidRPr="00CB38AA">
        <w:rPr>
          <w:rFonts w:ascii="Times New Roman" w:hAnsi="Times New Roman" w:cs="Times New Roman"/>
          <w:sz w:val="24"/>
          <w:szCs w:val="24"/>
        </w:rPr>
        <w:t xml:space="preserve">de Ecatepec para que hoy si ustedes tengan los servicios públicos que se merecen, porque nadie en este país tendría que estar sufriendo las necesidades, ni saliendo a las calles ni haciendo reclamos para tener una vida digna. </w:t>
      </w:r>
    </w:p>
    <w:p w:rsidR="00524941" w:rsidRPr="00CB38AA" w:rsidRDefault="00524941"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Es cuánto. Muchas gracias. </w:t>
      </w:r>
    </w:p>
    <w:p w:rsidR="00524941" w:rsidRPr="00CB38AA" w:rsidRDefault="00524941"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PRESIDENTA DIP. MARTHA AZUCENA CAMACHO Gracias diputada Miriam Silva Mata.</w:t>
      </w:r>
    </w:p>
    <w:p w:rsidR="00524941" w:rsidRPr="00CB38AA" w:rsidRDefault="00524941"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Para recabar la votación en lo general del dictamen y el proyecto de Decreto pido la Secretaría abra el sistema de votación hasta por dos minutos. Si alguien desea separar algún artículo en lo particular sírvase indicarlo. </w:t>
      </w:r>
    </w:p>
    <w:p w:rsidR="00524941" w:rsidRPr="00CB38AA" w:rsidRDefault="00524941"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 xml:space="preserve">SECRETARIO DIP. EDUARDO ZARZOSA SÁNCHEZ. Ábrase el sistema de votación hasta por dos minutos. </w:t>
      </w:r>
    </w:p>
    <w:p w:rsidR="004757FA" w:rsidRPr="00CB38AA" w:rsidRDefault="00524941" w:rsidP="00DF6EEA">
      <w:pPr>
        <w:pStyle w:val="Sinespaciado"/>
        <w:jc w:val="center"/>
        <w:rPr>
          <w:rFonts w:ascii="Times New Roman" w:hAnsi="Times New Roman" w:cs="Times New Roman"/>
          <w:sz w:val="24"/>
          <w:szCs w:val="24"/>
        </w:rPr>
      </w:pPr>
      <w:r w:rsidRPr="00CB38AA">
        <w:rPr>
          <w:rFonts w:ascii="Times New Roman" w:hAnsi="Times New Roman" w:cs="Times New Roman"/>
          <w:sz w:val="24"/>
          <w:szCs w:val="24"/>
        </w:rPr>
        <w:t>(</w:t>
      </w:r>
      <w:r w:rsidRPr="00CB38AA">
        <w:rPr>
          <w:rFonts w:ascii="Times New Roman" w:hAnsi="Times New Roman" w:cs="Times New Roman"/>
          <w:i/>
          <w:sz w:val="24"/>
          <w:szCs w:val="24"/>
        </w:rPr>
        <w:t>Votación</w:t>
      </w:r>
      <w:r w:rsidRPr="00CB38AA">
        <w:rPr>
          <w:rFonts w:ascii="Times New Roman" w:hAnsi="Times New Roman" w:cs="Times New Roman"/>
          <w:sz w:val="24"/>
          <w:szCs w:val="24"/>
        </w:rPr>
        <w:t xml:space="preserve"> </w:t>
      </w:r>
      <w:r w:rsidR="00DD70BD" w:rsidRPr="00CB38AA">
        <w:rPr>
          <w:rFonts w:ascii="Times New Roman" w:hAnsi="Times New Roman" w:cs="Times New Roman"/>
          <w:i/>
          <w:sz w:val="24"/>
          <w:szCs w:val="24"/>
        </w:rPr>
        <w:t>n</w:t>
      </w:r>
      <w:r w:rsidRPr="00CB38AA">
        <w:rPr>
          <w:rFonts w:ascii="Times New Roman" w:hAnsi="Times New Roman" w:cs="Times New Roman"/>
          <w:i/>
          <w:sz w:val="24"/>
          <w:szCs w:val="24"/>
        </w:rPr>
        <w:t>ominal</w:t>
      </w:r>
      <w:r w:rsidRPr="00CB38AA">
        <w:rPr>
          <w:rFonts w:ascii="Times New Roman" w:hAnsi="Times New Roman" w:cs="Times New Roman"/>
          <w:sz w:val="24"/>
          <w:szCs w:val="24"/>
        </w:rPr>
        <w:t>)</w:t>
      </w:r>
    </w:p>
    <w:p w:rsidR="00C646C2" w:rsidRPr="00CB38AA" w:rsidRDefault="00D55CA6"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 xml:space="preserve">SECRETARIO DIP. EDUARDO ZARZOSA SÁNCHEZ. </w:t>
      </w:r>
      <w:r w:rsidR="00C646C2" w:rsidRPr="00CB38AA">
        <w:rPr>
          <w:rFonts w:ascii="Times New Roman" w:hAnsi="Times New Roman" w:cs="Times New Roman"/>
          <w:sz w:val="24"/>
          <w:szCs w:val="24"/>
        </w:rPr>
        <w:t xml:space="preserve">Pregunto a las y los diputados </w:t>
      </w:r>
      <w:r w:rsidR="00333138" w:rsidRPr="00CB38AA">
        <w:rPr>
          <w:rFonts w:ascii="Times New Roman" w:hAnsi="Times New Roman" w:cs="Times New Roman"/>
          <w:sz w:val="24"/>
          <w:szCs w:val="24"/>
        </w:rPr>
        <w:t>s</w:t>
      </w:r>
      <w:r w:rsidR="00C646C2" w:rsidRPr="00CB38AA">
        <w:rPr>
          <w:rFonts w:ascii="Times New Roman" w:hAnsi="Times New Roman" w:cs="Times New Roman"/>
          <w:sz w:val="24"/>
          <w:szCs w:val="24"/>
        </w:rPr>
        <w:t>i alguien más falta de emitir su voto</w:t>
      </w:r>
      <w:r w:rsidR="00333138" w:rsidRPr="00CB38AA">
        <w:rPr>
          <w:rFonts w:ascii="Times New Roman" w:hAnsi="Times New Roman" w:cs="Times New Roman"/>
          <w:sz w:val="24"/>
          <w:szCs w:val="24"/>
        </w:rPr>
        <w:t>.</w:t>
      </w:r>
    </w:p>
    <w:p w:rsidR="00C646C2" w:rsidRPr="00CB38AA" w:rsidRDefault="00C646C2"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Le informo a la Presidenta que hasta el momento se han registrado 65 votos a favor, 0 abstenciones y 0 en contra. </w:t>
      </w:r>
    </w:p>
    <w:p w:rsidR="00C646C2" w:rsidRPr="00CB38AA" w:rsidRDefault="00C646C2"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Por lo que ha sido aprobado por unanimidad de votos.</w:t>
      </w:r>
    </w:p>
    <w:p w:rsidR="00C646C2" w:rsidRPr="00CB38AA" w:rsidRDefault="00C646C2"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 xml:space="preserve">PRESIDENTA DIP. MARTHA AZUCENA CAMACHO REYNOSO. Gracias Secretario. </w:t>
      </w:r>
    </w:p>
    <w:p w:rsidR="00C646C2" w:rsidRPr="00CB38AA" w:rsidRDefault="00C646C2"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Se tiene por aprobado en lo general el dictamen y el proyecto de decreto, se declara también su aprobación en lo particular.</w:t>
      </w:r>
    </w:p>
    <w:p w:rsidR="00C646C2" w:rsidRPr="00CB38AA" w:rsidRDefault="00C646C2"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En observancia de lo dispuesto en el artículo 55 de la </w:t>
      </w:r>
      <w:r w:rsidR="00F858EA" w:rsidRPr="00CB38AA">
        <w:rPr>
          <w:rFonts w:ascii="Times New Roman" w:hAnsi="Times New Roman" w:cs="Times New Roman"/>
          <w:sz w:val="24"/>
          <w:szCs w:val="24"/>
        </w:rPr>
        <w:t>l</w:t>
      </w:r>
      <w:r w:rsidRPr="00CB38AA">
        <w:rPr>
          <w:rFonts w:ascii="Times New Roman" w:hAnsi="Times New Roman" w:cs="Times New Roman"/>
          <w:sz w:val="24"/>
          <w:szCs w:val="24"/>
        </w:rPr>
        <w:t xml:space="preserve">ey reglamentaria de las fracciones XXV y XXVI del artículo 61 de la Constitución Política del Estado Libre y Soberano de México. Publíquese con el proyecto de decreto el dictamen aprobado, en el que se contiene el nombre de los municipios involucrados, una exposición precisa del diferendo limítrofe analizado el análisis y valoración de las pruebas presentadas por los municipios involucrados los fundamentos y motivos que sustenten el dictamen. </w:t>
      </w:r>
    </w:p>
    <w:p w:rsidR="004F7629" w:rsidRPr="00CB38AA" w:rsidRDefault="00C646C2"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Las conclusiones y puntos resolutivos los alcances y efectos del decreto, fijando con precisión, en su caso, los órganos obligados a cumplirlo. </w:t>
      </w:r>
    </w:p>
    <w:p w:rsidR="00C646C2" w:rsidRPr="00CB38AA" w:rsidRDefault="00C646C2" w:rsidP="00DF6EEA">
      <w:pPr>
        <w:pStyle w:val="Sinespaciado"/>
        <w:ind w:firstLine="709"/>
        <w:jc w:val="both"/>
        <w:rPr>
          <w:rFonts w:ascii="Times New Roman" w:hAnsi="Times New Roman" w:cs="Times New Roman"/>
          <w:sz w:val="24"/>
          <w:szCs w:val="24"/>
        </w:rPr>
      </w:pPr>
      <w:r w:rsidRPr="00CB38AA">
        <w:rPr>
          <w:rFonts w:ascii="Times New Roman" w:hAnsi="Times New Roman" w:cs="Times New Roman"/>
          <w:sz w:val="24"/>
          <w:szCs w:val="24"/>
        </w:rPr>
        <w:t xml:space="preserve">El acto o actos respecto a los cuales se opere la mención precisa de los límites y todos aquellos elementos necesarios para su plena eficacia en el ámbito que corresponda en término y en </w:t>
      </w:r>
      <w:r w:rsidRPr="00CB38AA">
        <w:rPr>
          <w:rFonts w:ascii="Times New Roman" w:hAnsi="Times New Roman" w:cs="Times New Roman"/>
          <w:sz w:val="24"/>
          <w:szCs w:val="24"/>
        </w:rPr>
        <w:lastRenderedPageBreak/>
        <w:t xml:space="preserve">el que se deba de dar cumplimiento al decreto y el plano topográfico en el que se señalará el cuadro de construcción del polígono diferendo con las coordenadas Universal Transversa de Mercator. </w:t>
      </w:r>
    </w:p>
    <w:p w:rsidR="00C646C2" w:rsidRPr="00CB38AA" w:rsidRDefault="00C646C2"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Felicidades a la Laguna de Chiconautla de Ecatepec. </w:t>
      </w:r>
    </w:p>
    <w:p w:rsidR="00C646C2" w:rsidRPr="00CB38AA" w:rsidRDefault="00C646C2"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Sobre el punto número 4, la diputada Lilia Urbina Salazar, </w:t>
      </w:r>
      <w:r w:rsidR="0018598A" w:rsidRPr="00CB38AA">
        <w:rPr>
          <w:rFonts w:ascii="Times New Roman" w:hAnsi="Times New Roman" w:cs="Times New Roman"/>
          <w:sz w:val="24"/>
          <w:szCs w:val="24"/>
        </w:rPr>
        <w:t>l</w:t>
      </w:r>
      <w:r w:rsidRPr="00CB38AA">
        <w:rPr>
          <w:rFonts w:ascii="Times New Roman" w:hAnsi="Times New Roman" w:cs="Times New Roman"/>
          <w:sz w:val="24"/>
          <w:szCs w:val="24"/>
        </w:rPr>
        <w:t xml:space="preserve">eerá la Iniciativa de Decreto por el que se autoriza al H. Ayuntamiento de Otumba, Estado de México, a desincorporar del patrimonio del municipio un inmueble, para que sea donado a título gratuito a favor del Gobierno del Estado de México, con destino a la Secretaría de Educación, Ciencia, Tecnología e Innovación, para realizar las acciones necesarias destinadas a la construcción de una Escuela Normal, presentada por la Titular del Ejecutivo Estatal. (De urgente y obvia resolución). </w:t>
      </w:r>
    </w:p>
    <w:p w:rsidR="00C646C2" w:rsidRPr="00CB38AA" w:rsidRDefault="00C646C2"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 xml:space="preserve">DIP. LILIA URBINA SALAZAR. Muy buenas tardes, compañeras y compañeros diputados, medios de comunicación y mexiquenses que nos siguen por las redes sociales, con la venia de la Presidenta de la Mesa Directiva, Martha Azucena Camacho Reynoso. </w:t>
      </w:r>
    </w:p>
    <w:p w:rsidR="00757DDF" w:rsidRPr="00CB38AA" w:rsidRDefault="00C646C2"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Me permito dar lectura a esta iniciativa con carácter de urgente y </w:t>
      </w:r>
      <w:r w:rsidR="00F15436" w:rsidRPr="00CB38AA">
        <w:rPr>
          <w:rFonts w:ascii="Times New Roman" w:hAnsi="Times New Roman" w:cs="Times New Roman"/>
          <w:sz w:val="24"/>
          <w:szCs w:val="24"/>
        </w:rPr>
        <w:t>obvi</w:t>
      </w:r>
      <w:r w:rsidRPr="00CB38AA">
        <w:rPr>
          <w:rFonts w:ascii="Times New Roman" w:hAnsi="Times New Roman" w:cs="Times New Roman"/>
          <w:sz w:val="24"/>
          <w:szCs w:val="24"/>
        </w:rPr>
        <w:t>a resolución enviada por la Gobernadora del Estado de México Maestra Delfina Gómez Álvarez, Gobernadora Constitucional del Estado Libre y Soberano de México, en ejercicio de la Facultad que me confieren los artículos 51 fracción I, 77 fracción V de la Constitución Política del Estado Libre y Soberano de</w:t>
      </w:r>
      <w:r w:rsidR="006651B8" w:rsidRPr="00CB38AA">
        <w:rPr>
          <w:rFonts w:ascii="Times New Roman" w:hAnsi="Times New Roman" w:cs="Times New Roman"/>
          <w:sz w:val="24"/>
          <w:szCs w:val="24"/>
        </w:rPr>
        <w:t xml:space="preserve"> México </w:t>
      </w:r>
      <w:r w:rsidR="00757DDF" w:rsidRPr="00CB38AA">
        <w:rPr>
          <w:rFonts w:ascii="Times New Roman" w:hAnsi="Times New Roman" w:cs="Times New Roman"/>
          <w:sz w:val="24"/>
          <w:szCs w:val="24"/>
        </w:rPr>
        <w:t>y con fundamento en lo establecido en los numerales 61, fracción XXXVI de la Constitución Local, así como 33 fracciones I y LXI y XXXIV, en la Ley Orgánica Municipal del Estado de México someto a la consideración de esta H. Legislatura por el conducto la Iniciativa de Decreto por el que se autoriza al H. Ayuntamiento de Otumba, Estado de México a desincorporar el patrimonio del municipio un inmueble para que sea donado a título gratuito a favor del Gobierno del Estado de México, con destino a la Secretaría de Educación, Ciencia, Tecnología e Innovación, para realizar las acciones necesarias destinadas a la construcción de la Escuela Normal de conforme a la siguiente:</w:t>
      </w:r>
    </w:p>
    <w:p w:rsidR="00757DDF" w:rsidRPr="00CB38AA" w:rsidRDefault="00757DDF" w:rsidP="00DF6EEA">
      <w:pPr>
        <w:pStyle w:val="Sinespaciado"/>
        <w:jc w:val="center"/>
        <w:rPr>
          <w:rFonts w:ascii="Times New Roman" w:hAnsi="Times New Roman" w:cs="Times New Roman"/>
          <w:sz w:val="24"/>
          <w:szCs w:val="24"/>
        </w:rPr>
      </w:pPr>
      <w:r w:rsidRPr="00CB38AA">
        <w:rPr>
          <w:rFonts w:ascii="Times New Roman" w:hAnsi="Times New Roman" w:cs="Times New Roman"/>
          <w:sz w:val="24"/>
          <w:szCs w:val="24"/>
        </w:rPr>
        <w:t>EXPOSICIÓN DE MOTIVOS</w:t>
      </w:r>
    </w:p>
    <w:p w:rsidR="00757DDF" w:rsidRPr="00CB38AA" w:rsidRDefault="00757DDF"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El artículo 3 de la Constitución Política de los Estados Unidos Mexicanos, establece que toda persona tiene derecho a una educación, el Estado, Federación, Ciudad de México y Municipios impartirá y garantizará la educación inicial preescolar, primaria, secundaria, media, superior y superior; así mismo, prevé que el Estado fortalecerá las instituciones públicas de formación docente, de manera especial a las escuelas normales en los términos que disponga la ley y que en los planteles educativos constituyen un espacio fundamental para el proceso de enseñanza-aprendizaje. </w:t>
      </w:r>
    </w:p>
    <w:p w:rsidR="00757DDF" w:rsidRPr="00CB38AA" w:rsidRDefault="00757DDF"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El Estado garantizará que los materiales didácticos, la infraestructura educativa, su mantenimiento y las condiciones del entorno sean idóneos y contribuyan a los fines de la educación, igualmente, la fracción X del precepto constitucional determina que la obligatoriedad de la educación superior corresponde al Estado, las autoridades federales y locales establecerán políticas para fomentar la inclusión, permanencia y continuidad en términos que la ley señale; así mismo, proporcionarán medios de acceso a este tipo educativo para que las personas cumplan con los requisitos expuestos por las instituciones públicas. </w:t>
      </w:r>
    </w:p>
    <w:p w:rsidR="00757DDF" w:rsidRPr="00CB38AA" w:rsidRDefault="00757DDF"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El artículo 5, primer párrafo de la Ley General de Educación, precisa que toda persona tiene derecho a la educación, el cual es un medio para adquirir, actualizar y complementaria, emplear sus conocimientos, capacidades, habilidades y aptitudes que le permitan alcanzar su desarrollo personal y profesional, como en consecuencia de ello, contribuir a su bienestar, a la transformación y al mejoramiento de la sociedad de la que forman parte. </w:t>
      </w:r>
    </w:p>
    <w:p w:rsidR="00757DDF" w:rsidRPr="00CB38AA" w:rsidRDefault="00757DDF"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El artículo 47 de dicha ley dispone que la educación superior como parte del sistema educativo nacional y el último esquema de la presentación de los servicios educativos para la cobertura universal previsto en el artículo tercero de la Constitución Política de los Estados Unidos Mexicanos, ese servicio que se imparte en sus distintos niveles después del tipo medio superior, está compuesta por la licenciatura, la especialidad, la maestría y el doctorado, así como las opciones </w:t>
      </w:r>
      <w:r w:rsidRPr="00CB38AA">
        <w:rPr>
          <w:rFonts w:ascii="Times New Roman" w:hAnsi="Times New Roman" w:cs="Times New Roman"/>
          <w:sz w:val="24"/>
          <w:szCs w:val="24"/>
        </w:rPr>
        <w:lastRenderedPageBreak/>
        <w:t xml:space="preserve">terminales previas a la conclusión de la licenciatura, comprende también la educación normal en todos sus niveles y especialidades. </w:t>
      </w:r>
    </w:p>
    <w:p w:rsidR="00757DDF" w:rsidRPr="00CB38AA" w:rsidRDefault="00757DDF"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También señala que las autoridades educativas, en el ámbito de sus competencias, establecerán políticas para fomentar la inclusión, continuidad y egreso oportuno de los estudiantes inscritos en educación superior, poniendo énfasis en los jóvenes y determinarán medidas que amplíen el ingreso y permanencia, que toda aquella persona que en los términos que señale la ley en materia decida cursar este tipo de estudios, tales como el establecimiento de mecanismos de apoyo académico y económico que responda a las necesidades de la población estudiantil.</w:t>
      </w:r>
    </w:p>
    <w:p w:rsidR="00757DDF" w:rsidRPr="00CB38AA" w:rsidRDefault="00757DDF"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Las instituciones podrán incluir además, opciones de formación continua y actualización para responder a las necesidades de la transformación del conocimiento de cambio y tecnológico, en los artículos 50 de la referente Ley, estipula que se impulse el establecimiento de un Sistema Nacional de Educación Superior que coordine los subsistemas universitarios, tecnológico y de educación normal y formación docente, que permite garantizar el desarrollo de una oferta educativa con capacidad de atender las necesidades nacionales y regionales, además de las prioridades específicas de formación de profesionistas para el desarrollo del país; además, el artículo 98, primer párrafo de la misma ley, estipula que los planteles educativos constituyen un espacio fundamental para que el proceso de enseñanza-aprendizaje donde se preste el servicio público de educación por parte del Estado de México. </w:t>
      </w:r>
    </w:p>
    <w:p w:rsidR="009673AC" w:rsidRPr="00CB38AA" w:rsidRDefault="00757DDF"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El artículo 5 de la Constitución Política del Estado Libre Soberano de México, establece que en el Estado de México toda persona tiene Derecho a la Educación, el Estado de México y Municipio se impartirán, garantizarán la educación inicial preescolar, primaria, secundaria, media, superior y superior en todo el territorio mexiquense; así mismo que la educación, además de obligatoria, será universal, de excelencia, inclusiva, intercultural, pública, gratuita y laica, se basará en el respeto irrestricto de la dignidad de las personas con un enfoque de respeto a la naturaleza, a los derechos humanos, tendrá desarrollar armónicamente todas las facultades del ser humano y fomentará en él, a la vez, el amor a la patria, el respeto a los derechos, las libertades, la cultura de la paz y la conciencia</w:t>
      </w:r>
      <w:r w:rsidR="003F69C7" w:rsidRPr="00CB38AA">
        <w:rPr>
          <w:rFonts w:ascii="Times New Roman" w:hAnsi="Times New Roman" w:cs="Times New Roman"/>
          <w:sz w:val="24"/>
          <w:szCs w:val="24"/>
        </w:rPr>
        <w:t xml:space="preserve"> de la solidaridad </w:t>
      </w:r>
      <w:r w:rsidR="009673AC" w:rsidRPr="00CB38AA">
        <w:rPr>
          <w:rFonts w:ascii="Times New Roman" w:hAnsi="Times New Roman" w:cs="Times New Roman"/>
          <w:sz w:val="24"/>
          <w:szCs w:val="24"/>
        </w:rPr>
        <w:t>internacional, en la independencia y en la justicia, promoverá la honestidad, los valores y mejorará continúa el proceso de enseñanza-aprendizaje, igualmente indica que el Estado priorizará el interés superior de las niñas, niños, adolescentes y jóvenes en el acceso, permanencia, participación en los servicios educativos.</w:t>
      </w:r>
    </w:p>
    <w:p w:rsidR="009673AC" w:rsidRPr="00CB38AA" w:rsidRDefault="009673AC"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En el artículo 6 primer párrafo de la Ley de Educación del Estado de México determina que en el Estado de México toda persona tiene derecho a la educación, el cual es un medio para adquirir, actualizar y a complementar y ampliar sus conocimientos, capacidades, habilidades y aptitudes que le permitan alcanzar su desarrollo personal y profesional, como consecuencia de ello, contribuirá a su bienestar, a la transformación y el mejoramiento de la sociedad de la que forman parte.</w:t>
      </w:r>
    </w:p>
    <w:p w:rsidR="009673AC" w:rsidRPr="00CB38AA" w:rsidRDefault="009673AC"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El artículo 28 fracción I de la misma ley refiere que la educación superior está compuesta entre otros, por niveles técnico, superior, universitario, profesional asociado, licenciatura, especialidad, maestría y doctorado, así como de las opciones terminales previas a la conclusión de la licenciatura, comprende también la educación normal en todos sus niveles y especialidades.</w:t>
      </w:r>
    </w:p>
    <w:p w:rsidR="009673AC" w:rsidRPr="00CB38AA" w:rsidRDefault="009673AC" w:rsidP="00DF6EEA">
      <w:pPr>
        <w:spacing w:after="0" w:line="240" w:lineRule="auto"/>
        <w:ind w:firstLine="708"/>
        <w:jc w:val="both"/>
        <w:rPr>
          <w:rFonts w:ascii="Times New Roman" w:hAnsi="Times New Roman" w:cs="Times New Roman"/>
          <w:sz w:val="24"/>
          <w:szCs w:val="24"/>
        </w:rPr>
      </w:pPr>
      <w:r w:rsidRPr="00CB38AA">
        <w:rPr>
          <w:rFonts w:ascii="Times New Roman" w:hAnsi="Times New Roman" w:cs="Times New Roman"/>
          <w:sz w:val="24"/>
          <w:szCs w:val="24"/>
        </w:rPr>
        <w:t>El artículo 29 de dicha ley prevé que la obligatoriedad de la educación superior corresponde al Estado, el cual garantizará para todas las personas que cumplan con los requisitos e instituciones respectivas, por su parte el diverso artículo 107 primer párrafo de la Ley estatal dispone que los planteles educativos constituyen un espacio fundamental para el proceso de enseñanza-aprendizaje donde se presta el servicio público de educación por parte del Estado de México.</w:t>
      </w:r>
    </w:p>
    <w:p w:rsidR="009673AC" w:rsidRPr="00CB38AA" w:rsidRDefault="009673AC" w:rsidP="00DF6EEA">
      <w:pPr>
        <w:spacing w:after="0" w:line="240" w:lineRule="auto"/>
        <w:ind w:firstLine="708"/>
        <w:jc w:val="both"/>
        <w:rPr>
          <w:rFonts w:ascii="Times New Roman" w:hAnsi="Times New Roman" w:cs="Times New Roman"/>
          <w:sz w:val="24"/>
          <w:szCs w:val="24"/>
        </w:rPr>
      </w:pPr>
      <w:r w:rsidRPr="00CB38AA">
        <w:rPr>
          <w:rFonts w:ascii="Times New Roman" w:hAnsi="Times New Roman" w:cs="Times New Roman"/>
          <w:sz w:val="24"/>
          <w:szCs w:val="24"/>
        </w:rPr>
        <w:t>El artículo 118 fracción I del ordenamiento en cita, menciona que de conformidad con la Ley General de Educación corresponde de manera exclusiva a la autoridad educativa estatal la atribución de prestar los servicios de educación básica incluyendo la indígena, inclusiva, así como la normal y de las demás que forman parte docente.</w:t>
      </w:r>
    </w:p>
    <w:p w:rsidR="009673AC" w:rsidRPr="00CB38AA" w:rsidRDefault="009673AC" w:rsidP="00DF6EEA">
      <w:pPr>
        <w:spacing w:after="0" w:line="240" w:lineRule="auto"/>
        <w:ind w:firstLine="708"/>
        <w:jc w:val="both"/>
        <w:rPr>
          <w:rFonts w:ascii="Times New Roman" w:hAnsi="Times New Roman" w:cs="Times New Roman"/>
          <w:sz w:val="24"/>
          <w:szCs w:val="24"/>
        </w:rPr>
      </w:pPr>
      <w:r w:rsidRPr="00CB38AA">
        <w:rPr>
          <w:rFonts w:ascii="Times New Roman" w:hAnsi="Times New Roman" w:cs="Times New Roman"/>
          <w:sz w:val="24"/>
          <w:szCs w:val="24"/>
        </w:rPr>
        <w:lastRenderedPageBreak/>
        <w:t xml:space="preserve">Al respecto la Secretaría de Educación, Ciencia, Tecnología e Innovación señala entre los objetivos para las escuelas normales para el Estado de México las de formar de manera integral profesionales de la educación básica y media superior en los niveles de licenciatura, especialidad, maestría y doctorado comprometidos con su comunidad y con responsabilidad social contribuir al fortalecimiento de la mejora </w:t>
      </w:r>
      <w:r w:rsidR="009B256A" w:rsidRPr="00CB38AA">
        <w:rPr>
          <w:rFonts w:ascii="Times New Roman" w:hAnsi="Times New Roman" w:cs="Times New Roman"/>
          <w:sz w:val="24"/>
          <w:szCs w:val="24"/>
        </w:rPr>
        <w:t>continua</w:t>
      </w:r>
      <w:r w:rsidRPr="00CB38AA">
        <w:rPr>
          <w:rFonts w:ascii="Times New Roman" w:hAnsi="Times New Roman" w:cs="Times New Roman"/>
          <w:sz w:val="24"/>
          <w:szCs w:val="24"/>
        </w:rPr>
        <w:t xml:space="preserve"> de la educación básica y media superior para lograr la inclusión, equidad y excelencia educativa y desarrollar actividades de investigación de extensión y de capacitación en las áreas propias de su especialidad, estableciendo procedimientos de coordinación y vinculación con otras instituciones u organismos nacionales e internacionales que contribuyan a la profesionalización de los docentes y al mejoramiento de sus prácticas educativas.</w:t>
      </w:r>
    </w:p>
    <w:p w:rsidR="009673AC" w:rsidRPr="00CB38AA" w:rsidRDefault="009673AC" w:rsidP="00DF6EEA">
      <w:pPr>
        <w:spacing w:after="0" w:line="240" w:lineRule="auto"/>
        <w:ind w:firstLine="708"/>
        <w:jc w:val="both"/>
        <w:rPr>
          <w:rFonts w:ascii="Times New Roman" w:hAnsi="Times New Roman" w:cs="Times New Roman"/>
          <w:sz w:val="24"/>
          <w:szCs w:val="24"/>
        </w:rPr>
      </w:pPr>
      <w:r w:rsidRPr="00CB38AA">
        <w:rPr>
          <w:rFonts w:ascii="Times New Roman" w:hAnsi="Times New Roman" w:cs="Times New Roman"/>
          <w:sz w:val="24"/>
          <w:szCs w:val="24"/>
        </w:rPr>
        <w:t>En este sentido, en el Municipio de Otumba con la intención de que se opere una escuela normal para favorecer a sus jóvenes a partir del año 2023 habilitó un módulo dependiente de la Escuela Normal de Teotihuacán con clave del centro de trabajo 15ENLOO11L el cual se instaló en el inmueble que en su momento fue un reclusorio para mujeres, ubicado en la Avenida Eugenio Montaño, colonia Centro, Municipio de Otumba, Estado de México, y que ha brindado servicios de educación superior durante 3 ciclos escolares 2023-2024, 2024-2025, 2025-2026 con un total de 153 personas alumnas; no obstante, ya cuenta con las condiciones necesarias y espacio suficiente por lo que con el fin de que dicho centro educativo no se vea afectado y que continúe la impartición de servicios educativos de las licenciaturas de educación preescolar y primaria, el 19 de septiembre de 2024 mediante el oficio 22803002L-5335-2024 la persona titular de la Dirección General de Educación Normal de la Subsecretaría de Educación Normal y Superior de la Secretaría de Educación, Ciencia, Tecnología e Innovación solicitó a la presidenta municipal de Otumba la donación de un inmueble con una superficie de hectárea y media ya que el espacio que ocupa actualmente no es suficiente para recibir nuevas generaciones de estudiantes.</w:t>
      </w:r>
    </w:p>
    <w:p w:rsidR="00D963E8" w:rsidRPr="00CB38AA" w:rsidRDefault="009673AC" w:rsidP="00DF6EEA">
      <w:pPr>
        <w:spacing w:after="0" w:line="240" w:lineRule="auto"/>
        <w:ind w:firstLine="708"/>
        <w:jc w:val="both"/>
        <w:rPr>
          <w:rFonts w:ascii="Times New Roman" w:hAnsi="Times New Roman" w:cs="Times New Roman"/>
          <w:sz w:val="24"/>
          <w:szCs w:val="24"/>
        </w:rPr>
      </w:pPr>
      <w:r w:rsidRPr="00CB38AA">
        <w:rPr>
          <w:rFonts w:ascii="Times New Roman" w:hAnsi="Times New Roman" w:cs="Times New Roman"/>
          <w:sz w:val="24"/>
          <w:szCs w:val="24"/>
        </w:rPr>
        <w:t>Para llevar a cabo dicho proyecto de infraestructura para que los jóvenes tengan más posibilidades y opciones de educación y para fomentar la transformación social de dicho municipio, el H. Ayuntamiento de Otumba durante la sesión extraordinaria de cabildo número 4 celebrada el 17 de diciembre del 2025 mediante los acuerdos 158 y 159 aprobó por unanimidad de votos respecto del inmueble reconocido como Rancho Pabellón, lote B, resultado de la subdivisión de predio denominado 3Z-1P1-1 con una fracción de parcela 4Z-1P1-1, las cuales forman un solo predio de ejido Rancho Pabellón, ubicado en la calle Ignacio Allende número 7, colonia Pabellón, Municipio de Otumba, Estado de México, en una superficie de 15 mil 003</w:t>
      </w:r>
      <w:r w:rsidR="006A5D10" w:rsidRPr="00CB38AA">
        <w:rPr>
          <w:rFonts w:ascii="Times New Roman" w:hAnsi="Times New Roman" w:cs="Times New Roman"/>
          <w:sz w:val="24"/>
          <w:szCs w:val="24"/>
        </w:rPr>
        <w:t>5</w:t>
      </w:r>
      <w:r w:rsidR="00C22AF5" w:rsidRPr="00CB38AA">
        <w:rPr>
          <w:rFonts w:ascii="Times New Roman" w:hAnsi="Times New Roman" w:cs="Times New Roman"/>
          <w:sz w:val="24"/>
          <w:szCs w:val="24"/>
        </w:rPr>
        <w:t xml:space="preserve"> </w:t>
      </w:r>
      <w:r w:rsidR="00D963E8" w:rsidRPr="00CB38AA">
        <w:rPr>
          <w:rFonts w:ascii="Times New Roman" w:hAnsi="Times New Roman" w:cs="Times New Roman"/>
          <w:sz w:val="24"/>
          <w:szCs w:val="24"/>
        </w:rPr>
        <w:t xml:space="preserve">metros cuadrados, la desafectación del servicio público al que estuviere sujete dicho inmueble, la de su incorporación del patrimonio municipal y la donación a favor del Gobierno del Estado de México para la construcción, operación de una escuela normal. </w:t>
      </w:r>
    </w:p>
    <w:p w:rsidR="00D963E8" w:rsidRPr="00CB38AA" w:rsidRDefault="00D963E8"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Así mismo, el H. Ayuntamiento de Otumba en la sesión extraordinaria de Cabildo número 7 del 9 de enero del 2026, mediante el Acuerdo 173, aprobó por unanimidad de voto realizar aclaratorias de forma con relación a los puntos de acuerdo tomados en una sesión extraordinaria número 4 del 17 de diciembre de 2025, respecto al inmueble conocido como Rancho Pabellón, sujeto a donación a favor del Gobierno del Estado de México. </w:t>
      </w:r>
    </w:p>
    <w:p w:rsidR="00D963E8" w:rsidRPr="00CB38AA" w:rsidRDefault="00D963E8"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El Municipio de Otumba Estado de México es propietario del inmueble identificado como Rancho El Pabellón Lote B, resultado de la subdivisión del periodo denominado 3z 1P FL y una fracción del ejido Parcela 4 Z -1 P 2, las cuales forman un solo predio del Ejido Rancho el Pabellón ubicado en la calle Ignacio Allende, número 7, colonia el Pabellón municipio de Otumba, Estado de México, con una superficie de 15.003.55 metros cuadrados, con las siguientes medidas y colindancias:</w:t>
      </w:r>
    </w:p>
    <w:p w:rsidR="00D963E8" w:rsidRPr="00CB38AA" w:rsidRDefault="00D963E8"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Al Norte: </w:t>
      </w:r>
      <w:r w:rsidR="002261EA" w:rsidRPr="00CB38AA">
        <w:rPr>
          <w:rFonts w:ascii="Times New Roman" w:hAnsi="Times New Roman" w:cs="Times New Roman"/>
          <w:sz w:val="24"/>
          <w:szCs w:val="24"/>
        </w:rPr>
        <w:tab/>
      </w:r>
      <w:r w:rsidR="002261EA" w:rsidRPr="00CB38AA">
        <w:rPr>
          <w:rFonts w:ascii="Times New Roman" w:hAnsi="Times New Roman" w:cs="Times New Roman"/>
          <w:sz w:val="24"/>
          <w:szCs w:val="24"/>
        </w:rPr>
        <w:tab/>
      </w:r>
      <w:r w:rsidRPr="00CB38AA">
        <w:rPr>
          <w:rFonts w:ascii="Times New Roman" w:hAnsi="Times New Roman" w:cs="Times New Roman"/>
          <w:sz w:val="24"/>
          <w:szCs w:val="24"/>
        </w:rPr>
        <w:t>113.58 metros con Lote A;</w:t>
      </w:r>
    </w:p>
    <w:p w:rsidR="00D963E8" w:rsidRPr="00CB38AA" w:rsidRDefault="00D963E8"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Al Sur: </w:t>
      </w:r>
      <w:r w:rsidR="002261EA" w:rsidRPr="00CB38AA">
        <w:rPr>
          <w:rFonts w:ascii="Times New Roman" w:hAnsi="Times New Roman" w:cs="Times New Roman"/>
          <w:sz w:val="24"/>
          <w:szCs w:val="24"/>
        </w:rPr>
        <w:tab/>
      </w:r>
      <w:r w:rsidR="002261EA" w:rsidRPr="00CB38AA">
        <w:rPr>
          <w:rFonts w:ascii="Times New Roman" w:hAnsi="Times New Roman" w:cs="Times New Roman"/>
          <w:sz w:val="24"/>
          <w:szCs w:val="24"/>
        </w:rPr>
        <w:tab/>
      </w:r>
      <w:r w:rsidRPr="00CB38AA">
        <w:rPr>
          <w:rFonts w:ascii="Times New Roman" w:hAnsi="Times New Roman" w:cs="Times New Roman"/>
          <w:sz w:val="24"/>
          <w:szCs w:val="24"/>
        </w:rPr>
        <w:t xml:space="preserve">116.29 metros con Calle Ignacio Allende; </w:t>
      </w:r>
    </w:p>
    <w:p w:rsidR="00D963E8" w:rsidRPr="00CB38AA" w:rsidRDefault="00D963E8"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Al Oriente: </w:t>
      </w:r>
      <w:r w:rsidR="002261EA" w:rsidRPr="00CB38AA">
        <w:rPr>
          <w:rFonts w:ascii="Times New Roman" w:hAnsi="Times New Roman" w:cs="Times New Roman"/>
          <w:sz w:val="24"/>
          <w:szCs w:val="24"/>
        </w:rPr>
        <w:tab/>
      </w:r>
      <w:r w:rsidR="002261EA" w:rsidRPr="00CB38AA">
        <w:rPr>
          <w:rFonts w:ascii="Times New Roman" w:hAnsi="Times New Roman" w:cs="Times New Roman"/>
          <w:sz w:val="24"/>
          <w:szCs w:val="24"/>
        </w:rPr>
        <w:tab/>
      </w:r>
      <w:r w:rsidRPr="00CB38AA">
        <w:rPr>
          <w:rFonts w:ascii="Times New Roman" w:hAnsi="Times New Roman" w:cs="Times New Roman"/>
          <w:sz w:val="24"/>
          <w:szCs w:val="24"/>
        </w:rPr>
        <w:t xml:space="preserve">131.65 metros con Antonio Miquel Becerril Gil: </w:t>
      </w:r>
    </w:p>
    <w:p w:rsidR="00D963E8" w:rsidRPr="00CB38AA" w:rsidRDefault="00D963E8"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Al Poniente: </w:t>
      </w:r>
      <w:r w:rsidR="002261EA" w:rsidRPr="00CB38AA">
        <w:rPr>
          <w:rFonts w:ascii="Times New Roman" w:hAnsi="Times New Roman" w:cs="Times New Roman"/>
          <w:sz w:val="24"/>
          <w:szCs w:val="24"/>
        </w:rPr>
        <w:tab/>
      </w:r>
      <w:r w:rsidR="002261EA" w:rsidRPr="00CB38AA">
        <w:rPr>
          <w:rFonts w:ascii="Times New Roman" w:hAnsi="Times New Roman" w:cs="Times New Roman"/>
          <w:sz w:val="24"/>
          <w:szCs w:val="24"/>
        </w:rPr>
        <w:tab/>
      </w:r>
      <w:r w:rsidRPr="00CB38AA">
        <w:rPr>
          <w:rFonts w:ascii="Times New Roman" w:hAnsi="Times New Roman" w:cs="Times New Roman"/>
          <w:sz w:val="24"/>
          <w:szCs w:val="24"/>
        </w:rPr>
        <w:t>131.65 metros con Luis Ramírez Rubio.</w:t>
      </w:r>
    </w:p>
    <w:p w:rsidR="00D963E8" w:rsidRPr="00CB38AA" w:rsidRDefault="00D963E8"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lastRenderedPageBreak/>
        <w:t xml:space="preserve">La propiedad de dicho inmueble se acredita con escritura número 162, Volumen tres. Protocolo Especial del 3 de octubre del 2025, otorgada ante la Fe del M. D.  Guillermo A. Franco Espinoza, titular de la Notaría número 77 del Estado de México, con una residencia del </w:t>
      </w:r>
      <w:r w:rsidR="00A12E5D" w:rsidRPr="00CB38AA">
        <w:rPr>
          <w:rFonts w:ascii="Times New Roman" w:hAnsi="Times New Roman" w:cs="Times New Roman"/>
          <w:sz w:val="24"/>
          <w:szCs w:val="24"/>
        </w:rPr>
        <w:t xml:space="preserve">Municipio </w:t>
      </w:r>
      <w:r w:rsidRPr="00CB38AA">
        <w:rPr>
          <w:rFonts w:ascii="Times New Roman" w:hAnsi="Times New Roman" w:cs="Times New Roman"/>
          <w:sz w:val="24"/>
          <w:szCs w:val="24"/>
        </w:rPr>
        <w:t>de Otumba inscrita en el Instituto de la Función Registral del Estado de México, el Oficio Registral de Otumba bajo el Folio Real electrónico 00222822. Con fecha 13 de octubre de 2025, el director del Centro IN</w:t>
      </w:r>
      <w:r w:rsidR="00A12E5D" w:rsidRPr="00CB38AA">
        <w:rPr>
          <w:rFonts w:ascii="Times New Roman" w:hAnsi="Times New Roman" w:cs="Times New Roman"/>
          <w:sz w:val="24"/>
          <w:szCs w:val="24"/>
        </w:rPr>
        <w:t>H</w:t>
      </w:r>
      <w:r w:rsidRPr="00CB38AA">
        <w:rPr>
          <w:rFonts w:ascii="Times New Roman" w:hAnsi="Times New Roman" w:cs="Times New Roman"/>
          <w:sz w:val="24"/>
          <w:szCs w:val="24"/>
        </w:rPr>
        <w:t xml:space="preserve">A Estado de México, a través de los oficios 401.35 1-2025-4084 y 401.3 S.1- 2025- 4154 del 20 y 27 de noviembre del 2025, respectivamente, señaló que el inmueble sujeto de donación se encuentra en un área con calidad arqueológica, lo que indica la posible presencia de vestigios en el subsuelo, por lo que cualquier mención futura de obra deberá contemplarse en el trámite respectivo ante el Instituto. </w:t>
      </w:r>
    </w:p>
    <w:p w:rsidR="00D963E8" w:rsidRPr="00CB38AA" w:rsidRDefault="00D963E8"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Así mismo, que no es un monumento histórico, no se ubica en la zona de monumentos históricos, lo que no es colindante a un monumento histórico, por lo que no tiene valor monumental. </w:t>
      </w:r>
    </w:p>
    <w:p w:rsidR="00D963E8" w:rsidRPr="00CB38AA" w:rsidRDefault="00D963E8"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En términos del dictamen de procedencia emitido el 7 de enero de 2026 mediante el oficio OTO-JCO-252 -2025, por el titular de la Dirección del Área Jurídico Consultiva del Ayuntamiento de Otumba</w:t>
      </w:r>
      <w:r w:rsidR="007F7F06" w:rsidRPr="00CB38AA">
        <w:rPr>
          <w:rFonts w:ascii="Times New Roman" w:hAnsi="Times New Roman" w:cs="Times New Roman"/>
          <w:sz w:val="24"/>
          <w:szCs w:val="24"/>
        </w:rPr>
        <w:t>, s</w:t>
      </w:r>
      <w:r w:rsidRPr="00CB38AA">
        <w:rPr>
          <w:rFonts w:ascii="Times New Roman" w:hAnsi="Times New Roman" w:cs="Times New Roman"/>
          <w:sz w:val="24"/>
          <w:szCs w:val="24"/>
        </w:rPr>
        <w:t>e consideró que el predio en cuestión cumple con la viabilidad jurídica de desincorporación, por lo que se puede proceder a realizar las acciones necesarias destinadas a solicitar con la LXII Legislatura del Estado de México, la desincorporación de la enajenación al título gratuito para la construcción Operación de la Escuela Normal.</w:t>
      </w:r>
    </w:p>
    <w:p w:rsidR="00D963E8" w:rsidRPr="00CB38AA" w:rsidRDefault="00D963E8"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Conforme al dictamen técnico con el número de expediente OTDU-TIS- 001-2026 del fecha 16 de enero 2026 emitido en el titular de la Dirección de Desarrollo Urbano del Ayuntamiento de Otumba, se realizó un análisis técnico sobre el predio de mérito  precisando que se encuentra en un entorno predominantemente agrícola y previamente urbanizado, sin vegetación natural susceptible de protección, cumple con las condiciones necesarias para albergar un equipamiento de educación y cultura, pues cuenta con la infraestructura urbana, hidráulica, sanitaria y eléctrica y servicios básicos. </w:t>
      </w:r>
    </w:p>
    <w:p w:rsidR="00D963E8" w:rsidRPr="00CB38AA" w:rsidRDefault="00D963E8"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En servicios básicos no se encuentra en la zona de riesgo, tiene accesibilidad y movilidad adecuada en vías primarias, secundarias y cumple con las normas técnicas de construcción, seguridad y operación educativa, además de que dicha Escuela de Educación Superior será una fuente promotora de empleos, por lo que determinó compatible y viable la construcción de operación en la escuela normal. </w:t>
      </w:r>
    </w:p>
    <w:p w:rsidR="00B41698" w:rsidRPr="00CB38AA" w:rsidRDefault="00D963E8"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Esta determinación se consideró como base las opiniones favorables emitidas por diversas áreas del Ayuntamiento a través de los dictámenes e informes correspondientes. OTUECO-008E 2000-2026 de la Dirección de Ecología OTU- OP-007E-2026 de la Dirección de Obras Publicas OTU-M-OR-0</w:t>
      </w:r>
      <w:r w:rsidR="0098786C" w:rsidRPr="00CB38AA">
        <w:rPr>
          <w:rFonts w:ascii="Times New Roman" w:hAnsi="Times New Roman" w:cs="Times New Roman"/>
          <w:sz w:val="24"/>
          <w:szCs w:val="24"/>
        </w:rPr>
        <w:t>1-</w:t>
      </w:r>
      <w:r w:rsidR="00B41698" w:rsidRPr="00CB38AA">
        <w:rPr>
          <w:rFonts w:ascii="Times New Roman" w:hAnsi="Times New Roman" w:cs="Times New Roman"/>
          <w:sz w:val="24"/>
          <w:szCs w:val="24"/>
        </w:rPr>
        <w:t>2026 de la Dirección de Movilidad PM/PC/CN/001 de la dirección de Protección Civil de Bomberos OTU/EDU/09/01/2026, de la Dirección de Educación OTU/080/DDE/25/27 de la Dirección de Desarrollo Económico, de las cuáles fueron coincidentes el señalarla la viabilidad para la construcción, operación de una escuela normal de dicho municipio.</w:t>
      </w:r>
    </w:p>
    <w:p w:rsidR="00B41698" w:rsidRPr="00CB38AA" w:rsidRDefault="00B41698"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En este orden de ideas el 21 de enero de 2026, mediante oficio OTU/PM/548/2026 el H. Ayuntamiento de Otumba Estado de México, a través de su Presidente Municipal constitucional de él se dirigió al Poder Ejecutivo del Estado de México a mi cargo, para ser conducto ante esta Legislatura para presentar iniciativa de decreto respectiva.</w:t>
      </w:r>
    </w:p>
    <w:p w:rsidR="00B41698" w:rsidRPr="00CB38AA" w:rsidRDefault="00B41698"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En mérito de lo anterior, someto a la consideración de esta Legislatura la siguiente iniciativa con proyecto de decreto por el que se autoriza al H. Ayuntamiento de Otumba, Estado de México a desincorporar del patrimonio del municipio un inmueble identificado como Rancho Pabellón, lote “B”, ubicado en la calle Ignacio Allende número 7, colonia el Pabellón, Municipio de Otumba, Estado de México con una superficie de 15</w:t>
      </w:r>
      <w:r w:rsidR="00D56935" w:rsidRPr="00CB38AA">
        <w:rPr>
          <w:rFonts w:ascii="Times New Roman" w:hAnsi="Times New Roman" w:cs="Times New Roman"/>
          <w:sz w:val="24"/>
          <w:szCs w:val="24"/>
        </w:rPr>
        <w:t xml:space="preserve"> mil </w:t>
      </w:r>
      <w:r w:rsidRPr="00CB38AA">
        <w:rPr>
          <w:rFonts w:ascii="Times New Roman" w:hAnsi="Times New Roman" w:cs="Times New Roman"/>
          <w:sz w:val="24"/>
          <w:szCs w:val="24"/>
        </w:rPr>
        <w:t>3.55 metros cuadrados para que sea donado a título gratuito a favor del Estado de México, con destino de la Secretaría de Educación, Ciencia Tecnología e Innovación para realizar las acciones necesarias destinadas a la construcción de la Escuela Normal.</w:t>
      </w:r>
    </w:p>
    <w:p w:rsidR="00B41698" w:rsidRPr="00CB38AA" w:rsidRDefault="00B41698" w:rsidP="00DF6EEA">
      <w:pPr>
        <w:spacing w:after="0" w:line="240" w:lineRule="auto"/>
        <w:jc w:val="center"/>
        <w:rPr>
          <w:rFonts w:ascii="Times New Roman" w:hAnsi="Times New Roman" w:cs="Times New Roman"/>
          <w:sz w:val="24"/>
          <w:szCs w:val="24"/>
        </w:rPr>
      </w:pPr>
      <w:r w:rsidRPr="00CB38AA">
        <w:rPr>
          <w:rFonts w:ascii="Times New Roman" w:hAnsi="Times New Roman" w:cs="Times New Roman"/>
          <w:sz w:val="24"/>
          <w:szCs w:val="24"/>
        </w:rPr>
        <w:lastRenderedPageBreak/>
        <w:t>DECRETO NÚMERO</w:t>
      </w:r>
    </w:p>
    <w:p w:rsidR="00B41698" w:rsidRPr="00CB38AA" w:rsidRDefault="00B41698"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 xml:space="preserve">DE LA H. “LXII” LEGISLATURA </w:t>
      </w:r>
    </w:p>
    <w:p w:rsidR="00B41698" w:rsidRPr="00CB38AA" w:rsidRDefault="00B41698"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DEL ESTADO DE MÉXICO.</w:t>
      </w:r>
    </w:p>
    <w:p w:rsidR="00B41698" w:rsidRPr="00CB38AA" w:rsidRDefault="00B41698"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 xml:space="preserve">ARTÍCULO PRIMERO. Se autoriza la desincorporación del patrimonio del H. Ayuntamiento de Otumba, Estado de México del inmueble identificado como Rancho Pabellón, lote B, resultado de la subdivisión del predio denominado 3z-1P1/1, una fracción de la parcela 4Z-1P1/1, las cuales forman de un solo predio el ejido Rancho El Pabellón, ubicado en la calle Ignacio Allende #7, colonia el Pabellón, Municipio de Otumba, Estado de México con una superficie de 15 mil 3.55 metros cuadrados con las siguientes medidas y colindancias </w:t>
      </w:r>
    </w:p>
    <w:p w:rsidR="00B41698" w:rsidRPr="00CB38AA" w:rsidRDefault="00B41698" w:rsidP="00DF6EEA">
      <w:pPr>
        <w:spacing w:after="0" w:line="240" w:lineRule="aut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AL NORTE: </w:t>
      </w:r>
      <w:r w:rsidR="009B5E15" w:rsidRPr="00CB38AA">
        <w:rPr>
          <w:rFonts w:ascii="Times New Roman" w:hAnsi="Times New Roman" w:cs="Times New Roman"/>
          <w:sz w:val="24"/>
          <w:szCs w:val="24"/>
        </w:rPr>
        <w:tab/>
      </w:r>
      <w:r w:rsidR="009B5E15" w:rsidRPr="00CB38AA">
        <w:rPr>
          <w:rFonts w:ascii="Times New Roman" w:hAnsi="Times New Roman" w:cs="Times New Roman"/>
          <w:sz w:val="24"/>
          <w:szCs w:val="24"/>
        </w:rPr>
        <w:tab/>
      </w:r>
      <w:r w:rsidRPr="00CB38AA">
        <w:rPr>
          <w:rFonts w:ascii="Times New Roman" w:hAnsi="Times New Roman" w:cs="Times New Roman"/>
          <w:sz w:val="24"/>
          <w:szCs w:val="24"/>
        </w:rPr>
        <w:t xml:space="preserve">113.58 metros, con lote A. </w:t>
      </w:r>
    </w:p>
    <w:p w:rsidR="00B41698" w:rsidRPr="00CB38AA" w:rsidRDefault="00B41698" w:rsidP="00DF6EEA">
      <w:pPr>
        <w:spacing w:after="0" w:line="240" w:lineRule="aut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AL SUR: </w:t>
      </w:r>
      <w:r w:rsidR="009B5E15" w:rsidRPr="00CB38AA">
        <w:rPr>
          <w:rFonts w:ascii="Times New Roman" w:hAnsi="Times New Roman" w:cs="Times New Roman"/>
          <w:sz w:val="24"/>
          <w:szCs w:val="24"/>
        </w:rPr>
        <w:tab/>
      </w:r>
      <w:r w:rsidR="009B5E15" w:rsidRPr="00CB38AA">
        <w:rPr>
          <w:rFonts w:ascii="Times New Roman" w:hAnsi="Times New Roman" w:cs="Times New Roman"/>
          <w:sz w:val="24"/>
          <w:szCs w:val="24"/>
        </w:rPr>
        <w:tab/>
      </w:r>
      <w:r w:rsidRPr="00CB38AA">
        <w:rPr>
          <w:rFonts w:ascii="Times New Roman" w:hAnsi="Times New Roman" w:cs="Times New Roman"/>
          <w:sz w:val="24"/>
          <w:szCs w:val="24"/>
        </w:rPr>
        <w:t>116.29 metros, con calle Ignacio Allende.</w:t>
      </w:r>
    </w:p>
    <w:p w:rsidR="00B41698" w:rsidRPr="00CB38AA" w:rsidRDefault="00B41698" w:rsidP="00DF6EEA">
      <w:pPr>
        <w:spacing w:after="0" w:line="240" w:lineRule="aut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AL ORIENTE: </w:t>
      </w:r>
      <w:r w:rsidR="009B5E15" w:rsidRPr="00CB38AA">
        <w:rPr>
          <w:rFonts w:ascii="Times New Roman" w:hAnsi="Times New Roman" w:cs="Times New Roman"/>
          <w:sz w:val="24"/>
          <w:szCs w:val="24"/>
        </w:rPr>
        <w:tab/>
      </w:r>
      <w:r w:rsidRPr="00CB38AA">
        <w:rPr>
          <w:rFonts w:ascii="Times New Roman" w:hAnsi="Times New Roman" w:cs="Times New Roman"/>
          <w:sz w:val="24"/>
          <w:szCs w:val="24"/>
        </w:rPr>
        <w:t>131.65 metros, con Antonio Miguel Becerril Gil.</w:t>
      </w:r>
    </w:p>
    <w:p w:rsidR="00B41698" w:rsidRPr="00CB38AA" w:rsidRDefault="00B41698" w:rsidP="00DF6EEA">
      <w:pPr>
        <w:spacing w:after="0" w:line="240" w:lineRule="aut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AL PONIENTE: </w:t>
      </w:r>
      <w:r w:rsidR="009B5E15" w:rsidRPr="00CB38AA">
        <w:rPr>
          <w:rFonts w:ascii="Times New Roman" w:hAnsi="Times New Roman" w:cs="Times New Roman"/>
          <w:sz w:val="24"/>
          <w:szCs w:val="24"/>
        </w:rPr>
        <w:tab/>
      </w:r>
      <w:r w:rsidRPr="00CB38AA">
        <w:rPr>
          <w:rFonts w:ascii="Times New Roman" w:hAnsi="Times New Roman" w:cs="Times New Roman"/>
          <w:sz w:val="24"/>
          <w:szCs w:val="24"/>
        </w:rPr>
        <w:t>131.65 metros, con Antonio Miguel Becerril Gil. 131.65 metros, con Luis Ramírez Rubio.</w:t>
      </w:r>
    </w:p>
    <w:p w:rsidR="00B41698" w:rsidRPr="00CB38AA" w:rsidRDefault="00B41698" w:rsidP="00DF6EEA">
      <w:pPr>
        <w:spacing w:after="0" w:line="240" w:lineRule="aut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ARTÍCULO SEGUNDO. Se autoriza al H. Ayuntamiento de Otumba, Estado de México, a donar a título gratuito el inmueble a que hace referencia el artículo anterior, a favor del Gobierno del Estado de México, con destino a la Secretaría de Educación, Ciencia, Tecnología e Innovación, para realizar acciones necesarias destinadas a la construcción de la Escuela Normal. </w:t>
      </w:r>
    </w:p>
    <w:p w:rsidR="00B41698" w:rsidRPr="00CB38AA" w:rsidRDefault="00B41698" w:rsidP="00DF6EEA">
      <w:pPr>
        <w:spacing w:after="0" w:line="240" w:lineRule="aut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ARTÍCULO TERCERO. La donación del predio estará condicionada a que no se cambie el uso y destino al que se motivó su autorización. En caso contrario, revertirá a favor del patrimonio del H. Ayuntamiento de Otumba, Estado de México. </w:t>
      </w:r>
    </w:p>
    <w:p w:rsidR="00B41698" w:rsidRPr="00CB38AA" w:rsidRDefault="00B41698" w:rsidP="00DF6EEA">
      <w:pPr>
        <w:spacing w:after="0" w:line="240" w:lineRule="auto"/>
        <w:ind w:firstLine="708"/>
        <w:jc w:val="center"/>
        <w:rPr>
          <w:rFonts w:ascii="Times New Roman" w:hAnsi="Times New Roman" w:cs="Times New Roman"/>
          <w:sz w:val="24"/>
          <w:szCs w:val="24"/>
        </w:rPr>
      </w:pPr>
      <w:r w:rsidRPr="00CB38AA">
        <w:rPr>
          <w:rFonts w:ascii="Times New Roman" w:hAnsi="Times New Roman" w:cs="Times New Roman"/>
          <w:sz w:val="24"/>
          <w:szCs w:val="24"/>
        </w:rPr>
        <w:t>TRANSITORIOS</w:t>
      </w:r>
    </w:p>
    <w:p w:rsidR="00B41698" w:rsidRPr="00CB38AA" w:rsidRDefault="00B41698" w:rsidP="00DF6EEA">
      <w:pPr>
        <w:spacing w:after="0" w:line="240" w:lineRule="aut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PRIMERO. Publíquese el presente Decreto en el Periódico Oficial "Gaceta del Gobierno". </w:t>
      </w:r>
    </w:p>
    <w:p w:rsidR="00B41698" w:rsidRPr="00CB38AA" w:rsidRDefault="00B41698" w:rsidP="00DF6EEA">
      <w:pPr>
        <w:spacing w:after="0" w:line="240" w:lineRule="auto"/>
        <w:ind w:firstLine="708"/>
        <w:jc w:val="both"/>
        <w:rPr>
          <w:rFonts w:ascii="Times New Roman" w:hAnsi="Times New Roman" w:cs="Times New Roman"/>
          <w:sz w:val="24"/>
          <w:szCs w:val="24"/>
        </w:rPr>
      </w:pPr>
      <w:r w:rsidRPr="00CB38AA">
        <w:rPr>
          <w:rFonts w:ascii="Times New Roman" w:hAnsi="Times New Roman" w:cs="Times New Roman"/>
          <w:sz w:val="24"/>
          <w:szCs w:val="24"/>
        </w:rPr>
        <w:t>SEGUNDO. El presente Decreto entrará en vigor al día siguiente de su publicación en el Periódico Oficial "Gaceta del Gobierno".</w:t>
      </w:r>
    </w:p>
    <w:p w:rsidR="00B41698" w:rsidRPr="00CB38AA" w:rsidRDefault="00B41698" w:rsidP="00DF6EEA">
      <w:pPr>
        <w:spacing w:after="0" w:line="240" w:lineRule="auto"/>
        <w:ind w:firstLine="708"/>
        <w:jc w:val="both"/>
        <w:rPr>
          <w:rFonts w:ascii="Times New Roman" w:hAnsi="Times New Roman" w:cs="Times New Roman"/>
          <w:sz w:val="24"/>
          <w:szCs w:val="24"/>
        </w:rPr>
      </w:pPr>
      <w:r w:rsidRPr="00CB38AA">
        <w:rPr>
          <w:rFonts w:ascii="Times New Roman" w:hAnsi="Times New Roman" w:cs="Times New Roman"/>
          <w:sz w:val="24"/>
          <w:szCs w:val="24"/>
        </w:rPr>
        <w:t>Es cuanto por al tema de la iniciativa y solamente aprovechar el espacio para comentar que esta iniciativa que se envía a la Gobernadora del Estado, es una respuesta a la petición del Presidente Municipal Hilarión Coronel para desincorporar un inmueble del H. Ayuntamiento y poder materializar una escuela normal en este municipio, a nombre del Presidente Municipal, quisiera agradecer este acto de voluntad política por parte del ejecutivo de nuestra Entidad, lo cual demuestra que en el Estado de México, lo único que importa son los mexiquenses y seguir coadyuvando para el bienestar de sus familias.</w:t>
      </w:r>
    </w:p>
    <w:p w:rsidR="00B41698" w:rsidRPr="00CB38AA" w:rsidRDefault="00B41698" w:rsidP="00DF6EEA">
      <w:pPr>
        <w:spacing w:after="0" w:line="240" w:lineRule="auto"/>
        <w:ind w:firstLine="708"/>
        <w:jc w:val="both"/>
        <w:rPr>
          <w:rFonts w:ascii="Times New Roman" w:hAnsi="Times New Roman" w:cs="Times New Roman"/>
          <w:sz w:val="24"/>
          <w:szCs w:val="24"/>
        </w:rPr>
      </w:pPr>
      <w:r w:rsidRPr="00CB38AA">
        <w:rPr>
          <w:rFonts w:ascii="Times New Roman" w:hAnsi="Times New Roman" w:cs="Times New Roman"/>
          <w:sz w:val="24"/>
          <w:szCs w:val="24"/>
        </w:rPr>
        <w:t>Enhorabuena, por el Municipio de Otumba.</w:t>
      </w:r>
    </w:p>
    <w:p w:rsidR="00B41698" w:rsidRPr="00CB38AA" w:rsidRDefault="00B41698" w:rsidP="00DF6EEA">
      <w:pPr>
        <w:spacing w:after="0" w:line="240" w:lineRule="auto"/>
        <w:ind w:firstLine="708"/>
        <w:jc w:val="both"/>
        <w:rPr>
          <w:rFonts w:ascii="Times New Roman" w:hAnsi="Times New Roman" w:cs="Times New Roman"/>
          <w:sz w:val="24"/>
          <w:szCs w:val="24"/>
        </w:rPr>
      </w:pPr>
      <w:r w:rsidRPr="00CB38AA">
        <w:rPr>
          <w:rFonts w:ascii="Times New Roman" w:hAnsi="Times New Roman" w:cs="Times New Roman"/>
          <w:sz w:val="24"/>
          <w:szCs w:val="24"/>
        </w:rPr>
        <w:t>Es cuanto, muchísimas gracias.</w:t>
      </w:r>
    </w:p>
    <w:p w:rsidR="00580323" w:rsidRPr="00CB38AA" w:rsidRDefault="00580323" w:rsidP="00DF6EEA">
      <w:pPr>
        <w:pStyle w:val="Sinespaciado"/>
        <w:jc w:val="both"/>
        <w:rPr>
          <w:rFonts w:ascii="Times New Roman" w:hAnsi="Times New Roman" w:cs="Times New Roman"/>
          <w:sz w:val="24"/>
          <w:szCs w:val="24"/>
        </w:rPr>
      </w:pPr>
    </w:p>
    <w:p w:rsidR="00580323" w:rsidRPr="00CB38AA" w:rsidRDefault="00580323" w:rsidP="00DF6EEA">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(Se inserta documento)</w:t>
      </w:r>
    </w:p>
    <w:p w:rsidR="00580323" w:rsidRPr="00CB38AA" w:rsidRDefault="00580323" w:rsidP="00DF6EEA">
      <w:pPr>
        <w:spacing w:after="0" w:line="240" w:lineRule="auto"/>
        <w:jc w:val="center"/>
        <w:rPr>
          <w:rFonts w:ascii="Times New Roman" w:hAnsi="Times New Roman" w:cs="Times New Roman"/>
          <w:sz w:val="24"/>
          <w:szCs w:val="24"/>
        </w:rPr>
      </w:pPr>
    </w:p>
    <w:p w:rsidR="003C043E" w:rsidRPr="00CB38AA" w:rsidRDefault="003C043E" w:rsidP="00DF6EE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CB38AA">
        <w:rPr>
          <w:rFonts w:ascii="Times New Roman" w:eastAsia="Times New Roman" w:hAnsi="Times New Roman" w:cs="Times New Roman"/>
          <w:b/>
          <w:bCs/>
          <w:sz w:val="24"/>
          <w:szCs w:val="24"/>
          <w:lang w:eastAsia="es-ES"/>
        </w:rPr>
        <w:t>"2026. Año del Humanismo Mexicano en el Estado de México".</w:t>
      </w:r>
    </w:p>
    <w:p w:rsidR="003C043E" w:rsidRPr="00CB38AA" w:rsidRDefault="003C043E" w:rsidP="00DF6EEA">
      <w:pPr>
        <w:widowControl w:val="0"/>
        <w:kinsoku w:val="0"/>
        <w:overflowPunct w:val="0"/>
        <w:spacing w:after="0" w:line="240" w:lineRule="auto"/>
        <w:jc w:val="right"/>
        <w:textAlignment w:val="baseline"/>
        <w:rPr>
          <w:rFonts w:ascii="Times New Roman" w:eastAsia="Times New Roman" w:hAnsi="Times New Roman" w:cs="Times New Roman"/>
          <w:b/>
          <w:bCs/>
          <w:sz w:val="24"/>
          <w:szCs w:val="24"/>
          <w:lang w:eastAsia="es-ES"/>
        </w:rPr>
      </w:pPr>
    </w:p>
    <w:p w:rsidR="003C043E" w:rsidRPr="00CB38AA" w:rsidRDefault="003C043E" w:rsidP="00DF6EEA">
      <w:pPr>
        <w:widowControl w:val="0"/>
        <w:kinsoku w:val="0"/>
        <w:overflowPunct w:val="0"/>
        <w:spacing w:after="0" w:line="240" w:lineRule="auto"/>
        <w:jc w:val="right"/>
        <w:textAlignment w:val="baseline"/>
        <w:rPr>
          <w:rFonts w:ascii="Times New Roman" w:eastAsia="Times New Roman" w:hAnsi="Times New Roman" w:cs="Times New Roman"/>
          <w:b/>
          <w:bCs/>
          <w:sz w:val="24"/>
          <w:szCs w:val="24"/>
          <w:lang w:eastAsia="es-ES"/>
        </w:rPr>
      </w:pPr>
      <w:r w:rsidRPr="00CB38AA">
        <w:rPr>
          <w:rFonts w:ascii="Times New Roman" w:eastAsia="Times New Roman" w:hAnsi="Times New Roman" w:cs="Times New Roman"/>
          <w:b/>
          <w:bCs/>
          <w:sz w:val="24"/>
          <w:szCs w:val="24"/>
          <w:lang w:eastAsia="es-ES"/>
        </w:rPr>
        <w:t>Oficina de la Gobernadora</w:t>
      </w:r>
    </w:p>
    <w:p w:rsidR="003C043E" w:rsidRPr="00CB38AA" w:rsidRDefault="003C043E" w:rsidP="00DF6EEA">
      <w:pPr>
        <w:widowControl w:val="0"/>
        <w:kinsoku w:val="0"/>
        <w:overflowPunct w:val="0"/>
        <w:spacing w:after="0" w:line="240" w:lineRule="auto"/>
        <w:jc w:val="right"/>
        <w:textAlignment w:val="baseline"/>
        <w:rPr>
          <w:rFonts w:ascii="Times New Roman" w:eastAsia="Times New Roman" w:hAnsi="Times New Roman" w:cs="Times New Roman"/>
          <w:sz w:val="24"/>
          <w:szCs w:val="24"/>
          <w:lang w:eastAsia="es-ES"/>
        </w:rPr>
      </w:pPr>
    </w:p>
    <w:p w:rsidR="003C043E" w:rsidRPr="00CB38AA" w:rsidRDefault="003C043E" w:rsidP="00DF6EEA">
      <w:pPr>
        <w:widowControl w:val="0"/>
        <w:kinsoku w:val="0"/>
        <w:overflowPunct w:val="0"/>
        <w:spacing w:after="0" w:line="240" w:lineRule="auto"/>
        <w:jc w:val="right"/>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sz w:val="24"/>
          <w:szCs w:val="24"/>
          <w:lang w:eastAsia="es-ES"/>
        </w:rPr>
        <w:t>Toluca de Lerdo, México</w:t>
      </w:r>
    </w:p>
    <w:p w:rsidR="003C043E" w:rsidRPr="00CB38AA" w:rsidRDefault="003C043E" w:rsidP="00DF6EEA">
      <w:pPr>
        <w:widowControl w:val="0"/>
        <w:kinsoku w:val="0"/>
        <w:overflowPunct w:val="0"/>
        <w:spacing w:after="0" w:line="240" w:lineRule="auto"/>
        <w:jc w:val="right"/>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sz w:val="24"/>
          <w:szCs w:val="24"/>
          <w:lang w:eastAsia="es-ES"/>
        </w:rPr>
        <w:t>a 30 de enero de 2026.</w:t>
      </w:r>
    </w:p>
    <w:p w:rsidR="003C043E" w:rsidRPr="00CB38AA" w:rsidRDefault="003C043E" w:rsidP="00DF6EEA">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3C043E" w:rsidRPr="00CB38AA" w:rsidRDefault="003C043E" w:rsidP="00DF6EEA">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CB38AA">
        <w:rPr>
          <w:rFonts w:ascii="Times New Roman" w:eastAsia="Times New Roman" w:hAnsi="Times New Roman" w:cs="Times New Roman"/>
          <w:b/>
          <w:bCs/>
          <w:sz w:val="24"/>
          <w:szCs w:val="24"/>
          <w:lang w:eastAsia="es-ES"/>
        </w:rPr>
        <w:t>DIPUTADA</w:t>
      </w:r>
    </w:p>
    <w:p w:rsidR="003C043E" w:rsidRPr="00CB38AA" w:rsidRDefault="003C043E" w:rsidP="00DF6EEA">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CB38AA">
        <w:rPr>
          <w:rFonts w:ascii="Times New Roman" w:eastAsia="Times New Roman" w:hAnsi="Times New Roman" w:cs="Times New Roman"/>
          <w:b/>
          <w:bCs/>
          <w:sz w:val="24"/>
          <w:szCs w:val="24"/>
          <w:lang w:eastAsia="es-ES"/>
        </w:rPr>
        <w:t>MARTHA AZUCENA CAMACHO REYNOSO</w:t>
      </w:r>
    </w:p>
    <w:p w:rsidR="003C043E" w:rsidRPr="00CB38AA" w:rsidRDefault="003C043E" w:rsidP="00DF6EEA">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CB38AA">
        <w:rPr>
          <w:rFonts w:ascii="Times New Roman" w:eastAsia="Times New Roman" w:hAnsi="Times New Roman" w:cs="Times New Roman"/>
          <w:b/>
          <w:bCs/>
          <w:sz w:val="24"/>
          <w:szCs w:val="24"/>
          <w:lang w:eastAsia="es-ES"/>
        </w:rPr>
        <w:t>PRESIDENTA DE LA MESA DIRECTIVA DE LA H.</w:t>
      </w:r>
    </w:p>
    <w:p w:rsidR="003C043E" w:rsidRPr="00CB38AA" w:rsidRDefault="003C043E" w:rsidP="00DF6EEA">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CB38AA">
        <w:rPr>
          <w:rFonts w:ascii="Times New Roman" w:eastAsia="Times New Roman" w:hAnsi="Times New Roman" w:cs="Times New Roman"/>
          <w:b/>
          <w:bCs/>
          <w:sz w:val="24"/>
          <w:szCs w:val="24"/>
          <w:lang w:eastAsia="es-ES"/>
        </w:rPr>
        <w:t>"LXII" LEGISLATURA DEL ESTADO DE MÉXICO</w:t>
      </w:r>
    </w:p>
    <w:p w:rsidR="003C043E" w:rsidRPr="00CB38AA" w:rsidRDefault="003C043E" w:rsidP="00DF6EEA">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CB38AA">
        <w:rPr>
          <w:rFonts w:ascii="Times New Roman" w:eastAsia="Times New Roman" w:hAnsi="Times New Roman" w:cs="Times New Roman"/>
          <w:b/>
          <w:bCs/>
          <w:sz w:val="24"/>
          <w:szCs w:val="24"/>
          <w:lang w:eastAsia="es-ES"/>
        </w:rPr>
        <w:t>PRESENTE.</w:t>
      </w: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b/>
          <w:bCs/>
          <w:sz w:val="24"/>
          <w:szCs w:val="24"/>
          <w:lang w:eastAsia="es-ES"/>
        </w:rPr>
        <w:t xml:space="preserve">DELFINA GÓMEZ ÁLVAREZ, Gobernadora Constitucional del Estado Libre y Soberano de México, </w:t>
      </w:r>
      <w:r w:rsidRPr="00CB38AA">
        <w:rPr>
          <w:rFonts w:ascii="Times New Roman" w:eastAsia="Times New Roman" w:hAnsi="Times New Roman" w:cs="Times New Roman"/>
          <w:sz w:val="24"/>
          <w:szCs w:val="24"/>
          <w:lang w:eastAsia="es-ES"/>
        </w:rPr>
        <w:t xml:space="preserve">en ejercicio de la facultad que me confieren los artículos 51, fracción I, y 77, fracción V, de la Constitución Política del Estado Libre y Soberano de México y con fundamento en lo establecido en los numerales 61, fracción XXXVI, de la Constitución local, así como, 33, fracciones I y VI, y 34 de la Ley Orgánica Municipal del Estado de México; someto a la consideración de esa H. Legislatura por su conducto, la </w:t>
      </w:r>
      <w:r w:rsidRPr="00CB38AA">
        <w:rPr>
          <w:rFonts w:ascii="Times New Roman" w:eastAsia="Times New Roman" w:hAnsi="Times New Roman" w:cs="Times New Roman"/>
          <w:b/>
          <w:bCs/>
          <w:sz w:val="24"/>
          <w:szCs w:val="24"/>
          <w:lang w:eastAsia="es-ES"/>
        </w:rPr>
        <w:t xml:space="preserve">Iniciativa de Decreto por el que se autoriza al H. Ayuntamiento de Otumba, Estado de México, a desincorporar del patrimonio del municipio un inmueble, para que sea donado a título gratuito a favor del Gobierno del Estado de México, con destino a la Secretaría de Educación, Ciencia, Tecnología e Innovación, para realizar las acciones necesarias destinadas a la construcción de una Escuela Normal, </w:t>
      </w:r>
      <w:r w:rsidRPr="00CB38AA">
        <w:rPr>
          <w:rFonts w:ascii="Times New Roman" w:eastAsia="Times New Roman" w:hAnsi="Times New Roman" w:cs="Times New Roman"/>
          <w:sz w:val="24"/>
          <w:szCs w:val="24"/>
          <w:lang w:eastAsia="es-ES"/>
        </w:rPr>
        <w:t>de conformidad con la siguiente:</w:t>
      </w:r>
    </w:p>
    <w:p w:rsidR="003C043E" w:rsidRPr="00CB38AA" w:rsidRDefault="003C043E" w:rsidP="00DF6EE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p>
    <w:p w:rsidR="003C043E" w:rsidRPr="00CB38AA" w:rsidRDefault="003C043E" w:rsidP="00DF6EE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CB38AA">
        <w:rPr>
          <w:rFonts w:ascii="Times New Roman" w:eastAsia="Times New Roman" w:hAnsi="Times New Roman" w:cs="Times New Roman"/>
          <w:b/>
          <w:bCs/>
          <w:sz w:val="24"/>
          <w:szCs w:val="24"/>
          <w:lang w:eastAsia="es-ES"/>
        </w:rPr>
        <w:t>EXPOSICIÓN DE MOTIVOS</w:t>
      </w: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sz w:val="24"/>
          <w:szCs w:val="24"/>
          <w:lang w:eastAsia="es-ES"/>
        </w:rPr>
        <w:t>El artículo 3° de la Constitución Política de los Estados Unidos Mexicanos, establece que, toda persona tiene derecho a la educación. El Estado -Federación, Estados, Ciudad de México y Municipios- impartirá y garantizará la educación inicial, preescolar, primaria, secundaria, media superior y superior. Asimismo, prevé que, el Estado fortalecerá a las instituciones públicas de formación docente, de manera especial a las escuelas normales, en los términos que disponga la ley y, que los planteles educativos constituyen un espacio fundamental para el proceso de enseñanza aprendizaje. El Estado garantizará que los materiales didácticos, la infraestructura educativa, su mantenimiento y las condiciones del entorno, sean idóneos y contribuyan a los fines de la educación.</w:t>
      </w: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sz w:val="24"/>
          <w:szCs w:val="24"/>
          <w:lang w:eastAsia="es-ES"/>
        </w:rPr>
        <w:t>Igualmente, la fracción X del precepto constitucional, determina que, la obligatoriedad de la educación superior corresponde al Estado. Las autoridades federal y locales establecerán políticas para fomentar la inclusión, permanencia y continuidad, en términos que la ley señale. Asimismo, proporcionarán medios de acceso a este tipo educativo para las personas que cumplan con los requisitos dispuestos por las instituciones públicas.</w:t>
      </w: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sz w:val="24"/>
          <w:szCs w:val="24"/>
          <w:lang w:eastAsia="es-ES"/>
        </w:rPr>
        <w:t>El artículo 5°, primer párrafo de la Ley General de Educación, precisa que, toda persona tiene derecho a la educación, el cual es un medio para adquirir, actualizar, completar y ampliar sus conocimientos, capacidades, habilidades y aptitudes que le permitan alcanzar su desarrollo personal y profesional; como consecuencia de ello, contribuir a su bienestar, a la transformación y el mejoramiento de la sociedad de la que forma parte.</w:t>
      </w: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sz w:val="24"/>
          <w:szCs w:val="24"/>
          <w:lang w:eastAsia="es-ES"/>
        </w:rPr>
        <w:t>El artículo 47 de dicha Ley, dispone que, la educación superior, como parte del Sistema Educativo Nacional y último esquema de la prestación de los servicios educativos para la cobertura universal prevista en el artículo 3o. de la Constitución Política de los Estados Unidos Mexicanos, es el servicio que se imparte en sus distintos niveles, después del tipo medio superior. Está compuesta por la licenciatura, la especialidad, la maestría y el doctorado, así como por opciones terminales previas a la conclusión de la licenciatura. Comprende también la educación normal en todos sus niveles y especialidades.</w:t>
      </w: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sz w:val="24"/>
          <w:szCs w:val="24"/>
          <w:lang w:eastAsia="es-ES"/>
        </w:rPr>
        <w:t xml:space="preserve">También señala que, las autoridades educativas, en el ámbito de sus competencias, establecerán políticas para fomentar la inclusión, continuidad y egreso oportuno de estudiantes inscritos en educación superior, poniendo énfasis en los jóvenes, y determinarán medidas que amplíen el ingreso y permanencia a toda aquella persona que, en los términos que señale la ley en la materia, </w:t>
      </w:r>
      <w:r w:rsidRPr="00CB38AA">
        <w:rPr>
          <w:rFonts w:ascii="Times New Roman" w:eastAsia="Times New Roman" w:hAnsi="Times New Roman" w:cs="Times New Roman"/>
          <w:sz w:val="24"/>
          <w:szCs w:val="24"/>
          <w:lang w:eastAsia="es-ES"/>
        </w:rPr>
        <w:lastRenderedPageBreak/>
        <w:t>decida cursar este tipo de estudios, tales como el establecimiento de mecanismos de apoyo académico y económico que responda a las necesidades de la población estudiantil. Las instituciones podrán incluir, además, opciones de formación continua y actualización para responder a las necesidades de la transformación del conocimiento y cambio tecnológico.</w:t>
      </w: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sz w:val="24"/>
          <w:szCs w:val="24"/>
          <w:lang w:eastAsia="es-ES"/>
        </w:rPr>
        <w:t>El artículo 50 de la referida Ley, estipula que, se impulsará el establecimiento de un sistema nacional de educación superior que coordine los subsistemas universitario, tecnológico y de educación normal y formación docente, que permita garantizar el desarrollo de una oferta educativa con capacidad de atender las necesidades nacionales y regionales, además de las prioridades específicas de formación de profesionistas para el desarrollo del país.</w:t>
      </w: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sz w:val="24"/>
          <w:szCs w:val="24"/>
          <w:lang w:eastAsia="es-ES"/>
        </w:rPr>
        <w:t>Además, el artículo 98, primer párrafo, de la misma Ley, estipula que, los planteles educativos constituyen un espacio fundamental para el proceso de enseñanza aprendizaje, donde se presta el servicio público de educación por parte del Estado.</w:t>
      </w: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sz w:val="24"/>
          <w:szCs w:val="24"/>
          <w:lang w:eastAsia="es-ES"/>
        </w:rPr>
        <w:t>El artículo 5° de la Constitución Política del Estado Libre y Soberano de México, establece que, en el Estado de México, toda persona tiene derecho a la educación. El Estado de México y Municipios impartirán y garantizarán la educación inicial, preescolar, primaria, secundaria, media superior y superior en todo el territorio mexiquense. Asimismo, que la educación además de obligatoria, será universal, de excelencia, inclusiva, intercultural, pública, gratuita y laica. Se basará en el respeto irrestricto de la dignidad de las personas, con un enfoque de respeto a la naturaleza y los derechos humanos. Tenderá a desarrollar armónicamente todas las facultades del ser humano y fomentará en él, a la vez, el amor a la Patria, el respeto a todos los derechos, las libertades, la cultura de paz y la conciencia de la solidaridad internacional, en la independencia y en la justicia; promoverá la honestidad, los valores y la mejora continua del proceso de enseñanza aprendizaje. Igualmente, indica que el Estado priorizará el interés superior de niñas, niños, adolescentes y jóvenes en el acceso, permanencia y participación en los servicios educativos.</w:t>
      </w: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sz w:val="24"/>
          <w:szCs w:val="24"/>
          <w:lang w:eastAsia="es-ES"/>
        </w:rPr>
        <w:t>El artículo 6°, primer párrafo de la Ley de Educación del Estado de México, determina que, en el Estado de México, toda persona tiene derecho a la educación, el cual es un medio para adquirir, actualizar, completar y ampliar sus conocimientos, capacidades, habilidades y aptitudes que le permitan alcanzar su desarrollo personal y profesional; como consecuencia de ello, contribuir a su bienestar, a la transformación y el mejoramiento de la sociedad de la que forma parte.</w:t>
      </w: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sz w:val="24"/>
          <w:szCs w:val="24"/>
          <w:lang w:eastAsia="es-ES"/>
        </w:rPr>
        <w:t>El artículo 28, fracción I de la misma Ley, refiere que, la educación superior está compuesta entre otros por niveles: técnico superior universitario o profesional asociado, licenciatura, especialidad, maestría y el doctorado, así como por opciones terminales previas a la conclusión de la licenciatura. Comprende también la educación normal en todos sus niveles y especialidades.</w:t>
      </w:r>
    </w:p>
    <w:p w:rsidR="003C043E" w:rsidRPr="00CB38AA" w:rsidRDefault="003C043E" w:rsidP="00DF6EEA">
      <w:pPr>
        <w:widowControl w:val="0"/>
        <w:autoSpaceDE w:val="0"/>
        <w:autoSpaceDN w:val="0"/>
        <w:adjustRightInd w:val="0"/>
        <w:spacing w:after="0" w:line="240" w:lineRule="auto"/>
        <w:rPr>
          <w:rFonts w:ascii="Times New Roman" w:eastAsia="Times New Roman" w:hAnsi="Times New Roman" w:cs="Times New Roman"/>
          <w:sz w:val="24"/>
          <w:szCs w:val="24"/>
          <w:lang w:eastAsia="es-ES"/>
        </w:rPr>
      </w:pPr>
    </w:p>
    <w:p w:rsidR="003C043E" w:rsidRPr="00CB38AA" w:rsidRDefault="003C043E" w:rsidP="00DF6EE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es-MX"/>
        </w:rPr>
      </w:pPr>
      <w:r w:rsidRPr="00CB38AA">
        <w:rPr>
          <w:rFonts w:ascii="Times New Roman" w:eastAsia="Times New Roman" w:hAnsi="Times New Roman" w:cs="Times New Roman"/>
          <w:sz w:val="24"/>
          <w:szCs w:val="24"/>
          <w:lang w:eastAsia="es-ES"/>
        </w:rPr>
        <w:t>El artículo 29 de dicha Ley, prevé que, la obligatoriedad de la educación superior corresponde al Estado, el cual la garantizará para todas las personas que cumplan con los requisitos solicitados por las instituciones respectivas.</w:t>
      </w: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sz w:val="24"/>
          <w:szCs w:val="24"/>
          <w:lang w:eastAsia="es-ES"/>
        </w:rPr>
        <w:t>Por su parte, el diverso artículo 107, primer párrafo de la Ley Estatal dispone que, los planteles educativos constituyen un espacio fundamental para el proceso de enseñanza aprendizaje, donde se presta el servicio público de educación por parte del Estado de México.</w:t>
      </w: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sz w:val="24"/>
          <w:szCs w:val="24"/>
          <w:lang w:eastAsia="es-ES"/>
        </w:rPr>
        <w:t xml:space="preserve">El artículo 118, fracción I del ordenamiento en cita, menciona que, de conformidad con la Ley General de Educación, corresponde de manera exclusiva a la autoridad educativa estatal, la </w:t>
      </w:r>
      <w:r w:rsidRPr="00CB38AA">
        <w:rPr>
          <w:rFonts w:ascii="Times New Roman" w:eastAsia="Times New Roman" w:hAnsi="Times New Roman" w:cs="Times New Roman"/>
          <w:sz w:val="24"/>
          <w:szCs w:val="24"/>
          <w:lang w:eastAsia="es-ES"/>
        </w:rPr>
        <w:lastRenderedPageBreak/>
        <w:t>atribución de prestar los servicios de educación básica incluyendo la indígena, inclusiva, así como la normal y demás para la formación docente.</w:t>
      </w: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sz w:val="24"/>
          <w:szCs w:val="24"/>
          <w:lang w:eastAsia="es-ES"/>
        </w:rPr>
        <w:t>Al respecto, la Secretaría de Educación, Ciencia, Tecnología e Innovación, señala entre los objetivos para las Escuelas Normales para el Estado de México, los de formar de manera integral profesionales de la educación básica y media superior, en los niveles de licenciatura, especialidad, maestría y doctorado comprometidos con su comunidad y con responsabilidad social; contribuir al fortalecimiento y la mejora continua de la educación básica y media superior para lograr la inclusión, equidad y excelencia educativa, y desarrollar actividades de investigación, de extensión y de capacitación en las áreas propias de su especialidad, estableciendo procedimientos de coordinación y vinculación con otras instituciones u organismos nacionales e internacionales que contribuyan a la profesionalización de los docentes y al mejoramiento de sus prácticas educativas.</w:t>
      </w: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sz w:val="24"/>
          <w:szCs w:val="24"/>
          <w:lang w:eastAsia="es-ES"/>
        </w:rPr>
        <w:t>En ese sentido, en el Municipio de Otumba con la intención de que opere una Escuela Normal para favorecer a sus jóvenes, a partir del año dos mil veintitrés, habilitó un módulo dependiente de la Escuela Normal de Teotihuacán con Clave de Centro de Trabajo 15ENL0011L, el cual, se instaló en un inmueble, que en su momento fue un Reclusorio para mujeres, ubicado en avenida Eugenio Montaño, Colonia Centro, Municipio de Otumba, Estado de México y, que ha brindado servicios de educación superior durante tres ciclos escolares 2023-2024, 2024-2025 y 2025-2026, con un total de 153 personas alumnas, no obstante, ya no cuenta con las condiciones necesarias y espacio suficiente.</w:t>
      </w: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sz w:val="24"/>
          <w:szCs w:val="24"/>
          <w:lang w:eastAsia="es-ES"/>
        </w:rPr>
        <w:t>Por lo que, con el fin de que dicho centro educativo no se vea afectado y, se continúe la impartición del servicios educativos de las licenciaturas de Educación Preescolar y Primaria, el 19 de septiembre de 2024, mediante oficio 22803002L/5335/2024, la persona Titular de la Dirección General de Educación Normal de la Subsecretaría de Educación Normal y Superior de la Secretaría de Educación, Ciencia, Tecnología e Innovación, solicitó a la Presidencia Municipal de Otumba, la donación de un inmueble con una superficie de hectárea y media, ya que el espacio que ocupa actualmente no es suficiente para recibir nuevas generaciones de estudiantes.</w:t>
      </w: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sz w:val="24"/>
          <w:szCs w:val="24"/>
          <w:lang w:eastAsia="es-ES"/>
        </w:rPr>
        <w:t>Para llevar a cabo dicho proyecto de infraestructura, para que los jóvenes tengan más posibilidades y opciones de educación y para fomentar la transformación social en dicho Municipio, el H. Ayuntamiento de Otumba, durante la Sesión Extraordinaria de Cabildo número cuatro, celebrada el 17 de diciembre de 2025, mediante los acuerdos 158 y 159, aprobó por unanimidad de votos, respecto del inmueble conocido como "Rancho Pabellón", Lote "B", resultado de la subdivisión de predio denominado 3z-1 P 1/1 y una fracción de la parcela 4Z-1 P 1/1, las cuales forman un solo predio del Ejido Rancho el Pabellón, ubicado en calle Ignacio Allende, número 7, Colonia el Pabellón, Municipio de Otumba, Estado de México, con una superficie de 15,003.55 metros cuadrados; la desafectación del servicio público al que estuviere sujeto dicho inmueble, la desincorporación del patrimonio municipal y la donación a favor del Gobierno del Estado de México, para la construcción y operación de una Escuela Normal.</w:t>
      </w: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sz w:val="24"/>
          <w:szCs w:val="24"/>
          <w:lang w:eastAsia="es-ES"/>
        </w:rPr>
        <w:t>Asimismo, el H. Ayuntamiento de Otumba en la Sesión Extraordinaria de Cabildo número siete del 09 de enero de 2026, mediante el acuerdo 173, aprobó por unanimidad de votos, realizar aclaratorias de forma con relación a los puntos de acuerdo tomados en la sesión extraordinaria número cuatro del 17 de diciembre de 2025, respecto del inmueble conocido como "Rancho Pabellón" sujeto a donación a favor del Gobierno del Estado de México.</w:t>
      </w: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sz w:val="24"/>
          <w:szCs w:val="24"/>
          <w:lang w:eastAsia="es-ES"/>
        </w:rPr>
        <w:t xml:space="preserve">El municipio de Otumba, Estado de México, es propietario del inmueble identificado como </w:t>
      </w:r>
      <w:r w:rsidRPr="00CB38AA">
        <w:rPr>
          <w:rFonts w:ascii="Times New Roman" w:eastAsia="Times New Roman" w:hAnsi="Times New Roman" w:cs="Times New Roman"/>
          <w:sz w:val="24"/>
          <w:szCs w:val="24"/>
          <w:lang w:eastAsia="es-ES"/>
        </w:rPr>
        <w:lastRenderedPageBreak/>
        <w:t>"Rancho Pabellón", Lote "B", resultado de la subdivisión de predio denominado 3z-1 P 1/1 y una fracción de la parcela 4Z-1 P 1/1, las cuales forman un solo predio del Ejido Rancho el Pabellón, ubicado en calle Ignacio Allende, número 7, Colonia el Pabellón, Municipio de Otumba, Estado de México, con una superficie de 15,003.55 metros cuadrados, con las siguientes medidas y colindancias:</w:t>
      </w:r>
    </w:p>
    <w:p w:rsidR="003C043E" w:rsidRPr="00CB38AA" w:rsidRDefault="003C043E" w:rsidP="00DF6EEA">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3C043E" w:rsidRPr="00CB38AA" w:rsidRDefault="003C043E" w:rsidP="00DF6EEA">
      <w:pPr>
        <w:widowControl w:val="0"/>
        <w:kinsoku w:val="0"/>
        <w:overflowPunct w:val="0"/>
        <w:spacing w:after="0" w:line="240" w:lineRule="auto"/>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b/>
          <w:bCs/>
          <w:sz w:val="24"/>
          <w:szCs w:val="24"/>
          <w:lang w:eastAsia="es-ES"/>
        </w:rPr>
        <w:t>AL NORTE:</w:t>
      </w:r>
      <w:r w:rsidRPr="00CB38AA">
        <w:rPr>
          <w:rFonts w:ascii="Times New Roman" w:eastAsia="Times New Roman" w:hAnsi="Times New Roman" w:cs="Times New Roman"/>
          <w:b/>
          <w:bCs/>
          <w:sz w:val="24"/>
          <w:szCs w:val="24"/>
          <w:lang w:eastAsia="es-ES"/>
        </w:rPr>
        <w:tab/>
      </w:r>
      <w:r w:rsidR="00B9569C" w:rsidRPr="00CB38AA">
        <w:rPr>
          <w:rFonts w:ascii="Times New Roman" w:eastAsia="Times New Roman" w:hAnsi="Times New Roman" w:cs="Times New Roman"/>
          <w:b/>
          <w:bCs/>
          <w:sz w:val="24"/>
          <w:szCs w:val="24"/>
          <w:lang w:eastAsia="es-ES"/>
        </w:rPr>
        <w:tab/>
      </w:r>
      <w:r w:rsidRPr="00CB38AA">
        <w:rPr>
          <w:rFonts w:ascii="Times New Roman" w:eastAsia="Times New Roman" w:hAnsi="Times New Roman" w:cs="Times New Roman"/>
          <w:sz w:val="24"/>
          <w:szCs w:val="24"/>
          <w:lang w:eastAsia="es-ES"/>
        </w:rPr>
        <w:t>113.58 metros, con lote A.</w:t>
      </w:r>
    </w:p>
    <w:p w:rsidR="003C043E" w:rsidRPr="00CB38AA" w:rsidRDefault="003C043E" w:rsidP="00DF6EEA">
      <w:pPr>
        <w:widowControl w:val="0"/>
        <w:kinsoku w:val="0"/>
        <w:overflowPunct w:val="0"/>
        <w:spacing w:after="0" w:line="240" w:lineRule="auto"/>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b/>
          <w:bCs/>
          <w:sz w:val="24"/>
          <w:szCs w:val="24"/>
          <w:lang w:eastAsia="es-ES"/>
        </w:rPr>
        <w:t>AL SUR:</w:t>
      </w:r>
      <w:r w:rsidRPr="00CB38AA">
        <w:rPr>
          <w:rFonts w:ascii="Times New Roman" w:eastAsia="Times New Roman" w:hAnsi="Times New Roman" w:cs="Times New Roman"/>
          <w:b/>
          <w:bCs/>
          <w:sz w:val="24"/>
          <w:szCs w:val="24"/>
          <w:lang w:eastAsia="es-ES"/>
        </w:rPr>
        <w:tab/>
      </w:r>
      <w:r w:rsidR="00B9569C" w:rsidRPr="00CB38AA">
        <w:rPr>
          <w:rFonts w:ascii="Times New Roman" w:eastAsia="Times New Roman" w:hAnsi="Times New Roman" w:cs="Times New Roman"/>
          <w:b/>
          <w:bCs/>
          <w:sz w:val="24"/>
          <w:szCs w:val="24"/>
          <w:lang w:eastAsia="es-ES"/>
        </w:rPr>
        <w:tab/>
      </w:r>
      <w:r w:rsidRPr="00CB38AA">
        <w:rPr>
          <w:rFonts w:ascii="Times New Roman" w:eastAsia="Times New Roman" w:hAnsi="Times New Roman" w:cs="Times New Roman"/>
          <w:sz w:val="24"/>
          <w:szCs w:val="24"/>
          <w:lang w:eastAsia="es-ES"/>
        </w:rPr>
        <w:t>116.29 metros, con calle Ignacio Allende.</w:t>
      </w:r>
    </w:p>
    <w:p w:rsidR="003C043E" w:rsidRPr="00CB38AA" w:rsidRDefault="003C043E" w:rsidP="00DF6EEA">
      <w:pPr>
        <w:widowControl w:val="0"/>
        <w:kinsoku w:val="0"/>
        <w:overflowPunct w:val="0"/>
        <w:spacing w:after="0" w:line="240" w:lineRule="auto"/>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b/>
          <w:bCs/>
          <w:sz w:val="24"/>
          <w:szCs w:val="24"/>
          <w:lang w:eastAsia="es-ES"/>
        </w:rPr>
        <w:t>AL ORIENTE:</w:t>
      </w:r>
      <w:r w:rsidRPr="00CB38AA">
        <w:rPr>
          <w:rFonts w:ascii="Times New Roman" w:eastAsia="Times New Roman" w:hAnsi="Times New Roman" w:cs="Times New Roman"/>
          <w:b/>
          <w:bCs/>
          <w:sz w:val="24"/>
          <w:szCs w:val="24"/>
          <w:lang w:eastAsia="es-ES"/>
        </w:rPr>
        <w:tab/>
      </w:r>
      <w:r w:rsidRPr="00CB38AA">
        <w:rPr>
          <w:rFonts w:ascii="Times New Roman" w:eastAsia="Times New Roman" w:hAnsi="Times New Roman" w:cs="Times New Roman"/>
          <w:sz w:val="24"/>
          <w:szCs w:val="24"/>
          <w:lang w:eastAsia="es-ES"/>
        </w:rPr>
        <w:t>131.65 metros, con Antonio Miguel Becerril Gil.</w:t>
      </w:r>
    </w:p>
    <w:p w:rsidR="003C043E" w:rsidRPr="00CB38AA" w:rsidRDefault="003C043E" w:rsidP="00DF6EEA">
      <w:pPr>
        <w:widowControl w:val="0"/>
        <w:kinsoku w:val="0"/>
        <w:overflowPunct w:val="0"/>
        <w:spacing w:after="0" w:line="240" w:lineRule="auto"/>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b/>
          <w:bCs/>
          <w:sz w:val="24"/>
          <w:szCs w:val="24"/>
          <w:lang w:eastAsia="es-ES"/>
        </w:rPr>
        <w:t>AL PONIENTE:</w:t>
      </w:r>
      <w:r w:rsidRPr="00CB38AA">
        <w:rPr>
          <w:rFonts w:ascii="Times New Roman" w:eastAsia="Times New Roman" w:hAnsi="Times New Roman" w:cs="Times New Roman"/>
          <w:b/>
          <w:bCs/>
          <w:sz w:val="24"/>
          <w:szCs w:val="24"/>
          <w:lang w:eastAsia="es-ES"/>
        </w:rPr>
        <w:tab/>
      </w:r>
      <w:r w:rsidRPr="00CB38AA">
        <w:rPr>
          <w:rFonts w:ascii="Times New Roman" w:eastAsia="Times New Roman" w:hAnsi="Times New Roman" w:cs="Times New Roman"/>
          <w:sz w:val="24"/>
          <w:szCs w:val="24"/>
          <w:lang w:eastAsia="es-ES"/>
        </w:rPr>
        <w:t>131.65 metros, con Luis Ramírez Rubio.</w:t>
      </w: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sz w:val="24"/>
          <w:szCs w:val="24"/>
          <w:lang w:eastAsia="es-ES"/>
        </w:rPr>
        <w:t>La propiedad de dicho inmueble, se acredita con la Escritura número 162, Volumen 3, Protocolo Especial, del 03 de octubre de 2025, otorgada ante la fe del M. en D. Guillermo A. Franco Espinosa, Titular de la Notaría Pública número 77 del Estado de México, con residencia en el Municipio de Otumba, inscrita en el Instituto de la Función Registral del Estado de México, en la oficina registral de Otumba, bajo el folio real electrónico 00222822, de fecha 13 de octubre de 2025.</w:t>
      </w: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sz w:val="24"/>
          <w:szCs w:val="24"/>
          <w:lang w:eastAsia="es-ES"/>
        </w:rPr>
        <w:t>El Director del Centro INAH Estado de México, a través de los oficios 401.3S.1-2025/4084 y 401.3S.1-2025/4154, del 20 y 27 de noviembre de 2025, respectivamente, señaló que, el inmueble objeto de donación, se encuentra en un área con calidad arqueológica, lo que indica la posible presencia de vestigios en el subsuelo, por lo que, cualquier intención futura de obra, deberá contemplarse el trámite respectivo ante el Instituto; asimismo que, no es monumento histórico, no se ubica en zona de monumentos históricos y, no es colindante a un monumento histórico, por lo que, no tiene valor monumental.</w:t>
      </w: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sz w:val="24"/>
          <w:szCs w:val="24"/>
          <w:lang w:eastAsia="es-ES"/>
        </w:rPr>
        <w:t>En términos del Dictamen de Procedencia, emitido el 07 de enero de 2026 mediante oficio OTU/JCO/252/2025, por el Titular de la Dirección del Área Jurídico Consultiva del Ayuntamiento de Otumba, se consideró que el predio en cuestión cumple con la viabilidad jurídica de desincorporación, por lo que, se puede proceder a realizar las acciones necesarias destinadas a solicitar a la LXII Legislatura del Estado de México la desincorporación y la enajenación a título gratuito para la construcción y operación de una Escuela Normal.</w:t>
      </w: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sz w:val="24"/>
          <w:szCs w:val="24"/>
          <w:lang w:eastAsia="es-ES"/>
        </w:rPr>
        <w:t>Conforme con el Dictamen Técnico con número de expediente OTDU/DIC/001/2026, de fecha 16 de enero de 2026, emitido por la Titular de la Dirección de Desarrollo Urbano del Ayuntamiento de Otumba, se realizó un análisis técnico sobre el predio de mérito, precisando que se encuentra en un entorno predominantemente agrícola y previamente urbanizado sin vegetación natural susceptible de protección, cumple con las condiciones necesarias para albergar un equipamiento de educación y cultura, pues cuenta con la infraestructura urbana (hidráulica, sanitaria y eléctrica) y servicios básicos, no se encuentra en zona de riesgo, tiene accesibilidad y movilidad adecuadas a vías primarias y secundarias y cumple con las normas técnicas de construcción, seguridad y operación educativa, además de que dicha escuela de educación superior será una fuente promotora de empleos; por lo que, determinó compatible y viable la construcción y operación de una Escuela Normal.</w:t>
      </w: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sz w:val="24"/>
          <w:szCs w:val="24"/>
          <w:lang w:eastAsia="es-ES"/>
        </w:rPr>
        <w:t xml:space="preserve">Esta determinación, consideró como base las opiniones favorables emitidas por diversas áreas del Ayuntamiento, a través de los dictámenes e informes siguientes: OTU-ECO/008/E/2026 de la Dirección de Ecología, OTU/OP/007/E/2026 de la Dirección de Obras Públicas, OTU/DM/010/01/2026 de la Dirección de Movilidad, PM/PC/CN/001 de la Dirección de Protección Civil y Bomberos, OTU/EDU/09/01/2026 de la Dirección de Educación y </w:t>
      </w:r>
      <w:r w:rsidRPr="00CB38AA">
        <w:rPr>
          <w:rFonts w:ascii="Times New Roman" w:eastAsia="Times New Roman" w:hAnsi="Times New Roman" w:cs="Times New Roman"/>
          <w:sz w:val="24"/>
          <w:szCs w:val="24"/>
          <w:lang w:eastAsia="es-ES"/>
        </w:rPr>
        <w:lastRenderedPageBreak/>
        <w:t>OTU/084/DDE/25/27 de la Dirección de Desarrollo Económico, las cuales, fueron coincidentes al señalar la viabilidad para la construcción y operación de una Escuela Normal en dicho Municipio.</w:t>
      </w: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sz w:val="24"/>
          <w:szCs w:val="24"/>
          <w:lang w:eastAsia="es-ES"/>
        </w:rPr>
        <w:t>En este orden de ideas, el 21 de enero de 2026, mediante oficio OTU/PM/548/E/2026, el H. Ayuntamiento de Otumba, Estado de México, a través de su Presidencia Municipal Constitucional, se dirigió al Poder Ejecutivo del Estado de México a mi cargo, para ser el conducto ante esa Legislatura, para presentar la Iniciativa de Decreto respectiva.</w:t>
      </w: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sz w:val="24"/>
          <w:szCs w:val="24"/>
          <w:lang w:eastAsia="es-ES"/>
        </w:rPr>
        <w:t>En mérito de lo anterior, someto a consideración de esa Legislatura, la siguiente Iniciativa con proyecto de Decreto, por el que se autoriza al H. Ayuntamiento de Otumba, Estado de México, a desincorporar del patrimonio del municipio, el inmueble identificado como "Rancho Pabellón", Lote "B", ubicado en calle Ignacio Allende, número 7, Colonia el Pabellón, Municipio de Otumba, Estado de México, con una superficie de 15,003.55 metros cuadrados, para que sea donado a título gratuito a favor del Gobierno del Estado de México, con destino a la Secretaría de Educación, Ciencia, Tecnología e Innovación, para realizar las acciones necesarias destinadas a la construcción de una Escuela Normal.</w:t>
      </w:r>
    </w:p>
    <w:p w:rsidR="003C043E" w:rsidRPr="00CB38AA" w:rsidRDefault="003C043E" w:rsidP="00DF6EEA">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F71635" w:rsidRPr="00CB38AA" w:rsidRDefault="00F71635" w:rsidP="00DF6EEA">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3C043E" w:rsidRPr="00CB38AA" w:rsidRDefault="003C043E" w:rsidP="00DF6EEA">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CB38AA">
        <w:rPr>
          <w:rFonts w:ascii="Times New Roman" w:eastAsia="Times New Roman" w:hAnsi="Times New Roman" w:cs="Times New Roman"/>
          <w:b/>
          <w:bCs/>
          <w:sz w:val="24"/>
          <w:szCs w:val="24"/>
          <w:lang w:eastAsia="es-ES"/>
        </w:rPr>
        <w:t>DECRETO NÚMERO</w:t>
      </w:r>
    </w:p>
    <w:p w:rsidR="003C043E" w:rsidRPr="00CB38AA" w:rsidRDefault="003C043E" w:rsidP="00DF6EEA">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CB38AA">
        <w:rPr>
          <w:rFonts w:ascii="Times New Roman" w:eastAsia="Times New Roman" w:hAnsi="Times New Roman" w:cs="Times New Roman"/>
          <w:b/>
          <w:bCs/>
          <w:sz w:val="24"/>
          <w:szCs w:val="24"/>
          <w:lang w:eastAsia="es-ES"/>
        </w:rPr>
        <w:t>LA H. "LXII" LEGISLATURA</w:t>
      </w:r>
    </w:p>
    <w:p w:rsidR="003C043E" w:rsidRPr="00CB38AA" w:rsidRDefault="003C043E" w:rsidP="00DF6EEA">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CB38AA">
        <w:rPr>
          <w:rFonts w:ascii="Times New Roman" w:eastAsia="Times New Roman" w:hAnsi="Times New Roman" w:cs="Times New Roman"/>
          <w:b/>
          <w:bCs/>
          <w:sz w:val="24"/>
          <w:szCs w:val="24"/>
          <w:lang w:eastAsia="es-ES"/>
        </w:rPr>
        <w:t>DEL ESTADO DE MÉXICO</w:t>
      </w:r>
    </w:p>
    <w:p w:rsidR="003C043E" w:rsidRPr="00CB38AA" w:rsidRDefault="003C043E" w:rsidP="00DF6EEA">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r w:rsidRPr="00CB38AA">
        <w:rPr>
          <w:rFonts w:ascii="Times New Roman" w:eastAsia="Times New Roman" w:hAnsi="Times New Roman" w:cs="Times New Roman"/>
          <w:b/>
          <w:bCs/>
          <w:sz w:val="24"/>
          <w:szCs w:val="24"/>
          <w:lang w:eastAsia="es-ES"/>
        </w:rPr>
        <w:t>DECRETA:</w:t>
      </w: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b/>
          <w:bCs/>
          <w:sz w:val="24"/>
          <w:szCs w:val="24"/>
          <w:lang w:eastAsia="es-ES"/>
        </w:rPr>
        <w:t xml:space="preserve">ARTÍCULO PRIMERO. </w:t>
      </w:r>
      <w:r w:rsidRPr="00CB38AA">
        <w:rPr>
          <w:rFonts w:ascii="Times New Roman" w:eastAsia="Times New Roman" w:hAnsi="Times New Roman" w:cs="Times New Roman"/>
          <w:sz w:val="24"/>
          <w:szCs w:val="24"/>
          <w:lang w:eastAsia="es-ES"/>
        </w:rPr>
        <w:t>Se autoriza la desincorporación del patrimonio del H. Ayuntamiento de Otumba, Estado de México, del inmueble identificado como "Rancho Pabellón", Lote "B", resultado de la subdivisión de predio denominado 3z-1 P 1/1 y una fracción de la parcela 4Z-1 P 1/1, las cuales forman un solo predio del Ejido Rancho el Pabellón, ubicado en calle Ignacio Allende, número 7, Colonia el Pabellón, Municipio de Otumba, Estado de México, con una superficie de 15,003.55 metros cuadrados, con las siguientes medidas y colindancias:</w:t>
      </w:r>
    </w:p>
    <w:p w:rsidR="003C043E" w:rsidRPr="00CB38AA" w:rsidRDefault="003C043E" w:rsidP="00DF6EEA">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3C043E" w:rsidRPr="00CB38AA" w:rsidRDefault="003C043E" w:rsidP="00DF6EEA">
      <w:pPr>
        <w:widowControl w:val="0"/>
        <w:kinsoku w:val="0"/>
        <w:overflowPunct w:val="0"/>
        <w:spacing w:after="0" w:line="240" w:lineRule="auto"/>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b/>
          <w:bCs/>
          <w:sz w:val="24"/>
          <w:szCs w:val="24"/>
          <w:lang w:eastAsia="es-ES"/>
        </w:rPr>
        <w:t>AL NORTE:</w:t>
      </w:r>
      <w:r w:rsidRPr="00CB38AA">
        <w:rPr>
          <w:rFonts w:ascii="Times New Roman" w:eastAsia="Times New Roman" w:hAnsi="Times New Roman" w:cs="Times New Roman"/>
          <w:b/>
          <w:bCs/>
          <w:sz w:val="24"/>
          <w:szCs w:val="24"/>
          <w:lang w:eastAsia="es-ES"/>
        </w:rPr>
        <w:tab/>
      </w:r>
      <w:r w:rsidR="00CC4EF0" w:rsidRPr="00CB38AA">
        <w:rPr>
          <w:rFonts w:ascii="Times New Roman" w:eastAsia="Times New Roman" w:hAnsi="Times New Roman" w:cs="Times New Roman"/>
          <w:b/>
          <w:bCs/>
          <w:sz w:val="24"/>
          <w:szCs w:val="24"/>
          <w:lang w:eastAsia="es-ES"/>
        </w:rPr>
        <w:tab/>
      </w:r>
      <w:r w:rsidR="00B9569C" w:rsidRPr="00CB38AA">
        <w:rPr>
          <w:rFonts w:ascii="Times New Roman" w:eastAsia="Times New Roman" w:hAnsi="Times New Roman" w:cs="Times New Roman"/>
          <w:b/>
          <w:bCs/>
          <w:sz w:val="24"/>
          <w:szCs w:val="24"/>
          <w:lang w:eastAsia="es-ES"/>
        </w:rPr>
        <w:tab/>
      </w:r>
      <w:r w:rsidRPr="00CB38AA">
        <w:rPr>
          <w:rFonts w:ascii="Times New Roman" w:eastAsia="Times New Roman" w:hAnsi="Times New Roman" w:cs="Times New Roman"/>
          <w:sz w:val="24"/>
          <w:szCs w:val="24"/>
          <w:lang w:eastAsia="es-ES"/>
        </w:rPr>
        <w:t>113.58 metros, con lote A.</w:t>
      </w:r>
    </w:p>
    <w:p w:rsidR="003C043E" w:rsidRPr="00CB38AA" w:rsidRDefault="003C043E" w:rsidP="00DF6EEA">
      <w:pPr>
        <w:widowControl w:val="0"/>
        <w:kinsoku w:val="0"/>
        <w:overflowPunct w:val="0"/>
        <w:spacing w:after="0" w:line="240" w:lineRule="auto"/>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b/>
          <w:bCs/>
          <w:sz w:val="24"/>
          <w:szCs w:val="24"/>
          <w:lang w:eastAsia="es-ES"/>
        </w:rPr>
        <w:t>AL SUR:</w:t>
      </w:r>
      <w:r w:rsidRPr="00CB38AA">
        <w:rPr>
          <w:rFonts w:ascii="Times New Roman" w:eastAsia="Times New Roman" w:hAnsi="Times New Roman" w:cs="Times New Roman"/>
          <w:b/>
          <w:bCs/>
          <w:sz w:val="24"/>
          <w:szCs w:val="24"/>
          <w:lang w:eastAsia="es-ES"/>
        </w:rPr>
        <w:tab/>
      </w:r>
      <w:r w:rsidR="00CC4EF0" w:rsidRPr="00CB38AA">
        <w:rPr>
          <w:rFonts w:ascii="Times New Roman" w:eastAsia="Times New Roman" w:hAnsi="Times New Roman" w:cs="Times New Roman"/>
          <w:b/>
          <w:bCs/>
          <w:sz w:val="24"/>
          <w:szCs w:val="24"/>
          <w:lang w:eastAsia="es-ES"/>
        </w:rPr>
        <w:tab/>
      </w:r>
      <w:r w:rsidR="00B9569C" w:rsidRPr="00CB38AA">
        <w:rPr>
          <w:rFonts w:ascii="Times New Roman" w:eastAsia="Times New Roman" w:hAnsi="Times New Roman" w:cs="Times New Roman"/>
          <w:b/>
          <w:bCs/>
          <w:sz w:val="24"/>
          <w:szCs w:val="24"/>
          <w:lang w:eastAsia="es-ES"/>
        </w:rPr>
        <w:tab/>
      </w:r>
      <w:r w:rsidRPr="00CB38AA">
        <w:rPr>
          <w:rFonts w:ascii="Times New Roman" w:eastAsia="Times New Roman" w:hAnsi="Times New Roman" w:cs="Times New Roman"/>
          <w:sz w:val="24"/>
          <w:szCs w:val="24"/>
          <w:lang w:eastAsia="es-ES"/>
        </w:rPr>
        <w:t>116.29 metros, con calle Ignacio Allende.</w:t>
      </w:r>
    </w:p>
    <w:p w:rsidR="003C043E" w:rsidRPr="00CB38AA" w:rsidRDefault="003C043E" w:rsidP="00DF6EEA">
      <w:pPr>
        <w:widowControl w:val="0"/>
        <w:kinsoku w:val="0"/>
        <w:overflowPunct w:val="0"/>
        <w:spacing w:after="0" w:line="240" w:lineRule="auto"/>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b/>
          <w:bCs/>
          <w:sz w:val="24"/>
          <w:szCs w:val="24"/>
          <w:lang w:eastAsia="es-ES"/>
        </w:rPr>
        <w:t>AL ORIENTE:</w:t>
      </w:r>
      <w:r w:rsidRPr="00CB38AA">
        <w:rPr>
          <w:rFonts w:ascii="Times New Roman" w:eastAsia="Times New Roman" w:hAnsi="Times New Roman" w:cs="Times New Roman"/>
          <w:b/>
          <w:bCs/>
          <w:sz w:val="24"/>
          <w:szCs w:val="24"/>
          <w:lang w:eastAsia="es-ES"/>
        </w:rPr>
        <w:tab/>
      </w:r>
      <w:r w:rsidR="00CC4EF0" w:rsidRPr="00CB38AA">
        <w:rPr>
          <w:rFonts w:ascii="Times New Roman" w:eastAsia="Times New Roman" w:hAnsi="Times New Roman" w:cs="Times New Roman"/>
          <w:b/>
          <w:bCs/>
          <w:sz w:val="24"/>
          <w:szCs w:val="24"/>
          <w:lang w:eastAsia="es-ES"/>
        </w:rPr>
        <w:tab/>
      </w:r>
      <w:r w:rsidRPr="00CB38AA">
        <w:rPr>
          <w:rFonts w:ascii="Times New Roman" w:eastAsia="Times New Roman" w:hAnsi="Times New Roman" w:cs="Times New Roman"/>
          <w:sz w:val="24"/>
          <w:szCs w:val="24"/>
          <w:lang w:eastAsia="es-ES"/>
        </w:rPr>
        <w:t>131.65 metros, con Antonio Miguel Becerril Gil.</w:t>
      </w:r>
    </w:p>
    <w:p w:rsidR="003C043E" w:rsidRPr="00CB38AA" w:rsidRDefault="003C043E" w:rsidP="00DF6EEA">
      <w:pPr>
        <w:widowControl w:val="0"/>
        <w:kinsoku w:val="0"/>
        <w:overflowPunct w:val="0"/>
        <w:spacing w:after="0" w:line="240" w:lineRule="auto"/>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b/>
          <w:bCs/>
          <w:sz w:val="24"/>
          <w:szCs w:val="24"/>
          <w:lang w:eastAsia="es-ES"/>
        </w:rPr>
        <w:t>AL PONIENTE:</w:t>
      </w:r>
      <w:r w:rsidRPr="00CB38AA">
        <w:rPr>
          <w:rFonts w:ascii="Times New Roman" w:eastAsia="Times New Roman" w:hAnsi="Times New Roman" w:cs="Times New Roman"/>
          <w:b/>
          <w:bCs/>
          <w:sz w:val="24"/>
          <w:szCs w:val="24"/>
          <w:lang w:eastAsia="es-ES"/>
        </w:rPr>
        <w:tab/>
      </w:r>
      <w:r w:rsidR="00CC4EF0" w:rsidRPr="00CB38AA">
        <w:rPr>
          <w:rFonts w:ascii="Times New Roman" w:eastAsia="Times New Roman" w:hAnsi="Times New Roman" w:cs="Times New Roman"/>
          <w:b/>
          <w:bCs/>
          <w:sz w:val="24"/>
          <w:szCs w:val="24"/>
          <w:lang w:eastAsia="es-ES"/>
        </w:rPr>
        <w:tab/>
      </w:r>
      <w:r w:rsidRPr="00CB38AA">
        <w:rPr>
          <w:rFonts w:ascii="Times New Roman" w:eastAsia="Times New Roman" w:hAnsi="Times New Roman" w:cs="Times New Roman"/>
          <w:sz w:val="24"/>
          <w:szCs w:val="24"/>
          <w:lang w:eastAsia="es-ES"/>
        </w:rPr>
        <w:t>131.65 metros, con Luis Ramírez Rubio.</w:t>
      </w: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b/>
          <w:bCs/>
          <w:sz w:val="24"/>
          <w:szCs w:val="24"/>
          <w:lang w:eastAsia="es-ES"/>
        </w:rPr>
        <w:t xml:space="preserve">ARTÍCULO SEGUNDO. </w:t>
      </w:r>
      <w:r w:rsidRPr="00CB38AA">
        <w:rPr>
          <w:rFonts w:ascii="Times New Roman" w:eastAsia="Times New Roman" w:hAnsi="Times New Roman" w:cs="Times New Roman"/>
          <w:sz w:val="24"/>
          <w:szCs w:val="24"/>
          <w:lang w:eastAsia="es-ES"/>
        </w:rPr>
        <w:t>Se autoriza al H. Ayuntamiento de Otumba, Estado de México, a donar a título gratuito el inmueble a que hace referencia el artículo anterior, a favor del Gobierno del Estado de México, con destino a la Secretaría de Educación, Ciencia, Tecnología e Innovación, para realizar las acciones necesarias destinadas a la construcción de una Escuela Normal.</w:t>
      </w: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b/>
          <w:bCs/>
          <w:sz w:val="24"/>
          <w:szCs w:val="24"/>
          <w:lang w:eastAsia="es-ES"/>
        </w:rPr>
        <w:t xml:space="preserve">ARTÍCULO TERCERO. </w:t>
      </w:r>
      <w:r w:rsidRPr="00CB38AA">
        <w:rPr>
          <w:rFonts w:ascii="Times New Roman" w:eastAsia="Times New Roman" w:hAnsi="Times New Roman" w:cs="Times New Roman"/>
          <w:sz w:val="24"/>
          <w:szCs w:val="24"/>
          <w:lang w:eastAsia="es-ES"/>
        </w:rPr>
        <w:t>La donación del predio estará condicionada a que no se cambie el uso y destino que motivó su autorización. En caso contrario, revertirá a favor del patrimonio del H. Ayuntamiento de Otumba, Estado de México.</w:t>
      </w:r>
    </w:p>
    <w:p w:rsidR="003C043E" w:rsidRPr="00CB38AA" w:rsidRDefault="003C043E" w:rsidP="00DF6EE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p>
    <w:p w:rsidR="003C043E" w:rsidRPr="00CB38AA" w:rsidRDefault="003C043E" w:rsidP="00DF6EE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CB38AA">
        <w:rPr>
          <w:rFonts w:ascii="Times New Roman" w:eastAsia="Times New Roman" w:hAnsi="Times New Roman" w:cs="Times New Roman"/>
          <w:b/>
          <w:bCs/>
          <w:sz w:val="24"/>
          <w:szCs w:val="24"/>
          <w:lang w:eastAsia="es-ES"/>
        </w:rPr>
        <w:t>TRANSITORIOS</w:t>
      </w:r>
    </w:p>
    <w:p w:rsidR="003C043E" w:rsidRPr="00CB38AA" w:rsidRDefault="003C043E" w:rsidP="00DF6EEA">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b/>
          <w:bCs/>
          <w:sz w:val="24"/>
          <w:szCs w:val="24"/>
          <w:lang w:eastAsia="es-ES"/>
        </w:rPr>
        <w:t xml:space="preserve">PRIMERO. </w:t>
      </w:r>
      <w:r w:rsidRPr="00CB38AA">
        <w:rPr>
          <w:rFonts w:ascii="Times New Roman" w:eastAsia="Times New Roman" w:hAnsi="Times New Roman" w:cs="Times New Roman"/>
          <w:sz w:val="24"/>
          <w:szCs w:val="24"/>
          <w:lang w:eastAsia="es-ES"/>
        </w:rPr>
        <w:t>Publíquese el presente Decreto en el Periódico Oficial "Gaceta del Gobierno".</w:t>
      </w: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b/>
          <w:bCs/>
          <w:sz w:val="24"/>
          <w:szCs w:val="24"/>
          <w:lang w:eastAsia="es-ES"/>
        </w:rPr>
      </w:pP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b/>
          <w:bCs/>
          <w:sz w:val="24"/>
          <w:szCs w:val="24"/>
          <w:lang w:eastAsia="es-ES"/>
        </w:rPr>
        <w:t xml:space="preserve">SEGUNDO. </w:t>
      </w:r>
      <w:r w:rsidRPr="00CB38AA">
        <w:rPr>
          <w:rFonts w:ascii="Times New Roman" w:eastAsia="Times New Roman" w:hAnsi="Times New Roman" w:cs="Times New Roman"/>
          <w:sz w:val="24"/>
          <w:szCs w:val="24"/>
          <w:lang w:eastAsia="es-ES"/>
        </w:rPr>
        <w:t xml:space="preserve">El presente Decreto entrará en vigor al día siguiente de su publicación en el Periódico </w:t>
      </w:r>
      <w:r w:rsidRPr="00CB38AA">
        <w:rPr>
          <w:rFonts w:ascii="Times New Roman" w:eastAsia="Times New Roman" w:hAnsi="Times New Roman" w:cs="Times New Roman"/>
          <w:sz w:val="24"/>
          <w:szCs w:val="24"/>
          <w:lang w:eastAsia="es-ES"/>
        </w:rPr>
        <w:lastRenderedPageBreak/>
        <w:t>Oficial "Gaceta del Gobierno".</w:t>
      </w: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sz w:val="24"/>
          <w:szCs w:val="24"/>
          <w:lang w:eastAsia="es-ES"/>
        </w:rPr>
        <w:t>Reitero a usted, la seguridad de mi atenta y distinguida consideración.</w:t>
      </w: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p>
    <w:p w:rsidR="003C043E" w:rsidRPr="00CB38AA" w:rsidRDefault="003C043E" w:rsidP="00DF6EEA">
      <w:pPr>
        <w:widowControl w:val="0"/>
        <w:kinsoku w:val="0"/>
        <w:overflowPunct w:val="0"/>
        <w:spacing w:after="0" w:line="240" w:lineRule="auto"/>
        <w:jc w:val="both"/>
        <w:textAlignment w:val="baseline"/>
        <w:rPr>
          <w:rFonts w:ascii="Times New Roman" w:eastAsia="Times New Roman" w:hAnsi="Times New Roman" w:cs="Times New Roman"/>
          <w:sz w:val="24"/>
          <w:szCs w:val="24"/>
          <w:lang w:eastAsia="es-ES"/>
        </w:rPr>
      </w:pPr>
      <w:r w:rsidRPr="00CB38AA">
        <w:rPr>
          <w:rFonts w:ascii="Times New Roman" w:eastAsia="Times New Roman" w:hAnsi="Times New Roman" w:cs="Times New Roman"/>
          <w:sz w:val="24"/>
          <w:szCs w:val="24"/>
          <w:lang w:eastAsia="es-ES"/>
        </w:rPr>
        <w:t>Palacio del Poder Ejecutivo, en la Ciudad de Toluca, capital del Estado de México, a los 30 días del mes de enero del año 2026.</w:t>
      </w:r>
    </w:p>
    <w:p w:rsidR="003C043E" w:rsidRPr="00CB38AA" w:rsidRDefault="003C043E" w:rsidP="00DF6EEA">
      <w:pPr>
        <w:widowControl w:val="0"/>
        <w:kinsoku w:val="0"/>
        <w:overflowPunct w:val="0"/>
        <w:spacing w:after="0" w:line="240" w:lineRule="auto"/>
        <w:textAlignment w:val="baseline"/>
        <w:rPr>
          <w:rFonts w:ascii="Times New Roman" w:eastAsia="Times New Roman" w:hAnsi="Times New Roman" w:cs="Times New Roman"/>
          <w:b/>
          <w:bCs/>
          <w:sz w:val="24"/>
          <w:szCs w:val="24"/>
          <w:lang w:eastAsia="es-ES"/>
        </w:rPr>
      </w:pPr>
    </w:p>
    <w:p w:rsidR="003C043E" w:rsidRPr="00CB38AA" w:rsidRDefault="003C043E" w:rsidP="00DF6EE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CB38AA">
        <w:rPr>
          <w:rFonts w:ascii="Times New Roman" w:eastAsia="Times New Roman" w:hAnsi="Times New Roman" w:cs="Times New Roman"/>
          <w:b/>
          <w:bCs/>
          <w:sz w:val="24"/>
          <w:szCs w:val="24"/>
          <w:lang w:eastAsia="es-ES"/>
        </w:rPr>
        <w:t>La Gobernadora Constitucional</w:t>
      </w:r>
    </w:p>
    <w:p w:rsidR="003C043E" w:rsidRPr="00CB38AA" w:rsidRDefault="003C043E" w:rsidP="00DF6EEA">
      <w:pPr>
        <w:widowControl w:val="0"/>
        <w:kinsoku w:val="0"/>
        <w:overflowPunct w:val="0"/>
        <w:spacing w:after="0" w:line="240" w:lineRule="auto"/>
        <w:jc w:val="center"/>
        <w:textAlignment w:val="baseline"/>
        <w:rPr>
          <w:rFonts w:ascii="Times New Roman" w:eastAsia="Times New Roman" w:hAnsi="Times New Roman" w:cs="Times New Roman"/>
          <w:b/>
          <w:bCs/>
          <w:sz w:val="24"/>
          <w:szCs w:val="24"/>
          <w:lang w:eastAsia="es-ES"/>
        </w:rPr>
      </w:pPr>
      <w:r w:rsidRPr="00CB38AA">
        <w:rPr>
          <w:rFonts w:ascii="Times New Roman" w:eastAsia="Times New Roman" w:hAnsi="Times New Roman" w:cs="Times New Roman"/>
          <w:b/>
          <w:bCs/>
          <w:sz w:val="24"/>
          <w:szCs w:val="24"/>
          <w:lang w:eastAsia="es-ES"/>
        </w:rPr>
        <w:t>del Estado de México</w:t>
      </w:r>
    </w:p>
    <w:p w:rsidR="003C043E" w:rsidRPr="00CB38AA" w:rsidRDefault="003C043E" w:rsidP="00DF6EEA">
      <w:pPr>
        <w:widowControl w:val="0"/>
        <w:kinsoku w:val="0"/>
        <w:overflowPunct w:val="0"/>
        <w:spacing w:after="0" w:line="240" w:lineRule="auto"/>
        <w:jc w:val="center"/>
        <w:textAlignment w:val="baseline"/>
        <w:rPr>
          <w:rFonts w:ascii="Times New Roman" w:eastAsia="Times New Roman" w:hAnsi="Times New Roman" w:cs="Times New Roman"/>
          <w:sz w:val="24"/>
          <w:szCs w:val="24"/>
          <w:lang w:eastAsia="es-MX"/>
        </w:rPr>
      </w:pPr>
      <w:r w:rsidRPr="00CB38AA">
        <w:rPr>
          <w:rFonts w:ascii="Times New Roman" w:eastAsia="Times New Roman" w:hAnsi="Times New Roman" w:cs="Times New Roman"/>
          <w:b/>
          <w:bCs/>
          <w:sz w:val="24"/>
          <w:szCs w:val="24"/>
          <w:lang w:eastAsia="es-ES"/>
        </w:rPr>
        <w:t>Mtra. Delfina Gómez Álvarez</w:t>
      </w:r>
    </w:p>
    <w:p w:rsidR="00580323" w:rsidRPr="00CB38AA" w:rsidRDefault="00580323" w:rsidP="00DF6EEA">
      <w:pPr>
        <w:spacing w:after="0" w:line="240" w:lineRule="auto"/>
        <w:jc w:val="center"/>
        <w:rPr>
          <w:rFonts w:ascii="Times New Roman" w:hAnsi="Times New Roman" w:cs="Times New Roman"/>
          <w:sz w:val="24"/>
          <w:szCs w:val="24"/>
        </w:rPr>
      </w:pPr>
    </w:p>
    <w:p w:rsidR="00580323" w:rsidRPr="00CB38AA" w:rsidRDefault="00580323" w:rsidP="00DF6EEA">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(Fin del documento)</w:t>
      </w:r>
    </w:p>
    <w:p w:rsidR="00580323" w:rsidRPr="00CB38AA" w:rsidRDefault="00580323" w:rsidP="00DF6EEA">
      <w:pPr>
        <w:spacing w:after="0" w:line="240" w:lineRule="auto"/>
        <w:jc w:val="center"/>
        <w:rPr>
          <w:rFonts w:ascii="Times New Roman" w:hAnsi="Times New Roman" w:cs="Times New Roman"/>
          <w:sz w:val="24"/>
          <w:szCs w:val="24"/>
        </w:rPr>
      </w:pPr>
    </w:p>
    <w:p w:rsidR="00B41698" w:rsidRPr="00CB38AA" w:rsidRDefault="00B41698"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PRESIDENTA DIP. MARTHA AZUCENA CAMACHO REYNOSO. Gracias diputada Lilia Urbina Salazar.</w:t>
      </w:r>
    </w:p>
    <w:p w:rsidR="00B41698" w:rsidRPr="00CB38AA" w:rsidRDefault="00B41698"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Con base en el artículo 55 de la Constitución Política del Estado Libre y Soberano de México, someto a la aprobación de la Legislatura, la propuesta de dispensa del trámite de dictamen de la iniciativa y abro la discusión de la propuesta de dispensa del trámite de dictamen y consulto ¿Si alguien desea hacer uso de la palabra?</w:t>
      </w:r>
    </w:p>
    <w:p w:rsidR="00B41698" w:rsidRPr="00CB38AA" w:rsidRDefault="00B41698"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 xml:space="preserve">Pido a quienes estén por la aprobatoria de la dispensa del trámite de dictamen, se sirva levantar la mano ¿En contra? ¿En abstención? </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 xml:space="preserve">Pido a quienes estén por la aprobatoria de la dispensa del trámite de dictamen, se sirva levantar la mano ¿En contra? ¿En abstención? </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SECRETARIO DIP. EDGAR SAMUEL RÍOS MORENO. Ha sido aprobada por unanimidad de votos.</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PRESIDENTA DIP. MARTHA AZUCENA CAMACHO REYNOSO. Gracias Secretario.</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Abro la discusión en lo general de la iniciativa de decreto y pregunto si alguien desea hacer uso de la palabra; en votación nominal consulto si es de aprobarse en lo general la iniciativa de decreto y pido a la Secretaría abra el sistema de votación hasta por dos minutos, si alguien desea separar algún artículo para su discusión en lo particular, sírvase comentarlo.</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SECRETARIO DIP. EDGAR S</w:t>
      </w:r>
      <w:r w:rsidR="002B3F87" w:rsidRPr="00CB38AA">
        <w:rPr>
          <w:rFonts w:ascii="Times New Roman" w:hAnsi="Times New Roman" w:cs="Times New Roman"/>
          <w:sz w:val="24"/>
          <w:szCs w:val="24"/>
        </w:rPr>
        <w:t>A</w:t>
      </w:r>
      <w:r w:rsidRPr="00CB38AA">
        <w:rPr>
          <w:rFonts w:ascii="Times New Roman" w:hAnsi="Times New Roman" w:cs="Times New Roman"/>
          <w:sz w:val="24"/>
          <w:szCs w:val="24"/>
        </w:rPr>
        <w:t>MUEL RÍOS MORENO. Ábrase el sistema de votación hasta por dos minutos.</w:t>
      </w:r>
    </w:p>
    <w:p w:rsidR="00A35DFE" w:rsidRPr="00CB38AA" w:rsidRDefault="00A35DFE" w:rsidP="00DF6EEA">
      <w:pPr>
        <w:pStyle w:val="Sinespaciado"/>
        <w:jc w:val="center"/>
        <w:rPr>
          <w:rFonts w:ascii="Times New Roman" w:hAnsi="Times New Roman" w:cs="Times New Roman"/>
          <w:i/>
          <w:sz w:val="24"/>
          <w:szCs w:val="24"/>
        </w:rPr>
      </w:pPr>
      <w:r w:rsidRPr="00CB38AA">
        <w:rPr>
          <w:rFonts w:ascii="Times New Roman" w:hAnsi="Times New Roman" w:cs="Times New Roman"/>
          <w:i/>
          <w:sz w:val="24"/>
          <w:szCs w:val="24"/>
        </w:rPr>
        <w:t>(Votación nominal)</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SECRETARIO DIP. EDGAR S</w:t>
      </w:r>
      <w:r w:rsidR="002B3F87" w:rsidRPr="00CB38AA">
        <w:rPr>
          <w:rFonts w:ascii="Times New Roman" w:hAnsi="Times New Roman" w:cs="Times New Roman"/>
          <w:sz w:val="24"/>
          <w:szCs w:val="24"/>
        </w:rPr>
        <w:t>A</w:t>
      </w:r>
      <w:r w:rsidRPr="00CB38AA">
        <w:rPr>
          <w:rFonts w:ascii="Times New Roman" w:hAnsi="Times New Roman" w:cs="Times New Roman"/>
          <w:sz w:val="24"/>
          <w:szCs w:val="24"/>
        </w:rPr>
        <w:t xml:space="preserve">MUEL RÍOS MORENO. ¿Falta alguien de emitir su voto? </w:t>
      </w:r>
    </w:p>
    <w:p w:rsidR="00A35DFE" w:rsidRPr="00CB38AA" w:rsidRDefault="00A35DFE" w:rsidP="00DF6EEA">
      <w:pPr>
        <w:pStyle w:val="Sinespaciado"/>
        <w:ind w:firstLine="709"/>
        <w:jc w:val="both"/>
        <w:rPr>
          <w:rFonts w:ascii="Times New Roman" w:hAnsi="Times New Roman" w:cs="Times New Roman"/>
          <w:sz w:val="24"/>
          <w:szCs w:val="24"/>
        </w:rPr>
      </w:pPr>
      <w:r w:rsidRPr="00CB38AA">
        <w:rPr>
          <w:rFonts w:ascii="Times New Roman" w:hAnsi="Times New Roman" w:cs="Times New Roman"/>
          <w:sz w:val="24"/>
          <w:szCs w:val="24"/>
        </w:rPr>
        <w:t>Le informo Presidenta que la iniciativa de decreto ha sido aprobada por unanimidad de votos.</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 xml:space="preserve">PRESIDENTA DIP. MARTHA AZUCENA CAMACHO REYNOSO. Gracias Secretario.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Se tienen por aprobada en lo general la iniciativa de decreto, estimando que no se separaron artículos para su discusión particular, se declara su aprobatoria en lo particular.</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En cuanto al punto número 5, la diputada Vicepresidenta Sara Alicia Ramírez de la O, leerá la Iniciativa con Proyecto de Decreto que adiciona los artículos 1.5 Bis al 1.5 Quater del Código Civil del Estado de México para regular la nulidad de juicio concluido presentada por el Presidente del Tribunal Superior de Justicia del Estado de México.</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VICEPRESIDENTA DIP. SARA ALICIA RAMÍREZ DE LA O. Con su permiso Presidenta, Compañeros diputados</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DIP. MARTHA AZUCENA CAMACHO REYNOSO</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PRESIDENTA DE LA MESA DIRECTIVA</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DE LA LXII LEGISLATURA</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DEL ESTADO DE MÉXICO</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lastRenderedPageBreak/>
        <w:t>PRESENTE.</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Magistrado Doctor Héctor Macedo García, en mi carácter de Presidente del Tribunal Superior de Justicia del Estado de México y en ejercicio de las facultades que me confieren los artículos 51 de la Constitución Política del Estado Libre y Soberano de México, 1 inciso b), 15 fracción I y 95 fracción II de la Ley Orgánica del Poder Judicial del Estado de México; se somete a la consideración de esa H. Legislatura, por su digno conducto, la presente Iniciativa con Proyecto de Decreto que adiciona los artículos 1.5 Bis al 1.5 Quater del Código Civil del Estado de México, para regular la nulidad de juicio concluido. Proyecto que fue aprobado por el Pleno del Tribunal Superior de Justicia del Estado de México, en sesión ordinaria celebrada el veintiséis de enero del veintiséis, con base en la siguiente:</w:t>
      </w:r>
    </w:p>
    <w:p w:rsidR="00A35DFE" w:rsidRPr="00CB38AA" w:rsidRDefault="00A35DFE" w:rsidP="00DF6EEA">
      <w:pPr>
        <w:pStyle w:val="Sinespaciado"/>
        <w:jc w:val="center"/>
        <w:rPr>
          <w:rFonts w:ascii="Times New Roman" w:hAnsi="Times New Roman" w:cs="Times New Roman"/>
          <w:sz w:val="24"/>
          <w:szCs w:val="24"/>
        </w:rPr>
      </w:pPr>
      <w:r w:rsidRPr="00CB38AA">
        <w:rPr>
          <w:rFonts w:ascii="Times New Roman" w:hAnsi="Times New Roman" w:cs="Times New Roman"/>
          <w:sz w:val="24"/>
          <w:szCs w:val="24"/>
        </w:rPr>
        <w:t>EXPOSICIÓN DE MOTIVOS</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El Poder Judicial del Estado de México vive momentos de transformación profunda, que se reflejan en una elevada exigencia de responsabilidad para cada uno de sus servidores públicos y órganos jurisdiccionales.</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La función de impartir Justicia es una de las tareas más delicadas y relevantes del Estado mexicano; en ella se deposita buena parte de la confianza de la ciudadanía frente a las instituciones.</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Es innegable que existe una deuda histórica con la sociedad en materia de acceso a la justicia; sin embargo, también es cierto que el Poder Judicial del Estado de México, se ha caracterizado por su vocación de servicio, disciplina institucional y entrega al pueblo mexiquense.</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Al interior del Poder Judicial se han concretado importantes esfuerzos de modernización administrativa y jurisdiccional, mejora de procesos internos, incorporación de herramientas tecnológicas, profesionalización continua del personal y fortalecimiento de criterios jurisdiccionales, no obstante, la percepción social sobre la justicia no siempre avanza al mismo ritmo que estas mejoras. Parte de esa distancia se explica porque la comunicación entre los tribunales y la población no es sencilla, el lenguaje jurídico es complejo, los procesos suelen ser técnicos y especializados y el estudio que exige la función jurisdiccional puede generar, sin quererlo, una sensación de lejanía; pese a ello, es evidente el orden, la seriedad y la responsabilidad con la que se trabaja al interior del Poder Judicial del Estado de México. La preocupación permanente es la misma servir con honestidad y resolver con justicia, para lograrlo no basta con la voluntad, es imprescindible contar con procesos claros, transparentes y eficaces, regulados en normas actualizadas y acordes con las necesidades actuales de la población, en ese contexto, resulta especialmente relevante la jurisprudencia publicada el viernes 8 de agosto de 2025 en el Semanario Judicial de la Federación, identificado con el Registro digital 2030778 emitida por el Pleno de la Suprema Corte de Justicia de la Nación, cuyo rubro es acción de nulidad de juicio concluido, es improcedente cuando la legislación procesal no la prevé, inclusive bajo el supuesto de proceso fraudulento.</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Dicho criterio jurisdiccional tiene su origen en la sentencia dictada en la contradicción de criterios 393/2023, donde el Pleno de la Suprema Corte de Justicia de la Nación sostuvo de manera clara la improcedencia de la acción de nulidad respecto de un juicio ya concluido, aun cuando se alegue que este fue simulado o de origen fraudulento; si la legislación procesal aplicable no contempla expresamente dicha figura.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A partir del análisis de esos criterios y considerando que tanto la primera como la Segunda Sala de la Suprema Corte de Justicia de la Nación examinaron cuerpos normativos en los que la acción de nulidad de juicio concluido no se encontró expresamente contemplad, el Pleno de nuestro máximo tribunal  abordó la pregunta, es procedente la acción de nulidad de un juicio concluido cuando la legislación procesal correspondiente no la regula, concluyendo en sentido negativo por las siguientes razones:</w:t>
      </w:r>
    </w:p>
    <w:p w:rsidR="00A35DFE" w:rsidRPr="00CB38AA" w:rsidRDefault="00A35DFE" w:rsidP="00DF6EEA">
      <w:pPr>
        <w:pStyle w:val="Sinespaciado"/>
        <w:ind w:firstLine="709"/>
        <w:jc w:val="both"/>
        <w:rPr>
          <w:rFonts w:ascii="Times New Roman" w:hAnsi="Times New Roman" w:cs="Times New Roman"/>
          <w:sz w:val="24"/>
          <w:szCs w:val="24"/>
        </w:rPr>
      </w:pPr>
      <w:r w:rsidRPr="00CB38AA">
        <w:rPr>
          <w:rFonts w:ascii="Times New Roman" w:hAnsi="Times New Roman" w:cs="Times New Roman"/>
          <w:sz w:val="24"/>
          <w:szCs w:val="24"/>
        </w:rPr>
        <w:t xml:space="preserve">1. La ausencia de una norma expresa que permita ejercer la acción de nulidad de un juicio concluido refleja la intención del legislador de no prever esa posibilidad, esta decisión se enmarca </w:t>
      </w:r>
      <w:r w:rsidRPr="00CB38AA">
        <w:rPr>
          <w:rFonts w:ascii="Times New Roman" w:hAnsi="Times New Roman" w:cs="Times New Roman"/>
          <w:sz w:val="24"/>
          <w:szCs w:val="24"/>
        </w:rPr>
        <w:lastRenderedPageBreak/>
        <w:t xml:space="preserve">dentro de la libertad que tienen los órganos legislativos para configurar el orden jurídico, sin que se pueda considerarse de que ello vulnere el principio de acceso a la justicia. </w:t>
      </w:r>
    </w:p>
    <w:p w:rsidR="00A35DFE" w:rsidRPr="00CB38AA" w:rsidRDefault="00A35DFE" w:rsidP="00DF6EEA">
      <w:pPr>
        <w:pStyle w:val="Sinespaciado"/>
        <w:ind w:firstLine="709"/>
        <w:jc w:val="both"/>
        <w:rPr>
          <w:rFonts w:ascii="Times New Roman" w:hAnsi="Times New Roman" w:cs="Times New Roman"/>
          <w:sz w:val="24"/>
          <w:szCs w:val="24"/>
        </w:rPr>
      </w:pPr>
      <w:r w:rsidRPr="00CB38AA">
        <w:rPr>
          <w:rFonts w:ascii="Times New Roman" w:hAnsi="Times New Roman" w:cs="Times New Roman"/>
          <w:sz w:val="24"/>
          <w:szCs w:val="24"/>
        </w:rPr>
        <w:t xml:space="preserve">2. Esta determinación protege la figura de la cosa juzgada, reconociendo su carácter irrebatible, indiscutible e inmodificable respecto de la resolución que se pretende nulificar. De esta manera se busca otorgar certeza y definitividad a las situaciones jurídicas que han sido resueltos. </w:t>
      </w:r>
    </w:p>
    <w:p w:rsidR="00A35DFE" w:rsidRPr="00CB38AA" w:rsidRDefault="00A35DFE" w:rsidP="00DF6EEA">
      <w:pPr>
        <w:pStyle w:val="Sinespaciado"/>
        <w:ind w:firstLine="709"/>
        <w:jc w:val="both"/>
        <w:rPr>
          <w:rFonts w:ascii="Times New Roman" w:hAnsi="Times New Roman" w:cs="Times New Roman"/>
          <w:sz w:val="24"/>
          <w:szCs w:val="24"/>
        </w:rPr>
      </w:pPr>
      <w:r w:rsidRPr="00CB38AA">
        <w:rPr>
          <w:rFonts w:ascii="Times New Roman" w:hAnsi="Times New Roman" w:cs="Times New Roman"/>
          <w:sz w:val="24"/>
          <w:szCs w:val="24"/>
        </w:rPr>
        <w:t xml:space="preserve">3. No es posible impugnar una sentencia que goza de la calidad de cosa juzgada, ni siquiera alegando que el juicio concluido se desarrolló mediante simulación de actos que tuvo un origen fraudulento cuando la legislación procesal no contempla expresamente esa posibilidad. </w:t>
      </w:r>
    </w:p>
    <w:p w:rsidR="00A35DFE" w:rsidRPr="00CB38AA" w:rsidRDefault="00A35DFE" w:rsidP="00DF6EEA">
      <w:pPr>
        <w:pStyle w:val="Sinespaciado"/>
        <w:ind w:firstLine="709"/>
        <w:jc w:val="both"/>
        <w:rPr>
          <w:rFonts w:ascii="Times New Roman" w:hAnsi="Times New Roman" w:cs="Times New Roman"/>
          <w:sz w:val="24"/>
          <w:szCs w:val="24"/>
        </w:rPr>
      </w:pPr>
      <w:r w:rsidRPr="00CB38AA">
        <w:rPr>
          <w:rFonts w:ascii="Times New Roman" w:hAnsi="Times New Roman" w:cs="Times New Roman"/>
          <w:sz w:val="24"/>
          <w:szCs w:val="24"/>
        </w:rPr>
        <w:t>4. El hecho de que las normas no contemplen expresamente la posibilidad de declarar nulas las sentencias por simulación de juicio o por origen fraudulento no implica que dichas sentencias sean inimpugnables, que ya en estos casos la vía adecuada para impugnarla es el juicio de amparo.</w:t>
      </w:r>
    </w:p>
    <w:p w:rsidR="00A35DFE" w:rsidRPr="00CB38AA" w:rsidRDefault="00A35DFE" w:rsidP="00DF6EEA">
      <w:pPr>
        <w:pStyle w:val="Sinespaciado"/>
        <w:ind w:firstLine="709"/>
        <w:jc w:val="both"/>
        <w:rPr>
          <w:rFonts w:ascii="Times New Roman" w:hAnsi="Times New Roman" w:cs="Times New Roman"/>
          <w:sz w:val="24"/>
          <w:szCs w:val="24"/>
        </w:rPr>
      </w:pPr>
      <w:r w:rsidRPr="00CB38AA">
        <w:rPr>
          <w:rFonts w:ascii="Times New Roman" w:hAnsi="Times New Roman" w:cs="Times New Roman"/>
          <w:sz w:val="24"/>
          <w:szCs w:val="24"/>
        </w:rPr>
        <w:t>5. Lo anterior se debe a que el juicio de amparo, tanto en la vía directa como indirecta, permite subsanar los vicios procesales que puedan ocurrir durante un proceso, asegurando que la sentencia que se dicte adquiere la calidad de cosa juzgada.</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Esta jurisprudencia tuvo un impacto directo en el Estado de México, pues nuestros órganos jurisdiccionales, respaldados por diversos antecedentes jurisprudenciales, venían conociendo y resolviendo múltiples acciones de nulidad de juicio concluido, ofreciendo así una vía excepcional para corregir situaciones de grave injusticia procesal; sin embargo, con la publicación de la jurisprudencia mencionada, el panorama cambió de manera radical, pues al no estar prevista de forma expresa la nulidad de juicio concluido en nuestra legislación, dejo de ser jurídicamente viable.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No obstante, aunque dicha jurisprudencia reconoce que el juicio de amparo, tanto en su vía directa como indirecta, permite subsanar los vicios procesales que puedan surgir durante un proceso, garantizando que la sentencia que se dicte adquiera la calidad de cosa juzgada, la realidad es distinta, pues como ya lo señaló la Primera Sala de la Suprema Corte de Justicia de la Nación al resolver el amparo directo 11/2018, la acción de nulidad tiene un carácter excepcional, ya que su litis se centra en analizar la validez material de los actos impugnados, a partir de causas que, por lo general, no son evidentes para la persona juzgadora en las actuaciones y que, de demostrarse, impiden que el proceso mismo subsista por haber sido desarrollado de manera fraudulenta.</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Para resolver dicha pretensión, es necesario llevar a cabo un proceso ordinario que garantice de manera plena el derecho de audiencia de las partes, permitiéndoles exponer y sustentar sus argumentos de acción o defensa mediante los medios de prueba correspondientes, con el objetivo de que se determine de manera adecuada el derecho que les asiste, esto contrasta con el juicio de amparo, en el cual no se abordan cuestiones de fondo o de carácter sustantivo.</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En consecuencia, la nulidad de un juicio concluido debe estar expresamente prevista en el Código Civil, ya que se deriva de la teoría general de la nulidad, aplicable cuando los actos jurídicos se llevan a cabo en contravención de normas prohibitivas o de interés público.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De ninguna manera debe entenderse esta preocupación como un intento de menoscabar la cosa juzgada, como institución procesal fundamental; por el contrario, se busca respetar el derecho a la tutela judicial efectiva, ya que, al demostrarse que el proceso fue fraudulento, quedaría claro que la cosa juzgada solo existió de manera aparente, pero nunca llego a configurarse.</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Asimismo, es necesario desalentar el uso indebido de la nulidad de un juicio concluido por parte de abogados que la promueven, aun cuando saben que el proceso que buscan anular se llevó a cabo respetando todas las formalidades legales, ya que este tipo de conductas atenta contra las resoluciones que ya han adquirido la calidad de cosa juzgada, la sanción no recae sobre el acto de solicitar la nulidad en sí, sino sobre la manera temeraria o maliciosa que el profesional de derecho emplea esa acción para pretender nulificar una sentencia o auto definitivo con las formalidades de ley.</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lastRenderedPageBreak/>
        <w:tab/>
        <w:t>En ese sentido, el Código Nacional de Procedimientos Civiles y Familiares contempla de manera expresa la nulidad de juicio concluido dentro de la sección dedicada a las acciones; sin embargo, la entrada en vigor de este Código no será inmediata, y durante ese periodo las personas justiciables del Estado de México no pueden quedar desprotegidas frente a situaciones que requieran esta acción.</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Por ello, el Poder Judicial del Estado de México considera que una solución viable, responsable y oportuna es proponer a la Honorable Legislatura del Estado la reforma del Código Civil, con el fin de incorporar de manera expresa y clara la nulidad de juicio concluido, siguiendo los parámetros establecidos por el sistema nacional.</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Con esta reforma:</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I. Se reconoce el derecho subjetivo que permite impugnar sentencias firmes revestidas con autoridad de cosa juzgada, cuando han sido obtenidas mediante fraude procesal, colusión o la presentación de pruebas declaradas o reconocidas en resolución judicial falsas; asimismo, por haberse seguido el juicio sin conocimiento del afectado por no haber sido parte, o aun cuando lo haya sido, fue falsamente representado o llamado a juicio.</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II. Se proporciona a los jueces y juezas una figura jurídica clara para atender aquellos casos excepcionales en los que un juicio ya concluido presenta vicios.</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III. Esta reforma establece las bases sustantivas bajo las cuales se regirá la acción de nulidad de juicio concluido, que establece el artículo 1.212 del Código de Procedimientos del Estado de México con el criterio de rubro: "ACCION DE NULIDAD DE JUICIO CONCLUIDO, ES IMPROCEDENTE CUANDO LA LEGISLACION PROCESAL NO LA PREVE, INCLUSIVE BAJO EL SUPUESTO DE PROCESO FRAUDULENTO".</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IV. La regulación de la acción de nulidad de juicio concluido se orienta conforme al Código Nacional de Procedimientos Civiles y Familiares, anticipando una solución normativa que fortalece la tutela efectiva de los derechos de las personas justiciables.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En suma, se trata de dar un paso más en la consolidación de un Poder Judicial cercano, moderno y comprometido con la verdad y la justicia, no solo en el discurso, sino en las normas jurídicas y en sus decisiones.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De esta manera, el contenido de la Iniciativa que se propone es el siguiente:</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 xml:space="preserve">Dice Nulidad de actos contrarios a la ley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Artículo 1.5.-....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Sin correlativo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La nulidad de juicio concluido Artículo 1.5 Bis. - La nulidad de juicio concluido es de naturaleza excepcional y procede en aquellos asuntos en los que se haya dictado sentencia o auto definitivo que haya causado ejecutoria.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Sin correlativo.</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Legitimación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Artículo 1.5 Ter. - La nulidad de juicio concluido puede ser ejercitada por quienes habiendo sido parte en el en el procedimiento, hayan sido falsamente representados o emplazados, sus sucesores o causahabientes, y los terceros a quienes perjudique la resolución y se actualice alguna de las siguientes hipótesis: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I. Si se falló con base en pruebas reconocidas o declaradas de cualquier modo falsas con posterioridad a la resolución, por sentencia o resolución judicial firme o que la parte vencida ignoraba que se habían reconocido o declarado como tales antes de la sentencia, o;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II. Cuando exista colusión u otra maniobra fraudulenta de las partes litigantes en el Juicio cuya nulidad se pide, en perjuicio de la parte promovente de la acción de nulidad de juicio concluido.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Suspensión de ejecución de la sentencia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lastRenderedPageBreak/>
        <w:t xml:space="preserve">Artículo 1.5 Quater. - La interposición de la nulidad de juicio concluido no suspenderá la ejecución de la resolución firme que la motivare.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No obstante, quien promueva la nulidad podrá solicitar a la autoridad Jurisdiccional que conozca de la misma, la suspensión de la ejecución de aquella sentencia cuya nulidad se pide, para tal efecto, deberá otorgar garantía que fije la autoridad jurisdiccional que conoce de la nulidad, por los daños y perjuicios que, de manera inmediata y directa, pudieran ocasionarse con motivo de la suspensión a la parte vencedora del juicio cuya nulidad se solicita.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Cuando la nulidad de juicio concluido se declare infundada, la garantía se adjudicará a la parte demandada por concepto de los daños y perjuicios ocasionados por la suspensión, sin necesidad de prueba alguna.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No será necesaria la garantía cuando se acredite fehacientemente que la ejecución pueda causar un daño irreparable a quien promueve la nulidad. En este supuesto, si la nulidad resulta improcedente, la parte actora será condenada al pago de los daños y perjuicios ocasionados con motivo de la suspensión, en los términos del párrafo anterior, junto con el pago de gastos y costas, que se cuantificarán en ejecución de sentencia; así como una multa equivalente hasta un año de valor de la Unidad de Medida y Actualización para la persona licenciada en derecho o abogada que la haya intentado.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Por lo anteriormente expuesto, el Pleno del Tribunal Superior de Justicia del Estado de México somete respetuosamente a consideración de esa Soberanía la presente Iniciativa de Decreto.</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Ahora si es cuanto.</w:t>
      </w:r>
    </w:p>
    <w:p w:rsidR="008D03DF" w:rsidRPr="00CB38AA" w:rsidRDefault="008D03DF" w:rsidP="00DF6EEA">
      <w:pPr>
        <w:pStyle w:val="Sinespaciado"/>
        <w:jc w:val="both"/>
        <w:rPr>
          <w:rFonts w:ascii="Times New Roman" w:hAnsi="Times New Roman" w:cs="Times New Roman"/>
          <w:sz w:val="24"/>
          <w:szCs w:val="24"/>
        </w:rPr>
      </w:pPr>
    </w:p>
    <w:p w:rsidR="008D03DF" w:rsidRPr="00CB38AA" w:rsidRDefault="008D03DF" w:rsidP="00DF6EEA">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(Se inserta documento)</w:t>
      </w:r>
    </w:p>
    <w:p w:rsidR="008D03DF" w:rsidRPr="00CB38AA" w:rsidRDefault="008D03DF" w:rsidP="00DF6EEA">
      <w:pPr>
        <w:spacing w:after="0" w:line="240" w:lineRule="auto"/>
        <w:jc w:val="center"/>
        <w:rPr>
          <w:rFonts w:ascii="Times New Roman" w:hAnsi="Times New Roman" w:cs="Times New Roman"/>
          <w:sz w:val="24"/>
          <w:szCs w:val="24"/>
        </w:rPr>
      </w:pPr>
    </w:p>
    <w:p w:rsidR="008D03DF" w:rsidRPr="00CB38AA" w:rsidRDefault="008D03DF" w:rsidP="00DF6EEA">
      <w:pPr>
        <w:spacing w:after="0" w:line="240" w:lineRule="auto"/>
        <w:jc w:val="center"/>
        <w:rPr>
          <w:rFonts w:ascii="Times New Roman" w:eastAsia="Times New Roman" w:hAnsi="Times New Roman" w:cs="Times New Roman"/>
          <w:sz w:val="24"/>
          <w:szCs w:val="24"/>
        </w:rPr>
      </w:pPr>
      <w:r w:rsidRPr="00CB38AA">
        <w:rPr>
          <w:rFonts w:ascii="Times New Roman" w:eastAsia="Times New Roman" w:hAnsi="Times New Roman" w:cs="Times New Roman"/>
          <w:sz w:val="24"/>
          <w:szCs w:val="24"/>
        </w:rPr>
        <w:t>“2026. Año del Humanismo Mexicano en el Estado de México.”</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rPr>
          <w:rFonts w:ascii="Times New Roman" w:eastAsia="Arial" w:hAnsi="Times New Roman" w:cs="Times New Roman"/>
          <w:b/>
          <w:sz w:val="24"/>
          <w:szCs w:val="24"/>
        </w:rPr>
      </w:pPr>
      <w:r w:rsidRPr="00CB38AA">
        <w:rPr>
          <w:rFonts w:ascii="Times New Roman" w:eastAsia="Arial" w:hAnsi="Times New Roman" w:cs="Times New Roman"/>
          <w:b/>
          <w:sz w:val="24"/>
          <w:szCs w:val="24"/>
        </w:rPr>
        <w:t>DIP. MARTHA AZUCENA CAMACHO REYNOSO</w:t>
      </w:r>
    </w:p>
    <w:p w:rsidR="008D03DF" w:rsidRPr="00CB38AA" w:rsidRDefault="008D03DF" w:rsidP="00DF6EEA">
      <w:pPr>
        <w:spacing w:after="0" w:line="240" w:lineRule="auto"/>
        <w:rPr>
          <w:rFonts w:ascii="Times New Roman" w:eastAsia="Arial" w:hAnsi="Times New Roman" w:cs="Times New Roman"/>
          <w:b/>
          <w:sz w:val="24"/>
          <w:szCs w:val="24"/>
        </w:rPr>
      </w:pPr>
      <w:r w:rsidRPr="00CB38AA">
        <w:rPr>
          <w:rFonts w:ascii="Times New Roman" w:eastAsia="Arial" w:hAnsi="Times New Roman" w:cs="Times New Roman"/>
          <w:b/>
          <w:sz w:val="24"/>
          <w:szCs w:val="24"/>
        </w:rPr>
        <w:t>PRESIDENTA DE LA MESA DIRECTIVA DE LA LXII</w:t>
      </w:r>
    </w:p>
    <w:p w:rsidR="008D03DF" w:rsidRPr="00CB38AA" w:rsidRDefault="008D03DF" w:rsidP="00DF6EEA">
      <w:pPr>
        <w:spacing w:after="0" w:line="240" w:lineRule="auto"/>
        <w:rPr>
          <w:rFonts w:ascii="Times New Roman" w:eastAsia="Arial" w:hAnsi="Times New Roman" w:cs="Times New Roman"/>
          <w:b/>
          <w:sz w:val="24"/>
          <w:szCs w:val="24"/>
        </w:rPr>
      </w:pPr>
      <w:r w:rsidRPr="00CB38AA">
        <w:rPr>
          <w:rFonts w:ascii="Times New Roman" w:eastAsia="Arial" w:hAnsi="Times New Roman" w:cs="Times New Roman"/>
          <w:b/>
          <w:sz w:val="24"/>
          <w:szCs w:val="24"/>
        </w:rPr>
        <w:t>LEGISLATURA DEL ESTADO DE MÉXICO</w:t>
      </w:r>
    </w:p>
    <w:p w:rsidR="008D03DF" w:rsidRPr="00CB38AA" w:rsidRDefault="008D03DF" w:rsidP="00DF6EEA">
      <w:pPr>
        <w:spacing w:after="0" w:line="240" w:lineRule="auto"/>
        <w:rPr>
          <w:rFonts w:ascii="Times New Roman" w:eastAsia="Times New Roman" w:hAnsi="Times New Roman" w:cs="Times New Roman"/>
          <w:sz w:val="24"/>
          <w:szCs w:val="24"/>
        </w:rPr>
      </w:pPr>
      <w:r w:rsidRPr="00CB38AA">
        <w:rPr>
          <w:rFonts w:ascii="Times New Roman" w:eastAsia="Times New Roman" w:hAnsi="Times New Roman" w:cs="Times New Roman"/>
          <w:b/>
          <w:sz w:val="24"/>
          <w:szCs w:val="24"/>
        </w:rPr>
        <w:t>P R E S E N T E</w:t>
      </w:r>
    </w:p>
    <w:p w:rsidR="008D03DF" w:rsidRPr="00CB38AA" w:rsidRDefault="008D03DF" w:rsidP="00DF6EEA">
      <w:pPr>
        <w:spacing w:after="0" w:line="240" w:lineRule="auto"/>
        <w:jc w:val="both"/>
        <w:rPr>
          <w:rFonts w:ascii="Times New Roman" w:eastAsia="Arial" w:hAnsi="Times New Roman" w:cs="Times New Roman"/>
          <w:b/>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Mgdo. Dr. Héctor Macedo García </w:t>
      </w:r>
      <w:r w:rsidRPr="00CB38AA">
        <w:rPr>
          <w:rFonts w:ascii="Times New Roman" w:eastAsia="Arial" w:hAnsi="Times New Roman" w:cs="Times New Roman"/>
          <w:sz w:val="24"/>
          <w:szCs w:val="24"/>
        </w:rPr>
        <w:t xml:space="preserve">en mi carácter de Presidente del Tribunal Superior de Justicia del Estado de México y en ejercicio de las facultades que me confieren los artículos </w:t>
      </w:r>
      <w:r w:rsidRPr="00CB38AA">
        <w:rPr>
          <w:rFonts w:ascii="Times New Roman" w:eastAsia="Times New Roman" w:hAnsi="Times New Roman" w:cs="Times New Roman"/>
          <w:sz w:val="24"/>
          <w:szCs w:val="24"/>
        </w:rPr>
        <w:t xml:space="preserve">5l </w:t>
      </w:r>
      <w:r w:rsidRPr="00CB38AA">
        <w:rPr>
          <w:rFonts w:ascii="Times New Roman" w:eastAsia="Arial" w:hAnsi="Times New Roman" w:cs="Times New Roman"/>
          <w:sz w:val="24"/>
          <w:szCs w:val="24"/>
        </w:rPr>
        <w:t xml:space="preserve">de la Constitución Política del Estado Libre y Soberano de México, 1 inciso b), 15 fracción I y 95 fracción II de la Ley Orgánica del Poder Judicial del Estado de México; se somete a la consideración de esa H. Legislatura, por su digno conducto, la presente </w:t>
      </w:r>
      <w:r w:rsidRPr="00CB38AA">
        <w:rPr>
          <w:rFonts w:ascii="Times New Roman" w:eastAsia="Arial" w:hAnsi="Times New Roman" w:cs="Times New Roman"/>
          <w:b/>
          <w:sz w:val="24"/>
          <w:szCs w:val="24"/>
        </w:rPr>
        <w:t xml:space="preserve">Iniciativa con Proyecto de Decreto que adiciona los artículos 1.5 Bis al 1.5 Quáter del Código Civil del Estado de México, para regular la nulidad de juicio concluido. </w:t>
      </w:r>
      <w:r w:rsidRPr="00CB38AA">
        <w:rPr>
          <w:rFonts w:ascii="Times New Roman" w:eastAsia="Arial" w:hAnsi="Times New Roman" w:cs="Times New Roman"/>
          <w:sz w:val="24"/>
          <w:szCs w:val="24"/>
        </w:rPr>
        <w:t>Proyecto que fue aprobado por el Pleno del Tribunal Superior de Justicia del Estado de México, en sesión ordinaria celebrada el veintiséis de enero de veintiséis, con base en la siguiente:</w:t>
      </w:r>
    </w:p>
    <w:p w:rsidR="008D03DF" w:rsidRPr="00CB38AA" w:rsidRDefault="008D03DF" w:rsidP="00DF6EEA">
      <w:pPr>
        <w:spacing w:after="0" w:line="240" w:lineRule="auto"/>
        <w:jc w:val="both"/>
        <w:rPr>
          <w:rFonts w:ascii="Times New Roman" w:eastAsia="Arial" w:hAnsi="Times New Roman" w:cs="Times New Roman"/>
          <w:sz w:val="24"/>
          <w:szCs w:val="24"/>
        </w:rPr>
      </w:pPr>
    </w:p>
    <w:p w:rsidR="008D03DF" w:rsidRPr="00CB38AA" w:rsidRDefault="008D03DF" w:rsidP="00DF6EEA">
      <w:pPr>
        <w:spacing w:after="0" w:line="240" w:lineRule="auto"/>
        <w:jc w:val="center"/>
        <w:rPr>
          <w:rFonts w:ascii="Times New Roman" w:eastAsia="Arial" w:hAnsi="Times New Roman" w:cs="Times New Roman"/>
          <w:b/>
          <w:sz w:val="24"/>
          <w:szCs w:val="24"/>
        </w:rPr>
      </w:pPr>
      <w:r w:rsidRPr="00CB38AA">
        <w:rPr>
          <w:rFonts w:ascii="Times New Roman" w:eastAsia="Arial" w:hAnsi="Times New Roman" w:cs="Times New Roman"/>
          <w:b/>
          <w:sz w:val="24"/>
          <w:szCs w:val="24"/>
        </w:rPr>
        <w:t>EXPOSICIÓN DE MOTIVOS</w:t>
      </w:r>
    </w:p>
    <w:p w:rsidR="008D03DF" w:rsidRPr="00CB38AA" w:rsidRDefault="008D03DF" w:rsidP="00DF6EEA">
      <w:pPr>
        <w:spacing w:after="0" w:line="240" w:lineRule="auto"/>
        <w:jc w:val="center"/>
        <w:rPr>
          <w:rFonts w:ascii="Times New Roman" w:eastAsia="Arial" w:hAnsi="Times New Roman" w:cs="Times New Roman"/>
          <w:b/>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Poder Judicial del Estado de México vive momentos de transformación profunda, que se reflejan en una elevada exigencia de responsabilidad para cada uno de sus servidores públicos y órganos jurisdiccionales.</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 función de impartir justicia es una de las tareas más delicadas y relevantes del Estado mexicano; en ella se deposita buena parte de la confianza de la ciudadanía.</w:t>
      </w:r>
    </w:p>
    <w:p w:rsidR="008D03DF" w:rsidRPr="00CB38AA" w:rsidRDefault="008D03DF" w:rsidP="00DF6EEA">
      <w:pPr>
        <w:spacing w:after="0" w:line="240" w:lineRule="auto"/>
        <w:jc w:val="both"/>
        <w:rPr>
          <w:rFonts w:ascii="Times New Roman" w:eastAsia="Arial" w:hAnsi="Times New Roman" w:cs="Times New Roman"/>
          <w:sz w:val="24"/>
          <w:szCs w:val="24"/>
        </w:rPr>
      </w:pPr>
    </w:p>
    <w:p w:rsidR="008D03DF" w:rsidRPr="00CB38AA" w:rsidRDefault="008D03DF"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Es innegable que existe una deuda histórica con la sociedad en materia de acceso a la justicia; sin embargo, también es cierto que el Poder Judicial del Estado de México, se ha caracterizado por su vocación de servicio, disciplina institucional y entrega al pueblo mexiquense.</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Al interior del Poder Judicial se han concretado importantes esfuerzos de modernización administrativa y jurisdiccional: mejora de procesos internos, incorporación de herramientas tecnológicas, profesionalización continua del personal y fortalecimiento de criterios jurisdiccionales. No obstante, la percepción social sobre la justicia no siempre avanza al mismo ritmo que estas mejoras.</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Parte de esta distancia se explica porque la comunicación entre los tribunales y la población no es sencilla: el lenguaje jurídico es complejo, los procesos suelen ser técnicos y especializados, y el estudio que exige la función jurisdiccional puede generar, sin quererlo, una sensación de lejanía.</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Pese a ello, es evidente el orden, la seriedad y la responsabilidad con la que se trabaja al interior del Poder Judicial del Estado de México. La preocupación permanente es la misma: servir con honestidad y resolver con justicia. Para lograrlo, no basta con la voluntad; es imprescindible contar con procesos claros, transparentes y eficaces, regulados en normas actualizadas y acordes con las necesidades actuales de la población.</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En este contexto, resulta especialmente relevante la jurisprudencia publicada el viernes 8 de agosto de 2025 en el Semanario Judicial de la Federación, identificada con el registro digital 2030778, emitida por el Pleno de la Suprema Corte de Justicia de la Nación, cuyo rubro es: </w:t>
      </w:r>
      <w:r w:rsidRPr="00CB38AA">
        <w:rPr>
          <w:rFonts w:ascii="Times New Roman" w:eastAsia="Arial" w:hAnsi="Times New Roman" w:cs="Times New Roman"/>
          <w:b/>
          <w:sz w:val="24"/>
          <w:szCs w:val="24"/>
        </w:rPr>
        <w:t>"ACCIÓN DE NULIDAD DE JUICIO CONCLUIDO. ES IMPROCEDENTE CUANDO LA LEGISLACIÓN PROCESAL NO LA PREVÉ, INCLUSIVE BAJO EL SUPUESTO DE PROCESO FRAUDULENTO".</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Dicho criterio jurisprudencial tiene su origen en la sentencia dictada en la contradicción de criterios 393/2023, donde </w:t>
      </w:r>
      <w:r w:rsidRPr="00CB38AA">
        <w:rPr>
          <w:rFonts w:ascii="Times New Roman" w:eastAsia="Times New Roman" w:hAnsi="Times New Roman" w:cs="Times New Roman"/>
          <w:sz w:val="24"/>
          <w:szCs w:val="24"/>
        </w:rPr>
        <w:t xml:space="preserve">el </w:t>
      </w:r>
      <w:r w:rsidRPr="00CB38AA">
        <w:rPr>
          <w:rFonts w:ascii="Times New Roman" w:eastAsia="Arial" w:hAnsi="Times New Roman" w:cs="Times New Roman"/>
          <w:sz w:val="24"/>
          <w:szCs w:val="24"/>
        </w:rPr>
        <w:t>Pleno de la Suprema Corte de Justicia de la Nación sostuvo de manera clara la improcedencia de la acción de nulidad respecto de un juicio ya concluido, aun cuando se alegue que éste fue simulado o de origen fraudulento, si la legislación procesal aplicable no contempla expresamente dicha figura.</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Para comprender las razones que llevaron a nuestro Máximo Tribunal a tomar dicha determinación, resulta indispensable precisar los criterios sostenidos por sus Salas en su anterior integración, al constituir el punto de partida para entender el precedente adoptado, a saber:</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 La entonces Primera Sala de la Suprema Corte de Justicia de la Nación, al resolver el amparo directo 11/2018, </w:t>
      </w:r>
      <w:r w:rsidRPr="00CB38AA">
        <w:rPr>
          <w:rFonts w:ascii="Times New Roman" w:eastAsia="Arial" w:hAnsi="Times New Roman" w:cs="Times New Roman"/>
          <w:sz w:val="24"/>
          <w:szCs w:val="24"/>
        </w:rPr>
        <w:t>estableció como criterio esencial, los Tribunales no pueden abstenerse ni negarse a conocer de una acción bajo el argumento de que no existe una ley que regule el procedimiento correspondiente, en todo caso, el silencio o insuficiencia de la ley procesal debe colmarse acudiendo a la regla genérica más adecuada o en su defecto a los principios generales del derecho.</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Por otra parte, la Sala consideró, la procedencia de la nulidad de juicio concluido no constituye un atentado contra la institución de la cosa juzgada, ya que ésta admite una excepción cuando la sentencia no se obtiene de un auténtico proceso judicial, en el que se hubieren seguido las formalidades esenciales del procedimiento. En ese supuesto, si el fraude se acredita, quedará de </w:t>
      </w:r>
      <w:r w:rsidRPr="00CB38AA">
        <w:rPr>
          <w:rFonts w:ascii="Times New Roman" w:eastAsia="Arial" w:hAnsi="Times New Roman" w:cs="Times New Roman"/>
          <w:sz w:val="24"/>
          <w:szCs w:val="24"/>
        </w:rPr>
        <w:lastRenderedPageBreak/>
        <w:t>manifiesto que la cosa juzgada fue únicamente aparente, pues en realidad nunca llegó a configurarse de manera válida.</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Por otra parte, la Primera Sala sostuvo, una persona que fue parte en el juicio puede promover la nulidad de juicio concluido por fraudulento cuando no tuvo intervención en el desarrollo del procedimiento. Tampoco se excluye la posibilidad de que un tercero afectado por la sentencia pueda alegar la existencia de un proceso fraudulento, por ejemplo, cuando una de las partes, debido a su fallecimiento, se vio materialmente impedida para intervenir de cualquier forma en el juicio cuya validez se cuestiona.</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Además, la Sala sostuvo, el juicio de amparo no es el medio adecuado para atender una pretensión encaminada a la anulación de un juicio concluido por la existencia de un proceso fraudulento, porque la nulidad plantea una litis distinta, que no busca cuestionar la legalidad de los actos jurisdiccionales ni los actos procesales en cuanto a sus requisitos, formas o solemnidades, sino que se enfoca en analizar la validez material de los actos, a partir de causas que, por lo general, no son visibles para la persona juzgadora dentro de las actuaciones y que impiden que el proceso subsista válidamente por haberse desarrollado de manera fraudulenta. Para esclarecer este tipo de pretensiones resulta necesario el desahogo de un proceso ordinario.</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b) La Segunda Sala de la Suprema Corte de Justicia de la Nación, al resolver la contradicción de tesis 275/2011, dio origen a la tesis jurisprudencial 2a./J. 158/2011 (9a.), de rubro </w:t>
      </w:r>
      <w:r w:rsidRPr="00CB38AA">
        <w:rPr>
          <w:rFonts w:ascii="Times New Roman" w:eastAsia="Times New Roman" w:hAnsi="Times New Roman" w:cs="Times New Roman"/>
          <w:b/>
          <w:i/>
          <w:sz w:val="24"/>
          <w:szCs w:val="24"/>
        </w:rPr>
        <w:t xml:space="preserve">"Nulidad de juicio concluido. Es improcedente en materia laboral", </w:t>
      </w:r>
      <w:r w:rsidRPr="00CB38AA">
        <w:rPr>
          <w:rFonts w:ascii="Times New Roman" w:eastAsia="Arial" w:hAnsi="Times New Roman" w:cs="Times New Roman"/>
          <w:b/>
          <w:sz w:val="24"/>
          <w:szCs w:val="24"/>
        </w:rPr>
        <w:t xml:space="preserve">publicada en el Semanario Judicial de la Federación y su Gaceta, con número de registro digital 16081. </w:t>
      </w:r>
      <w:r w:rsidRPr="00CB38AA">
        <w:rPr>
          <w:rFonts w:ascii="Times New Roman" w:eastAsia="Arial" w:hAnsi="Times New Roman" w:cs="Times New Roman"/>
          <w:sz w:val="24"/>
          <w:szCs w:val="24"/>
        </w:rPr>
        <w:t>En dicha resolución, la Sala retomó algunas consideraciones vertidas en la contradicción de criterios 26/2003, en las que se sostuvo que no existe posibilidad jurídica de promover la nulidad de un juicio laboral concluido bajo el argumento de simulación o fraude, debido a que esta figura no se encuentra regulada en la legislación laboral ya que no es viable impugnar una sentencia que ha adquirido la calidad de cosa juzgada.</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Asimismo, la Sala estableció, no resulta admisible que alguna de las partes pretenda anular un juicio ya concluido y ejecutoriado en el que participó, bajo el argumento de que se desarrolló de manera fraudulenta, porque al haber intervenido en el proceso tuvo la oportunidad de hacer valer y probar los vicios en los que sustenta el supuesto fraude a través de los medios de defensa previstos en la ley, o en su caso, mediante el juicio de amparo.</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Por otro lado, los principios generales del derecho </w:t>
      </w:r>
      <w:r w:rsidRPr="00CB38AA">
        <w:rPr>
          <w:rFonts w:ascii="Times New Roman" w:eastAsia="Arial" w:hAnsi="Times New Roman" w:cs="Times New Roman"/>
          <w:i/>
          <w:sz w:val="24"/>
          <w:szCs w:val="24"/>
        </w:rPr>
        <w:t xml:space="preserve">"nadie puede enriquecerse en perjuicio de otro", "lo nulo no produce efecto alguno" </w:t>
      </w:r>
      <w:r w:rsidRPr="00CB38AA">
        <w:rPr>
          <w:rFonts w:ascii="Times New Roman" w:eastAsia="Times New Roman" w:hAnsi="Times New Roman" w:cs="Times New Roman"/>
          <w:sz w:val="24"/>
          <w:szCs w:val="24"/>
        </w:rPr>
        <w:t xml:space="preserve">y </w:t>
      </w:r>
      <w:r w:rsidRPr="00CB38AA">
        <w:rPr>
          <w:rFonts w:ascii="Times New Roman" w:eastAsia="Arial" w:hAnsi="Times New Roman" w:cs="Times New Roman"/>
          <w:i/>
          <w:sz w:val="24"/>
          <w:szCs w:val="24"/>
        </w:rPr>
        <w:t xml:space="preserve">"la libre estimación de quien juzga", </w:t>
      </w:r>
      <w:r w:rsidRPr="00CB38AA">
        <w:rPr>
          <w:rFonts w:ascii="Times New Roman" w:eastAsia="Arial" w:hAnsi="Times New Roman" w:cs="Times New Roman"/>
          <w:sz w:val="24"/>
          <w:szCs w:val="24"/>
        </w:rPr>
        <w:t>previstos en la Ley Federal del Trabajo, no permiten abrir la posibilidad de ejercer la acción de nulidad de un juicio laboral concluido por simulación o por su origen fraudulento, dado que la Ley no contempla dicha Figura, volviendo innecesaria la aplicación supletoria de los principios generales del derecho, ya que se trata de una acción que el órgano legislativo no tuvo la intención de establecer, atendiendo a la inmutabilidad de los laudos y al régimen especial de la cosa juzgada en materia laboral.</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A partir del análisis de estos criterios, y considerando que tanto la Primera como la Segunda Sala de la Suprema Corte de Justicia de la Nación examinaron cuerpos normativos en los que la acción de nulidad de juicio concluido no se encontró expresamente contemplada, el Pleno de nuestro Máximo Tribunal abordó la pregunta: ¿</w:t>
      </w:r>
      <w:r w:rsidRPr="00CB38AA">
        <w:rPr>
          <w:rFonts w:ascii="Times New Roman" w:eastAsia="Arial" w:hAnsi="Times New Roman" w:cs="Times New Roman"/>
          <w:i/>
          <w:sz w:val="24"/>
          <w:szCs w:val="24"/>
        </w:rPr>
        <w:t xml:space="preserve">es procedente la acción de nulidad de un juicio concluido cuando la legislación procesal correspondiente no la regula? </w:t>
      </w:r>
      <w:r w:rsidRPr="00CB38AA">
        <w:rPr>
          <w:rFonts w:ascii="Times New Roman" w:eastAsia="Arial" w:hAnsi="Times New Roman" w:cs="Times New Roman"/>
          <w:sz w:val="24"/>
          <w:szCs w:val="24"/>
        </w:rPr>
        <w:t>Concluyendo en sentido negativo, por las siguientes razones:</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 La ausencia de una norma expresa que permita ejercer la acción de nulidad de un juicio concluido refleja la intención del legislador de no prever esa posibilidad. Esta decisión se enmarca dentro de la libertad que tienen los órganos legislativos para configurar el orden jurídico, sin que pueda considerarse que ello vulnera el principio de acceso a la justicia.</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II. Esta determinación protege la figura de la cosa juzgada, reconociendo su carácter irrebatible, indiscutible e inmodificable respecto de la resolución que se pretende nulificar. De esta manera, se busca otorgar certeza </w:t>
      </w:r>
      <w:r w:rsidRPr="00CB38AA">
        <w:rPr>
          <w:rFonts w:ascii="Times New Roman" w:eastAsia="Times New Roman" w:hAnsi="Times New Roman" w:cs="Times New Roman"/>
          <w:sz w:val="24"/>
          <w:szCs w:val="24"/>
        </w:rPr>
        <w:t xml:space="preserve">y </w:t>
      </w:r>
      <w:r w:rsidRPr="00CB38AA">
        <w:rPr>
          <w:rFonts w:ascii="Times New Roman" w:eastAsia="Arial" w:hAnsi="Times New Roman" w:cs="Times New Roman"/>
          <w:sz w:val="24"/>
          <w:szCs w:val="24"/>
        </w:rPr>
        <w:t>definitividad a las situaciones jurídicas que han sido resueltas.</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III. No es posible impugnar una sentencia que goza de la calidad de cosa juzgada, ni siquiera alegando que el juicio concluido se desarrolló mediante simulación de actos o que tuvo un origen fraudulento, cuando la legislación procesal no contempla expresamente esa posibilidad.</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IV. El hecho de que las normas no contemplen expresamente la posibilidad de declarar nulas las sentencias por simulación de juicio o por origen fraudulento, no implica que dichas sentencias sean inimpugnables, ya que en estos casos la vía adecuada para impugnarlas es el juicio de amparo.</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Times New Roman" w:hAnsi="Times New Roman" w:cs="Times New Roman"/>
          <w:sz w:val="24"/>
          <w:szCs w:val="24"/>
        </w:rPr>
        <w:t xml:space="preserve">V. </w:t>
      </w:r>
      <w:r w:rsidRPr="00CB38AA">
        <w:rPr>
          <w:rFonts w:ascii="Times New Roman" w:eastAsia="Arial" w:hAnsi="Times New Roman" w:cs="Times New Roman"/>
          <w:sz w:val="24"/>
          <w:szCs w:val="24"/>
        </w:rPr>
        <w:t>Lo anterior se debe a que el juicio de amparo, tanto en su vía directa como indirecta, permite subsanar los vicios procesales que puedan ocurrir durante un proceso, asegurando que la sentencia que se dicte adquiera la calidad de cosa juzgada.</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Esta jurisprudencia tuvo un impacto directo en el Estado de México, pues nuestros órganos jurisdiccionales, respaldados por diversos antecedentes jurisprudenciales, venían conociendo y resolviendo múltiples acciones de nulidad de juicio concluido, ofreciendo así una vía excepcional para corregir situaciones de grave injusticia procesal; sin embargo, con la publicación de la jurisprudencia mencionada el panorama cambió de manera radical, pues al no estar prevista de forma expresa la nulidad de juicio concluido en nuestra legislación, dejó de ser jurídicamente viable.</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No obstante, aunque dicha jurisprudencia reconoce que el juicio de amparo, tanto en su vía directa como indirecta, permite subsanar los vicios procesales que puedan surgir durante un proceso, garantizando que la sentencia que se dicte adquiera la calidad de cosa juzgada, la realidad es distinta, pues como ya lo señaló la Primera Sala de la Suprema Corte de Justicia de la Nación al resolver el amparo directo 11/2018, la acción de nulidad tiene un carácter excepcional, ya que su litis se centra en analizar la validez material de los actos impugnados, a partir de causas que, por lo general, no son evidentes para la persona juzgadora en las actuaciones y que, de demostrarse, impiden que el proceso mismo subsista por haber sido desarrollado de manera fraudulenta.</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Para resolver dicha pretensión, es necesario llevar a cabo un proceso ordinario que garantice de manera plena el derecho de audiencia de las partes, permitiéndoles exponer y sustentar sus argumentos de acción o defensa mediante los medios de prueba correspondientes, con el objetivo de que se determine de manera adecuada el derecho que les asiste. Esto contrasta con el juicio de amparo, en el cual no se abordan cuestiones de fondo o de carácter sustantivo.</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En consecuencia, la nulidad de un juicio concluido debe estar expresamente prevista en </w:t>
      </w:r>
      <w:r w:rsidRPr="00CB38AA">
        <w:rPr>
          <w:rFonts w:ascii="Times New Roman" w:eastAsia="Times New Roman" w:hAnsi="Times New Roman" w:cs="Times New Roman"/>
          <w:sz w:val="24"/>
          <w:szCs w:val="24"/>
        </w:rPr>
        <w:t xml:space="preserve">el </w:t>
      </w:r>
      <w:r w:rsidRPr="00CB38AA">
        <w:rPr>
          <w:rFonts w:ascii="Times New Roman" w:eastAsia="Arial" w:hAnsi="Times New Roman" w:cs="Times New Roman"/>
          <w:sz w:val="24"/>
          <w:szCs w:val="24"/>
        </w:rPr>
        <w:t>Código Civil, ya que se deriva de la teoría general de la nulidad, aplicable cuando los actos jurídicos se llevan a cabo en contravención de normas prohibitivas o de interés público.</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lastRenderedPageBreak/>
        <w:t>De ninguna manera debe entenderse esta preocupación como un intento de menoscabar la cosa juzgada, como institución procesal fundamental; por el contrario, se busca respetar el derecho a la tutela judicial efectiva, ya que, al demostrarse que el proceso fue fraudulento, quedaría claro que la cosa juzgada solo existió de manera aparente, pero nunca llegó a configurarse.</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Asimismo, es necesario desalentar el uso indebido de la nulidad de un juicio concluido por parte de abogados que la promueven, aun cuando saben que el proceso que buscan anular se llevó a cabo respetando todas las formalidades legales, ya que este tipo de conductas atenta contra las resoluciones que ya han adquirido la calidad de cosa juzgada. La sanción no recae sobre el acto de solicitar la nulidad en sí, sino sobre la manera temeraria o maliciosa que el profesional de derecho emplea esa acción para pretender nulificar una sentencia o auto definitivo con las formalidades de ley.</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En ese sentido, el Código Nacional de Procedimientos Civiles y Familiares contempla de manera expresa la nulidad de juicio concluido dentro de la sección dedicada a las acciones; sin embargo, la entrada en vigor de este Código no será inmediata, y durante ese periodo las personas justiciables del Estado de México no pueden quedar desprotegidas frente a situaciones que requieran esta acción.</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Por ello, el Poder Judicial del Estado de México considera que una solución viable, responsable y oportuna es proponer a la Honorable Legislatura del Estado la reforma del Código Civil, con el fin de incorporar de manera expresa y clara la nulidad de juicio concluido, siguiendo los parámetros establecidos por el sistema nacional.</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Con esta reforma:</w:t>
      </w: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 Se reconoce el derecho subjetivo que permite impugnar sentencias firmes revestidas con autoridad de cosa juzgada, cuando han sido obtenidas mediante fraude procesal, colusión o la presentación de pruebas declaradas o reconocidas en resolución judicial falsas; asimismo, por haberse seguido el juicio sin conocimiento del afectado por no haber sido parte, o aun cuando lo haya sido, fue falsamente representado o llamado a juicio.</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II. Se proporciona a los jueces y juezas una figura jurídica clara para atender aquellos casos excepcionales en los que un juicio ya concluido presenta vicios.</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III. Esta reforma establece las bases sustantivas bajo las cuales se regirá la acción de nulidad de juicio concluido, que establece el artículo 1.212 del Código de Procedimientos del Estado de México con </w:t>
      </w:r>
      <w:r w:rsidRPr="00CB38AA">
        <w:rPr>
          <w:rFonts w:ascii="Times New Roman" w:eastAsia="Times New Roman" w:hAnsi="Times New Roman" w:cs="Times New Roman"/>
          <w:sz w:val="24"/>
          <w:szCs w:val="24"/>
        </w:rPr>
        <w:t xml:space="preserve">el </w:t>
      </w:r>
      <w:r w:rsidRPr="00CB38AA">
        <w:rPr>
          <w:rFonts w:ascii="Times New Roman" w:eastAsia="Arial" w:hAnsi="Times New Roman" w:cs="Times New Roman"/>
          <w:sz w:val="24"/>
          <w:szCs w:val="24"/>
        </w:rPr>
        <w:t xml:space="preserve">criterio de rubro: </w:t>
      </w:r>
      <w:r w:rsidRPr="00CB38AA">
        <w:rPr>
          <w:rFonts w:ascii="Times New Roman" w:eastAsia="Arial" w:hAnsi="Times New Roman" w:cs="Times New Roman"/>
          <w:i/>
          <w:sz w:val="24"/>
          <w:szCs w:val="24"/>
        </w:rPr>
        <w:t>"ACCIÓN DE NULIDAD DE JUICIO CONCLUIDO. ES IMPROCEDENTE CUANDO LA LEGISLACIÓN PROCESAL NO LA PREVÉ, INCLUSIVE BAJO EL SUPUESTO DE PROCESO FRAUDULENTO".</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IV. La regulación de la acción de nulidad de juicio concluido se orienta conforme al Código Nacional de Procedimientos Civiles y Familiares, anticipando una solución normativa que fortalece la tutela efectiva de los derechos de las personas justiciables.</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En suma, se trata de dar un paso más en la consolidación de un Poder Judicial cercano, moderno y comprometido con la verdad y la justicia, no solo en el discurso, sino en las normas jurídicas y en sus decisiones.</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De esta manera, el contenido de la Iniciativa que se propone es el siguiente:</w:t>
      </w:r>
    </w:p>
    <w:p w:rsidR="008D03DF" w:rsidRPr="00CB38AA" w:rsidRDefault="008D03DF" w:rsidP="00DF6EEA">
      <w:pPr>
        <w:spacing w:after="0" w:line="240" w:lineRule="auto"/>
        <w:rPr>
          <w:rFonts w:ascii="Times New Roman" w:eastAsia="Times New Roman" w:hAnsi="Times New Roman" w:cs="Times New Roman"/>
          <w:sz w:val="24"/>
          <w:szCs w:val="24"/>
        </w:rPr>
      </w:pPr>
    </w:p>
    <w:tbl>
      <w:tblPr>
        <w:tblStyle w:val="Tablaconcuadrcula"/>
        <w:tblW w:w="0" w:type="auto"/>
        <w:jc w:val="center"/>
        <w:tblLook w:val="04A0" w:firstRow="1" w:lastRow="0" w:firstColumn="1" w:lastColumn="0" w:noHBand="0" w:noVBand="1"/>
      </w:tblPr>
      <w:tblGrid>
        <w:gridCol w:w="4695"/>
        <w:gridCol w:w="4700"/>
      </w:tblGrid>
      <w:tr w:rsidR="008D03DF" w:rsidRPr="00CB38AA" w:rsidTr="00AB1AEF">
        <w:trPr>
          <w:jc w:val="center"/>
        </w:trPr>
        <w:tc>
          <w:tcPr>
            <w:tcW w:w="4735" w:type="dxa"/>
            <w:shd w:val="clear" w:color="auto" w:fill="FF5050"/>
          </w:tcPr>
          <w:p w:rsidR="008D03DF" w:rsidRPr="00CB38AA" w:rsidRDefault="008D03DF" w:rsidP="00DF6EEA">
            <w:pPr>
              <w:spacing w:line="240" w:lineRule="auto"/>
              <w:jc w:val="center"/>
              <w:rPr>
                <w:b/>
                <w:sz w:val="24"/>
                <w:szCs w:val="24"/>
                <w:lang w:val="es-MX"/>
              </w:rPr>
            </w:pPr>
            <w:r w:rsidRPr="00CB38AA">
              <w:rPr>
                <w:b/>
                <w:sz w:val="24"/>
                <w:szCs w:val="24"/>
                <w:lang w:val="es-MX"/>
              </w:rPr>
              <w:t>Dice</w:t>
            </w:r>
          </w:p>
        </w:tc>
        <w:tc>
          <w:tcPr>
            <w:tcW w:w="4735" w:type="dxa"/>
            <w:shd w:val="clear" w:color="auto" w:fill="FF5050"/>
          </w:tcPr>
          <w:p w:rsidR="008D03DF" w:rsidRPr="00CB38AA" w:rsidRDefault="008D03DF" w:rsidP="00DF6EEA">
            <w:pPr>
              <w:spacing w:line="240" w:lineRule="auto"/>
              <w:jc w:val="center"/>
              <w:rPr>
                <w:b/>
                <w:sz w:val="24"/>
                <w:szCs w:val="24"/>
                <w:lang w:val="es-MX"/>
              </w:rPr>
            </w:pPr>
            <w:r w:rsidRPr="00CB38AA">
              <w:rPr>
                <w:b/>
                <w:sz w:val="24"/>
                <w:szCs w:val="24"/>
                <w:lang w:val="es-MX"/>
              </w:rPr>
              <w:t>Debe decir</w:t>
            </w:r>
          </w:p>
        </w:tc>
      </w:tr>
      <w:tr w:rsidR="008D03DF" w:rsidRPr="00CB38AA" w:rsidTr="00AB1AEF">
        <w:trPr>
          <w:jc w:val="center"/>
        </w:trPr>
        <w:tc>
          <w:tcPr>
            <w:tcW w:w="4735" w:type="dxa"/>
          </w:tcPr>
          <w:p w:rsidR="008D03DF" w:rsidRPr="00CB38AA" w:rsidRDefault="008D03DF" w:rsidP="00DF6EEA">
            <w:pPr>
              <w:spacing w:line="240" w:lineRule="auto"/>
              <w:rPr>
                <w:b/>
                <w:sz w:val="24"/>
                <w:szCs w:val="24"/>
                <w:lang w:val="es-MX"/>
              </w:rPr>
            </w:pPr>
            <w:r w:rsidRPr="00CB38AA">
              <w:rPr>
                <w:b/>
                <w:sz w:val="24"/>
                <w:szCs w:val="24"/>
                <w:lang w:val="es-MX"/>
              </w:rPr>
              <w:t>Nulidad de actos contarios a la ley</w:t>
            </w:r>
          </w:p>
          <w:p w:rsidR="008D03DF" w:rsidRPr="00CB38AA" w:rsidRDefault="008D03DF" w:rsidP="00DF6EEA">
            <w:pPr>
              <w:spacing w:line="240" w:lineRule="auto"/>
              <w:rPr>
                <w:b/>
                <w:sz w:val="24"/>
                <w:szCs w:val="24"/>
                <w:lang w:val="es-MX"/>
              </w:rPr>
            </w:pPr>
          </w:p>
          <w:p w:rsidR="008D03DF" w:rsidRPr="00CB38AA" w:rsidRDefault="008D03DF" w:rsidP="00DF6EEA">
            <w:pPr>
              <w:spacing w:line="240" w:lineRule="auto"/>
              <w:rPr>
                <w:b/>
                <w:sz w:val="24"/>
                <w:szCs w:val="24"/>
                <w:lang w:val="es-MX"/>
              </w:rPr>
            </w:pPr>
            <w:r w:rsidRPr="00CB38AA">
              <w:rPr>
                <w:b/>
                <w:sz w:val="24"/>
                <w:szCs w:val="24"/>
                <w:lang w:val="es-MX"/>
              </w:rPr>
              <w:t>Artículo 1.5.- …</w:t>
            </w:r>
          </w:p>
        </w:tc>
        <w:tc>
          <w:tcPr>
            <w:tcW w:w="4735" w:type="dxa"/>
          </w:tcPr>
          <w:p w:rsidR="008D03DF" w:rsidRPr="00CB38AA" w:rsidRDefault="008D03DF" w:rsidP="00DF6EEA">
            <w:pPr>
              <w:spacing w:line="240" w:lineRule="auto"/>
              <w:rPr>
                <w:sz w:val="24"/>
                <w:szCs w:val="24"/>
                <w:lang w:val="es-MX"/>
              </w:rPr>
            </w:pPr>
          </w:p>
        </w:tc>
      </w:tr>
      <w:tr w:rsidR="008D03DF" w:rsidRPr="00CB38AA" w:rsidTr="00AB1AEF">
        <w:trPr>
          <w:jc w:val="center"/>
        </w:trPr>
        <w:tc>
          <w:tcPr>
            <w:tcW w:w="4735" w:type="dxa"/>
          </w:tcPr>
          <w:p w:rsidR="008D03DF" w:rsidRPr="00CB38AA" w:rsidRDefault="008D03DF" w:rsidP="00DF6EEA">
            <w:pPr>
              <w:spacing w:line="240" w:lineRule="auto"/>
              <w:rPr>
                <w:sz w:val="24"/>
                <w:szCs w:val="24"/>
                <w:lang w:val="es-MX"/>
              </w:rPr>
            </w:pPr>
            <w:r w:rsidRPr="00CB38AA">
              <w:rPr>
                <w:rFonts w:eastAsia="Arial"/>
                <w:b/>
                <w:sz w:val="24"/>
                <w:szCs w:val="24"/>
                <w:lang w:val="es-MX"/>
              </w:rPr>
              <w:t>Sin correlativo</w:t>
            </w:r>
          </w:p>
        </w:tc>
        <w:tc>
          <w:tcPr>
            <w:tcW w:w="4735" w:type="dxa"/>
          </w:tcPr>
          <w:p w:rsidR="008D03DF" w:rsidRPr="00CB38AA" w:rsidRDefault="008D03DF" w:rsidP="00DF6EEA">
            <w:pPr>
              <w:spacing w:line="240" w:lineRule="auto"/>
              <w:rPr>
                <w:rFonts w:eastAsia="Arial"/>
                <w:sz w:val="24"/>
                <w:szCs w:val="24"/>
                <w:lang w:val="es-MX"/>
              </w:rPr>
            </w:pPr>
            <w:r w:rsidRPr="00CB38AA">
              <w:rPr>
                <w:rFonts w:eastAsia="Arial"/>
                <w:b/>
                <w:sz w:val="24"/>
                <w:szCs w:val="24"/>
                <w:lang w:val="es-MX"/>
              </w:rPr>
              <w:t>La nulidad de juicio concluido</w:t>
            </w:r>
          </w:p>
          <w:p w:rsidR="008D03DF" w:rsidRPr="00CB38AA" w:rsidRDefault="008D03DF" w:rsidP="00DF6EEA">
            <w:pPr>
              <w:spacing w:line="240" w:lineRule="auto"/>
              <w:jc w:val="both"/>
              <w:rPr>
                <w:sz w:val="24"/>
                <w:szCs w:val="24"/>
                <w:lang w:val="es-MX"/>
              </w:rPr>
            </w:pPr>
            <w:r w:rsidRPr="00CB38AA">
              <w:rPr>
                <w:rFonts w:eastAsia="Arial"/>
                <w:b/>
                <w:sz w:val="24"/>
                <w:szCs w:val="24"/>
                <w:lang w:val="es-MX"/>
              </w:rPr>
              <w:t xml:space="preserve">Artículo 1.5 Bis.- </w:t>
            </w:r>
            <w:r w:rsidRPr="00CB38AA">
              <w:rPr>
                <w:rFonts w:eastAsia="Arial"/>
                <w:sz w:val="24"/>
                <w:szCs w:val="24"/>
                <w:lang w:val="es-MX"/>
              </w:rPr>
              <w:t>La nulidad de juicio concluido es de naturaleza excepcional y precede en aquellos asuntos en los que se haya dictado sentencia o auto definitivo que haya causado ejecutoria.</w:t>
            </w:r>
          </w:p>
        </w:tc>
      </w:tr>
      <w:tr w:rsidR="008D03DF" w:rsidRPr="00CB38AA" w:rsidTr="00AB1AEF">
        <w:trPr>
          <w:jc w:val="center"/>
        </w:trPr>
        <w:tc>
          <w:tcPr>
            <w:tcW w:w="4735" w:type="dxa"/>
          </w:tcPr>
          <w:p w:rsidR="008D03DF" w:rsidRPr="00CB38AA" w:rsidRDefault="008D03DF" w:rsidP="00DF6EEA">
            <w:pPr>
              <w:spacing w:line="240" w:lineRule="auto"/>
              <w:rPr>
                <w:rFonts w:eastAsia="Arial"/>
                <w:b/>
                <w:sz w:val="24"/>
                <w:szCs w:val="24"/>
                <w:lang w:val="es-MX"/>
              </w:rPr>
            </w:pPr>
            <w:r w:rsidRPr="00CB38AA">
              <w:rPr>
                <w:rFonts w:eastAsia="Arial"/>
                <w:b/>
                <w:sz w:val="24"/>
                <w:szCs w:val="24"/>
                <w:lang w:val="es-MX"/>
              </w:rPr>
              <w:t>Sin correlativo</w:t>
            </w:r>
          </w:p>
        </w:tc>
        <w:tc>
          <w:tcPr>
            <w:tcW w:w="4735" w:type="dxa"/>
          </w:tcPr>
          <w:p w:rsidR="008D03DF" w:rsidRPr="00CB38AA" w:rsidRDefault="008D03DF" w:rsidP="00DF6EEA">
            <w:pPr>
              <w:spacing w:line="240" w:lineRule="auto"/>
              <w:rPr>
                <w:rFonts w:eastAsia="Arial"/>
                <w:sz w:val="24"/>
                <w:szCs w:val="24"/>
                <w:lang w:val="es-MX"/>
              </w:rPr>
            </w:pPr>
            <w:r w:rsidRPr="00CB38AA">
              <w:rPr>
                <w:rFonts w:eastAsia="Arial"/>
                <w:b/>
                <w:sz w:val="24"/>
                <w:szCs w:val="24"/>
                <w:lang w:val="es-MX"/>
              </w:rPr>
              <w:t>Legitimación</w:t>
            </w:r>
          </w:p>
          <w:p w:rsidR="008D03DF" w:rsidRPr="00CB38AA" w:rsidRDefault="00AB1AEF" w:rsidP="00DF6EEA">
            <w:pPr>
              <w:spacing w:line="240" w:lineRule="auto"/>
              <w:jc w:val="both"/>
              <w:rPr>
                <w:rFonts w:eastAsia="Arial"/>
                <w:sz w:val="24"/>
                <w:szCs w:val="24"/>
                <w:lang w:val="es-MX"/>
              </w:rPr>
            </w:pPr>
            <w:r w:rsidRPr="00CB38AA">
              <w:rPr>
                <w:rFonts w:eastAsia="Arial"/>
                <w:b/>
                <w:sz w:val="24"/>
                <w:szCs w:val="24"/>
                <w:lang w:val="es-MX"/>
              </w:rPr>
              <w:t>Artículo</w:t>
            </w:r>
            <w:r w:rsidR="008D03DF" w:rsidRPr="00CB38AA">
              <w:rPr>
                <w:rFonts w:eastAsia="Arial"/>
                <w:b/>
                <w:sz w:val="24"/>
                <w:szCs w:val="24"/>
                <w:lang w:val="es-MX"/>
              </w:rPr>
              <w:t xml:space="preserve"> 1.5 Ter.- </w:t>
            </w:r>
            <w:r w:rsidR="008D03DF" w:rsidRPr="00CB38AA">
              <w:rPr>
                <w:rFonts w:eastAsia="Arial"/>
                <w:sz w:val="24"/>
                <w:szCs w:val="24"/>
                <w:lang w:val="es-MX"/>
              </w:rPr>
              <w:t>La nulidad de juicio concluido puede ser ejercitada por quienes habiendo sido parte en el en el procedimiento, hayan sido falsamente representados o emplazados, sus sucesores o causahabientes, y los terceros a quienes perjudique la resolución y se actualice alguna de las siguientes hipótesis:</w:t>
            </w:r>
          </w:p>
          <w:p w:rsidR="008D03DF" w:rsidRPr="00CB38AA" w:rsidRDefault="008D03DF" w:rsidP="00DF6EEA">
            <w:pPr>
              <w:spacing w:line="240" w:lineRule="auto"/>
              <w:rPr>
                <w:rFonts w:eastAsia="Arial"/>
                <w:b/>
                <w:sz w:val="24"/>
                <w:szCs w:val="24"/>
                <w:lang w:val="es-MX"/>
              </w:rPr>
            </w:pPr>
          </w:p>
          <w:p w:rsidR="008D03DF" w:rsidRPr="00CB38AA" w:rsidRDefault="008D03DF" w:rsidP="00DF6EEA">
            <w:pPr>
              <w:spacing w:line="240" w:lineRule="auto"/>
              <w:jc w:val="both"/>
              <w:rPr>
                <w:rFonts w:eastAsia="Arial"/>
                <w:sz w:val="24"/>
                <w:szCs w:val="24"/>
                <w:lang w:val="es-MX"/>
              </w:rPr>
            </w:pPr>
            <w:r w:rsidRPr="00CB38AA">
              <w:rPr>
                <w:rFonts w:eastAsia="Arial"/>
                <w:sz w:val="24"/>
                <w:szCs w:val="24"/>
                <w:lang w:val="es-MX"/>
              </w:rPr>
              <w:t>I. Si se falló con base en pruebas reconocidas o declaradas de cualquier modo falsas con posterioridad a la resolución, por sentencia o resolución judicial firme o que la parte vencida ignoraba que se habían reconocido o declarado como tales antes de la sentencia, o;</w:t>
            </w:r>
          </w:p>
          <w:p w:rsidR="008D03DF" w:rsidRPr="00CB38AA" w:rsidRDefault="008D03DF" w:rsidP="00DF6EEA">
            <w:pPr>
              <w:spacing w:line="240" w:lineRule="auto"/>
              <w:rPr>
                <w:rFonts w:eastAsia="Arial"/>
                <w:b/>
                <w:sz w:val="24"/>
                <w:szCs w:val="24"/>
                <w:lang w:val="es-MX"/>
              </w:rPr>
            </w:pPr>
          </w:p>
          <w:p w:rsidR="008D03DF" w:rsidRPr="00CB38AA" w:rsidRDefault="008D03DF" w:rsidP="00DF6EEA">
            <w:pPr>
              <w:spacing w:line="240" w:lineRule="auto"/>
              <w:jc w:val="both"/>
              <w:rPr>
                <w:rFonts w:eastAsia="Arial"/>
                <w:sz w:val="24"/>
                <w:szCs w:val="24"/>
                <w:lang w:val="es-MX"/>
              </w:rPr>
            </w:pPr>
            <w:r w:rsidRPr="00CB38AA">
              <w:rPr>
                <w:rFonts w:eastAsia="Arial"/>
                <w:sz w:val="24"/>
                <w:szCs w:val="24"/>
                <w:lang w:val="es-MX"/>
              </w:rPr>
              <w:t>II. Cuando exista colusión u otra maniobra fraudulenta de las partes litigantes en el juicio cuya nulidad se pide, en perjuicio de la parte promovente de la acción de nulidad de juicio concluido.</w:t>
            </w:r>
          </w:p>
          <w:p w:rsidR="008D03DF" w:rsidRPr="00CB38AA" w:rsidRDefault="008D03DF" w:rsidP="00DF6EEA">
            <w:pPr>
              <w:spacing w:line="240" w:lineRule="auto"/>
              <w:rPr>
                <w:rFonts w:eastAsia="Arial"/>
                <w:b/>
                <w:sz w:val="24"/>
                <w:szCs w:val="24"/>
                <w:lang w:val="es-MX"/>
              </w:rPr>
            </w:pPr>
          </w:p>
        </w:tc>
      </w:tr>
      <w:tr w:rsidR="008D03DF" w:rsidRPr="00CB38AA" w:rsidTr="00AB1AEF">
        <w:trPr>
          <w:jc w:val="center"/>
        </w:trPr>
        <w:tc>
          <w:tcPr>
            <w:tcW w:w="4735" w:type="dxa"/>
          </w:tcPr>
          <w:p w:rsidR="008D03DF" w:rsidRPr="00CB38AA" w:rsidRDefault="008D03DF" w:rsidP="00DF6EEA">
            <w:pPr>
              <w:spacing w:line="240" w:lineRule="auto"/>
              <w:rPr>
                <w:rFonts w:eastAsia="Arial"/>
                <w:b/>
                <w:sz w:val="24"/>
                <w:szCs w:val="24"/>
                <w:lang w:val="es-MX"/>
              </w:rPr>
            </w:pPr>
            <w:r w:rsidRPr="00CB38AA">
              <w:rPr>
                <w:rFonts w:eastAsia="Arial"/>
                <w:b/>
                <w:sz w:val="24"/>
                <w:szCs w:val="24"/>
                <w:lang w:val="es-MX"/>
              </w:rPr>
              <w:t>Sin correlativo</w:t>
            </w:r>
          </w:p>
        </w:tc>
        <w:tc>
          <w:tcPr>
            <w:tcW w:w="4735" w:type="dxa"/>
          </w:tcPr>
          <w:p w:rsidR="008D03DF" w:rsidRPr="00CB38AA" w:rsidRDefault="008D03DF" w:rsidP="00DF6EEA">
            <w:pPr>
              <w:spacing w:line="240" w:lineRule="auto"/>
              <w:rPr>
                <w:rFonts w:eastAsia="Arial"/>
                <w:b/>
                <w:sz w:val="24"/>
                <w:szCs w:val="24"/>
                <w:lang w:val="es-MX"/>
              </w:rPr>
            </w:pPr>
            <w:r w:rsidRPr="00CB38AA">
              <w:rPr>
                <w:rFonts w:eastAsia="Arial"/>
                <w:b/>
                <w:sz w:val="24"/>
                <w:szCs w:val="24"/>
                <w:lang w:val="es-MX"/>
              </w:rPr>
              <w:t>Suspensión de ejecución de la sentencia</w:t>
            </w:r>
          </w:p>
          <w:p w:rsidR="008D03DF" w:rsidRPr="00CB38AA" w:rsidRDefault="00AB1AEF" w:rsidP="00DF6EEA">
            <w:pPr>
              <w:spacing w:line="240" w:lineRule="auto"/>
              <w:jc w:val="both"/>
              <w:rPr>
                <w:rFonts w:eastAsia="Arial"/>
                <w:sz w:val="24"/>
                <w:szCs w:val="24"/>
                <w:lang w:val="es-MX"/>
              </w:rPr>
            </w:pPr>
            <w:r w:rsidRPr="00CB38AA">
              <w:rPr>
                <w:rFonts w:eastAsia="Arial"/>
                <w:b/>
                <w:sz w:val="24"/>
                <w:szCs w:val="24"/>
                <w:lang w:val="es-MX"/>
              </w:rPr>
              <w:t>Artículo</w:t>
            </w:r>
            <w:r w:rsidR="008D03DF" w:rsidRPr="00CB38AA">
              <w:rPr>
                <w:rFonts w:eastAsia="Arial"/>
                <w:b/>
                <w:sz w:val="24"/>
                <w:szCs w:val="24"/>
                <w:lang w:val="es-MX"/>
              </w:rPr>
              <w:t xml:space="preserve"> 1.5 Quáter.- </w:t>
            </w:r>
            <w:r w:rsidR="008D03DF" w:rsidRPr="00CB38AA">
              <w:rPr>
                <w:rFonts w:eastAsia="Arial"/>
                <w:sz w:val="24"/>
                <w:szCs w:val="24"/>
                <w:lang w:val="es-MX"/>
              </w:rPr>
              <w:t>La interposición de la nulidad de juicio concluido no suspenderá la ejecución de la resolución firme que la motivare.</w:t>
            </w:r>
          </w:p>
          <w:p w:rsidR="008D03DF" w:rsidRPr="00CB38AA" w:rsidRDefault="008D03DF" w:rsidP="00DF6EEA">
            <w:pPr>
              <w:spacing w:line="240" w:lineRule="auto"/>
              <w:jc w:val="both"/>
              <w:rPr>
                <w:rFonts w:eastAsia="Arial"/>
                <w:sz w:val="24"/>
                <w:szCs w:val="24"/>
                <w:lang w:val="es-MX"/>
              </w:rPr>
            </w:pPr>
          </w:p>
          <w:p w:rsidR="008D03DF" w:rsidRPr="00CB38AA" w:rsidRDefault="008D03DF" w:rsidP="00DF6EEA">
            <w:pPr>
              <w:spacing w:line="240" w:lineRule="auto"/>
              <w:jc w:val="both"/>
              <w:rPr>
                <w:rFonts w:eastAsia="Arial"/>
                <w:sz w:val="24"/>
                <w:szCs w:val="24"/>
                <w:lang w:val="es-MX"/>
              </w:rPr>
            </w:pPr>
            <w:r w:rsidRPr="00CB38AA">
              <w:rPr>
                <w:rFonts w:eastAsia="Arial"/>
                <w:sz w:val="24"/>
                <w:szCs w:val="24"/>
                <w:lang w:val="es-MX"/>
              </w:rPr>
              <w:t xml:space="preserve">No obstante, quien promueva la nulidad podrá solicitar a la autoridad jurisdiccional que conozca de la misma, la suspensión de la ejecución de aquella sentencia cuya nulidad se pide. Para tal efecto, deberá otorgar garantía que fije la autoridad jurisdiccional que conoce de la nulidad, por los danos </w:t>
            </w:r>
            <w:r w:rsidRPr="00CB38AA">
              <w:rPr>
                <w:sz w:val="24"/>
                <w:szCs w:val="24"/>
                <w:lang w:val="es-MX"/>
              </w:rPr>
              <w:t xml:space="preserve">y </w:t>
            </w:r>
            <w:r w:rsidRPr="00CB38AA">
              <w:rPr>
                <w:rFonts w:eastAsia="Arial"/>
                <w:sz w:val="24"/>
                <w:szCs w:val="24"/>
                <w:lang w:val="es-MX"/>
              </w:rPr>
              <w:t xml:space="preserve">perjuicios que, de manera inmediata y directa, pudieran </w:t>
            </w:r>
            <w:r w:rsidRPr="00CB38AA">
              <w:rPr>
                <w:rFonts w:eastAsia="Arial"/>
                <w:sz w:val="24"/>
                <w:szCs w:val="24"/>
                <w:lang w:val="es-MX"/>
              </w:rPr>
              <w:lastRenderedPageBreak/>
              <w:t>ocasionarse con motivo de la suspensión a la parte vencedora del juicio cuya nulidad se solicita.</w:t>
            </w:r>
          </w:p>
          <w:p w:rsidR="008D03DF" w:rsidRPr="00CB38AA" w:rsidRDefault="008D03DF" w:rsidP="00DF6EEA">
            <w:pPr>
              <w:spacing w:line="240" w:lineRule="auto"/>
              <w:rPr>
                <w:rFonts w:eastAsia="Arial"/>
                <w:b/>
                <w:sz w:val="24"/>
                <w:szCs w:val="24"/>
                <w:lang w:val="es-MX"/>
              </w:rPr>
            </w:pPr>
          </w:p>
          <w:p w:rsidR="008D03DF" w:rsidRPr="00CB38AA" w:rsidRDefault="008D03DF" w:rsidP="00DF6EEA">
            <w:pPr>
              <w:spacing w:line="240" w:lineRule="auto"/>
              <w:jc w:val="both"/>
              <w:rPr>
                <w:rFonts w:eastAsia="Arial"/>
                <w:sz w:val="24"/>
                <w:szCs w:val="24"/>
                <w:lang w:val="es-MX"/>
              </w:rPr>
            </w:pPr>
            <w:r w:rsidRPr="00CB38AA">
              <w:rPr>
                <w:rFonts w:eastAsia="Arial"/>
                <w:sz w:val="24"/>
                <w:szCs w:val="24"/>
                <w:lang w:val="es-MX"/>
              </w:rPr>
              <w:t>Cuando la nulidad de juicio concluido se declare infundada, la garantía se adjudicará a la parte demandada por concepto de los danos y perjuicios ocasionados por la suspensión, sin necesidad de prueba alguna.</w:t>
            </w:r>
          </w:p>
          <w:p w:rsidR="008D03DF" w:rsidRPr="00CB38AA" w:rsidRDefault="008D03DF" w:rsidP="00DF6EEA">
            <w:pPr>
              <w:spacing w:line="240" w:lineRule="auto"/>
              <w:rPr>
                <w:rFonts w:eastAsia="Arial"/>
                <w:b/>
                <w:sz w:val="24"/>
                <w:szCs w:val="24"/>
                <w:lang w:val="es-MX"/>
              </w:rPr>
            </w:pPr>
          </w:p>
          <w:p w:rsidR="008D03DF" w:rsidRPr="00CB38AA" w:rsidRDefault="008D03DF" w:rsidP="00DF6EEA">
            <w:pPr>
              <w:spacing w:line="240" w:lineRule="auto"/>
              <w:jc w:val="both"/>
              <w:rPr>
                <w:rFonts w:eastAsia="Arial"/>
                <w:sz w:val="24"/>
                <w:szCs w:val="24"/>
                <w:lang w:val="es-MX"/>
              </w:rPr>
            </w:pPr>
            <w:r w:rsidRPr="00CB38AA">
              <w:rPr>
                <w:rFonts w:eastAsia="Arial"/>
                <w:sz w:val="24"/>
                <w:szCs w:val="24"/>
                <w:lang w:val="es-MX"/>
              </w:rPr>
              <w:t>No será necesaria la garantía cuando se acredite fehacientemente que la ejecución pueda causar un daño irreparable a quien promueve la nulidad. En este supuesto, si la nulidad resulta improcedente, la parte actora ser condenada al pago de los danos y perjuicios ocasionados con motive de la suspensión, en los términos del párrafo anterior, junto con el pago de gastos y costas, que se cuantificarán en ejecución de sentencia; así como una multa equivalente hasta un ano de valor de la Unidad de Medida y Actualización para la persona licenciada en derecho o abogada que la haya intentado.</w:t>
            </w:r>
          </w:p>
          <w:p w:rsidR="008D03DF" w:rsidRPr="00CB38AA" w:rsidRDefault="008D03DF" w:rsidP="00DF6EEA">
            <w:pPr>
              <w:spacing w:line="240" w:lineRule="auto"/>
              <w:rPr>
                <w:rFonts w:eastAsia="Arial"/>
                <w:b/>
                <w:sz w:val="24"/>
                <w:szCs w:val="24"/>
                <w:lang w:val="es-MX"/>
              </w:rPr>
            </w:pPr>
          </w:p>
        </w:tc>
      </w:tr>
    </w:tbl>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Por lo anteriormente expuesto, el Pleno del Tribunal Superior de Justicia del Estado de México somete respetuosamente a consideración de esa Soberanía la presente Iniciativa de Decreto:</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DECRETO NÚMERO</w:t>
      </w:r>
    </w:p>
    <w:p w:rsidR="008D03DF" w:rsidRPr="00CB38AA" w:rsidRDefault="008D03DF" w:rsidP="00DF6EEA">
      <w:pPr>
        <w:spacing w:after="0" w:line="240" w:lineRule="auto"/>
        <w:rPr>
          <w:rFonts w:ascii="Times New Roman" w:eastAsia="Arial" w:hAnsi="Times New Roman" w:cs="Times New Roman"/>
          <w:b/>
          <w:sz w:val="24"/>
          <w:szCs w:val="24"/>
        </w:rPr>
      </w:pPr>
      <w:r w:rsidRPr="00CB38AA">
        <w:rPr>
          <w:rFonts w:ascii="Times New Roman" w:eastAsia="Arial" w:hAnsi="Times New Roman" w:cs="Times New Roman"/>
          <w:b/>
          <w:sz w:val="24"/>
          <w:szCs w:val="24"/>
        </w:rPr>
        <w:t>LA H. "LXII" LEGISLATURA</w:t>
      </w:r>
    </w:p>
    <w:p w:rsidR="008D03DF" w:rsidRPr="00CB38AA" w:rsidRDefault="008D03DF" w:rsidP="00DF6EEA">
      <w:pPr>
        <w:spacing w:after="0" w:line="240" w:lineRule="auto"/>
        <w:rPr>
          <w:rFonts w:ascii="Times New Roman" w:eastAsia="Arial" w:hAnsi="Times New Roman" w:cs="Times New Roman"/>
          <w:b/>
          <w:sz w:val="24"/>
          <w:szCs w:val="24"/>
        </w:rPr>
      </w:pPr>
      <w:r w:rsidRPr="00CB38AA">
        <w:rPr>
          <w:rFonts w:ascii="Times New Roman" w:eastAsia="Arial" w:hAnsi="Times New Roman" w:cs="Times New Roman"/>
          <w:b/>
          <w:sz w:val="24"/>
          <w:szCs w:val="24"/>
        </w:rPr>
        <w:t>DEL ESTADO DE MÉXICO</w:t>
      </w:r>
    </w:p>
    <w:p w:rsidR="008D03DF" w:rsidRPr="00CB38AA" w:rsidRDefault="008D03DF"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DECRETA</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ARTÍCULO ÚNICO: Se adicionan los artículos 1.5 Bis, 1.5 Ter y 1.5 Quáter todos del Código Civil del Estado de México, para quedar como sigue:</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ind w:firstLine="709"/>
        <w:rPr>
          <w:rFonts w:ascii="Times New Roman" w:eastAsia="Times New Roman" w:hAnsi="Times New Roman" w:cs="Times New Roman"/>
          <w:sz w:val="24"/>
          <w:szCs w:val="24"/>
        </w:rPr>
      </w:pPr>
      <w:r w:rsidRPr="00CB38AA">
        <w:rPr>
          <w:rFonts w:ascii="Times New Roman" w:eastAsia="Times New Roman" w:hAnsi="Times New Roman" w:cs="Times New Roman"/>
          <w:b/>
          <w:sz w:val="24"/>
          <w:szCs w:val="24"/>
        </w:rPr>
        <w:t>Acción de nulidad de juicio concluido</w:t>
      </w:r>
    </w:p>
    <w:p w:rsidR="008D03DF" w:rsidRPr="00CB38AA" w:rsidRDefault="008D03DF" w:rsidP="00DF6EEA">
      <w:pPr>
        <w:spacing w:after="0" w:line="240" w:lineRule="auto"/>
        <w:ind w:left="709"/>
        <w:jc w:val="both"/>
        <w:rPr>
          <w:rFonts w:ascii="Times New Roman" w:eastAsia="Arial" w:hAnsi="Times New Roman" w:cs="Times New Roman"/>
          <w:sz w:val="24"/>
          <w:szCs w:val="24"/>
        </w:rPr>
      </w:pPr>
      <w:r w:rsidRPr="00CB38AA">
        <w:rPr>
          <w:rFonts w:ascii="Times New Roman" w:eastAsia="Times New Roman" w:hAnsi="Times New Roman" w:cs="Times New Roman"/>
          <w:b/>
          <w:sz w:val="24"/>
          <w:szCs w:val="24"/>
        </w:rPr>
        <w:t xml:space="preserve">Artículo 1.5 Bis.- </w:t>
      </w:r>
      <w:r w:rsidRPr="00CB38AA">
        <w:rPr>
          <w:rFonts w:ascii="Times New Roman" w:eastAsia="Arial" w:hAnsi="Times New Roman" w:cs="Times New Roman"/>
          <w:sz w:val="24"/>
          <w:szCs w:val="24"/>
        </w:rPr>
        <w:t>La nulidad de juicio concluido es de naturaleza excepcional y precede en aquellos asuntos en los que se haya dictado sentencia o auto definitivo que haya causado ejecutoria.</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ind w:firstLine="709"/>
        <w:rPr>
          <w:rFonts w:ascii="Times New Roman" w:eastAsia="Times New Roman" w:hAnsi="Times New Roman" w:cs="Times New Roman"/>
          <w:sz w:val="24"/>
          <w:szCs w:val="24"/>
        </w:rPr>
      </w:pPr>
      <w:r w:rsidRPr="00CB38AA">
        <w:rPr>
          <w:rFonts w:ascii="Times New Roman" w:eastAsia="Times New Roman" w:hAnsi="Times New Roman" w:cs="Times New Roman"/>
          <w:b/>
          <w:sz w:val="24"/>
          <w:szCs w:val="24"/>
        </w:rPr>
        <w:t>Legitimación</w:t>
      </w:r>
    </w:p>
    <w:p w:rsidR="008D03DF" w:rsidRPr="00CB38AA" w:rsidRDefault="00AB1AEF" w:rsidP="00DF6EEA">
      <w:pPr>
        <w:spacing w:after="0" w:line="240" w:lineRule="auto"/>
        <w:ind w:left="709"/>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Artículo</w:t>
      </w:r>
      <w:r w:rsidR="008D03DF" w:rsidRPr="00CB38AA">
        <w:rPr>
          <w:rFonts w:ascii="Times New Roman" w:eastAsia="Arial" w:hAnsi="Times New Roman" w:cs="Times New Roman"/>
          <w:b/>
          <w:sz w:val="24"/>
          <w:szCs w:val="24"/>
        </w:rPr>
        <w:t xml:space="preserve"> 1.5 Ter.- </w:t>
      </w:r>
      <w:r w:rsidR="008D03DF" w:rsidRPr="00CB38AA">
        <w:rPr>
          <w:rFonts w:ascii="Times New Roman" w:eastAsia="Arial" w:hAnsi="Times New Roman" w:cs="Times New Roman"/>
          <w:sz w:val="24"/>
          <w:szCs w:val="24"/>
        </w:rPr>
        <w:t>La nulidad de juicio concluido puede ser ejercitada por quienes habiendo sido parte en el en el procedimiento, hayan sido falsamente representados o emplazados, sus sucesores o causahabientes, y los terceros a quienes perjudique la resolución y se actualice alguna de las siguientes hipótesis:</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ind w:left="709"/>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lastRenderedPageBreak/>
        <w:t>I. Si se falló con base en pruebas reconocidas o declaradas de cualquier modo falsas con posterioridad a la resolución, por sentencia o resolución judicial firme o que la parte vencida ignoraba que se habían reconocido o declarado como tales antes de la sentencia, o;</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ind w:left="709"/>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II. Cuando exista colusión u otra maniobra fraudulenta de las partes litigantes en el juicio cuya nulidad se pide, en perjuicio de la parte promovente de la acción de nulidad de juicio concluido.</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ind w:firstLine="709"/>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Suspensión de ejecución de la sentencia</w:t>
      </w:r>
    </w:p>
    <w:p w:rsidR="008D03DF" w:rsidRPr="00CB38AA" w:rsidRDefault="008D03DF" w:rsidP="00DF6EEA">
      <w:pPr>
        <w:spacing w:after="0" w:line="240" w:lineRule="auto"/>
        <w:ind w:left="709"/>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1.5 Quáter.- </w:t>
      </w:r>
      <w:r w:rsidRPr="00CB38AA">
        <w:rPr>
          <w:rFonts w:ascii="Times New Roman" w:eastAsia="Arial" w:hAnsi="Times New Roman" w:cs="Times New Roman"/>
          <w:sz w:val="24"/>
          <w:szCs w:val="24"/>
        </w:rPr>
        <w:t>La interposición de la nulidad de juicio concluido no suspenderá la ejecución de la resolución firme que la motivare.</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ind w:left="709"/>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No obstante, quien promueva la nulidad podrá solicitar a la autoridad jurisdiccional que conozca de la misma, la suspensión de la ejecución de aquella sentencia cuya nulidad se pide. Para tal efecto, deberá otorgar garantía que fije la autoridad jurisdiccional que conoce de la nulidad, por los danos y perjuicios que, de manera inmediata y directa, pudieran ocasionarse con motivo de la suspensión a la parte vencedora del juicio cuya nulidad se solicita.</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ind w:left="709"/>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Cuando la nulidad de juicio concluido se declare improcedente, la garantía se adjudicar a la parte demandada por concepto de los danos y perjuicios ocasionados por la suspensión, sin necesidad de prueba alguna.</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ind w:left="709"/>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No ser necesaria la garantía cuando se acredite fehacientemente que la ejecución pueda causar un daño irreparable a quien promueve la nulidad. En este supuesto, si la nulidad resulta improcedente, la parte actora será condenada al pago de los daños y perjuicios ocasionados con motivo de la suspensión, en los términos del párrafo anterior, junto con el pago de gastos y costas, que se cuantificarán en ejecución de sentencia; así como una multa equivalente a un ano de valor de la Unidad de Medida y Actualización para la persona licenciada en derecho o abogada que la haya intentado.</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TRANSITORIOS</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ÚNICO. </w:t>
      </w:r>
      <w:r w:rsidRPr="00CB38AA">
        <w:rPr>
          <w:rFonts w:ascii="Times New Roman" w:eastAsia="Arial" w:hAnsi="Times New Roman" w:cs="Times New Roman"/>
          <w:sz w:val="24"/>
          <w:szCs w:val="24"/>
        </w:rPr>
        <w:t xml:space="preserve">Publíquese </w:t>
      </w:r>
      <w:r w:rsidRPr="00CB38AA">
        <w:rPr>
          <w:rFonts w:ascii="Times New Roman" w:eastAsia="Times New Roman" w:hAnsi="Times New Roman" w:cs="Times New Roman"/>
          <w:sz w:val="24"/>
          <w:szCs w:val="24"/>
        </w:rPr>
        <w:t xml:space="preserve">el </w:t>
      </w:r>
      <w:r w:rsidRPr="00CB38AA">
        <w:rPr>
          <w:rFonts w:ascii="Times New Roman" w:eastAsia="Arial" w:hAnsi="Times New Roman" w:cs="Times New Roman"/>
          <w:sz w:val="24"/>
          <w:szCs w:val="24"/>
        </w:rPr>
        <w:t xml:space="preserve">presente Decreto en </w:t>
      </w:r>
      <w:r w:rsidRPr="00CB38AA">
        <w:rPr>
          <w:rFonts w:ascii="Times New Roman" w:eastAsia="Times New Roman" w:hAnsi="Times New Roman" w:cs="Times New Roman"/>
          <w:sz w:val="24"/>
          <w:szCs w:val="24"/>
        </w:rPr>
        <w:t xml:space="preserve">el </w:t>
      </w:r>
      <w:r w:rsidRPr="00CB38AA">
        <w:rPr>
          <w:rFonts w:ascii="Times New Roman" w:eastAsia="Arial" w:hAnsi="Times New Roman" w:cs="Times New Roman"/>
          <w:sz w:val="24"/>
          <w:szCs w:val="24"/>
        </w:rPr>
        <w:t>Periódico Oficial "Gaceta del Gobierno".</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Palacio del Poder Judicial, en la Ciudad de Toluca de Lerdo, capital del Estado de México, a los cuatro días del mes de febrero del año dos mil veintiséis.</w:t>
      </w:r>
    </w:p>
    <w:p w:rsidR="008D03DF" w:rsidRPr="00CB38AA" w:rsidRDefault="008D03DF" w:rsidP="00DF6EEA">
      <w:pPr>
        <w:spacing w:after="0" w:line="240" w:lineRule="auto"/>
        <w:rPr>
          <w:rFonts w:ascii="Times New Roman" w:eastAsia="Times New Roman" w:hAnsi="Times New Roman" w:cs="Times New Roman"/>
          <w:sz w:val="24"/>
          <w:szCs w:val="24"/>
        </w:rPr>
      </w:pPr>
    </w:p>
    <w:p w:rsidR="008D03DF" w:rsidRPr="00CB38AA" w:rsidRDefault="008D03DF" w:rsidP="00DF6EEA">
      <w:pPr>
        <w:spacing w:after="0" w:line="240" w:lineRule="auto"/>
        <w:jc w:val="center"/>
        <w:rPr>
          <w:rFonts w:ascii="Times New Roman" w:eastAsia="Times New Roman" w:hAnsi="Times New Roman" w:cs="Times New Roman"/>
          <w:b/>
          <w:sz w:val="24"/>
          <w:szCs w:val="24"/>
        </w:rPr>
      </w:pPr>
      <w:r w:rsidRPr="00CB38AA">
        <w:rPr>
          <w:rFonts w:ascii="Times New Roman" w:eastAsia="Times New Roman" w:hAnsi="Times New Roman" w:cs="Times New Roman"/>
          <w:b/>
          <w:sz w:val="24"/>
          <w:szCs w:val="24"/>
        </w:rPr>
        <w:t>A T E N T A M E N T E</w:t>
      </w:r>
    </w:p>
    <w:p w:rsidR="008D03DF" w:rsidRPr="00CB38AA" w:rsidRDefault="008D03DF" w:rsidP="00DF6EEA">
      <w:pPr>
        <w:spacing w:after="0" w:line="240" w:lineRule="auto"/>
        <w:jc w:val="center"/>
        <w:rPr>
          <w:rFonts w:ascii="Times New Roman" w:eastAsia="Times New Roman" w:hAnsi="Times New Roman" w:cs="Times New Roman"/>
          <w:b/>
          <w:sz w:val="24"/>
          <w:szCs w:val="24"/>
        </w:rPr>
      </w:pPr>
      <w:r w:rsidRPr="00CB38AA">
        <w:rPr>
          <w:rFonts w:ascii="Times New Roman" w:eastAsia="Times New Roman" w:hAnsi="Times New Roman" w:cs="Times New Roman"/>
          <w:b/>
          <w:sz w:val="24"/>
          <w:szCs w:val="24"/>
        </w:rPr>
        <w:t>Mgdo. Dr. Héctor Macedo García</w:t>
      </w:r>
    </w:p>
    <w:p w:rsidR="008D03DF" w:rsidRPr="00CB38AA" w:rsidRDefault="008D03DF" w:rsidP="00DF6EEA">
      <w:pPr>
        <w:spacing w:after="0" w:line="240" w:lineRule="auto"/>
        <w:jc w:val="center"/>
        <w:rPr>
          <w:rFonts w:ascii="Times New Roman" w:eastAsia="Times New Roman" w:hAnsi="Times New Roman" w:cs="Times New Roman"/>
          <w:sz w:val="24"/>
          <w:szCs w:val="24"/>
        </w:rPr>
      </w:pPr>
      <w:r w:rsidRPr="00CB38AA">
        <w:rPr>
          <w:rFonts w:ascii="Times New Roman" w:eastAsia="Times New Roman" w:hAnsi="Times New Roman" w:cs="Times New Roman"/>
          <w:sz w:val="24"/>
          <w:szCs w:val="24"/>
        </w:rPr>
        <w:t>Presidente del Tribunal Superior de Justicia</w:t>
      </w:r>
    </w:p>
    <w:p w:rsidR="008D03DF" w:rsidRPr="00CB38AA" w:rsidRDefault="008D03DF" w:rsidP="00DF6EEA">
      <w:pPr>
        <w:spacing w:after="0" w:line="240" w:lineRule="auto"/>
        <w:jc w:val="center"/>
        <w:rPr>
          <w:rFonts w:ascii="Times New Roman" w:eastAsia="Times New Roman" w:hAnsi="Times New Roman" w:cs="Times New Roman"/>
          <w:sz w:val="24"/>
          <w:szCs w:val="24"/>
        </w:rPr>
      </w:pPr>
      <w:r w:rsidRPr="00CB38AA">
        <w:rPr>
          <w:rFonts w:ascii="Times New Roman" w:eastAsia="Times New Roman" w:hAnsi="Times New Roman" w:cs="Times New Roman"/>
          <w:sz w:val="24"/>
          <w:szCs w:val="24"/>
        </w:rPr>
        <w:t>del Estado de México</w:t>
      </w:r>
    </w:p>
    <w:p w:rsidR="008D03DF" w:rsidRPr="00CB38AA" w:rsidRDefault="008D03DF" w:rsidP="00DF6EEA">
      <w:pPr>
        <w:spacing w:after="0" w:line="240" w:lineRule="auto"/>
        <w:jc w:val="center"/>
        <w:rPr>
          <w:rFonts w:ascii="Times New Roman" w:eastAsia="Times New Roman" w:hAnsi="Times New Roman" w:cs="Times New Roman"/>
          <w:sz w:val="24"/>
          <w:szCs w:val="24"/>
        </w:rPr>
      </w:pPr>
      <w:r w:rsidRPr="00CB38AA">
        <w:rPr>
          <w:rFonts w:ascii="Times New Roman" w:eastAsia="Times New Roman" w:hAnsi="Times New Roman" w:cs="Times New Roman"/>
          <w:sz w:val="24"/>
          <w:szCs w:val="24"/>
        </w:rPr>
        <w:t>(Rúbrica)</w:t>
      </w:r>
    </w:p>
    <w:p w:rsidR="008D03DF" w:rsidRPr="00CB38AA" w:rsidRDefault="008D03DF" w:rsidP="00DF6EEA">
      <w:pPr>
        <w:spacing w:after="0" w:line="240" w:lineRule="auto"/>
        <w:jc w:val="center"/>
        <w:rPr>
          <w:rFonts w:ascii="Times New Roman" w:hAnsi="Times New Roman" w:cs="Times New Roman"/>
          <w:sz w:val="24"/>
          <w:szCs w:val="24"/>
        </w:rPr>
      </w:pPr>
    </w:p>
    <w:p w:rsidR="008D03DF" w:rsidRPr="00CB38AA" w:rsidRDefault="008D03DF" w:rsidP="00DF6EEA">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(Fin del documento)</w:t>
      </w:r>
    </w:p>
    <w:p w:rsidR="008D03DF" w:rsidRPr="00CB38AA" w:rsidRDefault="008D03DF" w:rsidP="00DF6EEA">
      <w:pPr>
        <w:spacing w:after="0" w:line="240" w:lineRule="auto"/>
        <w:jc w:val="center"/>
        <w:rPr>
          <w:rFonts w:ascii="Times New Roman" w:hAnsi="Times New Roman" w:cs="Times New Roman"/>
          <w:sz w:val="24"/>
          <w:szCs w:val="24"/>
        </w:rPr>
      </w:pP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 xml:space="preserve">PRESIDENTA DIP. MARTHA AZUCENA CAMACHO REYNOSO. Gracias diputada Vicepresidenta Sara Alicia Ramírez de la O.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lastRenderedPageBreak/>
        <w:t>Se registra la iniciativa y se remite a la Comisión Legislativa de Procuración y Administración de Justicia para su estudio y dictamen.</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En cuanto al punto número 6, la diputada Vicepresidenta Sara Alicia Ramírez de la O, leerá la Iniciativa con Proyecto de Decreto que reforma el artículo 47 de la Ley Orgánica del Poder Judicial del Estado de México, relacionada con la integración de los Tribunales de Alzada presentada por el Presidente del Tribunal Superior de Justicia del Estado de México.</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DIP. SARA ALICIA RAMÍREZ DE LA O. Gracias.</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DIPUTADA MARTHA AZUCENA CAMACHO REYNOSO</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PRESIDENTA DE LA MESA DIRECTIVA DE LA LXII</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LEGISLATURA DEL ESTADO DE MÉXICO</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PRESENTE</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Magistrado Doctor Héctor Macedo García, en mi carácter de Presidente del Tribunal Superior de Justicia del Estado de México, y en ejercicio de las facultades que me confieren los artículos 51 de la Constitución Política del Estado Libre y Soberano de México, 1 inciso b), 1.5 fracción I y 95 fracción II de la Ley Orgánica del Poder Judicial del Estado de México, se somete a la consideración de esta Honorable Legislatura por su digno conducto, la presente Iniciativa con Proyecto de Decreto que reforma el artículo 47 de la Ley Orgánica del Poder Judicial del Estado de México relacionada con la integración de los tribunales de alzada, proyecto que fuera aprobado por el Pleno del Tribunal Superior de Justicia del Estado de México, en sesión ordinaria celebrada el 26 de enero del presente año, con base en la siguiente:</w:t>
      </w:r>
    </w:p>
    <w:p w:rsidR="00A35DFE" w:rsidRPr="00CB38AA" w:rsidRDefault="00A35DFE" w:rsidP="00DF6EEA">
      <w:pPr>
        <w:spacing w:after="0" w:line="240" w:lineRule="auto"/>
        <w:jc w:val="center"/>
        <w:rPr>
          <w:rFonts w:ascii="Times New Roman" w:hAnsi="Times New Roman" w:cs="Times New Roman"/>
          <w:sz w:val="24"/>
          <w:szCs w:val="24"/>
        </w:rPr>
      </w:pPr>
      <w:r w:rsidRPr="00CB38AA">
        <w:rPr>
          <w:rFonts w:ascii="Times New Roman" w:hAnsi="Times New Roman" w:cs="Times New Roman"/>
          <w:sz w:val="24"/>
          <w:szCs w:val="24"/>
        </w:rPr>
        <w:t>EXPOSICIÓN DE MOTIVOS</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El Estado de México como entidad soberana y parte integrante de la Federación de los Estados Unidos Mexicanos está obligado a contar con un marco jurídico de carácter secundario que se armonice con la reciente reforma a la Constitución Política del Estado Libre y Soberano de México, publicada en el Periódico Oficial Gaceta del Gobierno del Estado Libre y Soberano de México a través del decreto número 63 del día 6 de enero de 2025, con respecto al Poder Judicial del Estado de México en cumplimiento al segundo párrafo del transitorio octavo del decreto de reforma constitucional política de los Estados Unidos Mexicanos publicada en el Diario Oficial de la Federación el día 15 de septiembre de 2024 el cual estableció que las entidades federativas tendrían un plazo de 180 días naturales a partir de la entrada en vigor del decreto para realizar las adecuaciones a sus constituciones locales.</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Es por ello, que el pleno del Tribunal Superior de Justicia con fundamento en lo previsto en el artículo 15 fracción I de la Ley Orgánica del Poder Judicial del Estado de México, en ejercicio de su derecho a iniciar leyes o decretos ante la Legislatura del Estado de México y a fin de fortalecer el estado de derecho a través del Poder Judicial, quien tiene a su cargo la administración e impartición de justicia, es que se somete a la Honorable Legislatura la presente Iniciativa con Proyecto de Decreto por el que se reforma la Ley Orgánica del Poder Judicial del Estado de México.</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Lo anterior, en virtud de que resulta necesario e imprescindible armonizar el Código Nacional de Procedimientos Civiles con las reformas llevadas a cabo a la Constitución Política del Estado Libre y Soberano de México con respecto a la estructura y funcionamiento del Poder Judicial, particularmente en cuanto a las autoridades encargadas de impartir justicia, particularmente en cuanto a las autoridades encargadas de impartir justicia del Poder Judicial del Estado de México.</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La implementación del sistema acusatorio permite que los tribunales de alzada se integren por una o tres personas magistradas; sin embargo, la Ley Orgánica del Poder Judicial del Estado de México es inconsistente con el Código Nacional de Procedimientos Penales al señalar indistintamente como es el caso de las salas colegiadas que se integran por 3 magistrados o magistradas.</w:t>
      </w:r>
    </w:p>
    <w:p w:rsidR="00A35DFE" w:rsidRPr="00CB38AA" w:rsidRDefault="00A35DFE" w:rsidP="00DF6EEA">
      <w:pPr>
        <w:spacing w:after="0" w:line="240" w:lineRule="auto"/>
        <w:ind w:firstLine="708"/>
        <w:jc w:val="both"/>
        <w:rPr>
          <w:rFonts w:ascii="Times New Roman" w:hAnsi="Times New Roman" w:cs="Times New Roman"/>
          <w:sz w:val="24"/>
          <w:szCs w:val="24"/>
        </w:rPr>
      </w:pPr>
      <w:r w:rsidRPr="00CB38AA">
        <w:rPr>
          <w:rFonts w:ascii="Times New Roman" w:hAnsi="Times New Roman" w:cs="Times New Roman"/>
          <w:sz w:val="24"/>
          <w:szCs w:val="24"/>
        </w:rPr>
        <w:lastRenderedPageBreak/>
        <w:t>Bajo ese contexto, el entonces Consejo de la Judicatura del Poder Judicial del Estado de México para un mejor funcionamiento del Sistema de Justicia Penal, en materia recursiva estimó la creación de un tribunal de alzada en cada región judicial para conocer del recurso de apelación en contra de las resoluciones emitidas por los jueces de control y los recursos en contra de las negativas de cateos emitidas por los jueces especializados en cateos, órdenes de aprehensión y medidas de protección en línea.</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 xml:space="preserve">Lo que no sólo responde a los criterios de especialización y eficiencia, sino que también encuentran respaldo por el artículo 94 de la Constitución del Estado Libre y Soberano de México, así como lo preceptuado en el artículo 3 de fracción XVII del Código Nacional de Procedimientos Penales Vigentes.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De esta manera, se advierte que no está armonizado con el Código Nacional de Procedimientos Penales, en el artículo y fracción ya precisados respecto del número de integrantes de un Tribunal de alzada.</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 Consecuentemente, a la luz de los preceptos normativos previamente invocados, resulta jurídicamente indispensable que la competencia para conocer del recurso de apelación interpuesto en contra de las resoluciones que emite el Juez de Control, tal y como lo establece el artículo 467 de la Ley Procesal Penal de la Materia, debe recaer en un tribunal de alzada que puede estar conformado por una magistrada o un magistrado. Ello obedece, por una parte, a la existencia de una norma procesal que expresamente habilita su intervención y por otra, los acuerdos emitidos por el entonces Consejo de la Judicatura del Poder Judicial del Estado de México, a través de las circulares 75/2024 y 78/2024, los días 13 y 23 de septiembre de 2024 respectivamente, donde también se contienen los acuerdos que regulan la distribución de los asuntos en esta materia.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Tales acuerdos fueron adoptados en sesiones ordinarias de 9 y 20 de noviembre del mismo año, tanto por el Pleno del Consejo como por el Pleno del Tribunal Superior de Justicia del Estado de México, mediante los cuales no solo se dispuso su creación, sino también su integración en forma unitaria para hacerlo acorde a lo que señala el Código Nacional de Procedimientos Penales.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Derivado de lo anterior a la Ley Orgánica del Poder Judicial del Estado de México, requiere de una reforma lo que consista en armonizar lo señalado en la Constitución Local y en el Código Nacional de Procedimientos Penales, a fin de reconocer la competencia de los tribunales de alzada integrados por un solo magistrado, de la siguiente manera dice:</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Artículo 47. Cada Sala Colegiada y Tribunal de Alzada contará con una estructura orgánica propia que se integrará por:</w:t>
      </w:r>
    </w:p>
    <w:p w:rsidR="00A35DFE" w:rsidRPr="00CB38AA" w:rsidRDefault="00DA76BF"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I</w:t>
      </w:r>
      <w:r w:rsidR="00A35DFE" w:rsidRPr="00CB38AA">
        <w:rPr>
          <w:rFonts w:ascii="Times New Roman" w:hAnsi="Times New Roman" w:cs="Times New Roman"/>
          <w:sz w:val="24"/>
          <w:szCs w:val="24"/>
        </w:rPr>
        <w:t>. Tres magistrados o magistradas;</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II. Una secretaria o secretario de acuerdos; </w:t>
      </w:r>
    </w:p>
    <w:p w:rsidR="00A35DFE" w:rsidRPr="00CB38AA" w:rsidRDefault="00A35DFE" w:rsidP="00DF6EEA">
      <w:pPr>
        <w:pStyle w:val="Sinespaciado"/>
        <w:ind w:left="708"/>
        <w:jc w:val="both"/>
        <w:rPr>
          <w:rFonts w:ascii="Times New Roman" w:hAnsi="Times New Roman" w:cs="Times New Roman"/>
          <w:sz w:val="24"/>
          <w:szCs w:val="24"/>
        </w:rPr>
      </w:pPr>
      <w:r w:rsidRPr="00CB38AA">
        <w:rPr>
          <w:rFonts w:ascii="Times New Roman" w:hAnsi="Times New Roman" w:cs="Times New Roman"/>
          <w:sz w:val="24"/>
          <w:szCs w:val="24"/>
        </w:rPr>
        <w:t xml:space="preserve">III. Las secretarias o secretarios proyectistas que sean necesarios para cada Magistrado, Magistrada, de conformidad con lo que se determine el Órgano de Administración Judicial; </w:t>
      </w:r>
    </w:p>
    <w:p w:rsidR="00A35DFE" w:rsidRPr="00CB38AA" w:rsidRDefault="00A35DFE" w:rsidP="00DF6EEA">
      <w:pPr>
        <w:pStyle w:val="Sinespaciado"/>
        <w:ind w:left="708"/>
        <w:jc w:val="both"/>
        <w:rPr>
          <w:rFonts w:ascii="Times New Roman" w:hAnsi="Times New Roman" w:cs="Times New Roman"/>
          <w:sz w:val="24"/>
          <w:szCs w:val="24"/>
        </w:rPr>
      </w:pPr>
      <w:r w:rsidRPr="00CB38AA">
        <w:rPr>
          <w:rFonts w:ascii="Times New Roman" w:hAnsi="Times New Roman" w:cs="Times New Roman"/>
          <w:sz w:val="24"/>
          <w:szCs w:val="24"/>
        </w:rPr>
        <w:t xml:space="preserve">IV. Una Secretaria o secretario proyectista para el trámite de los juicios de amparo. </w:t>
      </w:r>
    </w:p>
    <w:p w:rsidR="00A35DFE" w:rsidRPr="00CB38AA" w:rsidRDefault="00A35DFE" w:rsidP="00DF6EEA">
      <w:pPr>
        <w:pStyle w:val="Sinespaciado"/>
        <w:ind w:left="708"/>
        <w:jc w:val="both"/>
        <w:rPr>
          <w:rFonts w:ascii="Times New Roman" w:hAnsi="Times New Roman" w:cs="Times New Roman"/>
          <w:sz w:val="24"/>
          <w:szCs w:val="24"/>
        </w:rPr>
      </w:pPr>
      <w:r w:rsidRPr="00CB38AA">
        <w:rPr>
          <w:rFonts w:ascii="Times New Roman" w:hAnsi="Times New Roman" w:cs="Times New Roman"/>
          <w:sz w:val="24"/>
          <w:szCs w:val="24"/>
        </w:rPr>
        <w:t xml:space="preserve">V. Un oficial o un oficial mayor y </w:t>
      </w:r>
    </w:p>
    <w:p w:rsidR="00A35DFE" w:rsidRPr="00CB38AA" w:rsidRDefault="00A35DFE" w:rsidP="00DF6EEA">
      <w:pPr>
        <w:pStyle w:val="Sinespaciado"/>
        <w:ind w:left="708"/>
        <w:jc w:val="both"/>
        <w:rPr>
          <w:rFonts w:ascii="Times New Roman" w:hAnsi="Times New Roman" w:cs="Times New Roman"/>
          <w:sz w:val="24"/>
          <w:szCs w:val="24"/>
        </w:rPr>
      </w:pPr>
      <w:r w:rsidRPr="00CB38AA">
        <w:rPr>
          <w:rFonts w:ascii="Times New Roman" w:hAnsi="Times New Roman" w:cs="Times New Roman"/>
          <w:sz w:val="24"/>
          <w:szCs w:val="24"/>
        </w:rPr>
        <w:t xml:space="preserve">VI. Las demás servidoras y servidores públicos que determine el Órgano Administrativo Judicial. </w:t>
      </w:r>
    </w:p>
    <w:p w:rsidR="00A35DFE" w:rsidRPr="00CB38AA" w:rsidRDefault="00A35DFE" w:rsidP="00DF6EEA">
      <w:pPr>
        <w:pStyle w:val="Sinespaciado"/>
        <w:ind w:left="708"/>
        <w:jc w:val="both"/>
        <w:rPr>
          <w:rFonts w:ascii="Times New Roman" w:hAnsi="Times New Roman" w:cs="Times New Roman"/>
          <w:sz w:val="24"/>
          <w:szCs w:val="24"/>
        </w:rPr>
      </w:pPr>
      <w:r w:rsidRPr="00CB38AA">
        <w:rPr>
          <w:rFonts w:ascii="Times New Roman" w:hAnsi="Times New Roman" w:cs="Times New Roman"/>
          <w:sz w:val="24"/>
          <w:szCs w:val="24"/>
        </w:rPr>
        <w:t xml:space="preserve">Debe decir estructura de las Salas colegiadas y tribunales de alzada. </w:t>
      </w:r>
    </w:p>
    <w:p w:rsidR="00A35DFE" w:rsidRPr="00CB38AA" w:rsidRDefault="00A35DFE" w:rsidP="00DF6EEA">
      <w:pPr>
        <w:pStyle w:val="Sinespaciado"/>
        <w:ind w:left="708"/>
        <w:jc w:val="both"/>
        <w:rPr>
          <w:rFonts w:ascii="Times New Roman" w:hAnsi="Times New Roman" w:cs="Times New Roman"/>
          <w:sz w:val="24"/>
          <w:szCs w:val="24"/>
        </w:rPr>
      </w:pPr>
      <w:r w:rsidRPr="00CB38AA">
        <w:rPr>
          <w:rFonts w:ascii="Times New Roman" w:hAnsi="Times New Roman" w:cs="Times New Roman"/>
          <w:sz w:val="24"/>
          <w:szCs w:val="24"/>
        </w:rPr>
        <w:t>Artículo 47. Cada sala colegiada y Tribunal de Alzada contará con una estructura orgánica propia que se integrará por:</w:t>
      </w:r>
    </w:p>
    <w:p w:rsidR="00A35DFE" w:rsidRPr="00CB38AA" w:rsidRDefault="00A35DFE" w:rsidP="00DF6EEA">
      <w:pPr>
        <w:pStyle w:val="Sinespaciado"/>
        <w:ind w:firstLine="708"/>
        <w:rPr>
          <w:rFonts w:ascii="Times New Roman" w:hAnsi="Times New Roman" w:cs="Times New Roman"/>
          <w:sz w:val="24"/>
          <w:szCs w:val="24"/>
        </w:rPr>
      </w:pPr>
      <w:r w:rsidRPr="00CB38AA">
        <w:rPr>
          <w:rFonts w:ascii="Times New Roman" w:hAnsi="Times New Roman" w:cs="Times New Roman"/>
          <w:sz w:val="24"/>
          <w:szCs w:val="24"/>
        </w:rPr>
        <w:t>A. Salas colegiadas:</w:t>
      </w:r>
    </w:p>
    <w:p w:rsidR="00A35DFE" w:rsidRPr="00CB38AA" w:rsidRDefault="00A35DFE" w:rsidP="00DF6EEA">
      <w:pPr>
        <w:pStyle w:val="Sinespaciado"/>
        <w:ind w:firstLine="708"/>
        <w:rPr>
          <w:rFonts w:ascii="Times New Roman" w:hAnsi="Times New Roman" w:cs="Times New Roman"/>
          <w:sz w:val="24"/>
          <w:szCs w:val="24"/>
        </w:rPr>
      </w:pPr>
      <w:r w:rsidRPr="00CB38AA">
        <w:rPr>
          <w:rFonts w:ascii="Times New Roman" w:hAnsi="Times New Roman" w:cs="Times New Roman"/>
          <w:sz w:val="24"/>
          <w:szCs w:val="24"/>
        </w:rPr>
        <w:t>I. Tres magistradas o magistrados;</w:t>
      </w:r>
    </w:p>
    <w:p w:rsidR="00A35DFE" w:rsidRPr="00CB38AA" w:rsidRDefault="00A35DFE" w:rsidP="00DF6EEA">
      <w:pPr>
        <w:pStyle w:val="Sinespaciado"/>
        <w:ind w:firstLine="708"/>
        <w:rPr>
          <w:rFonts w:ascii="Times New Roman" w:hAnsi="Times New Roman" w:cs="Times New Roman"/>
          <w:sz w:val="24"/>
          <w:szCs w:val="24"/>
        </w:rPr>
      </w:pPr>
      <w:r w:rsidRPr="00CB38AA">
        <w:rPr>
          <w:rFonts w:ascii="Times New Roman" w:hAnsi="Times New Roman" w:cs="Times New Roman"/>
          <w:sz w:val="24"/>
          <w:szCs w:val="24"/>
        </w:rPr>
        <w:t xml:space="preserve">II. Una secretaria o secretario de acuerdos; </w:t>
      </w:r>
    </w:p>
    <w:p w:rsidR="00A35DFE" w:rsidRPr="00CB38AA" w:rsidRDefault="00A35DFE" w:rsidP="00DF6EEA">
      <w:pPr>
        <w:pStyle w:val="Sinespaciado"/>
        <w:ind w:firstLine="708"/>
        <w:rPr>
          <w:rFonts w:ascii="Times New Roman" w:hAnsi="Times New Roman" w:cs="Times New Roman"/>
          <w:sz w:val="24"/>
          <w:szCs w:val="24"/>
        </w:rPr>
      </w:pPr>
      <w:r w:rsidRPr="00CB38AA">
        <w:rPr>
          <w:rFonts w:ascii="Times New Roman" w:hAnsi="Times New Roman" w:cs="Times New Roman"/>
          <w:sz w:val="24"/>
          <w:szCs w:val="24"/>
        </w:rPr>
        <w:t>III. Las secretarias o secretarios proyectistas que sean necesarios por cada magistrada o magistrado, de conformidad con lo que determine el Órgano de Administración Judicial;</w:t>
      </w:r>
    </w:p>
    <w:p w:rsidR="00A35DFE" w:rsidRPr="00CB38AA" w:rsidRDefault="00A35DFE" w:rsidP="00DF6EEA">
      <w:pPr>
        <w:pStyle w:val="Sinespaciado"/>
        <w:ind w:firstLine="708"/>
        <w:rPr>
          <w:rFonts w:ascii="Times New Roman" w:hAnsi="Times New Roman" w:cs="Times New Roman"/>
          <w:sz w:val="24"/>
          <w:szCs w:val="24"/>
        </w:rPr>
      </w:pPr>
      <w:r w:rsidRPr="00CB38AA">
        <w:rPr>
          <w:rFonts w:ascii="Times New Roman" w:hAnsi="Times New Roman" w:cs="Times New Roman"/>
          <w:sz w:val="24"/>
          <w:szCs w:val="24"/>
        </w:rPr>
        <w:t xml:space="preserve">IV. Una secretaria o secretario proyectista para el trámite de los juicios de amparo; </w:t>
      </w:r>
    </w:p>
    <w:p w:rsidR="00A35DFE" w:rsidRPr="00CB38AA" w:rsidRDefault="00A35DFE" w:rsidP="00DF6EEA">
      <w:pPr>
        <w:pStyle w:val="Sinespaciado"/>
        <w:ind w:firstLine="708"/>
        <w:rPr>
          <w:rFonts w:ascii="Times New Roman" w:hAnsi="Times New Roman" w:cs="Times New Roman"/>
          <w:sz w:val="24"/>
          <w:szCs w:val="24"/>
        </w:rPr>
      </w:pPr>
      <w:r w:rsidRPr="00CB38AA">
        <w:rPr>
          <w:rFonts w:ascii="Times New Roman" w:hAnsi="Times New Roman" w:cs="Times New Roman"/>
          <w:sz w:val="24"/>
          <w:szCs w:val="24"/>
        </w:rPr>
        <w:lastRenderedPageBreak/>
        <w:t xml:space="preserve">V. Una o un oficial mayor; y </w:t>
      </w:r>
    </w:p>
    <w:p w:rsidR="00A35DFE" w:rsidRPr="00CB38AA" w:rsidRDefault="00A35DFE" w:rsidP="00DF6EEA">
      <w:pPr>
        <w:pStyle w:val="Sinespaciado"/>
        <w:ind w:firstLine="708"/>
        <w:rPr>
          <w:rFonts w:ascii="Times New Roman" w:hAnsi="Times New Roman" w:cs="Times New Roman"/>
          <w:sz w:val="24"/>
          <w:szCs w:val="24"/>
        </w:rPr>
      </w:pPr>
      <w:r w:rsidRPr="00CB38AA">
        <w:rPr>
          <w:rFonts w:ascii="Times New Roman" w:hAnsi="Times New Roman" w:cs="Times New Roman"/>
          <w:sz w:val="24"/>
          <w:szCs w:val="24"/>
        </w:rPr>
        <w:t xml:space="preserve">VI. Las demás servidoras y servidores públicos que determine el Órgano de Administración Judicial. </w:t>
      </w:r>
    </w:p>
    <w:p w:rsidR="00A35DFE" w:rsidRPr="00CB38AA" w:rsidRDefault="00A35DFE" w:rsidP="00DF6EEA">
      <w:pPr>
        <w:pStyle w:val="Sinespaciado"/>
        <w:ind w:firstLine="708"/>
        <w:rPr>
          <w:rFonts w:ascii="Times New Roman" w:hAnsi="Times New Roman" w:cs="Times New Roman"/>
          <w:sz w:val="24"/>
          <w:szCs w:val="24"/>
        </w:rPr>
      </w:pPr>
      <w:r w:rsidRPr="00CB38AA">
        <w:rPr>
          <w:rFonts w:ascii="Times New Roman" w:hAnsi="Times New Roman" w:cs="Times New Roman"/>
          <w:sz w:val="24"/>
          <w:szCs w:val="24"/>
        </w:rPr>
        <w:t xml:space="preserve">B. Tribunales de alzada </w:t>
      </w:r>
    </w:p>
    <w:p w:rsidR="00A35DFE" w:rsidRPr="00CB38AA" w:rsidRDefault="00A35DFE" w:rsidP="00DF6EEA">
      <w:pPr>
        <w:pStyle w:val="Sinespaciado"/>
        <w:ind w:firstLine="708"/>
        <w:rPr>
          <w:rFonts w:ascii="Times New Roman" w:hAnsi="Times New Roman" w:cs="Times New Roman"/>
          <w:sz w:val="24"/>
          <w:szCs w:val="24"/>
        </w:rPr>
      </w:pPr>
      <w:r w:rsidRPr="00CB38AA">
        <w:rPr>
          <w:rFonts w:ascii="Times New Roman" w:hAnsi="Times New Roman" w:cs="Times New Roman"/>
          <w:sz w:val="24"/>
          <w:szCs w:val="24"/>
        </w:rPr>
        <w:t xml:space="preserve">I. Uno o tres magistradas o magistrados; </w:t>
      </w:r>
    </w:p>
    <w:p w:rsidR="00A35DFE" w:rsidRPr="00CB38AA" w:rsidRDefault="00A35DFE" w:rsidP="00DF6EEA">
      <w:pPr>
        <w:pStyle w:val="Sinespaciado"/>
        <w:ind w:firstLine="708"/>
        <w:rPr>
          <w:rFonts w:ascii="Times New Roman" w:hAnsi="Times New Roman" w:cs="Times New Roman"/>
          <w:sz w:val="24"/>
          <w:szCs w:val="24"/>
        </w:rPr>
      </w:pPr>
      <w:r w:rsidRPr="00CB38AA">
        <w:rPr>
          <w:rFonts w:ascii="Times New Roman" w:hAnsi="Times New Roman" w:cs="Times New Roman"/>
          <w:sz w:val="24"/>
          <w:szCs w:val="24"/>
        </w:rPr>
        <w:t xml:space="preserve">II. Una secretaria o secretario de acuerdos; </w:t>
      </w:r>
    </w:p>
    <w:p w:rsidR="00A35DFE" w:rsidRPr="00CB38AA" w:rsidRDefault="00A35DFE" w:rsidP="00DF6EEA">
      <w:pPr>
        <w:pStyle w:val="Sinespaciado"/>
        <w:ind w:firstLine="708"/>
        <w:rPr>
          <w:rFonts w:ascii="Times New Roman" w:hAnsi="Times New Roman" w:cs="Times New Roman"/>
          <w:sz w:val="24"/>
          <w:szCs w:val="24"/>
        </w:rPr>
      </w:pPr>
      <w:r w:rsidRPr="00CB38AA">
        <w:rPr>
          <w:rFonts w:ascii="Times New Roman" w:hAnsi="Times New Roman" w:cs="Times New Roman"/>
          <w:sz w:val="24"/>
          <w:szCs w:val="24"/>
        </w:rPr>
        <w:t xml:space="preserve">III. Las secretarias o secretarios proyectistas que sean necesarios por cada magistrada o magistrado, de conformidad con lo que determine el Órgano de Administración Judicial; </w:t>
      </w:r>
    </w:p>
    <w:p w:rsidR="00A35DFE" w:rsidRPr="00CB38AA" w:rsidRDefault="00A35DFE" w:rsidP="00DF6EEA">
      <w:pPr>
        <w:pStyle w:val="Sinespaciado"/>
        <w:ind w:firstLine="708"/>
        <w:rPr>
          <w:rFonts w:ascii="Times New Roman" w:hAnsi="Times New Roman" w:cs="Times New Roman"/>
          <w:sz w:val="24"/>
          <w:szCs w:val="24"/>
        </w:rPr>
      </w:pPr>
      <w:r w:rsidRPr="00CB38AA">
        <w:rPr>
          <w:rFonts w:ascii="Times New Roman" w:hAnsi="Times New Roman" w:cs="Times New Roman"/>
          <w:sz w:val="24"/>
          <w:szCs w:val="24"/>
        </w:rPr>
        <w:t xml:space="preserve">IV. Una secretaria o secretario proyectista para el trámite de los juicios de amparo; </w:t>
      </w:r>
    </w:p>
    <w:p w:rsidR="00A35DFE" w:rsidRPr="00CB38AA" w:rsidRDefault="00A35DFE" w:rsidP="00DF6EEA">
      <w:pPr>
        <w:pStyle w:val="Sinespaciado"/>
        <w:ind w:firstLine="708"/>
        <w:rPr>
          <w:rFonts w:ascii="Times New Roman" w:hAnsi="Times New Roman" w:cs="Times New Roman"/>
          <w:sz w:val="24"/>
          <w:szCs w:val="24"/>
        </w:rPr>
      </w:pPr>
      <w:r w:rsidRPr="00CB38AA">
        <w:rPr>
          <w:rFonts w:ascii="Times New Roman" w:hAnsi="Times New Roman" w:cs="Times New Roman"/>
          <w:sz w:val="24"/>
          <w:szCs w:val="24"/>
        </w:rPr>
        <w:t>V. Una o un oficial mayor; y</w:t>
      </w:r>
    </w:p>
    <w:p w:rsidR="00A35DFE" w:rsidRPr="00CB38AA" w:rsidRDefault="00A35DFE" w:rsidP="00DF6EEA">
      <w:pPr>
        <w:pStyle w:val="Sinespaciado"/>
        <w:ind w:firstLine="708"/>
        <w:rPr>
          <w:rFonts w:ascii="Times New Roman" w:hAnsi="Times New Roman" w:cs="Times New Roman"/>
          <w:sz w:val="24"/>
          <w:szCs w:val="24"/>
        </w:rPr>
      </w:pPr>
      <w:r w:rsidRPr="00CB38AA">
        <w:rPr>
          <w:rFonts w:ascii="Times New Roman" w:hAnsi="Times New Roman" w:cs="Times New Roman"/>
          <w:sz w:val="24"/>
          <w:szCs w:val="24"/>
        </w:rPr>
        <w:t xml:space="preserve">VI. Las demás servidoras y servidores públicos que determine el Órgano de Administración Judicial. </w:t>
      </w:r>
    </w:p>
    <w:p w:rsidR="00A35DFE" w:rsidRPr="00CB38AA" w:rsidRDefault="00A35DFE" w:rsidP="00DF6EEA">
      <w:pPr>
        <w:pStyle w:val="Sinespaciado"/>
        <w:ind w:firstLine="708"/>
        <w:rPr>
          <w:rFonts w:ascii="Times New Roman" w:hAnsi="Times New Roman" w:cs="Times New Roman"/>
          <w:sz w:val="24"/>
          <w:szCs w:val="24"/>
        </w:rPr>
      </w:pPr>
      <w:r w:rsidRPr="00CB38AA">
        <w:rPr>
          <w:rFonts w:ascii="Times New Roman" w:hAnsi="Times New Roman" w:cs="Times New Roman"/>
          <w:sz w:val="24"/>
          <w:szCs w:val="24"/>
        </w:rPr>
        <w:t xml:space="preserve">Por lo anteriormente expuesto, el Pleno del Tribunal Superior de Justicia del Estado de México somete respetuosamente a la consideración de esa soberanía la presente iniciativa de decreto. </w:t>
      </w:r>
    </w:p>
    <w:p w:rsidR="00A35DFE" w:rsidRPr="00CB38AA" w:rsidRDefault="00A35DFE" w:rsidP="00DF6EEA">
      <w:pPr>
        <w:pStyle w:val="Sinespaciado"/>
        <w:ind w:firstLine="708"/>
        <w:jc w:val="center"/>
        <w:rPr>
          <w:rFonts w:ascii="Times New Roman" w:hAnsi="Times New Roman" w:cs="Times New Roman"/>
          <w:sz w:val="24"/>
          <w:szCs w:val="24"/>
        </w:rPr>
      </w:pPr>
      <w:r w:rsidRPr="00CB38AA">
        <w:rPr>
          <w:rFonts w:ascii="Times New Roman" w:hAnsi="Times New Roman" w:cs="Times New Roman"/>
          <w:sz w:val="24"/>
          <w:szCs w:val="24"/>
        </w:rPr>
        <w:t>FIRMA.</w:t>
      </w:r>
    </w:p>
    <w:p w:rsidR="00A35DFE" w:rsidRPr="00CB38AA" w:rsidRDefault="00A35DFE" w:rsidP="00DF6EEA">
      <w:pPr>
        <w:pStyle w:val="Sinespaciado"/>
        <w:ind w:firstLine="708"/>
        <w:jc w:val="center"/>
        <w:rPr>
          <w:rFonts w:ascii="Times New Roman" w:hAnsi="Times New Roman" w:cs="Times New Roman"/>
          <w:sz w:val="24"/>
          <w:szCs w:val="24"/>
        </w:rPr>
      </w:pPr>
      <w:r w:rsidRPr="00CB38AA">
        <w:rPr>
          <w:rFonts w:ascii="Times New Roman" w:hAnsi="Times New Roman" w:cs="Times New Roman"/>
          <w:sz w:val="24"/>
          <w:szCs w:val="24"/>
        </w:rPr>
        <w:t>ATENTAMENTE</w:t>
      </w:r>
    </w:p>
    <w:p w:rsidR="00A35DFE" w:rsidRPr="00CB38AA" w:rsidRDefault="00A35DFE" w:rsidP="00DF6EEA">
      <w:pPr>
        <w:pStyle w:val="Sinespaciado"/>
        <w:ind w:firstLine="708"/>
        <w:jc w:val="center"/>
        <w:rPr>
          <w:rFonts w:ascii="Times New Roman" w:hAnsi="Times New Roman" w:cs="Times New Roman"/>
          <w:sz w:val="24"/>
          <w:szCs w:val="24"/>
        </w:rPr>
      </w:pPr>
      <w:r w:rsidRPr="00CB38AA">
        <w:rPr>
          <w:rFonts w:ascii="Times New Roman" w:hAnsi="Times New Roman" w:cs="Times New Roman"/>
          <w:sz w:val="24"/>
          <w:szCs w:val="24"/>
        </w:rPr>
        <w:t>MAGISTRADO DOCTOR</w:t>
      </w:r>
    </w:p>
    <w:p w:rsidR="00A35DFE" w:rsidRPr="00CB38AA" w:rsidRDefault="00A35DFE" w:rsidP="00DF6EEA">
      <w:pPr>
        <w:pStyle w:val="Sinespaciado"/>
        <w:ind w:firstLine="708"/>
        <w:jc w:val="center"/>
        <w:rPr>
          <w:rFonts w:ascii="Times New Roman" w:hAnsi="Times New Roman" w:cs="Times New Roman"/>
          <w:sz w:val="24"/>
          <w:szCs w:val="24"/>
        </w:rPr>
      </w:pPr>
      <w:r w:rsidRPr="00CB38AA">
        <w:rPr>
          <w:rFonts w:ascii="Times New Roman" w:hAnsi="Times New Roman" w:cs="Times New Roman"/>
          <w:sz w:val="24"/>
          <w:szCs w:val="24"/>
        </w:rPr>
        <w:t>HÉCTOR MACEDO GARCÍA,</w:t>
      </w:r>
    </w:p>
    <w:p w:rsidR="00A35DFE" w:rsidRPr="00CB38AA" w:rsidRDefault="00A35DFE" w:rsidP="00DF6EEA">
      <w:pPr>
        <w:pStyle w:val="Sinespaciado"/>
        <w:ind w:firstLine="708"/>
        <w:jc w:val="center"/>
        <w:rPr>
          <w:rFonts w:ascii="Times New Roman" w:hAnsi="Times New Roman" w:cs="Times New Roman"/>
          <w:sz w:val="24"/>
          <w:szCs w:val="24"/>
        </w:rPr>
      </w:pPr>
      <w:r w:rsidRPr="00CB38AA">
        <w:rPr>
          <w:rFonts w:ascii="Times New Roman" w:hAnsi="Times New Roman" w:cs="Times New Roman"/>
          <w:sz w:val="24"/>
          <w:szCs w:val="24"/>
        </w:rPr>
        <w:t>PRESIDENTE DEL TRIBUNALSUPERIOR</w:t>
      </w:r>
    </w:p>
    <w:p w:rsidR="00A35DFE" w:rsidRPr="00CB38AA" w:rsidRDefault="00A35DFE" w:rsidP="00DF6EEA">
      <w:pPr>
        <w:pStyle w:val="Sinespaciado"/>
        <w:ind w:firstLine="708"/>
        <w:jc w:val="center"/>
        <w:rPr>
          <w:rFonts w:ascii="Times New Roman" w:hAnsi="Times New Roman" w:cs="Times New Roman"/>
          <w:sz w:val="24"/>
          <w:szCs w:val="24"/>
        </w:rPr>
      </w:pPr>
      <w:r w:rsidRPr="00CB38AA">
        <w:rPr>
          <w:rFonts w:ascii="Times New Roman" w:hAnsi="Times New Roman" w:cs="Times New Roman"/>
          <w:sz w:val="24"/>
          <w:szCs w:val="24"/>
        </w:rPr>
        <w:t>DE JUSTICIA DEL ESTADO DE MÉXICO.</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Es cuanto.</w:t>
      </w:r>
    </w:p>
    <w:p w:rsidR="00015124" w:rsidRPr="00CB38AA" w:rsidRDefault="00015124" w:rsidP="00DF6EEA">
      <w:pPr>
        <w:pStyle w:val="Sinespaciado"/>
        <w:jc w:val="both"/>
        <w:rPr>
          <w:rFonts w:ascii="Times New Roman" w:hAnsi="Times New Roman" w:cs="Times New Roman"/>
          <w:sz w:val="24"/>
          <w:szCs w:val="24"/>
        </w:rPr>
      </w:pPr>
    </w:p>
    <w:p w:rsidR="00015124" w:rsidRPr="00CB38AA" w:rsidRDefault="00015124" w:rsidP="00DF6EEA">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(Se inserta documento)</w:t>
      </w:r>
    </w:p>
    <w:p w:rsidR="00015124" w:rsidRPr="00CB38AA" w:rsidRDefault="00015124" w:rsidP="00DF6EEA">
      <w:pPr>
        <w:spacing w:after="0" w:line="240" w:lineRule="auto"/>
        <w:jc w:val="center"/>
        <w:rPr>
          <w:rFonts w:ascii="Times New Roman" w:hAnsi="Times New Roman" w:cs="Times New Roman"/>
          <w:sz w:val="24"/>
          <w:szCs w:val="24"/>
        </w:rPr>
      </w:pPr>
    </w:p>
    <w:p w:rsidR="00015124" w:rsidRPr="00CB38AA" w:rsidRDefault="00015124"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sz w:val="24"/>
          <w:szCs w:val="24"/>
        </w:rPr>
        <w:t>“2026. Año del Humanismo Mexicano en el Estado de México.”</w:t>
      </w:r>
    </w:p>
    <w:p w:rsidR="00015124" w:rsidRPr="00CB38AA" w:rsidRDefault="00015124" w:rsidP="00DF6EEA">
      <w:pPr>
        <w:spacing w:after="0" w:line="240" w:lineRule="auto"/>
        <w:rPr>
          <w:rFonts w:ascii="Times New Roman" w:eastAsia="Times New Roman" w:hAnsi="Times New Roman" w:cs="Times New Roman"/>
          <w:sz w:val="24"/>
          <w:szCs w:val="24"/>
        </w:rPr>
      </w:pPr>
    </w:p>
    <w:p w:rsidR="00015124" w:rsidRPr="00CB38AA" w:rsidRDefault="00015124" w:rsidP="00DF6EEA">
      <w:pPr>
        <w:spacing w:after="0" w:line="240" w:lineRule="auto"/>
        <w:rPr>
          <w:rFonts w:ascii="Times New Roman" w:eastAsia="Arial" w:hAnsi="Times New Roman" w:cs="Times New Roman"/>
          <w:b/>
          <w:sz w:val="24"/>
          <w:szCs w:val="24"/>
        </w:rPr>
      </w:pPr>
      <w:r w:rsidRPr="00CB38AA">
        <w:rPr>
          <w:rFonts w:ascii="Times New Roman" w:eastAsia="Arial" w:hAnsi="Times New Roman" w:cs="Times New Roman"/>
          <w:b/>
          <w:sz w:val="24"/>
          <w:szCs w:val="24"/>
        </w:rPr>
        <w:t>DIP. MARTHA AZUCENA CAMACHO REYNOSO</w:t>
      </w:r>
    </w:p>
    <w:p w:rsidR="00015124" w:rsidRPr="00CB38AA" w:rsidRDefault="00015124" w:rsidP="00DF6EEA">
      <w:pPr>
        <w:spacing w:after="0" w:line="240" w:lineRule="auto"/>
        <w:rPr>
          <w:rFonts w:ascii="Times New Roman" w:eastAsia="Arial" w:hAnsi="Times New Roman" w:cs="Times New Roman"/>
          <w:b/>
          <w:sz w:val="24"/>
          <w:szCs w:val="24"/>
        </w:rPr>
      </w:pPr>
      <w:r w:rsidRPr="00CB38AA">
        <w:rPr>
          <w:rFonts w:ascii="Times New Roman" w:eastAsia="Arial" w:hAnsi="Times New Roman" w:cs="Times New Roman"/>
          <w:b/>
          <w:sz w:val="24"/>
          <w:szCs w:val="24"/>
        </w:rPr>
        <w:t>PRESIDENTA DE LA MESA DIRECTIVA DE LA</w:t>
      </w:r>
    </w:p>
    <w:p w:rsidR="00015124" w:rsidRPr="00CB38AA" w:rsidRDefault="00015124" w:rsidP="00DF6EEA">
      <w:pPr>
        <w:spacing w:after="0" w:line="240" w:lineRule="auto"/>
        <w:rPr>
          <w:rFonts w:ascii="Times New Roman" w:eastAsia="Arial" w:hAnsi="Times New Roman" w:cs="Times New Roman"/>
          <w:b/>
          <w:sz w:val="24"/>
          <w:szCs w:val="24"/>
        </w:rPr>
      </w:pPr>
      <w:r w:rsidRPr="00CB38AA">
        <w:rPr>
          <w:rFonts w:ascii="Times New Roman" w:eastAsia="Arial" w:hAnsi="Times New Roman" w:cs="Times New Roman"/>
          <w:b/>
          <w:sz w:val="24"/>
          <w:szCs w:val="24"/>
        </w:rPr>
        <w:t>LXII LEGISLATURA DEL ESTADO DE MÉXICO</w:t>
      </w:r>
    </w:p>
    <w:p w:rsidR="00015124" w:rsidRPr="00CB38AA" w:rsidRDefault="00015124"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P R E S E N T E</w:t>
      </w:r>
    </w:p>
    <w:p w:rsidR="00015124" w:rsidRPr="00CB38AA" w:rsidRDefault="00015124" w:rsidP="00DF6EEA">
      <w:pPr>
        <w:spacing w:after="0" w:line="240" w:lineRule="auto"/>
        <w:rPr>
          <w:rFonts w:ascii="Times New Roman" w:eastAsia="Times New Roman" w:hAnsi="Times New Roman" w:cs="Times New Roman"/>
          <w:sz w:val="24"/>
          <w:szCs w:val="24"/>
        </w:rPr>
      </w:pPr>
    </w:p>
    <w:p w:rsidR="00015124" w:rsidRPr="00CB38AA" w:rsidRDefault="00015124"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Mgdo. Dr. Héctor Macedo García </w:t>
      </w:r>
      <w:r w:rsidRPr="00CB38AA">
        <w:rPr>
          <w:rFonts w:ascii="Times New Roman" w:eastAsia="Arial" w:hAnsi="Times New Roman" w:cs="Times New Roman"/>
          <w:sz w:val="24"/>
          <w:szCs w:val="24"/>
        </w:rPr>
        <w:t xml:space="preserve">en mi carácter de Presidente del Tribunal Superior de Justicia del Estado de México y en ejercicio de las facultades que me confieren los artículos </w:t>
      </w:r>
      <w:r w:rsidRPr="00CB38AA">
        <w:rPr>
          <w:rFonts w:ascii="Times New Roman" w:eastAsia="Times New Roman" w:hAnsi="Times New Roman" w:cs="Times New Roman"/>
          <w:sz w:val="24"/>
          <w:szCs w:val="24"/>
        </w:rPr>
        <w:t xml:space="preserve">5l </w:t>
      </w:r>
      <w:r w:rsidRPr="00CB38AA">
        <w:rPr>
          <w:rFonts w:ascii="Times New Roman" w:eastAsia="Arial" w:hAnsi="Times New Roman" w:cs="Times New Roman"/>
          <w:sz w:val="24"/>
          <w:szCs w:val="24"/>
        </w:rPr>
        <w:t xml:space="preserve">de la Constitución Política del Estado Libre y Soberano de México, 1 inciso b), 15 fracción I y 95 fracción II de la Ley Orgánica del Poder Judicial del Estado de México; se somete a la consideración de esa H. Legislatura, por su digno conducto, la presente </w:t>
      </w:r>
      <w:r w:rsidRPr="00CB38AA">
        <w:rPr>
          <w:rFonts w:ascii="Times New Roman" w:eastAsia="Arial" w:hAnsi="Times New Roman" w:cs="Times New Roman"/>
          <w:b/>
          <w:sz w:val="24"/>
          <w:szCs w:val="24"/>
        </w:rPr>
        <w:t xml:space="preserve">Iniciativa con Proyecto de Decreto que reforma el artículo 47 de la Ley Orgánica del Poder Judicial del Estado de México, </w:t>
      </w:r>
      <w:r w:rsidRPr="00CB38AA">
        <w:rPr>
          <w:rFonts w:ascii="Times New Roman" w:eastAsia="Arial" w:hAnsi="Times New Roman" w:cs="Times New Roman"/>
          <w:sz w:val="24"/>
          <w:szCs w:val="24"/>
        </w:rPr>
        <w:t xml:space="preserve">relacionada con la integración de los Tribunales de Alzada. Proyecto que fuera aprobado por el Pleno del Tribunal Superior de Justicia del Estado de México, en sesión ordinaria celebrada el veintiséis de enero del presente año, con </w:t>
      </w:r>
      <w:r w:rsidRPr="00CB38AA">
        <w:rPr>
          <w:rFonts w:ascii="Times New Roman" w:eastAsia="Times New Roman" w:hAnsi="Times New Roman" w:cs="Times New Roman"/>
          <w:sz w:val="24"/>
          <w:szCs w:val="24"/>
        </w:rPr>
        <w:t xml:space="preserve">la </w:t>
      </w:r>
      <w:r w:rsidRPr="00CB38AA">
        <w:rPr>
          <w:rFonts w:ascii="Times New Roman" w:eastAsia="Arial" w:hAnsi="Times New Roman" w:cs="Times New Roman"/>
          <w:sz w:val="24"/>
          <w:szCs w:val="24"/>
        </w:rPr>
        <w:t>siguiente:</w:t>
      </w:r>
    </w:p>
    <w:p w:rsidR="00015124" w:rsidRPr="00CB38AA" w:rsidRDefault="00015124" w:rsidP="00DF6EEA">
      <w:pPr>
        <w:spacing w:after="0" w:line="240" w:lineRule="auto"/>
        <w:jc w:val="center"/>
        <w:rPr>
          <w:rFonts w:ascii="Times New Roman" w:eastAsia="Arial" w:hAnsi="Times New Roman" w:cs="Times New Roman"/>
          <w:b/>
          <w:sz w:val="24"/>
          <w:szCs w:val="24"/>
        </w:rPr>
      </w:pPr>
    </w:p>
    <w:p w:rsidR="00015124" w:rsidRPr="00CB38AA" w:rsidRDefault="00015124"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EXPOSICIÓN DE MOTIVOS</w:t>
      </w:r>
    </w:p>
    <w:p w:rsidR="00015124" w:rsidRPr="00CB38AA" w:rsidRDefault="00015124" w:rsidP="00DF6EEA">
      <w:pPr>
        <w:spacing w:after="0" w:line="240" w:lineRule="auto"/>
        <w:rPr>
          <w:rFonts w:ascii="Times New Roman" w:eastAsia="Arial" w:hAnsi="Times New Roman" w:cs="Times New Roman"/>
          <w:sz w:val="24"/>
          <w:szCs w:val="24"/>
        </w:rPr>
      </w:pPr>
    </w:p>
    <w:p w:rsidR="00015124" w:rsidRPr="00CB38AA" w:rsidRDefault="00015124"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El Estado de México como entidad soberana y parte integrante de la Federación </w:t>
      </w:r>
      <w:r w:rsidRPr="00CB38AA">
        <w:rPr>
          <w:rFonts w:ascii="Times New Roman" w:eastAsia="Times New Roman" w:hAnsi="Times New Roman" w:cs="Times New Roman"/>
          <w:sz w:val="24"/>
          <w:szCs w:val="24"/>
        </w:rPr>
        <w:t xml:space="preserve">de </w:t>
      </w:r>
      <w:r w:rsidRPr="00CB38AA">
        <w:rPr>
          <w:rFonts w:ascii="Times New Roman" w:eastAsia="Arial" w:hAnsi="Times New Roman" w:cs="Times New Roman"/>
          <w:sz w:val="24"/>
          <w:szCs w:val="24"/>
        </w:rPr>
        <w:t xml:space="preserve">los Estados Unidos Mexicanos, está obligado a contar con un marco jurídico </w:t>
      </w:r>
      <w:r w:rsidRPr="00CB38AA">
        <w:rPr>
          <w:rFonts w:ascii="Times New Roman" w:eastAsia="Times New Roman" w:hAnsi="Times New Roman" w:cs="Times New Roman"/>
          <w:sz w:val="24"/>
          <w:szCs w:val="24"/>
        </w:rPr>
        <w:t xml:space="preserve">_de </w:t>
      </w:r>
      <w:r w:rsidRPr="00CB38AA">
        <w:rPr>
          <w:rFonts w:ascii="Times New Roman" w:eastAsia="Arial" w:hAnsi="Times New Roman" w:cs="Times New Roman"/>
          <w:sz w:val="24"/>
          <w:szCs w:val="24"/>
        </w:rPr>
        <w:t xml:space="preserve">carácter secundario, que se armonice con la reciente reforma a la Constitución Política del Estado Libre y Soberano de México, publicada en </w:t>
      </w:r>
      <w:r w:rsidRPr="00CB38AA">
        <w:rPr>
          <w:rFonts w:ascii="Times New Roman" w:eastAsia="Times New Roman" w:hAnsi="Times New Roman" w:cs="Times New Roman"/>
          <w:sz w:val="24"/>
          <w:szCs w:val="24"/>
        </w:rPr>
        <w:t xml:space="preserve">el </w:t>
      </w:r>
      <w:r w:rsidRPr="00CB38AA">
        <w:rPr>
          <w:rFonts w:ascii="Times New Roman" w:eastAsia="Arial" w:hAnsi="Times New Roman" w:cs="Times New Roman"/>
          <w:sz w:val="24"/>
          <w:szCs w:val="24"/>
        </w:rPr>
        <w:t xml:space="preserve">Periódico Oficial "Gaceta del Gobierno" del Estado Libre y Soberano de México, a través del Decreto número 63, el día seis de enero de dos mil veinticinco; con respecto al Poder </w:t>
      </w:r>
      <w:r w:rsidRPr="00CB38AA">
        <w:rPr>
          <w:rFonts w:ascii="Times New Roman" w:eastAsia="Arial" w:hAnsi="Times New Roman" w:cs="Times New Roman"/>
          <w:sz w:val="24"/>
          <w:szCs w:val="24"/>
        </w:rPr>
        <w:lastRenderedPageBreak/>
        <w:t>Judicial del Estado de México, en cumplimiento al segundo párrafo del Transitorio Octavo del Decreto de reforma a la Constitución Política de los Estados Unidos Mexicanos, publicada en el Diario Oficial de la Federación el día 15 de septiembre de 2024, el cual estableció que las entidades federativas tendrían un plazo de ciento ochenta días naturales a partir de la entrada en vigor del Decreto para realizar las adecuaciones a sus constituciones locales.</w:t>
      </w:r>
    </w:p>
    <w:p w:rsidR="00015124" w:rsidRPr="00CB38AA" w:rsidRDefault="00015124" w:rsidP="00DF6EEA">
      <w:pPr>
        <w:spacing w:after="0" w:line="240" w:lineRule="auto"/>
        <w:rPr>
          <w:rFonts w:ascii="Times New Roman" w:eastAsia="Times New Roman" w:hAnsi="Times New Roman" w:cs="Times New Roman"/>
          <w:sz w:val="24"/>
          <w:szCs w:val="24"/>
        </w:rPr>
      </w:pPr>
    </w:p>
    <w:p w:rsidR="00015124" w:rsidRPr="00CB38AA" w:rsidRDefault="00015124"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Es por ello que, el Pleno del Tribunal Superior de Justicia, con fundamento en lo previsto en el artículo 15, fracción I de la Ley Orgánica del Poder Judicial del Estado de México, en ejercicio de su derecho a iniciar leyes o decretos ante la Legislatura del Estado de México, y a fin de fortalecer el Estado de Derecho, a través del Poder Judicial, quien tiene a su cargo la administración e impartición de justicia, es que somete a la consideración de esta H. Legislatura, la presente Iniciativa con Proyecto de Decreto por el que se reforma la Ley Orgánica del Poder Judicial del Estado de México.</w:t>
      </w:r>
    </w:p>
    <w:p w:rsidR="00015124" w:rsidRPr="00CB38AA" w:rsidRDefault="00015124" w:rsidP="00DF6EEA">
      <w:pPr>
        <w:spacing w:after="0" w:line="240" w:lineRule="auto"/>
        <w:rPr>
          <w:rFonts w:ascii="Times New Roman" w:eastAsia="Times New Roman" w:hAnsi="Times New Roman" w:cs="Times New Roman"/>
          <w:sz w:val="24"/>
          <w:szCs w:val="24"/>
        </w:rPr>
      </w:pPr>
    </w:p>
    <w:p w:rsidR="00015124" w:rsidRPr="00CB38AA" w:rsidRDefault="00015124"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Lo anterior, en virtud de que resulta necesario e imprescindible armonizar el Código Nacional de Procedimientos Penales, con las reformas llevadas a cabo a la Constitución Política del Estado Libre y Soberano de México, con respecto a la estructura y funcionamiento del Poder Judicial, particularmente, en cuanto a las autoridades encargadas de impartir justicia del Poder Judicial del Estado de México, la implementación del sistema acusatorio permite que los Tribunales de Alzada se integren por una o tres personas magistradas; sin embargo la Ley Orgánica del Poder judicial del Estado de México es inconsistente con el Código Nacional de Procedimientos Penales al señalar indistintamente, como es el caso de la Salas Colegiadas que se integran por tres magistradas o magistrados.</w:t>
      </w:r>
    </w:p>
    <w:p w:rsidR="00015124" w:rsidRPr="00CB38AA" w:rsidRDefault="00015124" w:rsidP="00DF6EEA">
      <w:pPr>
        <w:spacing w:after="0" w:line="240" w:lineRule="auto"/>
        <w:rPr>
          <w:rFonts w:ascii="Times New Roman" w:eastAsia="Times New Roman" w:hAnsi="Times New Roman" w:cs="Times New Roman"/>
          <w:sz w:val="24"/>
          <w:szCs w:val="24"/>
        </w:rPr>
      </w:pPr>
    </w:p>
    <w:p w:rsidR="00015124" w:rsidRPr="00CB38AA" w:rsidRDefault="00015124"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Bajo ese contexto, el entonces Consejo de la Judicatura del Poder Judicial del Estado de México, para un mejor funcionamiento del Sistema de justicia penal en materia recursiva estimó la creación de un Tribunal de Alzada en cada región judicial para conocer del recurse de apelación en contra de las resoluciones emitidas por los Jueces de Control, con-excepción-de la sentencia emitidas en procedimiento abreviado y los recurses en contra de las negativas de cateos emitidas por los jueces especializados en Cateos, órdenes de </w:t>
      </w:r>
      <w:r w:rsidR="00DA76BF" w:rsidRPr="00CB38AA">
        <w:rPr>
          <w:rFonts w:ascii="Times New Roman" w:eastAsia="Arial" w:hAnsi="Times New Roman" w:cs="Times New Roman"/>
          <w:sz w:val="24"/>
          <w:szCs w:val="24"/>
        </w:rPr>
        <w:t>Aprehensión</w:t>
      </w:r>
      <w:r w:rsidRPr="00CB38AA">
        <w:rPr>
          <w:rFonts w:ascii="Times New Roman" w:eastAsia="Arial" w:hAnsi="Times New Roman" w:cs="Times New Roman"/>
          <w:sz w:val="24"/>
          <w:szCs w:val="24"/>
        </w:rPr>
        <w:t xml:space="preserve"> y Medidas de Protección en Línea.</w:t>
      </w:r>
    </w:p>
    <w:p w:rsidR="00015124" w:rsidRPr="00CB38AA" w:rsidRDefault="00015124" w:rsidP="00DF6EEA">
      <w:pPr>
        <w:spacing w:after="0" w:line="240" w:lineRule="auto"/>
        <w:rPr>
          <w:rFonts w:ascii="Times New Roman" w:eastAsia="Times New Roman" w:hAnsi="Times New Roman" w:cs="Times New Roman"/>
          <w:sz w:val="24"/>
          <w:szCs w:val="24"/>
        </w:rPr>
      </w:pPr>
    </w:p>
    <w:p w:rsidR="00015124" w:rsidRPr="00CB38AA" w:rsidRDefault="00015124"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Lo que no solo responde a criterios de especialización y eficiencia, sino que también encuentra respaldado por el artículo 94 de la Constitución del Estado Libre y Soberano de México, así como lo preceptuado en el artículo 3, fracción XVII, del Código Nacional de Procedimientos Penales vigente; que establecen:</w:t>
      </w:r>
    </w:p>
    <w:p w:rsidR="00015124" w:rsidRPr="00CB38AA" w:rsidRDefault="00015124" w:rsidP="00DF6EEA">
      <w:pPr>
        <w:spacing w:after="0" w:line="240" w:lineRule="auto"/>
        <w:rPr>
          <w:rFonts w:ascii="Times New Roman" w:eastAsia="Times New Roman" w:hAnsi="Times New Roman" w:cs="Times New Roman"/>
          <w:sz w:val="24"/>
          <w:szCs w:val="24"/>
        </w:rPr>
      </w:pPr>
    </w:p>
    <w:p w:rsidR="00015124" w:rsidRPr="00CB38AA" w:rsidRDefault="00015124"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i/>
          <w:sz w:val="24"/>
          <w:szCs w:val="24"/>
        </w:rPr>
        <w:t xml:space="preserve">Constitución Política del Estado Libre </w:t>
      </w:r>
      <w:r w:rsidRPr="00CB38AA">
        <w:rPr>
          <w:rFonts w:ascii="Times New Roman" w:eastAsia="Times New Roman" w:hAnsi="Times New Roman" w:cs="Times New Roman"/>
          <w:i/>
          <w:sz w:val="24"/>
          <w:szCs w:val="24"/>
        </w:rPr>
        <w:t xml:space="preserve">y </w:t>
      </w:r>
      <w:r w:rsidRPr="00CB38AA">
        <w:rPr>
          <w:rFonts w:ascii="Times New Roman" w:eastAsia="Arial" w:hAnsi="Times New Roman" w:cs="Times New Roman"/>
          <w:i/>
          <w:sz w:val="24"/>
          <w:szCs w:val="24"/>
        </w:rPr>
        <w:t>Soberano de México:</w:t>
      </w:r>
    </w:p>
    <w:p w:rsidR="00015124" w:rsidRPr="00CB38AA" w:rsidRDefault="00015124" w:rsidP="00DF6EEA">
      <w:pPr>
        <w:spacing w:after="0" w:line="240" w:lineRule="auto"/>
        <w:rPr>
          <w:rFonts w:ascii="Times New Roman" w:eastAsia="Times New Roman" w:hAnsi="Times New Roman" w:cs="Times New Roman"/>
          <w:sz w:val="24"/>
          <w:szCs w:val="24"/>
        </w:rPr>
      </w:pPr>
    </w:p>
    <w:p w:rsidR="00015124" w:rsidRPr="00CB38AA" w:rsidRDefault="00015124"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i/>
          <w:sz w:val="24"/>
          <w:szCs w:val="24"/>
        </w:rPr>
        <w:t xml:space="preserve">"Articulo 94.- EI Pleno estar integrado por todas las magistradas y los magistrados; la Sala Constitucional, por cinco magistradas </w:t>
      </w:r>
      <w:r w:rsidRPr="00CB38AA">
        <w:rPr>
          <w:rFonts w:ascii="Times New Roman" w:eastAsia="Times New Roman" w:hAnsi="Times New Roman" w:cs="Times New Roman"/>
          <w:i/>
          <w:sz w:val="24"/>
          <w:szCs w:val="24"/>
        </w:rPr>
        <w:t xml:space="preserve">y </w:t>
      </w:r>
      <w:r w:rsidRPr="00CB38AA">
        <w:rPr>
          <w:rFonts w:ascii="Times New Roman" w:eastAsia="Arial" w:hAnsi="Times New Roman" w:cs="Times New Roman"/>
          <w:i/>
          <w:sz w:val="24"/>
          <w:szCs w:val="24"/>
        </w:rPr>
        <w:t xml:space="preserve">magistrados; las Salas Colegiadas, por tres magistradas y magistrados coda una; las Unitarias, por una magistrada </w:t>
      </w:r>
      <w:r w:rsidRPr="00CB38AA">
        <w:rPr>
          <w:rFonts w:ascii="Times New Roman" w:eastAsia="Times New Roman" w:hAnsi="Times New Roman" w:cs="Times New Roman"/>
          <w:sz w:val="24"/>
          <w:szCs w:val="24"/>
        </w:rPr>
        <w:t xml:space="preserve">o </w:t>
      </w:r>
      <w:r w:rsidRPr="00CB38AA">
        <w:rPr>
          <w:rFonts w:ascii="Times New Roman" w:eastAsia="Arial" w:hAnsi="Times New Roman" w:cs="Times New Roman"/>
          <w:i/>
          <w:sz w:val="24"/>
          <w:szCs w:val="24"/>
        </w:rPr>
        <w:t xml:space="preserve">un magistrado en coda Sala; y </w:t>
      </w:r>
      <w:r w:rsidRPr="00CB38AA">
        <w:rPr>
          <w:rFonts w:ascii="Times New Roman" w:eastAsia="Times New Roman" w:hAnsi="Times New Roman" w:cs="Times New Roman"/>
          <w:b/>
          <w:i/>
          <w:sz w:val="24"/>
          <w:szCs w:val="24"/>
        </w:rPr>
        <w:t xml:space="preserve">los Tribunales de Alzada, por el número de integrantes que señale la legislación. </w:t>
      </w:r>
      <w:r w:rsidRPr="00CB38AA">
        <w:rPr>
          <w:rFonts w:ascii="Times New Roman" w:eastAsia="Arial" w:hAnsi="Times New Roman" w:cs="Times New Roman"/>
          <w:i/>
          <w:sz w:val="24"/>
          <w:szCs w:val="24"/>
        </w:rPr>
        <w:t>El Tribunal contar con las demás salas previstas en la ley... "</w:t>
      </w:r>
    </w:p>
    <w:p w:rsidR="00015124" w:rsidRPr="00CB38AA" w:rsidRDefault="00015124" w:rsidP="00DF6EEA">
      <w:pPr>
        <w:spacing w:after="0" w:line="240" w:lineRule="auto"/>
        <w:rPr>
          <w:rFonts w:ascii="Times New Roman" w:eastAsia="Times New Roman" w:hAnsi="Times New Roman" w:cs="Times New Roman"/>
          <w:sz w:val="24"/>
          <w:szCs w:val="24"/>
        </w:rPr>
      </w:pPr>
    </w:p>
    <w:p w:rsidR="00015124" w:rsidRPr="00CB38AA" w:rsidRDefault="00015124"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Código Nacional de Procedimientos Penales:</w:t>
      </w:r>
    </w:p>
    <w:p w:rsidR="00015124" w:rsidRPr="00CB38AA" w:rsidRDefault="00015124" w:rsidP="00DF6EEA">
      <w:pPr>
        <w:spacing w:after="0" w:line="240" w:lineRule="auto"/>
        <w:rPr>
          <w:rFonts w:ascii="Times New Roman" w:eastAsia="Times New Roman" w:hAnsi="Times New Roman" w:cs="Times New Roman"/>
          <w:sz w:val="24"/>
          <w:szCs w:val="24"/>
        </w:rPr>
      </w:pPr>
    </w:p>
    <w:p w:rsidR="00015124" w:rsidRPr="00CB38AA" w:rsidRDefault="00015124"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i/>
          <w:sz w:val="24"/>
          <w:szCs w:val="24"/>
        </w:rPr>
        <w:t>"Artículo 3o. Glosario</w:t>
      </w:r>
    </w:p>
    <w:p w:rsidR="00015124" w:rsidRPr="00CB38AA" w:rsidRDefault="00015124"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i/>
          <w:sz w:val="24"/>
          <w:szCs w:val="24"/>
        </w:rPr>
        <w:t>I. a la XVI....</w:t>
      </w:r>
    </w:p>
    <w:p w:rsidR="00015124" w:rsidRPr="00CB38AA" w:rsidRDefault="00015124"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i/>
          <w:sz w:val="24"/>
          <w:szCs w:val="24"/>
        </w:rPr>
        <w:lastRenderedPageBreak/>
        <w:t xml:space="preserve">XVII. </w:t>
      </w:r>
      <w:r w:rsidRPr="00CB38AA">
        <w:rPr>
          <w:rFonts w:ascii="Times New Roman" w:eastAsia="Times New Roman" w:hAnsi="Times New Roman" w:cs="Times New Roman"/>
          <w:b/>
          <w:i/>
          <w:sz w:val="24"/>
          <w:szCs w:val="24"/>
        </w:rPr>
        <w:t xml:space="preserve">Tribunal de alzada: </w:t>
      </w:r>
      <w:r w:rsidRPr="00CB38AA">
        <w:rPr>
          <w:rFonts w:ascii="Times New Roman" w:eastAsia="Arial" w:hAnsi="Times New Roman" w:cs="Times New Roman"/>
          <w:i/>
          <w:sz w:val="24"/>
          <w:szCs w:val="24"/>
        </w:rPr>
        <w:t xml:space="preserve">El órgano jurisdiccional </w:t>
      </w:r>
      <w:r w:rsidRPr="00CB38AA">
        <w:rPr>
          <w:rFonts w:ascii="Times New Roman" w:eastAsia="Times New Roman" w:hAnsi="Times New Roman" w:cs="Times New Roman"/>
          <w:b/>
          <w:i/>
          <w:sz w:val="24"/>
          <w:szCs w:val="24"/>
        </w:rPr>
        <w:t xml:space="preserve">integrado por uno </w:t>
      </w:r>
      <w:r w:rsidRPr="00CB38AA">
        <w:rPr>
          <w:rFonts w:ascii="Times New Roman" w:eastAsia="Arial" w:hAnsi="Times New Roman" w:cs="Times New Roman"/>
          <w:b/>
          <w:sz w:val="24"/>
          <w:szCs w:val="24"/>
        </w:rPr>
        <w:t xml:space="preserve">o </w:t>
      </w:r>
      <w:r w:rsidRPr="00CB38AA">
        <w:rPr>
          <w:rFonts w:ascii="Times New Roman" w:eastAsia="Times New Roman" w:hAnsi="Times New Roman" w:cs="Times New Roman"/>
          <w:b/>
          <w:i/>
          <w:sz w:val="24"/>
          <w:szCs w:val="24"/>
        </w:rPr>
        <w:t xml:space="preserve">tres magistrados, </w:t>
      </w:r>
      <w:r w:rsidRPr="00CB38AA">
        <w:rPr>
          <w:rFonts w:ascii="Times New Roman" w:eastAsia="Arial" w:hAnsi="Times New Roman" w:cs="Times New Roman"/>
          <w:i/>
          <w:sz w:val="24"/>
          <w:szCs w:val="24"/>
        </w:rPr>
        <w:t xml:space="preserve">que resuelve la apelación, federal </w:t>
      </w:r>
      <w:r w:rsidRPr="00CB38AA">
        <w:rPr>
          <w:rFonts w:ascii="Times New Roman" w:eastAsia="Times New Roman" w:hAnsi="Times New Roman" w:cs="Times New Roman"/>
          <w:sz w:val="24"/>
          <w:szCs w:val="24"/>
        </w:rPr>
        <w:t xml:space="preserve">o </w:t>
      </w:r>
      <w:r w:rsidRPr="00CB38AA">
        <w:rPr>
          <w:rFonts w:ascii="Times New Roman" w:eastAsia="Arial" w:hAnsi="Times New Roman" w:cs="Times New Roman"/>
          <w:i/>
          <w:sz w:val="24"/>
          <w:szCs w:val="24"/>
        </w:rPr>
        <w:t>de las Entidades federativas''.</w:t>
      </w:r>
    </w:p>
    <w:p w:rsidR="00015124" w:rsidRPr="00CB38AA" w:rsidRDefault="00015124" w:rsidP="00DF6EEA">
      <w:pPr>
        <w:spacing w:after="0" w:line="240" w:lineRule="auto"/>
        <w:rPr>
          <w:rFonts w:ascii="Times New Roman" w:eastAsia="Times New Roman" w:hAnsi="Times New Roman" w:cs="Times New Roman"/>
          <w:sz w:val="24"/>
          <w:szCs w:val="24"/>
        </w:rPr>
      </w:pPr>
    </w:p>
    <w:p w:rsidR="00015124" w:rsidRPr="00CB38AA" w:rsidRDefault="00015124"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Por su parte, el artículo 47 de la Ley Orgánica del Poder Judicial del Estado de México, establece lo siguiente:</w:t>
      </w:r>
    </w:p>
    <w:p w:rsidR="00015124" w:rsidRPr="00CB38AA" w:rsidRDefault="00015124" w:rsidP="00DF6EEA">
      <w:pPr>
        <w:spacing w:after="0" w:line="240" w:lineRule="auto"/>
        <w:rPr>
          <w:rFonts w:ascii="Times New Roman" w:eastAsia="Times New Roman" w:hAnsi="Times New Roman" w:cs="Times New Roman"/>
          <w:sz w:val="24"/>
          <w:szCs w:val="24"/>
        </w:rPr>
      </w:pPr>
    </w:p>
    <w:p w:rsidR="00015124" w:rsidRPr="00CB38AA" w:rsidRDefault="00015124"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i/>
          <w:sz w:val="24"/>
          <w:szCs w:val="24"/>
        </w:rPr>
        <w:t xml:space="preserve">"Estructura de las </w:t>
      </w:r>
      <w:r w:rsidRPr="00CB38AA">
        <w:rPr>
          <w:rFonts w:ascii="Times New Roman" w:eastAsia="Times New Roman" w:hAnsi="Times New Roman" w:cs="Times New Roman"/>
          <w:b/>
          <w:sz w:val="24"/>
          <w:szCs w:val="24"/>
        </w:rPr>
        <w:t xml:space="preserve">salas </w:t>
      </w:r>
      <w:r w:rsidRPr="00CB38AA">
        <w:rPr>
          <w:rFonts w:ascii="Times New Roman" w:eastAsia="Arial" w:hAnsi="Times New Roman" w:cs="Times New Roman"/>
          <w:b/>
          <w:i/>
          <w:sz w:val="24"/>
          <w:szCs w:val="24"/>
        </w:rPr>
        <w:t>colegiadas y tribunales de alzada</w:t>
      </w:r>
    </w:p>
    <w:p w:rsidR="00015124" w:rsidRPr="00CB38AA" w:rsidRDefault="00015124"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i/>
          <w:sz w:val="24"/>
          <w:szCs w:val="24"/>
        </w:rPr>
        <w:t xml:space="preserve">Artículo 47. Cada sala colegiada y tribunal de alzada contar con una estructura orgánica propia que </w:t>
      </w:r>
      <w:r w:rsidRPr="00CB38AA">
        <w:rPr>
          <w:rFonts w:ascii="Times New Roman" w:eastAsia="Arial" w:hAnsi="Times New Roman" w:cs="Times New Roman"/>
          <w:sz w:val="24"/>
          <w:szCs w:val="24"/>
        </w:rPr>
        <w:t xml:space="preserve">se </w:t>
      </w:r>
      <w:r w:rsidRPr="00CB38AA">
        <w:rPr>
          <w:rFonts w:ascii="Times New Roman" w:eastAsia="Arial" w:hAnsi="Times New Roman" w:cs="Times New Roman"/>
          <w:i/>
          <w:sz w:val="24"/>
          <w:szCs w:val="24"/>
        </w:rPr>
        <w:t>integrar por:</w:t>
      </w:r>
    </w:p>
    <w:p w:rsidR="00015124" w:rsidRPr="00CB38AA" w:rsidRDefault="00015124"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i/>
          <w:sz w:val="24"/>
          <w:szCs w:val="24"/>
        </w:rPr>
        <w:t xml:space="preserve">I. Tres magistradas </w:t>
      </w:r>
      <w:r w:rsidRPr="00CB38AA">
        <w:rPr>
          <w:rFonts w:ascii="Times New Roman" w:eastAsia="Times New Roman" w:hAnsi="Times New Roman" w:cs="Times New Roman"/>
          <w:sz w:val="24"/>
          <w:szCs w:val="24"/>
        </w:rPr>
        <w:t xml:space="preserve">o </w:t>
      </w:r>
      <w:r w:rsidRPr="00CB38AA">
        <w:rPr>
          <w:rFonts w:ascii="Times New Roman" w:eastAsia="Arial" w:hAnsi="Times New Roman" w:cs="Times New Roman"/>
          <w:i/>
          <w:sz w:val="24"/>
          <w:szCs w:val="24"/>
        </w:rPr>
        <w:t>magistrados;</w:t>
      </w:r>
    </w:p>
    <w:p w:rsidR="00015124" w:rsidRPr="00CB38AA" w:rsidRDefault="00015124"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i/>
          <w:sz w:val="24"/>
          <w:szCs w:val="24"/>
        </w:rPr>
        <w:t xml:space="preserve">II. Una secretaria </w:t>
      </w:r>
      <w:r w:rsidRPr="00CB38AA">
        <w:rPr>
          <w:rFonts w:ascii="Times New Roman" w:eastAsia="Times New Roman" w:hAnsi="Times New Roman" w:cs="Times New Roman"/>
          <w:sz w:val="24"/>
          <w:szCs w:val="24"/>
        </w:rPr>
        <w:t xml:space="preserve">o </w:t>
      </w:r>
      <w:r w:rsidRPr="00CB38AA">
        <w:rPr>
          <w:rFonts w:ascii="Times New Roman" w:eastAsia="Arial" w:hAnsi="Times New Roman" w:cs="Times New Roman"/>
          <w:i/>
          <w:sz w:val="24"/>
          <w:szCs w:val="24"/>
        </w:rPr>
        <w:t>secretario de acuerdos;</w:t>
      </w:r>
    </w:p>
    <w:p w:rsidR="00015124" w:rsidRPr="00CB38AA" w:rsidRDefault="00015124"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i/>
          <w:sz w:val="24"/>
          <w:szCs w:val="24"/>
        </w:rPr>
        <w:t xml:space="preserve">III. Las secretarias </w:t>
      </w:r>
      <w:r w:rsidRPr="00CB38AA">
        <w:rPr>
          <w:rFonts w:ascii="Times New Roman" w:eastAsia="Times New Roman" w:hAnsi="Times New Roman" w:cs="Times New Roman"/>
          <w:sz w:val="24"/>
          <w:szCs w:val="24"/>
        </w:rPr>
        <w:t xml:space="preserve">o </w:t>
      </w:r>
      <w:r w:rsidRPr="00CB38AA">
        <w:rPr>
          <w:rFonts w:ascii="Times New Roman" w:eastAsia="Arial" w:hAnsi="Times New Roman" w:cs="Times New Roman"/>
          <w:i/>
          <w:sz w:val="24"/>
          <w:szCs w:val="24"/>
        </w:rPr>
        <w:t xml:space="preserve">secretarios proyectistas que sean necesarios por coda magistrada </w:t>
      </w:r>
      <w:r w:rsidRPr="00CB38AA">
        <w:rPr>
          <w:rFonts w:ascii="Times New Roman" w:eastAsia="Times New Roman" w:hAnsi="Times New Roman" w:cs="Times New Roman"/>
          <w:sz w:val="24"/>
          <w:szCs w:val="24"/>
        </w:rPr>
        <w:t xml:space="preserve">o </w:t>
      </w:r>
      <w:r w:rsidRPr="00CB38AA">
        <w:rPr>
          <w:rFonts w:ascii="Times New Roman" w:eastAsia="Arial" w:hAnsi="Times New Roman" w:cs="Times New Roman"/>
          <w:i/>
          <w:sz w:val="24"/>
          <w:szCs w:val="24"/>
        </w:rPr>
        <w:t>magistrado, de conformidad con lo que determine el Órgano de Administración Judicial;</w:t>
      </w:r>
    </w:p>
    <w:p w:rsidR="00015124" w:rsidRPr="00CB38AA" w:rsidRDefault="00015124"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i/>
          <w:sz w:val="24"/>
          <w:szCs w:val="24"/>
        </w:rPr>
        <w:t xml:space="preserve">IV Una secretaria </w:t>
      </w:r>
      <w:r w:rsidRPr="00CB38AA">
        <w:rPr>
          <w:rFonts w:ascii="Times New Roman" w:eastAsia="Arial" w:hAnsi="Times New Roman" w:cs="Times New Roman"/>
          <w:sz w:val="24"/>
          <w:szCs w:val="24"/>
        </w:rPr>
        <w:t xml:space="preserve">o </w:t>
      </w:r>
      <w:r w:rsidRPr="00CB38AA">
        <w:rPr>
          <w:rFonts w:ascii="Times New Roman" w:eastAsia="Arial" w:hAnsi="Times New Roman" w:cs="Times New Roman"/>
          <w:i/>
          <w:sz w:val="24"/>
          <w:szCs w:val="24"/>
        </w:rPr>
        <w:t xml:space="preserve">secretario proyectista para el trámite de </w:t>
      </w:r>
      <w:r w:rsidRPr="00CB38AA">
        <w:rPr>
          <w:rFonts w:ascii="Times New Roman" w:eastAsia="Arial" w:hAnsi="Times New Roman" w:cs="Times New Roman"/>
          <w:sz w:val="24"/>
          <w:szCs w:val="24"/>
        </w:rPr>
        <w:t xml:space="preserve">/os </w:t>
      </w:r>
      <w:r w:rsidRPr="00CB38AA">
        <w:rPr>
          <w:rFonts w:ascii="Times New Roman" w:eastAsia="Arial" w:hAnsi="Times New Roman" w:cs="Times New Roman"/>
          <w:i/>
          <w:sz w:val="24"/>
          <w:szCs w:val="24"/>
        </w:rPr>
        <w:t>juicios de amparo;</w:t>
      </w:r>
    </w:p>
    <w:p w:rsidR="00015124" w:rsidRPr="00CB38AA" w:rsidRDefault="00015124"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i/>
          <w:sz w:val="24"/>
          <w:szCs w:val="24"/>
        </w:rPr>
        <w:t xml:space="preserve">V. Una </w:t>
      </w:r>
      <w:r w:rsidRPr="00CB38AA">
        <w:rPr>
          <w:rFonts w:ascii="Times New Roman" w:eastAsia="Times New Roman" w:hAnsi="Times New Roman" w:cs="Times New Roman"/>
          <w:sz w:val="24"/>
          <w:szCs w:val="24"/>
        </w:rPr>
        <w:t xml:space="preserve">o </w:t>
      </w:r>
      <w:r w:rsidRPr="00CB38AA">
        <w:rPr>
          <w:rFonts w:ascii="Times New Roman" w:eastAsia="Arial" w:hAnsi="Times New Roman" w:cs="Times New Roman"/>
          <w:i/>
          <w:sz w:val="24"/>
          <w:szCs w:val="24"/>
        </w:rPr>
        <w:t>un oficial mayor; y</w:t>
      </w:r>
    </w:p>
    <w:p w:rsidR="00015124" w:rsidRPr="00CB38AA" w:rsidRDefault="00015124"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i/>
          <w:sz w:val="24"/>
          <w:szCs w:val="24"/>
        </w:rPr>
        <w:t>VI. Las demás servidoras y servidores públicos que determine el Órgano de Administración Judicial".</w:t>
      </w:r>
    </w:p>
    <w:p w:rsidR="00015124" w:rsidRPr="00CB38AA" w:rsidRDefault="00015124" w:rsidP="00DF6EEA">
      <w:pPr>
        <w:spacing w:after="0" w:line="240" w:lineRule="auto"/>
        <w:rPr>
          <w:rFonts w:ascii="Times New Roman" w:eastAsia="Times New Roman" w:hAnsi="Times New Roman" w:cs="Times New Roman"/>
          <w:sz w:val="24"/>
          <w:szCs w:val="24"/>
        </w:rPr>
      </w:pPr>
    </w:p>
    <w:p w:rsidR="00015124" w:rsidRPr="00CB38AA" w:rsidRDefault="00015124"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De esta manera, se advierte que no está armonizado con el Código Nacional de Procedimientos Penales en </w:t>
      </w:r>
      <w:r w:rsidRPr="00CB38AA">
        <w:rPr>
          <w:rFonts w:ascii="Times New Roman" w:eastAsia="Times New Roman" w:hAnsi="Times New Roman" w:cs="Times New Roman"/>
          <w:sz w:val="24"/>
          <w:szCs w:val="24"/>
        </w:rPr>
        <w:t xml:space="preserve">el </w:t>
      </w:r>
      <w:r w:rsidRPr="00CB38AA">
        <w:rPr>
          <w:rFonts w:ascii="Times New Roman" w:eastAsia="Arial" w:hAnsi="Times New Roman" w:cs="Times New Roman"/>
          <w:sz w:val="24"/>
          <w:szCs w:val="24"/>
        </w:rPr>
        <w:t>artículo y fracción ya precisados, respecto del número de integrantes de un Tribunal de Alzada.</w:t>
      </w:r>
    </w:p>
    <w:p w:rsidR="00015124" w:rsidRPr="00CB38AA" w:rsidRDefault="00015124" w:rsidP="00DF6EEA">
      <w:pPr>
        <w:spacing w:after="0" w:line="240" w:lineRule="auto"/>
        <w:rPr>
          <w:rFonts w:ascii="Times New Roman" w:eastAsia="Times New Roman" w:hAnsi="Times New Roman" w:cs="Times New Roman"/>
          <w:sz w:val="24"/>
          <w:szCs w:val="24"/>
        </w:rPr>
      </w:pPr>
    </w:p>
    <w:p w:rsidR="00015124" w:rsidRPr="00CB38AA" w:rsidRDefault="00015124"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Consecuentemente, a la luz de los preceptos normativos previamente invocados, resulta jurídicamente indispensable que la competencia para conocer del recurse de apelación interpuesto en contra de resoluciones que emita el Juez de Control tal y como lo establece el artículo 467 de la Ley Procesal Penal de la materia, debe recaer en un Tribunal de Alzada, que puede estar conformado por una Magistrada o un Magistrado.</w:t>
      </w:r>
    </w:p>
    <w:p w:rsidR="00015124" w:rsidRPr="00CB38AA" w:rsidRDefault="00015124" w:rsidP="00DF6EEA">
      <w:pPr>
        <w:spacing w:after="0" w:line="240" w:lineRule="auto"/>
        <w:rPr>
          <w:rFonts w:ascii="Times New Roman" w:eastAsia="Times New Roman" w:hAnsi="Times New Roman" w:cs="Times New Roman"/>
          <w:sz w:val="24"/>
          <w:szCs w:val="24"/>
        </w:rPr>
      </w:pPr>
    </w:p>
    <w:p w:rsidR="00015124" w:rsidRPr="00CB38AA" w:rsidRDefault="00015124"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Ello obedece, por una parte, a la existencia de una norma procesal que expresamente habilita su intervención; y por la otra, a los acuerdos emitidos por </w:t>
      </w:r>
      <w:r w:rsidRPr="00CB38AA">
        <w:rPr>
          <w:rFonts w:ascii="Times New Roman" w:eastAsia="Times New Roman" w:hAnsi="Times New Roman" w:cs="Times New Roman"/>
          <w:sz w:val="24"/>
          <w:szCs w:val="24"/>
        </w:rPr>
        <w:t xml:space="preserve">el </w:t>
      </w:r>
      <w:r w:rsidRPr="00CB38AA">
        <w:rPr>
          <w:rFonts w:ascii="Times New Roman" w:eastAsia="Arial" w:hAnsi="Times New Roman" w:cs="Times New Roman"/>
          <w:sz w:val="24"/>
          <w:szCs w:val="24"/>
        </w:rPr>
        <w:t>entonces Consejo de la Judicatura del Poder Judicial del Estado de México, a través de las circulares 75/2024 y 78/2024, los días trece y veintitrés de septiembre de dos mil veinticuatro, respectivamente, donde también se contienen los acuerdos que regulan la distribución de los asuntos en esta materia. Tales acuerdos fueron adoptados en sesiones ordinarias del nueve y veinte de septiembre del mismo año, tanto por el Pleno del Consejo como por el Pleno del Tribunal Superior de Justicia del Estado de México, mediante los cuales no solo se dispuso su creación, sino también su integración en forma unitaria, para hacerlo acorde a lo que señala el Código Nacional de Procedimientos Penales.</w:t>
      </w:r>
    </w:p>
    <w:p w:rsidR="00015124" w:rsidRPr="00CB38AA" w:rsidRDefault="00015124" w:rsidP="00DF6EEA">
      <w:pPr>
        <w:spacing w:after="0" w:line="240" w:lineRule="auto"/>
        <w:rPr>
          <w:rFonts w:ascii="Times New Roman" w:eastAsia="Times New Roman" w:hAnsi="Times New Roman" w:cs="Times New Roman"/>
          <w:sz w:val="24"/>
          <w:szCs w:val="24"/>
        </w:rPr>
      </w:pPr>
    </w:p>
    <w:p w:rsidR="00015124" w:rsidRPr="00CB38AA" w:rsidRDefault="00015124"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Derivado de lo anterior, la Ley Orgánica del Poder Judicial del Estado de México, requiere de una reforma, que consista en armonizar lo señalado en la Constitución Local y en el Código Nacional de Procedimientos Penales, a fin de reconocer la competencia de los Tribunales de Alzada integrados por un solo magistrado, de la siguiente manera:</w:t>
      </w:r>
    </w:p>
    <w:p w:rsidR="00015124" w:rsidRPr="00CB38AA" w:rsidRDefault="00015124" w:rsidP="00DF6EEA">
      <w:pPr>
        <w:spacing w:after="0" w:line="240" w:lineRule="auto"/>
        <w:rPr>
          <w:rFonts w:ascii="Times New Roman" w:eastAsia="Times New Roman" w:hAnsi="Times New Roman" w:cs="Times New Roman"/>
          <w:sz w:val="24"/>
          <w:szCs w:val="24"/>
        </w:rPr>
      </w:pPr>
    </w:p>
    <w:tbl>
      <w:tblPr>
        <w:tblStyle w:val="Tablaconcuadrcula"/>
        <w:tblW w:w="0" w:type="auto"/>
        <w:tblLook w:val="04A0" w:firstRow="1" w:lastRow="0" w:firstColumn="1" w:lastColumn="0" w:noHBand="0" w:noVBand="1"/>
      </w:tblPr>
      <w:tblGrid>
        <w:gridCol w:w="4696"/>
        <w:gridCol w:w="4699"/>
      </w:tblGrid>
      <w:tr w:rsidR="00015124" w:rsidRPr="00CB38AA" w:rsidTr="00015124">
        <w:tc>
          <w:tcPr>
            <w:tcW w:w="4795" w:type="dxa"/>
            <w:shd w:val="clear" w:color="auto" w:fill="FF5050"/>
          </w:tcPr>
          <w:p w:rsidR="00015124" w:rsidRPr="00CB38AA" w:rsidRDefault="00015124" w:rsidP="00DF6EEA">
            <w:pPr>
              <w:spacing w:line="240" w:lineRule="auto"/>
              <w:jc w:val="center"/>
              <w:rPr>
                <w:rFonts w:eastAsia="Arial"/>
                <w:b/>
                <w:sz w:val="24"/>
                <w:szCs w:val="24"/>
                <w:lang w:val="es-MX"/>
              </w:rPr>
            </w:pPr>
            <w:r w:rsidRPr="00CB38AA">
              <w:rPr>
                <w:rFonts w:eastAsia="Arial"/>
                <w:b/>
                <w:sz w:val="24"/>
                <w:szCs w:val="24"/>
                <w:lang w:val="es-MX"/>
              </w:rPr>
              <w:t>Dice</w:t>
            </w:r>
          </w:p>
        </w:tc>
        <w:tc>
          <w:tcPr>
            <w:tcW w:w="4795" w:type="dxa"/>
            <w:shd w:val="clear" w:color="auto" w:fill="FF5050"/>
          </w:tcPr>
          <w:p w:rsidR="00015124" w:rsidRPr="00CB38AA" w:rsidRDefault="00015124" w:rsidP="00DF6EEA">
            <w:pPr>
              <w:spacing w:line="240" w:lineRule="auto"/>
              <w:jc w:val="center"/>
              <w:rPr>
                <w:rFonts w:eastAsia="Arial"/>
                <w:b/>
                <w:sz w:val="24"/>
                <w:szCs w:val="24"/>
                <w:lang w:val="es-MX"/>
              </w:rPr>
            </w:pPr>
            <w:r w:rsidRPr="00CB38AA">
              <w:rPr>
                <w:rFonts w:eastAsia="Arial"/>
                <w:b/>
                <w:sz w:val="24"/>
                <w:szCs w:val="24"/>
                <w:lang w:val="es-MX"/>
              </w:rPr>
              <w:t>Debe decir</w:t>
            </w:r>
          </w:p>
        </w:tc>
      </w:tr>
      <w:tr w:rsidR="00015124" w:rsidRPr="00CB38AA" w:rsidTr="00015124">
        <w:tc>
          <w:tcPr>
            <w:tcW w:w="4795" w:type="dxa"/>
          </w:tcPr>
          <w:p w:rsidR="00015124" w:rsidRPr="00CB38AA" w:rsidRDefault="00015124" w:rsidP="00DF6EEA">
            <w:pPr>
              <w:spacing w:line="240" w:lineRule="auto"/>
              <w:jc w:val="both"/>
              <w:rPr>
                <w:rFonts w:eastAsia="Arial"/>
                <w:b/>
                <w:sz w:val="24"/>
                <w:szCs w:val="24"/>
                <w:lang w:val="es-MX"/>
              </w:rPr>
            </w:pPr>
            <w:r w:rsidRPr="00CB38AA">
              <w:rPr>
                <w:rFonts w:eastAsia="Arial"/>
                <w:b/>
                <w:sz w:val="24"/>
                <w:szCs w:val="24"/>
                <w:lang w:val="es-MX"/>
              </w:rPr>
              <w:t>Estructura de las salas colegiadas y tribunales de alzada</w:t>
            </w:r>
          </w:p>
          <w:p w:rsidR="00015124" w:rsidRPr="00CB38AA" w:rsidRDefault="00015124" w:rsidP="00DF6EEA">
            <w:pPr>
              <w:spacing w:line="240" w:lineRule="auto"/>
              <w:jc w:val="both"/>
              <w:rPr>
                <w:rFonts w:eastAsia="Arial"/>
                <w:sz w:val="24"/>
                <w:szCs w:val="24"/>
                <w:lang w:val="es-MX"/>
              </w:rPr>
            </w:pPr>
          </w:p>
          <w:p w:rsidR="00015124" w:rsidRPr="00CB38AA" w:rsidRDefault="00015124" w:rsidP="00DF6EEA">
            <w:pPr>
              <w:spacing w:line="240" w:lineRule="auto"/>
              <w:jc w:val="both"/>
              <w:rPr>
                <w:sz w:val="24"/>
                <w:szCs w:val="24"/>
                <w:lang w:val="es-MX"/>
              </w:rPr>
            </w:pPr>
            <w:r w:rsidRPr="00CB38AA">
              <w:rPr>
                <w:rFonts w:eastAsia="Arial"/>
                <w:sz w:val="24"/>
                <w:szCs w:val="24"/>
                <w:lang w:val="es-MX"/>
              </w:rPr>
              <w:lastRenderedPageBreak/>
              <w:t>Artículo 47. Cada sala colegiada y tribunal de alzada contará con una estructura orgánica propia que se integrará por:</w:t>
            </w:r>
          </w:p>
          <w:p w:rsidR="00015124" w:rsidRPr="00CB38AA" w:rsidRDefault="00015124" w:rsidP="00DF6EEA">
            <w:pPr>
              <w:spacing w:line="240" w:lineRule="auto"/>
              <w:jc w:val="both"/>
              <w:rPr>
                <w:rFonts w:eastAsia="Arial"/>
                <w:sz w:val="24"/>
                <w:szCs w:val="24"/>
                <w:lang w:val="es-MX"/>
              </w:rPr>
            </w:pPr>
          </w:p>
          <w:p w:rsidR="00015124" w:rsidRPr="00CB38AA" w:rsidRDefault="00015124" w:rsidP="00DF6EEA">
            <w:pPr>
              <w:spacing w:line="240" w:lineRule="auto"/>
              <w:jc w:val="both"/>
              <w:rPr>
                <w:rFonts w:eastAsia="Arial"/>
                <w:sz w:val="24"/>
                <w:szCs w:val="24"/>
                <w:lang w:val="es-MX"/>
              </w:rPr>
            </w:pPr>
            <w:r w:rsidRPr="00CB38AA">
              <w:rPr>
                <w:rFonts w:eastAsia="Arial"/>
                <w:sz w:val="24"/>
                <w:szCs w:val="24"/>
                <w:lang w:val="es-MX"/>
              </w:rPr>
              <w:t>I. Tres magistradas o magistrados;</w:t>
            </w:r>
          </w:p>
          <w:p w:rsidR="00015124" w:rsidRPr="00CB38AA" w:rsidRDefault="00015124" w:rsidP="00DF6EEA">
            <w:pPr>
              <w:spacing w:line="240" w:lineRule="auto"/>
              <w:jc w:val="both"/>
              <w:rPr>
                <w:rFonts w:eastAsia="Arial"/>
                <w:sz w:val="24"/>
                <w:szCs w:val="24"/>
                <w:lang w:val="es-MX"/>
              </w:rPr>
            </w:pPr>
            <w:r w:rsidRPr="00CB38AA">
              <w:rPr>
                <w:rFonts w:eastAsia="Arial"/>
                <w:sz w:val="24"/>
                <w:szCs w:val="24"/>
                <w:lang w:val="es-MX"/>
              </w:rPr>
              <w:t>II. Una secretaria o secretario de acuerdos;</w:t>
            </w:r>
          </w:p>
          <w:p w:rsidR="00015124" w:rsidRPr="00CB38AA" w:rsidRDefault="00015124" w:rsidP="00DF6EEA">
            <w:pPr>
              <w:spacing w:line="240" w:lineRule="auto"/>
              <w:jc w:val="both"/>
              <w:rPr>
                <w:rFonts w:eastAsia="Arial"/>
                <w:sz w:val="24"/>
                <w:szCs w:val="24"/>
                <w:lang w:val="es-MX"/>
              </w:rPr>
            </w:pPr>
            <w:r w:rsidRPr="00CB38AA">
              <w:rPr>
                <w:rFonts w:eastAsia="Arial"/>
                <w:sz w:val="24"/>
                <w:szCs w:val="24"/>
                <w:lang w:val="es-MX"/>
              </w:rPr>
              <w:t>III. Las secretarias o secretarios proyectistas que sean necesarios por cada magistrada o magistrado, de conformidad con lo que determine el órgano de Administración Judicial;</w:t>
            </w:r>
          </w:p>
          <w:p w:rsidR="00015124" w:rsidRPr="00CB38AA" w:rsidRDefault="00015124" w:rsidP="00DF6EEA">
            <w:pPr>
              <w:spacing w:line="240" w:lineRule="auto"/>
              <w:jc w:val="both"/>
              <w:rPr>
                <w:rFonts w:eastAsia="Arial"/>
                <w:sz w:val="24"/>
                <w:szCs w:val="24"/>
                <w:lang w:val="es-MX"/>
              </w:rPr>
            </w:pPr>
            <w:r w:rsidRPr="00CB38AA">
              <w:rPr>
                <w:rFonts w:eastAsia="Arial"/>
                <w:sz w:val="24"/>
                <w:szCs w:val="24"/>
                <w:lang w:val="es-MX"/>
              </w:rPr>
              <w:t>IV. Una secretaria o secretario proyectista para el trámite de los juicios de amparo;</w:t>
            </w:r>
          </w:p>
          <w:p w:rsidR="00015124" w:rsidRPr="00CB38AA" w:rsidRDefault="00015124" w:rsidP="00DF6EEA">
            <w:pPr>
              <w:spacing w:line="240" w:lineRule="auto"/>
              <w:jc w:val="both"/>
              <w:rPr>
                <w:rFonts w:eastAsia="Arial"/>
                <w:sz w:val="24"/>
                <w:szCs w:val="24"/>
                <w:lang w:val="es-MX"/>
              </w:rPr>
            </w:pPr>
            <w:r w:rsidRPr="00CB38AA">
              <w:rPr>
                <w:rFonts w:eastAsia="Arial"/>
                <w:sz w:val="24"/>
                <w:szCs w:val="24"/>
                <w:lang w:val="es-MX"/>
              </w:rPr>
              <w:t>V. Una o un oficial mayor; y</w:t>
            </w:r>
          </w:p>
          <w:p w:rsidR="00015124" w:rsidRPr="00CB38AA" w:rsidRDefault="00015124" w:rsidP="00DF6EEA">
            <w:pPr>
              <w:spacing w:line="240" w:lineRule="auto"/>
              <w:jc w:val="both"/>
              <w:rPr>
                <w:rFonts w:eastAsia="Arial"/>
                <w:sz w:val="24"/>
                <w:szCs w:val="24"/>
                <w:lang w:val="es-MX"/>
              </w:rPr>
            </w:pPr>
            <w:r w:rsidRPr="00CB38AA">
              <w:rPr>
                <w:rFonts w:eastAsia="Arial"/>
                <w:sz w:val="24"/>
                <w:szCs w:val="24"/>
                <w:lang w:val="es-MX"/>
              </w:rPr>
              <w:t>VI. Las demás servidoras y servidores públicos que determine el órgano de Administración Judicial.</w:t>
            </w:r>
          </w:p>
          <w:p w:rsidR="00015124" w:rsidRPr="00CB38AA" w:rsidRDefault="00015124" w:rsidP="00DF6EEA">
            <w:pPr>
              <w:spacing w:line="240" w:lineRule="auto"/>
              <w:jc w:val="both"/>
              <w:rPr>
                <w:rFonts w:eastAsia="Arial"/>
                <w:sz w:val="24"/>
                <w:szCs w:val="24"/>
                <w:lang w:val="es-MX"/>
              </w:rPr>
            </w:pPr>
          </w:p>
        </w:tc>
        <w:tc>
          <w:tcPr>
            <w:tcW w:w="4795" w:type="dxa"/>
          </w:tcPr>
          <w:p w:rsidR="00015124" w:rsidRPr="00CB38AA" w:rsidRDefault="00015124" w:rsidP="00DF6EEA">
            <w:pPr>
              <w:spacing w:line="240" w:lineRule="auto"/>
              <w:jc w:val="both"/>
              <w:rPr>
                <w:rFonts w:eastAsia="Arial"/>
                <w:sz w:val="24"/>
                <w:szCs w:val="24"/>
                <w:lang w:val="es-MX"/>
              </w:rPr>
            </w:pPr>
            <w:r w:rsidRPr="00CB38AA">
              <w:rPr>
                <w:rFonts w:eastAsia="Arial"/>
                <w:sz w:val="24"/>
                <w:szCs w:val="24"/>
                <w:lang w:val="es-MX"/>
              </w:rPr>
              <w:lastRenderedPageBreak/>
              <w:t>Estructura de las salas colegiadas y tribunales de alzada</w:t>
            </w:r>
          </w:p>
          <w:p w:rsidR="00015124" w:rsidRPr="00CB38AA" w:rsidRDefault="00015124" w:rsidP="00DF6EEA">
            <w:pPr>
              <w:spacing w:line="240" w:lineRule="auto"/>
              <w:jc w:val="both"/>
              <w:rPr>
                <w:rFonts w:eastAsia="Arial"/>
                <w:sz w:val="24"/>
                <w:szCs w:val="24"/>
                <w:lang w:val="es-MX"/>
              </w:rPr>
            </w:pPr>
          </w:p>
          <w:p w:rsidR="00015124" w:rsidRPr="00CB38AA" w:rsidRDefault="00015124" w:rsidP="00DF6EEA">
            <w:pPr>
              <w:spacing w:line="240" w:lineRule="auto"/>
              <w:jc w:val="both"/>
              <w:rPr>
                <w:rFonts w:eastAsia="Arial"/>
                <w:sz w:val="24"/>
                <w:szCs w:val="24"/>
                <w:lang w:val="es-MX"/>
              </w:rPr>
            </w:pPr>
            <w:r w:rsidRPr="00CB38AA">
              <w:rPr>
                <w:rFonts w:eastAsia="Arial"/>
                <w:sz w:val="24"/>
                <w:szCs w:val="24"/>
                <w:lang w:val="es-MX"/>
              </w:rPr>
              <w:lastRenderedPageBreak/>
              <w:t>Artículo 47. Cada sala colegiada y tribunal de alzada contará con una estructura orgánica propia que se integrará por:</w:t>
            </w:r>
          </w:p>
          <w:p w:rsidR="00015124" w:rsidRPr="00CB38AA" w:rsidRDefault="00015124" w:rsidP="00DF6EEA">
            <w:pPr>
              <w:spacing w:line="240" w:lineRule="auto"/>
              <w:jc w:val="center"/>
              <w:rPr>
                <w:rFonts w:eastAsia="Arial"/>
                <w:sz w:val="24"/>
                <w:szCs w:val="24"/>
                <w:lang w:val="es-MX"/>
              </w:rPr>
            </w:pPr>
            <w:r w:rsidRPr="00CB38AA">
              <w:rPr>
                <w:rFonts w:eastAsia="Arial"/>
                <w:b/>
                <w:sz w:val="24"/>
                <w:szCs w:val="24"/>
                <w:lang w:val="es-MX"/>
              </w:rPr>
              <w:t>A. Salas colegiadas:</w:t>
            </w:r>
          </w:p>
          <w:p w:rsidR="00015124" w:rsidRPr="00CB38AA" w:rsidRDefault="00015124" w:rsidP="00DF6EEA">
            <w:pPr>
              <w:spacing w:line="240" w:lineRule="auto"/>
              <w:jc w:val="both"/>
              <w:rPr>
                <w:rFonts w:eastAsia="Arial"/>
                <w:sz w:val="24"/>
                <w:szCs w:val="24"/>
                <w:lang w:val="es-MX"/>
              </w:rPr>
            </w:pPr>
            <w:r w:rsidRPr="00CB38AA">
              <w:rPr>
                <w:rFonts w:eastAsia="Arial"/>
                <w:sz w:val="24"/>
                <w:szCs w:val="24"/>
                <w:lang w:val="es-MX"/>
              </w:rPr>
              <w:t>I. Tres magistradas o magistrados;</w:t>
            </w:r>
          </w:p>
          <w:p w:rsidR="00015124" w:rsidRPr="00CB38AA" w:rsidRDefault="00015124" w:rsidP="00DF6EEA">
            <w:pPr>
              <w:spacing w:line="240" w:lineRule="auto"/>
              <w:jc w:val="both"/>
              <w:rPr>
                <w:rFonts w:eastAsia="Arial"/>
                <w:sz w:val="24"/>
                <w:szCs w:val="24"/>
                <w:lang w:val="es-MX"/>
              </w:rPr>
            </w:pPr>
            <w:r w:rsidRPr="00CB38AA">
              <w:rPr>
                <w:rFonts w:eastAsia="Arial"/>
                <w:sz w:val="24"/>
                <w:szCs w:val="24"/>
                <w:lang w:val="es-MX"/>
              </w:rPr>
              <w:t>II. Una secretaria o secretario de acuerdos;</w:t>
            </w:r>
          </w:p>
          <w:p w:rsidR="00015124" w:rsidRPr="00CB38AA" w:rsidRDefault="00015124" w:rsidP="00DF6EEA">
            <w:pPr>
              <w:spacing w:line="240" w:lineRule="auto"/>
              <w:jc w:val="both"/>
              <w:rPr>
                <w:rFonts w:eastAsia="Arial"/>
                <w:sz w:val="24"/>
                <w:szCs w:val="24"/>
                <w:lang w:val="es-MX"/>
              </w:rPr>
            </w:pPr>
            <w:r w:rsidRPr="00CB38AA">
              <w:rPr>
                <w:rFonts w:eastAsia="Arial"/>
                <w:sz w:val="24"/>
                <w:szCs w:val="24"/>
                <w:lang w:val="es-MX"/>
              </w:rPr>
              <w:t>III. Las secretarias o secretarios proyectistas que sean necesarios por cada magistrada o magistrado, de conformidad con lo que determine el órgano de Administración Judicial;</w:t>
            </w:r>
          </w:p>
          <w:p w:rsidR="00015124" w:rsidRPr="00CB38AA" w:rsidRDefault="00015124" w:rsidP="00DF6EEA">
            <w:pPr>
              <w:spacing w:line="240" w:lineRule="auto"/>
              <w:jc w:val="both"/>
              <w:rPr>
                <w:rFonts w:eastAsia="Arial"/>
                <w:sz w:val="24"/>
                <w:szCs w:val="24"/>
                <w:lang w:val="es-MX"/>
              </w:rPr>
            </w:pPr>
            <w:r w:rsidRPr="00CB38AA">
              <w:rPr>
                <w:rFonts w:eastAsia="Arial"/>
                <w:sz w:val="24"/>
                <w:szCs w:val="24"/>
                <w:lang w:val="es-MX"/>
              </w:rPr>
              <w:t>IV. Una secretaria o secretario proyectista para el trámite de los juicios de amparo;</w:t>
            </w:r>
          </w:p>
          <w:p w:rsidR="00015124" w:rsidRPr="00CB38AA" w:rsidRDefault="00015124" w:rsidP="00DF6EEA">
            <w:pPr>
              <w:spacing w:line="240" w:lineRule="auto"/>
              <w:jc w:val="both"/>
              <w:rPr>
                <w:rFonts w:eastAsia="Arial"/>
                <w:sz w:val="24"/>
                <w:szCs w:val="24"/>
                <w:lang w:val="es-MX"/>
              </w:rPr>
            </w:pPr>
            <w:r w:rsidRPr="00CB38AA">
              <w:rPr>
                <w:rFonts w:eastAsia="Arial"/>
                <w:sz w:val="24"/>
                <w:szCs w:val="24"/>
                <w:lang w:val="es-MX"/>
              </w:rPr>
              <w:t>V. Una o un oficial mayor; y</w:t>
            </w:r>
          </w:p>
          <w:p w:rsidR="00015124" w:rsidRPr="00CB38AA" w:rsidRDefault="00015124" w:rsidP="00DF6EEA">
            <w:pPr>
              <w:spacing w:line="240" w:lineRule="auto"/>
              <w:jc w:val="both"/>
              <w:rPr>
                <w:rFonts w:eastAsia="Arial"/>
                <w:sz w:val="24"/>
                <w:szCs w:val="24"/>
                <w:lang w:val="es-MX"/>
              </w:rPr>
            </w:pPr>
            <w:r w:rsidRPr="00CB38AA">
              <w:rPr>
                <w:rFonts w:eastAsia="Arial"/>
                <w:sz w:val="24"/>
                <w:szCs w:val="24"/>
                <w:lang w:val="es-MX"/>
              </w:rPr>
              <w:t xml:space="preserve">VI. Las demás servidoras y servidores públicos que determine </w:t>
            </w:r>
            <w:r w:rsidRPr="00CB38AA">
              <w:rPr>
                <w:sz w:val="24"/>
                <w:szCs w:val="24"/>
                <w:lang w:val="es-MX"/>
              </w:rPr>
              <w:t xml:space="preserve">el </w:t>
            </w:r>
            <w:r w:rsidRPr="00CB38AA">
              <w:rPr>
                <w:rFonts w:eastAsia="Arial"/>
                <w:sz w:val="24"/>
                <w:szCs w:val="24"/>
                <w:lang w:val="es-MX"/>
              </w:rPr>
              <w:t>Órgano de Administración Judicial.</w:t>
            </w:r>
          </w:p>
          <w:p w:rsidR="00015124" w:rsidRPr="00CB38AA" w:rsidRDefault="00015124" w:rsidP="00DF6EEA">
            <w:pPr>
              <w:spacing w:line="240" w:lineRule="auto"/>
              <w:jc w:val="both"/>
              <w:rPr>
                <w:rFonts w:eastAsia="Arial"/>
                <w:sz w:val="24"/>
                <w:szCs w:val="24"/>
                <w:lang w:val="es-MX"/>
              </w:rPr>
            </w:pPr>
          </w:p>
          <w:p w:rsidR="00015124" w:rsidRPr="00CB38AA" w:rsidRDefault="00015124" w:rsidP="00DF6EEA">
            <w:pPr>
              <w:spacing w:line="240" w:lineRule="auto"/>
              <w:rPr>
                <w:rFonts w:eastAsia="Arial"/>
                <w:sz w:val="24"/>
                <w:szCs w:val="24"/>
                <w:lang w:val="es-MX"/>
              </w:rPr>
            </w:pPr>
            <w:r w:rsidRPr="00CB38AA">
              <w:rPr>
                <w:rFonts w:eastAsia="Arial"/>
                <w:b/>
                <w:sz w:val="24"/>
                <w:szCs w:val="24"/>
                <w:lang w:val="es-MX"/>
              </w:rPr>
              <w:t>B. Tribunales de alzada</w:t>
            </w:r>
          </w:p>
          <w:p w:rsidR="00015124" w:rsidRPr="00CB38AA" w:rsidRDefault="00015124" w:rsidP="00DF6EEA">
            <w:pPr>
              <w:spacing w:line="240" w:lineRule="auto"/>
              <w:jc w:val="both"/>
              <w:rPr>
                <w:rFonts w:eastAsia="Arial"/>
                <w:b/>
                <w:sz w:val="24"/>
                <w:szCs w:val="24"/>
                <w:lang w:val="es-MX"/>
              </w:rPr>
            </w:pPr>
            <w:r w:rsidRPr="00CB38AA">
              <w:rPr>
                <w:b/>
                <w:sz w:val="24"/>
                <w:szCs w:val="24"/>
                <w:lang w:val="es-MX"/>
              </w:rPr>
              <w:t xml:space="preserve">I. </w:t>
            </w:r>
            <w:r w:rsidRPr="00CB38AA">
              <w:rPr>
                <w:rFonts w:eastAsia="Arial"/>
                <w:b/>
                <w:sz w:val="24"/>
                <w:szCs w:val="24"/>
                <w:lang w:val="es-MX"/>
              </w:rPr>
              <w:t>Uno o tres magistradas o magistrados;</w:t>
            </w:r>
          </w:p>
          <w:p w:rsidR="00015124" w:rsidRPr="00CB38AA" w:rsidRDefault="00015124" w:rsidP="00DF6EEA">
            <w:pPr>
              <w:spacing w:line="240" w:lineRule="auto"/>
              <w:jc w:val="both"/>
              <w:rPr>
                <w:rFonts w:eastAsia="Arial"/>
                <w:sz w:val="24"/>
                <w:szCs w:val="24"/>
                <w:lang w:val="es-MX"/>
              </w:rPr>
            </w:pPr>
            <w:r w:rsidRPr="00CB38AA">
              <w:rPr>
                <w:rFonts w:eastAsia="Arial"/>
                <w:b/>
                <w:sz w:val="24"/>
                <w:szCs w:val="24"/>
                <w:lang w:val="es-MX"/>
              </w:rPr>
              <w:t>II.</w:t>
            </w:r>
            <w:r w:rsidRPr="00CB38AA">
              <w:rPr>
                <w:rFonts w:eastAsia="Arial"/>
                <w:sz w:val="24"/>
                <w:szCs w:val="24"/>
                <w:lang w:val="es-MX"/>
              </w:rPr>
              <w:t xml:space="preserve"> </w:t>
            </w:r>
            <w:r w:rsidRPr="00CB38AA">
              <w:rPr>
                <w:rFonts w:eastAsia="Arial"/>
                <w:b/>
                <w:sz w:val="24"/>
                <w:szCs w:val="24"/>
                <w:lang w:val="es-MX"/>
              </w:rPr>
              <w:t>Una secretaria o secretario de acuerdos;</w:t>
            </w:r>
          </w:p>
          <w:p w:rsidR="00015124" w:rsidRPr="00CB38AA" w:rsidRDefault="00015124" w:rsidP="00DF6EEA">
            <w:pPr>
              <w:spacing w:line="240" w:lineRule="auto"/>
              <w:jc w:val="both"/>
              <w:rPr>
                <w:rFonts w:eastAsia="Arial"/>
                <w:sz w:val="24"/>
                <w:szCs w:val="24"/>
                <w:lang w:val="es-MX"/>
              </w:rPr>
            </w:pPr>
            <w:r w:rsidRPr="00CB38AA">
              <w:rPr>
                <w:rFonts w:eastAsia="Arial"/>
                <w:b/>
                <w:sz w:val="24"/>
                <w:szCs w:val="24"/>
                <w:lang w:val="es-MX"/>
              </w:rPr>
              <w:t>III. Las secretarias o secretarios proyectistas que sean necesarios por cada magistrada o magistrado, de conformidad con lo que determine el órgano de Administración Judicial;</w:t>
            </w:r>
          </w:p>
          <w:p w:rsidR="00015124" w:rsidRPr="00CB38AA" w:rsidRDefault="00015124" w:rsidP="00DF6EEA">
            <w:pPr>
              <w:spacing w:line="240" w:lineRule="auto"/>
              <w:rPr>
                <w:sz w:val="24"/>
                <w:szCs w:val="24"/>
                <w:lang w:val="es-MX"/>
              </w:rPr>
            </w:pPr>
            <w:r w:rsidRPr="00CB38AA">
              <w:rPr>
                <w:rFonts w:eastAsia="Arial"/>
                <w:b/>
                <w:sz w:val="24"/>
                <w:szCs w:val="24"/>
                <w:lang w:val="es-MX"/>
              </w:rPr>
              <w:t>IV. Una secretaria o secretario proyectista para el trámite de los juicios de amparo;</w:t>
            </w:r>
          </w:p>
          <w:p w:rsidR="00015124" w:rsidRPr="00CB38AA" w:rsidRDefault="00015124" w:rsidP="00DF6EEA">
            <w:pPr>
              <w:spacing w:line="240" w:lineRule="auto"/>
              <w:rPr>
                <w:rFonts w:eastAsia="Arial"/>
                <w:sz w:val="24"/>
                <w:szCs w:val="24"/>
                <w:lang w:val="es-MX"/>
              </w:rPr>
            </w:pPr>
            <w:r w:rsidRPr="00CB38AA">
              <w:rPr>
                <w:rFonts w:eastAsia="Arial"/>
                <w:b/>
                <w:sz w:val="24"/>
                <w:szCs w:val="24"/>
                <w:lang w:val="es-MX"/>
              </w:rPr>
              <w:t>V. Una o un oficial mayor; y</w:t>
            </w:r>
          </w:p>
          <w:p w:rsidR="00015124" w:rsidRPr="00CB38AA" w:rsidRDefault="00015124" w:rsidP="00DF6EEA">
            <w:pPr>
              <w:spacing w:line="240" w:lineRule="auto"/>
              <w:jc w:val="both"/>
              <w:rPr>
                <w:rFonts w:eastAsia="Arial"/>
                <w:sz w:val="24"/>
                <w:szCs w:val="24"/>
                <w:lang w:val="es-MX"/>
              </w:rPr>
            </w:pPr>
            <w:r w:rsidRPr="00CB38AA">
              <w:rPr>
                <w:rFonts w:eastAsia="Arial"/>
                <w:b/>
                <w:sz w:val="24"/>
                <w:szCs w:val="24"/>
                <w:lang w:val="es-MX"/>
              </w:rPr>
              <w:t>VI. Las demás servidoras y servidores públicos que determine el Órgano de Administración Judicial.</w:t>
            </w:r>
          </w:p>
          <w:p w:rsidR="00015124" w:rsidRPr="00CB38AA" w:rsidRDefault="00015124" w:rsidP="00DF6EEA">
            <w:pPr>
              <w:spacing w:line="240" w:lineRule="auto"/>
              <w:jc w:val="both"/>
              <w:rPr>
                <w:rFonts w:eastAsia="Arial"/>
                <w:sz w:val="24"/>
                <w:szCs w:val="24"/>
                <w:lang w:val="es-MX"/>
              </w:rPr>
            </w:pPr>
          </w:p>
        </w:tc>
      </w:tr>
    </w:tbl>
    <w:p w:rsidR="00015124" w:rsidRPr="00CB38AA" w:rsidRDefault="00015124" w:rsidP="00DF6EEA">
      <w:pPr>
        <w:spacing w:after="0" w:line="240" w:lineRule="auto"/>
        <w:jc w:val="both"/>
        <w:rPr>
          <w:rFonts w:ascii="Times New Roman" w:eastAsia="Arial" w:hAnsi="Times New Roman" w:cs="Times New Roman"/>
          <w:sz w:val="24"/>
          <w:szCs w:val="24"/>
        </w:rPr>
      </w:pPr>
    </w:p>
    <w:p w:rsidR="00015124" w:rsidRPr="00CB38AA" w:rsidRDefault="00015124"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Por lo anteriormente expuesto, el Pleno del Tribunal Superior de Justicia del Estado de México, somete respetuosamente a consideración de esa Soberanía la presente Iniciativa de Decreto:</w:t>
      </w:r>
    </w:p>
    <w:p w:rsidR="00015124" w:rsidRPr="00CB38AA" w:rsidRDefault="00015124" w:rsidP="00DF6EEA">
      <w:pPr>
        <w:spacing w:after="0" w:line="240" w:lineRule="auto"/>
        <w:rPr>
          <w:rFonts w:ascii="Times New Roman" w:eastAsia="Times New Roman" w:hAnsi="Times New Roman" w:cs="Times New Roman"/>
          <w:sz w:val="24"/>
          <w:szCs w:val="24"/>
        </w:rPr>
      </w:pPr>
    </w:p>
    <w:p w:rsidR="00015124" w:rsidRPr="00CB38AA" w:rsidRDefault="00015124" w:rsidP="00DF6EEA">
      <w:pPr>
        <w:spacing w:after="0" w:line="240" w:lineRule="auto"/>
        <w:rPr>
          <w:rFonts w:ascii="Times New Roman" w:eastAsia="Times New Roman" w:hAnsi="Times New Roman" w:cs="Times New Roman"/>
          <w:sz w:val="24"/>
          <w:szCs w:val="24"/>
        </w:rPr>
      </w:pPr>
    </w:p>
    <w:p w:rsidR="00015124" w:rsidRPr="00CB38AA" w:rsidRDefault="00015124"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DECRETO NÚMERO</w:t>
      </w:r>
    </w:p>
    <w:p w:rsidR="00015124" w:rsidRPr="00CB38AA" w:rsidRDefault="00015124" w:rsidP="00DF6EEA">
      <w:pPr>
        <w:spacing w:after="0" w:line="240" w:lineRule="auto"/>
        <w:rPr>
          <w:rFonts w:ascii="Times New Roman" w:eastAsia="Arial" w:hAnsi="Times New Roman" w:cs="Times New Roman"/>
          <w:b/>
          <w:sz w:val="24"/>
          <w:szCs w:val="24"/>
        </w:rPr>
      </w:pPr>
      <w:r w:rsidRPr="00CB38AA">
        <w:rPr>
          <w:rFonts w:ascii="Times New Roman" w:eastAsia="Arial" w:hAnsi="Times New Roman" w:cs="Times New Roman"/>
          <w:b/>
          <w:sz w:val="24"/>
          <w:szCs w:val="24"/>
        </w:rPr>
        <w:t>LA H. "LXII" LEGISLATURA</w:t>
      </w:r>
    </w:p>
    <w:p w:rsidR="00015124" w:rsidRPr="00CB38AA" w:rsidRDefault="00015124" w:rsidP="00DF6EEA">
      <w:pPr>
        <w:spacing w:after="0" w:line="240" w:lineRule="auto"/>
        <w:rPr>
          <w:rFonts w:ascii="Times New Roman" w:eastAsia="Arial" w:hAnsi="Times New Roman" w:cs="Times New Roman"/>
          <w:b/>
          <w:sz w:val="24"/>
          <w:szCs w:val="24"/>
        </w:rPr>
      </w:pPr>
      <w:r w:rsidRPr="00CB38AA">
        <w:rPr>
          <w:rFonts w:ascii="Times New Roman" w:eastAsia="Arial" w:hAnsi="Times New Roman" w:cs="Times New Roman"/>
          <w:b/>
          <w:sz w:val="24"/>
          <w:szCs w:val="24"/>
        </w:rPr>
        <w:t>DEL ESTADO DE MÉXICO</w:t>
      </w:r>
    </w:p>
    <w:p w:rsidR="00015124" w:rsidRPr="00CB38AA" w:rsidRDefault="00015124"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DECRETA</w:t>
      </w:r>
    </w:p>
    <w:p w:rsidR="00015124" w:rsidRPr="00CB38AA" w:rsidRDefault="00015124" w:rsidP="00DF6EEA">
      <w:pPr>
        <w:spacing w:after="0" w:line="240" w:lineRule="auto"/>
        <w:rPr>
          <w:rFonts w:ascii="Times New Roman" w:eastAsia="Times New Roman" w:hAnsi="Times New Roman" w:cs="Times New Roman"/>
          <w:sz w:val="24"/>
          <w:szCs w:val="24"/>
        </w:rPr>
      </w:pPr>
    </w:p>
    <w:p w:rsidR="00015124" w:rsidRPr="00CB38AA" w:rsidRDefault="00015124"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ARTICULO ÚNICO. Se reforma </w:t>
      </w:r>
      <w:r w:rsidRPr="00CB38AA">
        <w:rPr>
          <w:rFonts w:ascii="Times New Roman" w:eastAsia="Times New Roman" w:hAnsi="Times New Roman" w:cs="Times New Roman"/>
          <w:sz w:val="24"/>
          <w:szCs w:val="24"/>
        </w:rPr>
        <w:t xml:space="preserve">el </w:t>
      </w:r>
      <w:r w:rsidRPr="00CB38AA">
        <w:rPr>
          <w:rFonts w:ascii="Times New Roman" w:eastAsia="Arial" w:hAnsi="Times New Roman" w:cs="Times New Roman"/>
          <w:sz w:val="24"/>
          <w:szCs w:val="24"/>
        </w:rPr>
        <w:t>artículo 47 de la Ley Orgánica del Poder Judicial el Estado de México, para quedar como sigue:</w:t>
      </w:r>
    </w:p>
    <w:p w:rsidR="00015124" w:rsidRPr="00CB38AA" w:rsidRDefault="00015124" w:rsidP="00DF6EEA">
      <w:pPr>
        <w:spacing w:after="0" w:line="240" w:lineRule="auto"/>
        <w:rPr>
          <w:rFonts w:ascii="Times New Roman" w:eastAsia="Times New Roman" w:hAnsi="Times New Roman" w:cs="Times New Roman"/>
          <w:sz w:val="24"/>
          <w:szCs w:val="24"/>
        </w:rPr>
      </w:pPr>
    </w:p>
    <w:p w:rsidR="00015124" w:rsidRPr="00CB38AA" w:rsidRDefault="00015124"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Estructura de las salas colegiadas y tribunales de alzada</w:t>
      </w:r>
    </w:p>
    <w:p w:rsidR="00015124" w:rsidRPr="00CB38AA" w:rsidRDefault="00015124"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Artículo 47....</w:t>
      </w:r>
    </w:p>
    <w:p w:rsidR="00015124" w:rsidRPr="00CB38AA" w:rsidRDefault="00015124" w:rsidP="00DF6EEA">
      <w:pPr>
        <w:spacing w:after="0" w:line="240" w:lineRule="auto"/>
        <w:rPr>
          <w:rFonts w:ascii="Times New Roman" w:eastAsia="Times New Roman" w:hAnsi="Times New Roman" w:cs="Times New Roman"/>
          <w:sz w:val="24"/>
          <w:szCs w:val="24"/>
        </w:rPr>
      </w:pPr>
    </w:p>
    <w:p w:rsidR="00015124" w:rsidRPr="00CB38AA" w:rsidRDefault="00015124"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lastRenderedPageBreak/>
        <w:t>A. Salas colegiadas:</w:t>
      </w:r>
    </w:p>
    <w:p w:rsidR="00015124" w:rsidRPr="00CB38AA" w:rsidRDefault="00015124"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I. Tres magistradas o magistrados;</w:t>
      </w:r>
    </w:p>
    <w:p w:rsidR="00015124" w:rsidRPr="00CB38AA" w:rsidRDefault="00015124"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II. Una secretaria o secretario de acuerdos;</w:t>
      </w:r>
    </w:p>
    <w:p w:rsidR="00015124" w:rsidRPr="00CB38AA" w:rsidRDefault="00015124"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III. Las secretarias o secretarios proyectistas que sean necesarios por cada magistrada o magistrado, de conformidad con lo que determine el órgano de Administración Judicial;</w:t>
      </w:r>
    </w:p>
    <w:p w:rsidR="00015124" w:rsidRPr="00CB38AA" w:rsidRDefault="00015124"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IV. Una secretaria o secretario proyectista para el trámite de los juicios de amparo;</w:t>
      </w:r>
    </w:p>
    <w:p w:rsidR="00015124" w:rsidRPr="00CB38AA" w:rsidRDefault="00015124"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V. Una o un oficial mayor; y</w:t>
      </w:r>
    </w:p>
    <w:p w:rsidR="00015124" w:rsidRPr="00CB38AA" w:rsidRDefault="00015124"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VI. Las demás servidoras y servidores públicos que determine el Órgano de Administración Judicial.</w:t>
      </w:r>
    </w:p>
    <w:p w:rsidR="00015124" w:rsidRPr="00CB38AA" w:rsidRDefault="00015124" w:rsidP="00DF6EEA">
      <w:pPr>
        <w:spacing w:after="0" w:line="240" w:lineRule="auto"/>
        <w:rPr>
          <w:rFonts w:ascii="Times New Roman" w:eastAsia="Times New Roman" w:hAnsi="Times New Roman" w:cs="Times New Roman"/>
          <w:sz w:val="24"/>
          <w:szCs w:val="24"/>
        </w:rPr>
      </w:pPr>
    </w:p>
    <w:p w:rsidR="00015124" w:rsidRPr="00CB38AA" w:rsidRDefault="00015124"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B. Tribunales de alzada</w:t>
      </w:r>
    </w:p>
    <w:p w:rsidR="00015124" w:rsidRPr="00CB38AA" w:rsidRDefault="00015124" w:rsidP="00DF6EEA">
      <w:pPr>
        <w:spacing w:after="0" w:line="240" w:lineRule="auto"/>
        <w:rPr>
          <w:rFonts w:ascii="Times New Roman" w:eastAsia="Arial" w:hAnsi="Times New Roman" w:cs="Times New Roman"/>
          <w:b/>
          <w:sz w:val="24"/>
          <w:szCs w:val="24"/>
        </w:rPr>
      </w:pPr>
      <w:r w:rsidRPr="00CB38AA">
        <w:rPr>
          <w:rFonts w:ascii="Times New Roman" w:eastAsia="Times New Roman" w:hAnsi="Times New Roman" w:cs="Times New Roman"/>
          <w:b/>
          <w:sz w:val="24"/>
          <w:szCs w:val="24"/>
        </w:rPr>
        <w:t xml:space="preserve">I. </w:t>
      </w:r>
      <w:r w:rsidRPr="00CB38AA">
        <w:rPr>
          <w:rFonts w:ascii="Times New Roman" w:eastAsia="Arial" w:hAnsi="Times New Roman" w:cs="Times New Roman"/>
          <w:b/>
          <w:sz w:val="24"/>
          <w:szCs w:val="24"/>
        </w:rPr>
        <w:t>Uno o tres magistradas o magistrados;</w:t>
      </w:r>
    </w:p>
    <w:p w:rsidR="00015124" w:rsidRPr="00CB38AA" w:rsidRDefault="00015124"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II. Una secretaria o secretario de acuerdos;</w:t>
      </w:r>
    </w:p>
    <w:p w:rsidR="00015124" w:rsidRPr="00CB38AA" w:rsidRDefault="00015124"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III. Las secretarias o secretarios proyectistas que sean necesarios por cada magistrada o magistrado, de conformidad con lo que determine el órgano de Administración Judicial;</w:t>
      </w:r>
    </w:p>
    <w:p w:rsidR="00015124" w:rsidRPr="00CB38AA" w:rsidRDefault="00015124"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IV. Una secretaria o secretario proyectista para el trámite de los juicios de amparo;</w:t>
      </w:r>
    </w:p>
    <w:p w:rsidR="00015124" w:rsidRPr="00CB38AA" w:rsidRDefault="00015124"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V. Una o un oficial mayor; y</w:t>
      </w:r>
    </w:p>
    <w:p w:rsidR="00015124" w:rsidRPr="00CB38AA" w:rsidRDefault="00015124"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VI. Las demás servidoras y servidores públicos que determine el Órgano de Administración Judicial.</w:t>
      </w:r>
    </w:p>
    <w:p w:rsidR="00015124" w:rsidRPr="00CB38AA" w:rsidRDefault="00015124" w:rsidP="00DF6EEA">
      <w:pPr>
        <w:spacing w:after="0" w:line="240" w:lineRule="auto"/>
        <w:rPr>
          <w:rFonts w:ascii="Times New Roman" w:eastAsia="Times New Roman" w:hAnsi="Times New Roman" w:cs="Times New Roman"/>
          <w:sz w:val="24"/>
          <w:szCs w:val="24"/>
        </w:rPr>
      </w:pPr>
    </w:p>
    <w:p w:rsidR="00015124" w:rsidRPr="00CB38AA" w:rsidRDefault="00015124" w:rsidP="00DF6EEA">
      <w:pPr>
        <w:spacing w:after="0" w:line="240" w:lineRule="auto"/>
        <w:jc w:val="center"/>
        <w:rPr>
          <w:rFonts w:ascii="Times New Roman" w:eastAsia="Arial" w:hAnsi="Times New Roman" w:cs="Times New Roman"/>
          <w:b/>
          <w:sz w:val="24"/>
          <w:szCs w:val="24"/>
        </w:rPr>
      </w:pPr>
      <w:r w:rsidRPr="00CB38AA">
        <w:rPr>
          <w:rFonts w:ascii="Times New Roman" w:eastAsia="Arial" w:hAnsi="Times New Roman" w:cs="Times New Roman"/>
          <w:b/>
          <w:sz w:val="24"/>
          <w:szCs w:val="24"/>
        </w:rPr>
        <w:t>Transitorios</w:t>
      </w:r>
    </w:p>
    <w:p w:rsidR="00015124" w:rsidRPr="00CB38AA" w:rsidRDefault="00015124" w:rsidP="00DF6EEA">
      <w:pPr>
        <w:spacing w:after="0" w:line="240" w:lineRule="auto"/>
        <w:jc w:val="center"/>
        <w:rPr>
          <w:rFonts w:ascii="Times New Roman" w:eastAsia="Arial" w:hAnsi="Times New Roman" w:cs="Times New Roman"/>
          <w:sz w:val="24"/>
          <w:szCs w:val="24"/>
        </w:rPr>
      </w:pPr>
    </w:p>
    <w:p w:rsidR="00015124" w:rsidRPr="00CB38AA" w:rsidRDefault="00015124"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Único. El Presente Decreto entrará en vigor al día siguiente de su publicación.</w:t>
      </w:r>
    </w:p>
    <w:p w:rsidR="006C2A1D" w:rsidRPr="00CB38AA" w:rsidRDefault="006C2A1D" w:rsidP="00DF6EEA">
      <w:pPr>
        <w:spacing w:after="0" w:line="240" w:lineRule="auto"/>
        <w:jc w:val="both"/>
        <w:rPr>
          <w:rFonts w:ascii="Times New Roman" w:eastAsia="Arial" w:hAnsi="Times New Roman" w:cs="Times New Roman"/>
          <w:sz w:val="24"/>
          <w:szCs w:val="24"/>
        </w:rPr>
      </w:pPr>
    </w:p>
    <w:p w:rsidR="00015124" w:rsidRPr="00CB38AA" w:rsidRDefault="00015124"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Palacio del Poder Judicial, en la Ciudad de Toluca de Lerdo, capital del Estado de México, a los tres días del mes de febrero del año d mil veintiséis.</w:t>
      </w:r>
    </w:p>
    <w:p w:rsidR="00015124" w:rsidRPr="00CB38AA" w:rsidRDefault="00015124" w:rsidP="00DF6EEA">
      <w:pPr>
        <w:spacing w:after="0" w:line="240" w:lineRule="auto"/>
        <w:rPr>
          <w:rFonts w:ascii="Times New Roman" w:eastAsia="Times New Roman" w:hAnsi="Times New Roman" w:cs="Times New Roman"/>
          <w:sz w:val="24"/>
          <w:szCs w:val="24"/>
        </w:rPr>
      </w:pPr>
    </w:p>
    <w:p w:rsidR="00015124" w:rsidRPr="00CB38AA" w:rsidRDefault="00015124"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A T E N T A M E N T E</w:t>
      </w:r>
    </w:p>
    <w:p w:rsidR="00015124" w:rsidRPr="00CB38AA" w:rsidRDefault="00015124" w:rsidP="00DF6EEA">
      <w:pPr>
        <w:spacing w:after="0" w:line="240" w:lineRule="auto"/>
        <w:jc w:val="center"/>
        <w:rPr>
          <w:rFonts w:ascii="Times New Roman" w:eastAsia="Times New Roman" w:hAnsi="Times New Roman" w:cs="Times New Roman"/>
          <w:b/>
          <w:sz w:val="24"/>
          <w:szCs w:val="24"/>
        </w:rPr>
      </w:pPr>
      <w:r w:rsidRPr="00CB38AA">
        <w:rPr>
          <w:rFonts w:ascii="Times New Roman" w:eastAsia="Times New Roman" w:hAnsi="Times New Roman" w:cs="Times New Roman"/>
          <w:b/>
          <w:sz w:val="24"/>
          <w:szCs w:val="24"/>
        </w:rPr>
        <w:t>Mgdo. Dr. Héctor Macedo García</w:t>
      </w:r>
    </w:p>
    <w:p w:rsidR="00015124" w:rsidRPr="00CB38AA" w:rsidRDefault="00015124" w:rsidP="00DF6EEA">
      <w:pPr>
        <w:spacing w:after="0" w:line="240" w:lineRule="auto"/>
        <w:jc w:val="center"/>
        <w:rPr>
          <w:rFonts w:ascii="Times New Roman" w:eastAsia="Times New Roman" w:hAnsi="Times New Roman" w:cs="Times New Roman"/>
          <w:sz w:val="24"/>
          <w:szCs w:val="24"/>
        </w:rPr>
      </w:pPr>
      <w:r w:rsidRPr="00CB38AA">
        <w:rPr>
          <w:rFonts w:ascii="Times New Roman" w:eastAsia="Times New Roman" w:hAnsi="Times New Roman" w:cs="Times New Roman"/>
          <w:sz w:val="24"/>
          <w:szCs w:val="24"/>
        </w:rPr>
        <w:t>Presidente del Tribunal Superior de Justicia</w:t>
      </w:r>
    </w:p>
    <w:p w:rsidR="00015124" w:rsidRPr="00CB38AA" w:rsidRDefault="00015124" w:rsidP="00DF6EEA">
      <w:pPr>
        <w:spacing w:after="0" w:line="240" w:lineRule="auto"/>
        <w:jc w:val="center"/>
        <w:rPr>
          <w:rFonts w:ascii="Times New Roman" w:eastAsia="Times New Roman" w:hAnsi="Times New Roman" w:cs="Times New Roman"/>
          <w:sz w:val="24"/>
          <w:szCs w:val="24"/>
        </w:rPr>
      </w:pPr>
      <w:r w:rsidRPr="00CB38AA">
        <w:rPr>
          <w:rFonts w:ascii="Times New Roman" w:eastAsia="Times New Roman" w:hAnsi="Times New Roman" w:cs="Times New Roman"/>
          <w:sz w:val="24"/>
          <w:szCs w:val="24"/>
        </w:rPr>
        <w:t>del Estado de México</w:t>
      </w:r>
    </w:p>
    <w:p w:rsidR="00015124" w:rsidRPr="00CB38AA" w:rsidRDefault="00015124" w:rsidP="00DF6EEA">
      <w:pPr>
        <w:spacing w:after="0" w:line="240" w:lineRule="auto"/>
        <w:jc w:val="center"/>
        <w:rPr>
          <w:rFonts w:ascii="Times New Roman" w:eastAsia="Times New Roman" w:hAnsi="Times New Roman" w:cs="Times New Roman"/>
          <w:sz w:val="24"/>
          <w:szCs w:val="24"/>
        </w:rPr>
      </w:pPr>
      <w:r w:rsidRPr="00CB38AA">
        <w:rPr>
          <w:rFonts w:ascii="Times New Roman" w:eastAsia="Times New Roman" w:hAnsi="Times New Roman" w:cs="Times New Roman"/>
          <w:sz w:val="24"/>
          <w:szCs w:val="24"/>
        </w:rPr>
        <w:t>(Rúbrica)</w:t>
      </w:r>
    </w:p>
    <w:p w:rsidR="00015124" w:rsidRPr="00CB38AA" w:rsidRDefault="00015124" w:rsidP="00DF6EEA">
      <w:pPr>
        <w:spacing w:after="0" w:line="240" w:lineRule="auto"/>
        <w:jc w:val="center"/>
        <w:rPr>
          <w:rFonts w:ascii="Times New Roman" w:hAnsi="Times New Roman" w:cs="Times New Roman"/>
          <w:sz w:val="24"/>
          <w:szCs w:val="24"/>
        </w:rPr>
      </w:pPr>
    </w:p>
    <w:p w:rsidR="00015124" w:rsidRPr="00CB38AA" w:rsidRDefault="00015124" w:rsidP="00DF6EEA">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(Fin del documento)</w:t>
      </w:r>
    </w:p>
    <w:p w:rsidR="00015124" w:rsidRPr="00CB38AA" w:rsidRDefault="00015124" w:rsidP="00DF6EEA">
      <w:pPr>
        <w:spacing w:after="0" w:line="240" w:lineRule="auto"/>
        <w:jc w:val="center"/>
        <w:rPr>
          <w:rFonts w:ascii="Times New Roman" w:hAnsi="Times New Roman" w:cs="Times New Roman"/>
          <w:sz w:val="24"/>
          <w:szCs w:val="24"/>
        </w:rPr>
      </w:pP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PRESIDENTA DIP. MARTHA AZUCENA CAMACHO REYNOSO. Gracias diputada Vicepresidenta Sara Alicia Ramírez de la O.</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Se registra la iniciativa y se remite a la Comisión Legislativa de Procuración y Administración de Justicia para su estudio y dictamen.</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En cuanto al punto número 7, el diputado Gerardo Pliego Santana, presenta en nombre del Grupo Parlamentario del Partido morena, Iniciativa con Proyecto de Decreto por el cual se adiciona el artículo 130 Ter a la Constitución Política del Estado Libre y Soberano de México, en relación con la Agencia Estatal Anticorrupción.</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DIP. GERARDO PLIEGO SANTANA. Muchas gracias, con su venia diputada Presidenta.</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Saludo con mucho respeto y aprecio a los medios de comunicación, quienes nos ven a través de las redes sociales, a los compañeros y compañeras diputadas de esta Legislatura.</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 xml:space="preserve">DIPUTADA MARTHA AZUCENA CAMACHO REYNOSO </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PRESIDENTA DE LA MESA DIRECTIVA</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 xml:space="preserve">DE LA H.LXII LEGISLATURA </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lastRenderedPageBreak/>
        <w:t xml:space="preserve">DEL ESTADO DE MÉXICO </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PRESENTE.</w:t>
      </w:r>
    </w:p>
    <w:p w:rsidR="00A35DFE" w:rsidRPr="00CB38AA" w:rsidRDefault="00A35DFE" w:rsidP="00DF6EEA">
      <w:pPr>
        <w:spacing w:after="0" w:line="240" w:lineRule="auto"/>
        <w:ind w:firstLine="708"/>
        <w:jc w:val="both"/>
        <w:rPr>
          <w:rFonts w:ascii="Times New Roman" w:hAnsi="Times New Roman" w:cs="Times New Roman"/>
          <w:sz w:val="24"/>
          <w:szCs w:val="24"/>
        </w:rPr>
      </w:pPr>
      <w:r w:rsidRPr="00CB38AA">
        <w:rPr>
          <w:rFonts w:ascii="Times New Roman" w:hAnsi="Times New Roman" w:cs="Times New Roman"/>
          <w:sz w:val="24"/>
          <w:szCs w:val="24"/>
        </w:rPr>
        <w:t>Honorable Asamblea</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 xml:space="preserve">Someto a su elevada consideración la presente Iniciativa con Proyecto de Decreto, por el cual, se adiciona el artículo 130 Ter a la Constitución Política del Estado Libre y Soberano de México, que crea la agencia estatal anticorrupción con sustento en la siguiente: </w:t>
      </w:r>
    </w:p>
    <w:p w:rsidR="00A35DFE" w:rsidRPr="00CB38AA" w:rsidRDefault="00A35DFE" w:rsidP="00DF6EEA">
      <w:pPr>
        <w:spacing w:after="0" w:line="240" w:lineRule="auto"/>
        <w:jc w:val="center"/>
        <w:rPr>
          <w:rFonts w:ascii="Times New Roman" w:hAnsi="Times New Roman" w:cs="Times New Roman"/>
          <w:sz w:val="24"/>
          <w:szCs w:val="24"/>
        </w:rPr>
      </w:pPr>
      <w:r w:rsidRPr="00CB38AA">
        <w:rPr>
          <w:rFonts w:ascii="Times New Roman" w:hAnsi="Times New Roman" w:cs="Times New Roman"/>
          <w:sz w:val="24"/>
          <w:szCs w:val="24"/>
        </w:rPr>
        <w:t>EXPOSICIÓN DE MOTIVOS</w:t>
      </w:r>
    </w:p>
    <w:p w:rsidR="00A35DFE" w:rsidRPr="00CB38AA" w:rsidRDefault="00A35DFE" w:rsidP="00DF6EEA">
      <w:pPr>
        <w:spacing w:after="0" w:line="240" w:lineRule="aut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En México, la corrupción continúa siendo un obstáculo estructural para el desarrollo democrático, la rendición de cuentas y consolidación del Estado de derecho. </w:t>
      </w:r>
    </w:p>
    <w:p w:rsidR="00A35DFE" w:rsidRPr="00CB38AA" w:rsidRDefault="00A35DFE" w:rsidP="00DF6EEA">
      <w:pPr>
        <w:spacing w:after="0" w:line="240" w:lineRule="auto"/>
        <w:ind w:firstLine="708"/>
        <w:jc w:val="both"/>
        <w:rPr>
          <w:rFonts w:ascii="Times New Roman" w:hAnsi="Times New Roman" w:cs="Times New Roman"/>
          <w:sz w:val="24"/>
          <w:szCs w:val="24"/>
        </w:rPr>
      </w:pPr>
      <w:r w:rsidRPr="00CB38AA">
        <w:rPr>
          <w:rFonts w:ascii="Times New Roman" w:hAnsi="Times New Roman" w:cs="Times New Roman"/>
          <w:sz w:val="24"/>
          <w:szCs w:val="24"/>
        </w:rPr>
        <w:t>No se trata únicamente de un fenómeno ético Administrativo; sino de una distorsión sistemática que debilita la confianza ciudadana, erosiona la legitimidad institucional y afecta directamente a la eficacia gubernamental. Frente a esta realidad, las respuestas formales, han resultado insuficientes, la sola insistencia del sistema anticorrupción no garantiza resultados, las instituciones deben de funcionar coordinarse eficazmente y contar con herramientas operativas reales, de lo contrario, el diseño institucional termina generando dispersión de responsabilidades diluyendo la rendición de cuentas y propiciando espacios de impunidad.</w:t>
      </w:r>
    </w:p>
    <w:p w:rsidR="00A35DFE" w:rsidRPr="00CB38AA" w:rsidRDefault="00A35DFE" w:rsidP="00DF6EEA">
      <w:pPr>
        <w:spacing w:after="0" w:line="240" w:lineRule="auto"/>
        <w:ind w:firstLine="708"/>
        <w:jc w:val="both"/>
        <w:rPr>
          <w:rFonts w:ascii="Times New Roman" w:hAnsi="Times New Roman" w:cs="Times New Roman"/>
          <w:sz w:val="24"/>
          <w:szCs w:val="24"/>
        </w:rPr>
      </w:pPr>
      <w:r w:rsidRPr="00CB38AA">
        <w:rPr>
          <w:rFonts w:ascii="Times New Roman" w:hAnsi="Times New Roman" w:cs="Times New Roman"/>
          <w:sz w:val="24"/>
          <w:szCs w:val="24"/>
        </w:rPr>
        <w:t>En el amito nacional, nuestra Presidenta de la República, la Doctora Claudia Sheinbaum Pardo, ha señalado en diversas ocasiones que el sistema nacional anticorrupción no ha funcionado en plenitud, debido a su complejidad estructural y a la fragmentación de competencias, ese diagnóstico exige reformas profundas y soluciones innovadoras.</w:t>
      </w:r>
    </w:p>
    <w:p w:rsidR="00A35DFE" w:rsidRPr="00CB38AA" w:rsidRDefault="00A35DFE" w:rsidP="00DF6EEA">
      <w:pPr>
        <w:spacing w:after="0" w:line="240" w:lineRule="auto"/>
        <w:ind w:firstLine="708"/>
        <w:jc w:val="both"/>
        <w:rPr>
          <w:rFonts w:ascii="Times New Roman" w:hAnsi="Times New Roman" w:cs="Times New Roman"/>
          <w:sz w:val="24"/>
          <w:szCs w:val="24"/>
        </w:rPr>
      </w:pPr>
      <w:r w:rsidRPr="00CB38AA">
        <w:rPr>
          <w:rFonts w:ascii="Times New Roman" w:hAnsi="Times New Roman" w:cs="Times New Roman"/>
          <w:sz w:val="24"/>
          <w:szCs w:val="24"/>
        </w:rPr>
        <w:t>La presente iniciativa, no evade esa realidad, la asume y la atiende con una propuesta concreta desde el ámbito local. En el Estado de México, históricamente se ha distinguido por anticiparse a los desafíos nacionales y aportar soluciones institucionales sólidas; hoy, tenemos la oportunidad de estar nuevamente un paso adelante, no sólo reconociendo las áreas de oportunidad del sistema; sino corrigiéndolas en una arquitectura jurídica más eficaz.</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 xml:space="preserve">La creación de una Agencia Estatal Anticorrupción como Órgano Técnico Autónomo, responde directamente al problema central identificado, la falta de coordinación efectiva que se traduzca en resultados medibles para la sociedad, en el ámbito estatal esta reforma es congruente con el liderazgo de nuestra Gobernadora la maestra Delfina Gómez Álvarez y con el eje número 1 del Plan de Desarrollo del Estado de México 2023-2029 que coloca en el centro la transparencia la integridad pública y el combate frontal a la corrupción.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Esta iniciativa no sustituye esos esfuerzos, los fortalece, los institucionaliza y los proyecta con mayor eficacia técnica y jurídica, el problema del Sistema Estatal Anticorrupción no ha sido la ausencia de voluntad política, sino las limitaciones en su diseño, actualmente la Secretaría Ejecutiva opera con autonomía limitada, facultades técnicas insuficientes y acuerdos no vinculantes, lo que ha convertido al Comité coordinador en un espacio predominantemente deliberativo.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Esta reforma corrige esa debilidad estructural sin crear más burocracia, sin duplicar funciones y sin evadir competencias constitucionales, lo que propone es transformar la Secretaría Ejecutiva en una agencia estatal anticorrupción con autonomía técnica y operatividad, capaz de:</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Uno. Garantizar el seguimiento efectivo, medible y público de los acuerdos del Comité.</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Dos. Generar diagnósticos, metodologías e inteligencia anticorrupción con rigor técnico.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Tres. Operar la plataforma digital estatal como un sistema interoperable y funcional.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Cuarto. Traducir decisiones colegiadas con acciones verificables, con trazabilidad institucional clara.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En resumen, convierte al sistema en un instrumento de resultados y no solo de coordinación formal.</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Esta propuesta constituye una respuesta contundente y positiva al llamado nacional de revisar y fortalecer el modelo anticorrupción, puede convertirse en un referente para el propio </w:t>
      </w:r>
      <w:r w:rsidRPr="00CB38AA">
        <w:rPr>
          <w:rFonts w:ascii="Times New Roman" w:hAnsi="Times New Roman" w:cs="Times New Roman"/>
          <w:sz w:val="24"/>
          <w:szCs w:val="24"/>
        </w:rPr>
        <w:lastRenderedPageBreak/>
        <w:t xml:space="preserve">Sistema Nacional Anticorrupción y para los demás sistemas estatales del país, demostrando que es posible evolucionar el modelo sin desmantelarlo, perfeccionarlo desde lo local, además, esta iniciativa atiende integralmente los aspectos señalados por la Presidenta de la República como por nuestra Gobernadora en el marco del Plan de Desarrollo.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Si existiera oposición a esta propuesta, la discusión debe de centrarse en soluciones; existe una alternativa más integral que atienda simultáneamente la coordinación efectiva, la trazabilidad de resultados y el fortalecimiento técnico del sistema: la presente iniciativa sí lo hace, aprobar esta reforma es enviar un mensaje claro a la ciudadanía que en el Estado de México no administramos la corrupción, la combatimos con instituciones que funcionan, es también reafirmar que nuestro Estado puede y debe de ser referente nacional en el perfeccionamiento institucional.</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Compañeras, compañere y compañeros legisladores, tenemos la oportunidad de demostrar que el compromiso con la transparencia no es discursivo, sino estructural, que el liderazgo se ejerce poniendo soluciones y no postergando reformas necesarias por responsabilidad democrática, congruencia política y eficacia institucional, esta iniciativa merece ser aprobada.</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Por lo antes expuesto, diputada Presidenta solicito se inserte la propuesta íntegra en el Diario de Debates y en la Gaceta Parlamentaria.</w:t>
      </w:r>
    </w:p>
    <w:p w:rsidR="00A35DFE" w:rsidRPr="00CB38AA" w:rsidRDefault="00A35DFE" w:rsidP="00DF6EEA">
      <w:pPr>
        <w:pStyle w:val="Sinespaciado"/>
        <w:ind w:firstLine="708"/>
        <w:jc w:val="center"/>
        <w:rPr>
          <w:rFonts w:ascii="Times New Roman" w:hAnsi="Times New Roman" w:cs="Times New Roman"/>
          <w:sz w:val="24"/>
          <w:szCs w:val="24"/>
        </w:rPr>
      </w:pPr>
      <w:r w:rsidRPr="00CB38AA">
        <w:rPr>
          <w:rFonts w:ascii="Times New Roman" w:hAnsi="Times New Roman" w:cs="Times New Roman"/>
          <w:sz w:val="24"/>
          <w:szCs w:val="24"/>
        </w:rPr>
        <w:t>ATENTAMENTE</w:t>
      </w:r>
    </w:p>
    <w:p w:rsidR="00A35DFE" w:rsidRPr="00CB38AA" w:rsidRDefault="00A35DFE" w:rsidP="00DF6EEA">
      <w:pPr>
        <w:pStyle w:val="Sinespaciado"/>
        <w:ind w:firstLine="708"/>
        <w:jc w:val="center"/>
        <w:rPr>
          <w:rFonts w:ascii="Times New Roman" w:hAnsi="Times New Roman" w:cs="Times New Roman"/>
          <w:sz w:val="24"/>
          <w:szCs w:val="24"/>
        </w:rPr>
      </w:pPr>
      <w:r w:rsidRPr="00CB38AA">
        <w:rPr>
          <w:rFonts w:ascii="Times New Roman" w:hAnsi="Times New Roman" w:cs="Times New Roman"/>
          <w:sz w:val="24"/>
          <w:szCs w:val="24"/>
        </w:rPr>
        <w:t>DIPUTADAS Y DIPUTADOS DEL GRUPO PARLAMENTARIO DE MORENA.</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Es cuanto diputada Presidenta.</w:t>
      </w:r>
    </w:p>
    <w:p w:rsidR="006C2A1D" w:rsidRPr="00CB38AA" w:rsidRDefault="006C2A1D" w:rsidP="00DF6EEA">
      <w:pPr>
        <w:pStyle w:val="Sinespaciado"/>
        <w:jc w:val="both"/>
        <w:rPr>
          <w:rFonts w:ascii="Times New Roman" w:hAnsi="Times New Roman" w:cs="Times New Roman"/>
          <w:sz w:val="24"/>
          <w:szCs w:val="24"/>
        </w:rPr>
      </w:pPr>
    </w:p>
    <w:p w:rsidR="006C2A1D" w:rsidRPr="00CB38AA" w:rsidRDefault="006C2A1D" w:rsidP="00DF6EEA">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(Se inserta documento)</w:t>
      </w:r>
    </w:p>
    <w:p w:rsidR="006C2A1D" w:rsidRPr="00CB38AA" w:rsidRDefault="006C2A1D" w:rsidP="00DF6EEA">
      <w:pPr>
        <w:spacing w:after="0" w:line="240" w:lineRule="auto"/>
        <w:jc w:val="center"/>
        <w:rPr>
          <w:rFonts w:ascii="Times New Roman" w:hAnsi="Times New Roman" w:cs="Times New Roman"/>
          <w:sz w:val="24"/>
          <w:szCs w:val="24"/>
        </w:rPr>
      </w:pPr>
    </w:p>
    <w:p w:rsidR="00967C9A" w:rsidRPr="00CB38AA" w:rsidRDefault="00967C9A" w:rsidP="00DF6EEA">
      <w:pPr>
        <w:spacing w:after="0" w:line="240" w:lineRule="auto"/>
        <w:jc w:val="center"/>
        <w:rPr>
          <w:rFonts w:ascii="Times New Roman" w:eastAsia="Segoe UI" w:hAnsi="Times New Roman" w:cs="Times New Roman"/>
          <w:sz w:val="24"/>
          <w:szCs w:val="24"/>
        </w:rPr>
      </w:pPr>
      <w:r w:rsidRPr="00CB38AA">
        <w:rPr>
          <w:rFonts w:ascii="Times New Roman" w:eastAsia="Segoe UI" w:hAnsi="Times New Roman" w:cs="Times New Roman"/>
          <w:b/>
          <w:sz w:val="24"/>
          <w:szCs w:val="24"/>
        </w:rPr>
        <w:t>Dip. Gerardo Pliego Santana</w:t>
      </w:r>
    </w:p>
    <w:p w:rsidR="00967C9A" w:rsidRPr="00CB38AA" w:rsidRDefault="00967C9A" w:rsidP="00DF6EEA">
      <w:pPr>
        <w:spacing w:after="0" w:line="240" w:lineRule="auto"/>
        <w:jc w:val="center"/>
        <w:rPr>
          <w:rFonts w:ascii="Times New Roman" w:eastAsia="Segoe UI" w:hAnsi="Times New Roman" w:cs="Times New Roman"/>
          <w:sz w:val="24"/>
          <w:szCs w:val="24"/>
        </w:rPr>
      </w:pPr>
      <w:r w:rsidRPr="00CB38AA">
        <w:rPr>
          <w:rFonts w:ascii="Times New Roman" w:eastAsia="Segoe UI" w:hAnsi="Times New Roman" w:cs="Times New Roman"/>
          <w:b/>
          <w:sz w:val="24"/>
          <w:szCs w:val="24"/>
        </w:rPr>
        <w:t>Distrito XXXIV Toluca</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center"/>
        <w:rPr>
          <w:rFonts w:ascii="Times New Roman" w:eastAsia="Segoe UI" w:hAnsi="Times New Roman" w:cs="Times New Roman"/>
          <w:sz w:val="24"/>
          <w:szCs w:val="24"/>
        </w:rPr>
      </w:pPr>
      <w:r w:rsidRPr="00CB38AA">
        <w:rPr>
          <w:rFonts w:ascii="Times New Roman" w:eastAsia="Segoe UI" w:hAnsi="Times New Roman" w:cs="Times New Roman"/>
          <w:b/>
          <w:sz w:val="24"/>
          <w:szCs w:val="24"/>
        </w:rPr>
        <w:t>“2026. Año del Humanismo Mexicano en el Estado de México”</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sz w:val="24"/>
          <w:szCs w:val="24"/>
        </w:rPr>
        <w:t>Toluca de Lerdo, Estado de México a 11 de febrero del 2026</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rPr>
          <w:rFonts w:ascii="Times New Roman" w:eastAsia="Arial" w:hAnsi="Times New Roman" w:cs="Times New Roman"/>
          <w:b/>
          <w:sz w:val="24"/>
          <w:szCs w:val="24"/>
        </w:rPr>
      </w:pPr>
      <w:r w:rsidRPr="00CB38AA">
        <w:rPr>
          <w:rFonts w:ascii="Times New Roman" w:eastAsia="Arial" w:hAnsi="Times New Roman" w:cs="Times New Roman"/>
          <w:b/>
          <w:sz w:val="24"/>
          <w:szCs w:val="24"/>
        </w:rPr>
        <w:t>DIPUTADA MARTHA AZUCENA CAMACHO REYNOSO</w:t>
      </w:r>
    </w:p>
    <w:p w:rsidR="00967C9A" w:rsidRPr="00CB38AA" w:rsidRDefault="00967C9A"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PRESIDENTA DE LA MESA DIRECTIVA</w:t>
      </w:r>
    </w:p>
    <w:p w:rsidR="00967C9A" w:rsidRPr="00CB38AA" w:rsidRDefault="00967C9A" w:rsidP="00DF6EEA">
      <w:pPr>
        <w:spacing w:after="0" w:line="240" w:lineRule="auto"/>
        <w:rPr>
          <w:rFonts w:ascii="Times New Roman" w:eastAsia="Arial" w:hAnsi="Times New Roman" w:cs="Times New Roman"/>
          <w:b/>
          <w:sz w:val="24"/>
          <w:szCs w:val="24"/>
        </w:rPr>
      </w:pPr>
      <w:r w:rsidRPr="00CB38AA">
        <w:rPr>
          <w:rFonts w:ascii="Times New Roman" w:eastAsia="Arial" w:hAnsi="Times New Roman" w:cs="Times New Roman"/>
          <w:b/>
          <w:sz w:val="24"/>
          <w:szCs w:val="24"/>
        </w:rPr>
        <w:t>DE LA H.LXII LEGISLATURA</w:t>
      </w:r>
    </w:p>
    <w:p w:rsidR="00967C9A" w:rsidRPr="00CB38AA" w:rsidRDefault="00967C9A"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DEL ESTADO DE MÉXICO</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P R E S E N T E :</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Honorable Asamblea</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Con fundamento en los artículos 51 fracción II y 61 fracción I de la Constitución Política del Estado Libre y Soberano de México; así como 28 fracción l y 81 fracciones I, II y III de la Ley Orgánica del Poder Legislativo del Estado Libre y Soberano del México y 68 de su Reglamento; el suscrito Diputado Gerardo Pliego Santana del grupo parlamentario del Partido Movimiento de Regeneración Nacional (morena), someto a su elevada consideración, por tan digno conducto, una </w:t>
      </w:r>
      <w:r w:rsidRPr="00CB38AA">
        <w:rPr>
          <w:rFonts w:ascii="Times New Roman" w:eastAsia="Arial" w:hAnsi="Times New Roman" w:cs="Times New Roman"/>
          <w:b/>
          <w:sz w:val="24"/>
          <w:szCs w:val="24"/>
        </w:rPr>
        <w:t>INICIATIVA CON PROYECTO DE DECRETO POR EL CUAL SE ADICIONA EL ARTICULO 130 TER A LA CONSTITUCIÓN POLÍTICA DEL ESTADO LIBRE Y SOBERANO DE MÉXICO</w:t>
      </w:r>
      <w:r w:rsidRPr="00CB38AA">
        <w:rPr>
          <w:rFonts w:ascii="Times New Roman" w:eastAsia="Arial" w:hAnsi="Times New Roman" w:cs="Times New Roman"/>
          <w:sz w:val="24"/>
          <w:szCs w:val="24"/>
        </w:rPr>
        <w:t>; con sustento en la siguiente:</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E X P O S I C I Ó N   D E   M O T I V O S :</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lastRenderedPageBreak/>
        <w:t>En México, la corrupción continúa siendo un obstáculo estructural para el desarrollo democrático, la rendición de cuentas y la confianza ciudadana. En respuesta a esta problemática, propongo la creación de una Agencia Estatal Anticorrupción, concebida como un Órgano Técnico Constitucional Autónomo con facultades claras de prevención, análisis, investigación administrativa y seguimiento, capaz de cerrar las grietas operativas del sistema actual y garantizar que ningún acto ilícito permanezca impune.</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 presidenta Claudia Sheinbaum ha reconocido públicamente la necesidad de revisar el Sistema Nacional Anticorrupción (SNA), señalando que “no está funcionando a plenitud” y que la complejidad institucional provoca retrasos o incluso espacios de impunidad. Durante una conferencia matutina resaltó que el entramado institucional del Sistema Nacional Anticorrupción es “bastante complejo” y que ello limita su efectividad sancionadora.</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En consecuencia, en este documento planteo una reforma profunda para fortalecer la coordinación, simplificar procedimientos y concentrar facultades técnicas en una Agencia Federal Anticorrupción.</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De igual manera, la gobernadora Delfina Gómez Álvarez ha reiterado su compromiso con la transparencia y la rendición de cuentas. En febrero de 2025 se concretó un convenio histórico con los 125 municipios del Estado de México para fortalecer el Sistema Estatal Anticorrupción mediante auditorías permanentes, mecanismos de participación ciudadana y controles independientes del gobierno en turno. Asimismo, ha insistido en una estrategia de Cero Impunidad, afirmando que ningún funcionario público debe quedar exento de responsabilidad administrativa o penal.</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 vigencia y relevancia del Sistema Anticorrupción del Estado de México y Municipios (SAEMM) constituye un asunto de alto interés público. A casi una década de su creación, el avance ha sido limitado debido a un diseño institucional que generó relaciones de dependencia y procesos no vinculantes. Aunque el Sistema fue concebido como un espacio de coordinación interinstitucional, carece de un ente con atribuciones sólidas que garanticen la eficacia de dicha articulación.</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El Comité Coordinador —máxima instancia del Sistema— ha tendido a operar como un espacio de presentación institucional, más que como un órgano articulador de política pública integral. Esta fragmentación provoca que los acuerdos se materialicen en esfuerzos aislados y no en estrategias interinstitucionales robustas.</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El Plan de Desarrollo del Estado de México y Municipios 2023–2029, en su Eje 1 “Cero Corrupción y Gobierno del Pueblo y para el Pueblo”, reconoce explícitamente esta insuficiencia y establece la necesidad de fortalecer las capacidades del Sistema Estatal Anticorrupción y de su Secretaría Ejecutiva.  Esta línea de acción fue reforzada por el Octavo Informe Anual 2024–2025 del Comité Coordinador, en el cual se emitió una Recomendación No Vinculante al Poder Legislativo para impulsar una reforma estructural que dote al Sistema de mecanismos reales de operación, seguimiento y cumplimiento.</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El origen de las limitaciones actuales radica en la naturaleza jurídica de la Secretaría Ejecutiva, actualmente constituida como un Organismo Público Descentralizado no sectorizado. Este diseño híbrido genera tres problemas institucionales:</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lastRenderedPageBreak/>
        <w:t>•</w:t>
      </w:r>
      <w:r w:rsidRPr="00CB38AA">
        <w:rPr>
          <w:rFonts w:ascii="Times New Roman" w:eastAsia="Arial" w:hAnsi="Times New Roman" w:cs="Times New Roman"/>
          <w:sz w:val="24"/>
          <w:szCs w:val="24"/>
        </w:rPr>
        <w:tab/>
        <w:t>Autonomía limitada, debido a la dependencia de un Órgano de Gobierno con capacidad de intervención.</w:t>
      </w:r>
    </w:p>
    <w:p w:rsidR="00967C9A" w:rsidRPr="00CB38AA" w:rsidRDefault="00967C9A" w:rsidP="00DF6EEA">
      <w:pPr>
        <w:spacing w:after="0" w:line="240" w:lineRule="auto"/>
        <w:jc w:val="both"/>
        <w:rPr>
          <w:rFonts w:ascii="Times New Roman" w:eastAsia="Times New Roman" w:hAnsi="Times New Roman" w:cs="Times New Roman"/>
          <w:sz w:val="24"/>
          <w:szCs w:val="24"/>
        </w:rPr>
      </w:pPr>
      <w:r w:rsidRPr="00CB38AA">
        <w:rPr>
          <w:rFonts w:ascii="Times New Roman" w:eastAsia="Arial" w:hAnsi="Times New Roman" w:cs="Times New Roman"/>
          <w:sz w:val="24"/>
          <w:szCs w:val="24"/>
        </w:rPr>
        <w:t>•</w:t>
      </w:r>
      <w:r w:rsidRPr="00CB38AA">
        <w:rPr>
          <w:rFonts w:ascii="Times New Roman" w:eastAsia="Arial" w:hAnsi="Times New Roman" w:cs="Times New Roman"/>
          <w:sz w:val="24"/>
          <w:szCs w:val="24"/>
        </w:rPr>
        <w:tab/>
        <w:t>Atribuciones técnicas insuficientes, lo cual limita la coordinación metodológica del Sistema.</w:t>
      </w: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w:t>
      </w:r>
      <w:r w:rsidRPr="00CB38AA">
        <w:rPr>
          <w:rFonts w:ascii="Times New Roman" w:eastAsia="Arial" w:hAnsi="Times New Roman" w:cs="Times New Roman"/>
          <w:sz w:val="24"/>
          <w:szCs w:val="24"/>
        </w:rPr>
        <w:tab/>
        <w:t>Falta de mecanismos vinculantes, lo que reduce la capacidad de ejecución de los acuerdos del Comité Coordinador.</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Las deficiencias identificadas anteriormente no afectan únicamente a la Secretaría Ejecutiva, sino que obstaculizan el funcionamiento integral de todo el Sistema.</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Por ello, la presente reforma no crea más burocracia, ni duplica funciones. Por el contrario, transforma la actual Secretaría Ejecutiva en un Órgano Técnico Constitucional Autónomo con independencia plena para garantizar el funcionamiento efectivo del Sistema Estatal Anticorrupción.</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 Agencia Estatal Anticorrupción no representa un simple cambio de nombre, sino una reconfiguración profunda de estructura, funciones y facultades. La propuesta incorpora dos ejes fundamentales:</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1. Soporte técnico al Comité Coordinador, encargado de producir diagnósticos, metodologías, datos y análisis rigurosos para fortalecer las decisiones institucionales.</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2. Órgano Técnico Constitucional Autónomo, con capacidad para emitir lineamientos, coordinar la Plataforma Digital Estatal, realizar seguimiento técnico de acuerdos y construir comunicación pública institucional.</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Times New Roman" w:hAnsi="Times New Roman" w:cs="Times New Roman"/>
          <w:sz w:val="24"/>
          <w:szCs w:val="24"/>
        </w:rPr>
      </w:pPr>
      <w:r w:rsidRPr="00CB38AA">
        <w:rPr>
          <w:rFonts w:ascii="Times New Roman" w:eastAsia="Arial" w:hAnsi="Times New Roman" w:cs="Times New Roman"/>
          <w:sz w:val="24"/>
          <w:szCs w:val="24"/>
        </w:rPr>
        <w:t>Esta figura garantiza que las decisiones del Comité Coordinador se traduzcan en acciones verificables, coordinadas y medibles; y que la Política Anticorrupción deje de depender de la voluntad administrativa de cada ente público.</w:t>
      </w:r>
    </w:p>
    <w:p w:rsidR="00967C9A" w:rsidRPr="00CB38AA" w:rsidRDefault="00967C9A" w:rsidP="00DF6EEA">
      <w:pPr>
        <w:spacing w:after="0" w:line="240" w:lineRule="auto"/>
        <w:jc w:val="both"/>
        <w:rPr>
          <w:rFonts w:ascii="Times New Roman" w:eastAsia="Arial"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 transformación permitirá eliminar la dependencia operativa mediante el establecimiento de una autonomía plena; definir con precisión las atribuciones técnicas de la Agencia; y establecer mecanismos vinculantes para la coordinación, el seguimiento y el cumplimiento de acuerdos.</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 reforma se encuentra alineada con el modelo nacional, al que no contradice sino fortalece mediante una actualización institucional pertinente. La Secretaría Ejecutiva no se elimina; se transforma en la Agencia Estatal Anticorrupción, una figura con capacidad jurídica y técnica para asumir funciones que han permanecido desatendidas, limitando durante años la eficacia operativa del Sistema.</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Con esta reforma, el SAEMM dejará de ser únicamente un foro deliberativo y se convertirá en un instrumento real de acción colectiva con resultados verificables para la ciudadanía.</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Por lo anteriormente expuesto, se somete a la consideración de este H. Poder Legislativo del Estado de México, para su análisis, discusión y en su caso aprobación en sus términos referentes, la presente iniciativa con proyecto de decreto.</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center"/>
        <w:rPr>
          <w:rFonts w:ascii="Times New Roman" w:eastAsia="Arial" w:hAnsi="Times New Roman" w:cs="Times New Roman"/>
          <w:b/>
          <w:sz w:val="24"/>
          <w:szCs w:val="24"/>
        </w:rPr>
      </w:pPr>
      <w:r w:rsidRPr="00CB38AA">
        <w:rPr>
          <w:rFonts w:ascii="Times New Roman" w:eastAsia="Arial" w:hAnsi="Times New Roman" w:cs="Times New Roman"/>
          <w:b/>
          <w:sz w:val="24"/>
          <w:szCs w:val="24"/>
        </w:rPr>
        <w:t>ATENTAMENTE</w:t>
      </w:r>
    </w:p>
    <w:p w:rsidR="00967C9A" w:rsidRPr="00CB38AA" w:rsidRDefault="00967C9A" w:rsidP="00DF6EEA">
      <w:pPr>
        <w:spacing w:after="0" w:line="240" w:lineRule="auto"/>
        <w:jc w:val="center"/>
        <w:rPr>
          <w:rFonts w:ascii="Times New Roman" w:eastAsia="Arial" w:hAnsi="Times New Roman" w:cs="Times New Roman"/>
          <w:b/>
          <w:sz w:val="24"/>
          <w:szCs w:val="24"/>
        </w:rPr>
      </w:pPr>
    </w:p>
    <w:p w:rsidR="00967C9A" w:rsidRPr="00CB38AA" w:rsidRDefault="00967C9A"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lastRenderedPageBreak/>
        <w:t>DIPUTADO PRESENTANTE</w:t>
      </w:r>
    </w:p>
    <w:p w:rsidR="00967C9A" w:rsidRPr="00CB38AA" w:rsidRDefault="00967C9A" w:rsidP="00DF6EEA">
      <w:pPr>
        <w:spacing w:after="0" w:line="240" w:lineRule="auto"/>
        <w:jc w:val="center"/>
        <w:rPr>
          <w:rFonts w:ascii="Times New Roman" w:eastAsia="Arial" w:hAnsi="Times New Roman" w:cs="Times New Roman"/>
          <w:b/>
          <w:sz w:val="24"/>
          <w:szCs w:val="24"/>
        </w:rPr>
      </w:pPr>
      <w:r w:rsidRPr="00CB38AA">
        <w:rPr>
          <w:rFonts w:ascii="Times New Roman" w:eastAsia="Arial" w:hAnsi="Times New Roman" w:cs="Times New Roman"/>
          <w:b/>
          <w:sz w:val="24"/>
          <w:szCs w:val="24"/>
        </w:rPr>
        <w:t>GERARDO PLIEGO SANTANA</w:t>
      </w:r>
    </w:p>
    <w:p w:rsidR="00967C9A" w:rsidRPr="00CB38AA" w:rsidRDefault="00967C9A"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Y</w:t>
      </w:r>
    </w:p>
    <w:p w:rsidR="00967C9A" w:rsidRPr="00CB38AA" w:rsidRDefault="00967C9A" w:rsidP="00DF6EEA">
      <w:pPr>
        <w:spacing w:after="0" w:line="240" w:lineRule="auto"/>
        <w:jc w:val="center"/>
        <w:rPr>
          <w:rFonts w:ascii="Times New Roman" w:eastAsia="Arial" w:hAnsi="Times New Roman" w:cs="Times New Roman"/>
          <w:b/>
          <w:sz w:val="24"/>
          <w:szCs w:val="24"/>
        </w:rPr>
      </w:pPr>
      <w:r w:rsidRPr="00CB38AA">
        <w:rPr>
          <w:rFonts w:ascii="Times New Roman" w:eastAsia="Arial" w:hAnsi="Times New Roman" w:cs="Times New Roman"/>
          <w:b/>
          <w:sz w:val="24"/>
          <w:szCs w:val="24"/>
        </w:rPr>
        <w:t>DIPUTADAS, DIPUTADOS Y DIPUTADE</w:t>
      </w:r>
    </w:p>
    <w:p w:rsidR="00967C9A" w:rsidRPr="00CB38AA" w:rsidRDefault="00967C9A" w:rsidP="00DF6EEA">
      <w:pPr>
        <w:spacing w:after="0" w:line="240" w:lineRule="auto"/>
        <w:jc w:val="center"/>
        <w:rPr>
          <w:rFonts w:ascii="Times New Roman" w:eastAsia="Times New Roman" w:hAnsi="Times New Roman" w:cs="Times New Roman"/>
          <w:sz w:val="24"/>
          <w:szCs w:val="24"/>
        </w:rPr>
      </w:pPr>
      <w:r w:rsidRPr="00CB38AA">
        <w:rPr>
          <w:rFonts w:ascii="Times New Roman" w:eastAsia="Arial" w:hAnsi="Times New Roman" w:cs="Times New Roman"/>
          <w:b/>
          <w:sz w:val="24"/>
          <w:szCs w:val="24"/>
        </w:rPr>
        <w:t>DEL GRUPO PARLAMENTARIO DE MORENA.</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DECRETO NÚMERO</w:t>
      </w:r>
    </w:p>
    <w:p w:rsidR="00967C9A" w:rsidRPr="00CB38AA" w:rsidRDefault="00967C9A" w:rsidP="00DF6EEA">
      <w:pPr>
        <w:spacing w:after="0" w:line="240" w:lineRule="auto"/>
        <w:rPr>
          <w:rFonts w:ascii="Times New Roman" w:eastAsia="Arial" w:hAnsi="Times New Roman" w:cs="Times New Roman"/>
          <w:b/>
          <w:sz w:val="24"/>
          <w:szCs w:val="24"/>
        </w:rPr>
      </w:pPr>
      <w:r w:rsidRPr="00CB38AA">
        <w:rPr>
          <w:rFonts w:ascii="Times New Roman" w:eastAsia="Arial" w:hAnsi="Times New Roman" w:cs="Times New Roman"/>
          <w:b/>
          <w:sz w:val="24"/>
          <w:szCs w:val="24"/>
        </w:rPr>
        <w:t>LA LXII LEGISLATURA</w:t>
      </w:r>
    </w:p>
    <w:p w:rsidR="00967C9A" w:rsidRPr="00CB38AA" w:rsidRDefault="00967C9A"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DECRETA:</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ARTÍCULO UNICO</w:t>
      </w:r>
      <w:r w:rsidRPr="00CB38AA">
        <w:rPr>
          <w:rFonts w:ascii="Times New Roman" w:eastAsia="Arial" w:hAnsi="Times New Roman" w:cs="Times New Roman"/>
          <w:sz w:val="24"/>
          <w:szCs w:val="24"/>
        </w:rPr>
        <w:t>: Se adiciona el artículo 130 Ter de la Constitución Política del Estado Libre y Soberano de México, para quedar de la siguiente manera:</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ARTÍCULO 130 Ter</w:t>
      </w:r>
      <w:r w:rsidRPr="00CB38AA">
        <w:rPr>
          <w:rFonts w:ascii="Times New Roman" w:eastAsia="Arial" w:hAnsi="Times New Roman" w:cs="Times New Roman"/>
          <w:sz w:val="24"/>
          <w:szCs w:val="24"/>
        </w:rPr>
        <w:t>. La Agencia Estatal Anticorrupción es un organismo con autonomía técnica, presupuestaria y de gestión en el ejercicio de sus atribuciones y en la determinación de su organización interna, dotado de personalidad jurídica y patrimonio propios.</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 Agencia Estatal Anticorrupción tendrá por objeto garantizar la operación efectiva del Sistema Estatal Anticorrupción, actuando como instancia técnica autónoma encargada de articular, fortalecer y dar seguimiento a la coordinación entre sus integrantes, así como de generar insumos especializados que permitan la implementación de las decisiones del Comité Coordinador.</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En el ejercicio de sus atribuciones, su actuación se regirá por los principios de certeza, legalidad, independencia, imparcialidad, eficacia, objetividad, profesionalismo, transparencia y máxima publicidad.</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rPr>
          <w:rFonts w:ascii="Times New Roman" w:eastAsia="Times New Roman" w:hAnsi="Times New Roman" w:cs="Times New Roman"/>
          <w:sz w:val="24"/>
          <w:szCs w:val="24"/>
        </w:rPr>
      </w:pPr>
      <w:r w:rsidRPr="00CB38AA">
        <w:rPr>
          <w:rFonts w:ascii="Times New Roman" w:eastAsia="Arial" w:hAnsi="Times New Roman" w:cs="Times New Roman"/>
          <w:sz w:val="24"/>
          <w:szCs w:val="24"/>
        </w:rPr>
        <w:t>La Agencia Estatal Anticorrupción ejercerá las funciones siguientes: A. Como soporte técnico del Comité Coordinador:</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 Proveer soporte técnico al Comité Coordinador para la formulación y deliberación de acuerdos, asegurando insumos oportunos, claros y trazables;</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II. Operar mecanismos de seguimiento, medición y reporte de los acuerdos y resoluciones del Comité coordinador, e informar oportunamente sobre su cumplimiento;</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III. Integrar técnicamente la propuesta de Programa de Trabajo Anual del Comité Coordinador, gestionar el calendario y los insumos necesarios para su discusión, y en su caso, aprobación por dicho órgano;</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IV. Colaborar con la Federación, los municipios y los entes públicos de la entidad, en términos de la Ley aplicable, para el ejercicio de sus funciones;</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V. Integrar técnicamente la propuesta de Informe Anual del Sistema Estatal Anticorrupción, someterlo a revisión de la Comisión Ejecutiva y remitirlo al Comité Coordinador para su aprobación;</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VI. Dar seguimiento a la implementación de las Recomendaciones Públicas No Vinculantes emitidas por el Comité Coordinador a los entes públicos e informar sobre su atención;</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B. Como Órgano Técnico Constitucional Autónomo:</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 Asegurar la coordinación y operación efectiva del Sistema Estatal Anticorrupción, mediante lineamientos técnicos, operativos e instrumentales entre sus integrantes, y en su caso con el Sistema Nacional y los Sistemas Municipales Anticorrupción, garantizando la trazabilidad de los acuerdos del Comité Coordinador y la complementariedad entre instituciones;</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II. Diseñar, proponer y emitir lineamientos técnicos, metodologías e insumos especializados en materia de anticorrupción y gestión de riesgos, para estandarizar diagnósticos, indicadores y estrategias de tratamiento en los entes públicos, asegurando su aplicación y el suministro de insumos técnicos al Comité Coordinador;</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III. Administrar la Plataforma Digital Estatal y desarrollar estrategias de análisis de datos e inteligencia anticorrupción, garantizando interoperabilidad, calidad, apertura y la publicación de reportes que fortalezcan la toma de decisiones y la transparencia del Sistema;</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IV. Diseñar y ejecutar la estrategia integral de comunicación pública en materia de integridad y combate a la corrupción, con enfoque ciudadano, mediante campañas, contenidos y mecanismos de difusión que fortalezcan la cultura social en la materia y exista mayor transparencia en los avances del Sistema.</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 Legislatura Estatal designará a la persona titular de la Agencia Estatal Anticorrupción por el voto de las dos terceras partes de sus miembros presentes; la Ley determinará el procedimiento para su designación.</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Para la elección de la persona titular, la Legislatura deberá establecer mecanismos de consulta pública con la sociedad civil, organismos públicos y privados vinculados con la transparencia, rendición de cuentas y combate a la corrupción. Con base en dichos mecanismos, la Comisión Legislativa correspondiente propondrá una terna de candidatas y candidatos, de la cual se elegirá a quien ocupe el cargo, en los términos y condiciones que señale la Ley.</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 persona titular de la Agencia Estatal Anticorrupción durará en su encargo ocho años, y podrá ser reelegida por una sola ocasión. Podrá ser removida, exclusivamente, por las causas graves que señale la Ley en la materia, con la misma votación requerida para su nombramiento, o por las causas y conforme a los procedimientos previstos en el Título Séptimo de esta Constitución.</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Para ser titular de la Agencia Estatal Anticorrupción se requiere cumplir con los requisitos que señale la Ley. Durante el ejercicio de su encargo no podrá desempeñar otro empleo, cargo o comisión, con excepción de los no remunerados en instituciones docentes, científicas o de beneficencia.</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 persona titular de la Agencia presentará anualmente un informe de actividades a los Poderes del Estado, dando cuenta tanto de las acciones de soporte técnico al Comité Coordinador como de las atribuciones ejercidas como Órgano Técnico Constitucional Autónomo.</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 Agencia coordinará sus acciones con el Comité Coordinador del Sistema Estatal Anticorrupción y con organismos federales, de las entidades federativas y de la Ciudad de México, con el objeto de fortalecer el combate a la corrupción en el Estado de México.</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Los Poderes de la Unión, los municipios y los entes públicos de la entidad deberán facilitar los auxilios que requiera la Agencia para el ejercicio de sus funciones. Asimismo, todas las personas físicas o morales que reciban o administren recursos públicos estatales estarán obligadas a proporcionar la información que solicite la Agencia, de conformidad con los procedimientos y límites establecidos en la Ley.</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ARTICULOS TRANSITORIOS</w:t>
      </w:r>
      <w:r w:rsidRPr="00CB38AA">
        <w:rPr>
          <w:rFonts w:ascii="Times New Roman" w:eastAsia="Arial" w:hAnsi="Times New Roman" w:cs="Times New Roman"/>
          <w:sz w:val="24"/>
          <w:szCs w:val="24"/>
        </w:rPr>
        <w:t>:</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PRIMERO</w:t>
      </w:r>
      <w:r w:rsidRPr="00CB38AA">
        <w:rPr>
          <w:rFonts w:ascii="Times New Roman" w:eastAsia="Arial" w:hAnsi="Times New Roman" w:cs="Times New Roman"/>
          <w:sz w:val="24"/>
          <w:szCs w:val="24"/>
        </w:rPr>
        <w:t>. - Publíquese el Decreto en el periódico Oficial “Gaceta del Gobierno” del Estado de México.</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SEGUNDO. </w:t>
      </w:r>
      <w:r w:rsidRPr="00CB38AA">
        <w:rPr>
          <w:rFonts w:ascii="Times New Roman" w:eastAsia="Arial" w:hAnsi="Times New Roman" w:cs="Times New Roman"/>
          <w:sz w:val="24"/>
          <w:szCs w:val="24"/>
        </w:rPr>
        <w:t>- Este Decreto entrara en vigor al día siguiente de su publicación.</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TERCERO</w:t>
      </w:r>
      <w:r w:rsidRPr="00CB38AA">
        <w:rPr>
          <w:rFonts w:ascii="Times New Roman" w:eastAsia="Arial" w:hAnsi="Times New Roman" w:cs="Times New Roman"/>
          <w:sz w:val="24"/>
          <w:szCs w:val="24"/>
        </w:rPr>
        <w:t>. – El presente decreto entrará en vigor al día siguiente de su publicación en el Periódico Oficial “Gaceta del Gobierno”.</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CUARTO</w:t>
      </w:r>
      <w:r w:rsidRPr="00CB38AA">
        <w:rPr>
          <w:rFonts w:ascii="Times New Roman" w:eastAsia="Arial" w:hAnsi="Times New Roman" w:cs="Times New Roman"/>
          <w:sz w:val="24"/>
          <w:szCs w:val="24"/>
        </w:rPr>
        <w:t>. - A la entrada en vigor del presente Decreto se extingue el Organismo Público Descentralizado no sectorizado denominado Secretaría Ejecutiva del Sistema Estatal Anticorrupción (SESAEMM), el cual se transforma en la Agencia Estatal Anticorrupción, Órgano Técnico Constitucional Autónomo, conservando su personalidad jurídica para efectos de continuidad administrativa hasta la conclusión de los procesos de transición previstos en estos artículos.</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QUINTO</w:t>
      </w:r>
      <w:r w:rsidRPr="00CB38AA">
        <w:rPr>
          <w:rFonts w:ascii="Times New Roman" w:eastAsia="Arial" w:hAnsi="Times New Roman" w:cs="Times New Roman"/>
          <w:sz w:val="24"/>
          <w:szCs w:val="24"/>
        </w:rPr>
        <w:t>. - El personal adscrito a la SESAEMM quedará incorporado a la estructura de la nueva Agencia Estatal Anticorrupción, en términos de las disposiciones aplicables, respetando plenamente sus derechos laborales y prestaciones adquiridas.</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SEXTO. </w:t>
      </w:r>
      <w:r w:rsidRPr="00CB38AA">
        <w:rPr>
          <w:rFonts w:ascii="Times New Roman" w:eastAsia="Arial" w:hAnsi="Times New Roman" w:cs="Times New Roman"/>
          <w:sz w:val="24"/>
          <w:szCs w:val="24"/>
        </w:rPr>
        <w:t>- Los recursos presupuestarios, financieros y materiales, así como los bienes muebles e inmuebles, archivos, acervo documental, sistemas informáticos, plataformas digitales, bases de datos, derechos y obligaciones de la SESAEMM, se transferirán íntegramente a la Agencia Estatal Anticorrupción.</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SÉPTIMO</w:t>
      </w:r>
      <w:r w:rsidRPr="00CB38AA">
        <w:rPr>
          <w:rFonts w:ascii="Times New Roman" w:eastAsia="Arial" w:hAnsi="Times New Roman" w:cs="Times New Roman"/>
          <w:sz w:val="24"/>
          <w:szCs w:val="24"/>
        </w:rPr>
        <w:t>. - El presupuesto aprobado a la SESAEMM para el ejercicio fiscal en curso se entenderá reasignado a la Agencia Estatal Anticorrupción, la cual lo ejercerá conforme a sus nuevas atribuciones y estructura, sin perjuicio de que la Legislatura realice los ajustes necesarios en el Presupuesto de Egresos para el ejercicio siguiente.</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OCTAVO</w:t>
      </w:r>
      <w:r w:rsidRPr="00CB38AA">
        <w:rPr>
          <w:rFonts w:ascii="Times New Roman" w:eastAsia="Arial" w:hAnsi="Times New Roman" w:cs="Times New Roman"/>
          <w:sz w:val="24"/>
          <w:szCs w:val="24"/>
        </w:rPr>
        <w:t>. - Los instrumentos jurídicos, convenios, contratos y acuerdos celebrados por la SESEA continuarán vigentes y obligarán en sus términos a la Agencia Estatal Anticorrupción, hasta en tanto sean modificados, sustituidos o dados por terminados conforme a derecho.</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NOVENO</w:t>
      </w:r>
      <w:r w:rsidRPr="00CB38AA">
        <w:rPr>
          <w:rFonts w:ascii="Times New Roman" w:eastAsia="Arial" w:hAnsi="Times New Roman" w:cs="Times New Roman"/>
          <w:sz w:val="24"/>
          <w:szCs w:val="24"/>
        </w:rPr>
        <w:t>. - Los asuntos en trámite a la fecha de entrada en vigor del presente Decreto serán continuados y resueltos por la Agencia Estatal Anticorrupción, conforme a las disposiciones aplicables vigentes al momento de su inicio.</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lastRenderedPageBreak/>
        <w:t>DÉCIMO</w:t>
      </w:r>
      <w:r w:rsidRPr="00CB38AA">
        <w:rPr>
          <w:rFonts w:ascii="Times New Roman" w:eastAsia="Arial" w:hAnsi="Times New Roman" w:cs="Times New Roman"/>
          <w:sz w:val="24"/>
          <w:szCs w:val="24"/>
        </w:rPr>
        <w:t>. - La Agencia Estatal Anticorrupción asumirá la titularidad en los procedimientos administrativos, laborales o jurisdiccionales en los que la SESAEMM sea parte, garantizando la continuidad de la representación legal y la defensa de los intereses institucionales.</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Times New Roman" w:hAnsi="Times New Roman" w:cs="Times New Roman"/>
          <w:sz w:val="24"/>
          <w:szCs w:val="24"/>
        </w:rPr>
      </w:pPr>
      <w:r w:rsidRPr="00CB38AA">
        <w:rPr>
          <w:rFonts w:ascii="Times New Roman" w:eastAsia="Arial" w:hAnsi="Times New Roman" w:cs="Times New Roman"/>
          <w:b/>
          <w:sz w:val="24"/>
          <w:szCs w:val="24"/>
        </w:rPr>
        <w:t>DÉCIMO PRIMERO</w:t>
      </w:r>
      <w:r w:rsidRPr="00CB38AA">
        <w:rPr>
          <w:rFonts w:ascii="Times New Roman" w:eastAsia="Arial" w:hAnsi="Times New Roman" w:cs="Times New Roman"/>
          <w:sz w:val="24"/>
          <w:szCs w:val="24"/>
        </w:rPr>
        <w:t>. - El acervo documental, estadísticas, indicadores, informes, productos técnicos y cualquier otro material generado por la SESAEMM será transferido y administrado por la Agencia Estatal Anticorrupción, la cual adoptará las medidas necesarias para su resguardo, conservación y, en su caso, difusión pública, en apego a las leyes de transparencia y protección de datos personales.</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DÉCIMO SEGUNDO</w:t>
      </w:r>
      <w:r w:rsidRPr="00CB38AA">
        <w:rPr>
          <w:rFonts w:ascii="Times New Roman" w:eastAsia="Arial" w:hAnsi="Times New Roman" w:cs="Times New Roman"/>
          <w:sz w:val="24"/>
          <w:szCs w:val="24"/>
        </w:rPr>
        <w:t>. - Para efectos de la transición prevista en los artículos anteriores, y en tanto la Legislatura del Estado emite la convocatoria correspondiente para integrar la terna de personas que podrán aspirar a ocupar el cargo de titular de la Agencia Estatal Anticorrupción, la dirección del nuevo organismo quedará a cargo de la persona que, a la entrada en vigor del presente Decreto, se desempeñe como Secretario Técnico de la Secretaría Ejecutiva del Sistema Estatal Anticorrupción, quien continuará en el ejercicio de sus funciones hasta que la Legislatura designe al titular de la Agencia conforme al procedimiento establecido en esta Constitución y en la Ley aplicable.</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Durante este periodo, la persona referida ejercerá las atribuciones necesarias para garantizar la continuidad institucional, administrativa y operativa del organismo, conservando la vigencia de los actos jurídicos, programas, convenios y procesos en curso de la Secretaría Ejecutiva, sin perjuicio de las facultades que correspondan a la Agencia Estatal Anticorrupción una vez designado su titular.</w:t>
      </w:r>
    </w:p>
    <w:p w:rsidR="00967C9A" w:rsidRPr="00CB38AA" w:rsidRDefault="00967C9A" w:rsidP="00DF6EEA">
      <w:pPr>
        <w:spacing w:after="0" w:line="240" w:lineRule="auto"/>
        <w:rPr>
          <w:rFonts w:ascii="Times New Roman" w:eastAsia="Times New Roman" w:hAnsi="Times New Roman" w:cs="Times New Roman"/>
          <w:sz w:val="24"/>
          <w:szCs w:val="24"/>
        </w:rPr>
      </w:pPr>
    </w:p>
    <w:p w:rsidR="00967C9A" w:rsidRPr="00CB38AA" w:rsidRDefault="00967C9A"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Lo tendrá entendido la Gobernadora del Estado, haciendo que se publique y se cumpla. Dado en el Palacio del Poder Legislativo en la Ciudad de Toluca, Capital del Estado De México, a los </w:t>
      </w:r>
      <w:r w:rsidR="00E7564B" w:rsidRPr="00CB38AA">
        <w:rPr>
          <w:rFonts w:ascii="Times New Roman" w:eastAsia="Arial" w:hAnsi="Times New Roman" w:cs="Times New Roman"/>
          <w:sz w:val="24"/>
          <w:szCs w:val="24"/>
        </w:rPr>
        <w:t xml:space="preserve">_______ </w:t>
      </w:r>
      <w:r w:rsidRPr="00CB38AA">
        <w:rPr>
          <w:rFonts w:ascii="Times New Roman" w:eastAsia="Arial" w:hAnsi="Times New Roman" w:cs="Times New Roman"/>
          <w:sz w:val="24"/>
          <w:szCs w:val="24"/>
        </w:rPr>
        <w:t xml:space="preserve">días del mes de </w:t>
      </w:r>
      <w:r w:rsidRPr="00CB38AA">
        <w:rPr>
          <w:rFonts w:ascii="Times New Roman" w:eastAsia="Arial" w:hAnsi="Times New Roman" w:cs="Times New Roman"/>
          <w:sz w:val="24"/>
          <w:szCs w:val="24"/>
          <w:u w:val="single" w:color="000000"/>
        </w:rPr>
        <w:t xml:space="preserve">      </w:t>
      </w:r>
      <w:r w:rsidRPr="00CB38AA">
        <w:rPr>
          <w:rFonts w:ascii="Times New Roman" w:eastAsia="Arial" w:hAnsi="Times New Roman" w:cs="Times New Roman"/>
          <w:sz w:val="24"/>
          <w:szCs w:val="24"/>
        </w:rPr>
        <w:t xml:space="preserve"> de dos mil veintiséis.</w:t>
      </w:r>
    </w:p>
    <w:p w:rsidR="006C2A1D" w:rsidRPr="00CB38AA" w:rsidRDefault="006C2A1D" w:rsidP="00DF6EEA">
      <w:pPr>
        <w:spacing w:after="0" w:line="240" w:lineRule="auto"/>
        <w:jc w:val="center"/>
        <w:rPr>
          <w:rFonts w:ascii="Times New Roman" w:hAnsi="Times New Roman" w:cs="Times New Roman"/>
          <w:sz w:val="24"/>
          <w:szCs w:val="24"/>
        </w:rPr>
      </w:pPr>
    </w:p>
    <w:p w:rsidR="006C2A1D" w:rsidRPr="00CB38AA" w:rsidRDefault="006C2A1D" w:rsidP="00DF6EEA">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(Fin del documento)</w:t>
      </w:r>
    </w:p>
    <w:p w:rsidR="006C2A1D" w:rsidRPr="00CB38AA" w:rsidRDefault="006C2A1D" w:rsidP="00DF6EEA">
      <w:pPr>
        <w:spacing w:after="0" w:line="240" w:lineRule="auto"/>
        <w:jc w:val="center"/>
        <w:rPr>
          <w:rFonts w:ascii="Times New Roman" w:hAnsi="Times New Roman" w:cs="Times New Roman"/>
          <w:sz w:val="24"/>
          <w:szCs w:val="24"/>
        </w:rPr>
      </w:pP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 xml:space="preserve">PRESIDENTA DIP. MARTHA AZUCENA CAMACHO REYNOSO. Gracias diputado Gerardo Pliego Santana.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Se registra en la iniciativa y se remite a las Comisiones </w:t>
      </w:r>
      <w:r w:rsidR="00605581" w:rsidRPr="00CB38AA">
        <w:rPr>
          <w:rFonts w:ascii="Times New Roman" w:hAnsi="Times New Roman" w:cs="Times New Roman"/>
          <w:sz w:val="24"/>
          <w:szCs w:val="24"/>
        </w:rPr>
        <w:t xml:space="preserve">Legislativas </w:t>
      </w:r>
      <w:r w:rsidRPr="00CB38AA">
        <w:rPr>
          <w:rFonts w:ascii="Times New Roman" w:hAnsi="Times New Roman" w:cs="Times New Roman"/>
          <w:sz w:val="24"/>
          <w:szCs w:val="24"/>
        </w:rPr>
        <w:t>de Gobernación y Puntos Constitucionales y Para el Combate a la Corrupción, para su estudio y dictamen.</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En cuanto al punto número 8, el diputado Javier Cruz Jaramillo presenta, en nombre del Grupo Parlamentario del Partido morena, Iniciativa con Proyecto de Decreto por el que se reforma en el artículo 228, con adición de la fracción XI del Código Penal del Estado de México para garantizar una protección más eficaz del medio ambiente. </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 xml:space="preserve">DIP. JAVIER CRUZ JARAMILLO. Gracias, diputada Presidenta. </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 xml:space="preserve">Con su venia. </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 xml:space="preserve">Saludos a los integrantes de la Mesa Directiva y a las diputadas, los diputados y a la diputade, saludo también a los representantes de los medios de comunicación que hoy nos acompañan, a quienes se encuentran el día de hoy en este recinto y a las y los mexiquenses que nos siguen a través de las plataformas digitales de esta legislatura. </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 xml:space="preserve">Hoy comparezco ante esta soberanía para presentar una iniciativa que busca no solo reformar el Código Penal del Estado de México, sino que reafirma nuestro compromiso con la vida, la salud pública y el futuro de nuestra sociedad. El medio ambiente no es un tema accesorio ni una agenda secundaria es, sin exagerar, la base material de todos los demás derechos, sin agua limpia, </w:t>
      </w:r>
      <w:r w:rsidRPr="00CB38AA">
        <w:rPr>
          <w:rFonts w:ascii="Times New Roman" w:hAnsi="Times New Roman" w:cs="Times New Roman"/>
          <w:sz w:val="24"/>
          <w:szCs w:val="24"/>
        </w:rPr>
        <w:lastRenderedPageBreak/>
        <w:t xml:space="preserve">no hay salud, sin aire limpio, no hay desarrollo, sin ecosistema sano, no hay futuro. En los últimos años, el Estado de México ha enfrentado un incremento alarmante en conductas que deterioran gravemente nuestros ecosistemas, la tala ilegal, la contaminación de cuerpos de agua, las emisiones contaminantes, el manejo irresponsable de residuos peligrosos, etcétera, estos hechos no son abstractos, tienen consecuencias reales, tales como enfermedades, pérdida de la biodiversidad, afectaciones económicas y un deterioro profundo en la calidad de la vida de nuestras comunidades. </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Nuestro marco jurídico actual, en particular el artículo 228 del Código Penal del Estado de México ya no responde con la contundencia que exige la realidad, las sanciones existentes resultan insuficientes frente a los daños que en muchos casos son irreversibles; además, el texto vigente no contempla nuevas formas de afectación ambiental derivadas del desarrollo tecnológico y urbano, como la contaminación por micro plásticos, las emisiones contaminantes emergentes o el manejo inadecuado de residuos electrónicos. Por ello, esta iniciativa propone una actualización responsable del tipo ambiental en cuatro objetivos claros.</w:t>
      </w:r>
    </w:p>
    <w:p w:rsidR="00A35DFE" w:rsidRPr="00CB38AA" w:rsidRDefault="00A35DFE" w:rsidP="00DF6EEA">
      <w:pPr>
        <w:spacing w:after="0" w:line="240" w:lineRule="auto"/>
        <w:ind w:firstLine="709"/>
        <w:jc w:val="both"/>
        <w:rPr>
          <w:rFonts w:ascii="Times New Roman" w:hAnsi="Times New Roman" w:cs="Times New Roman"/>
          <w:sz w:val="24"/>
          <w:szCs w:val="24"/>
        </w:rPr>
      </w:pPr>
      <w:r w:rsidRPr="00CB38AA">
        <w:rPr>
          <w:rFonts w:ascii="Times New Roman" w:hAnsi="Times New Roman" w:cs="Times New Roman"/>
          <w:sz w:val="24"/>
          <w:szCs w:val="24"/>
        </w:rPr>
        <w:t xml:space="preserve">Primero. Actualizar las conductas sancionadas incorporando nuevas modalidades de contaminación y daño ambiental que hoy quedan fuera de la norma penal. </w:t>
      </w:r>
    </w:p>
    <w:p w:rsidR="00A35DFE" w:rsidRPr="00CB38AA" w:rsidRDefault="00A35DFE" w:rsidP="00DF6EEA">
      <w:pPr>
        <w:spacing w:after="0" w:line="240" w:lineRule="auto"/>
        <w:ind w:firstLine="709"/>
        <w:jc w:val="both"/>
        <w:rPr>
          <w:rFonts w:ascii="Times New Roman" w:hAnsi="Times New Roman" w:cs="Times New Roman"/>
          <w:sz w:val="24"/>
          <w:szCs w:val="24"/>
        </w:rPr>
      </w:pPr>
      <w:r w:rsidRPr="00CB38AA">
        <w:rPr>
          <w:rFonts w:ascii="Times New Roman" w:hAnsi="Times New Roman" w:cs="Times New Roman"/>
          <w:sz w:val="24"/>
          <w:szCs w:val="24"/>
        </w:rPr>
        <w:t xml:space="preserve">Segundo. Incrementar las penas cuando exista una afectación grave, reiterada o irreversible, garantizando que la sanción sea proporcional al daño causado y tenga un verdadero efecto disuasorio. </w:t>
      </w:r>
    </w:p>
    <w:p w:rsidR="00A35DFE" w:rsidRPr="00CB38AA" w:rsidRDefault="00A35DFE" w:rsidP="00DF6EEA">
      <w:pPr>
        <w:spacing w:after="0" w:line="240" w:lineRule="auto"/>
        <w:ind w:firstLine="709"/>
        <w:jc w:val="both"/>
        <w:rPr>
          <w:rFonts w:ascii="Times New Roman" w:hAnsi="Times New Roman" w:cs="Times New Roman"/>
          <w:sz w:val="24"/>
          <w:szCs w:val="24"/>
        </w:rPr>
      </w:pPr>
      <w:r w:rsidRPr="00CB38AA">
        <w:rPr>
          <w:rFonts w:ascii="Times New Roman" w:hAnsi="Times New Roman" w:cs="Times New Roman"/>
          <w:sz w:val="24"/>
          <w:szCs w:val="24"/>
        </w:rPr>
        <w:t>Tercero. Incorporar agravantes cuando las conductas se cometan en zonas naturales protegidas, afecten especies en peligro de extinción, pongan en riesgo la salud humana o se realicen con el abuso de autoridad, reincidencia o colusión empresarial.</w:t>
      </w:r>
    </w:p>
    <w:p w:rsidR="00A35DFE" w:rsidRPr="00CB38AA" w:rsidRDefault="00A35DFE" w:rsidP="00DF6EEA">
      <w:pPr>
        <w:spacing w:after="0" w:line="240" w:lineRule="auto"/>
        <w:ind w:firstLine="709"/>
        <w:jc w:val="both"/>
        <w:rPr>
          <w:rFonts w:ascii="Times New Roman" w:hAnsi="Times New Roman" w:cs="Times New Roman"/>
          <w:sz w:val="24"/>
          <w:szCs w:val="24"/>
        </w:rPr>
      </w:pPr>
      <w:r w:rsidRPr="00CB38AA">
        <w:rPr>
          <w:rFonts w:ascii="Times New Roman" w:hAnsi="Times New Roman" w:cs="Times New Roman"/>
          <w:sz w:val="24"/>
          <w:szCs w:val="24"/>
        </w:rPr>
        <w:t>Cuarto. Establecer mecanismos efectivos de reparación del daño ambiental, obligando a los responsables no solo a responder penalmente, sino a restaurar a la medida de lo posible, el equilibrio ecológico que han dañado; de manera especial, esta iniciativa incorpora la adición de la fracción XI del artículo 228, destinada a proteger los sistemas de monitoreo ambiental, sensores, estaciones meteorológicas y equipos de vigilancia ambiental, estos instrumentos no son simples dispositivos técnicos, son herramientas esenciales para prevenir riesgos, proteger a la población y tomar decisiones informadas frente a emergencias ambientales. La alteración, destrucción, obstaculización dolosa de estos sistemas compromete la seguridad de comunidades enteras y debilita la capacidad del Estado para cumplir con su obligación de proteger el medio ambiente.</w:t>
      </w:r>
    </w:p>
    <w:p w:rsidR="00A35DFE" w:rsidRPr="00CB38AA" w:rsidRDefault="00A35DFE" w:rsidP="00DF6EEA">
      <w:pPr>
        <w:spacing w:after="0" w:line="240" w:lineRule="auto"/>
        <w:ind w:firstLine="709"/>
        <w:jc w:val="both"/>
        <w:rPr>
          <w:rFonts w:ascii="Times New Roman" w:hAnsi="Times New Roman" w:cs="Times New Roman"/>
          <w:sz w:val="24"/>
          <w:szCs w:val="24"/>
        </w:rPr>
      </w:pPr>
      <w:r w:rsidRPr="00CB38AA">
        <w:rPr>
          <w:rFonts w:ascii="Times New Roman" w:hAnsi="Times New Roman" w:cs="Times New Roman"/>
          <w:sz w:val="24"/>
          <w:szCs w:val="24"/>
        </w:rPr>
        <w:t xml:space="preserve">En un contexto de cambio climático y degradación ambiental acelerada, atentar contra la información ambiental es atentar contra la seguridad colectiva; asimismo, el incremento de penas de 6 a 12 años de prisión y de 500 a 2 mil días multa, responde a una realidad innegable al daño ambiental que tienen efectos prolongados acumulativos y muchas veces irreversibles se trata de enviar un mensaje claro y firme en el Estado de México, el medio ambiente se protege con seriedad y con responsabilidad la incorporación de agravantes reconoce que todos los daños ambientales son iguales, es distinto contaminar de manera aislada que destruir un ecosistema estratégico no es lo mismo afectar un terreno con daño común que un área natural protegida y es especialmente grave cuando estas conductas afectan a comunidades indígenas rurales, vulnerando derechos colectivos y formas de vidas ancestrales. En esta forma no surge del capítulo ni de una visión punitiva desmedida surge del mandato constitucional de proteger al medio ambiente y de los compromisos internacionales asumidos por México y, sobre todo, de una responsabilidad ética con las generaciones que aún no tienen voz, pero que heredan las consecuencias de nuestras decisiones.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Compañeras, compañeros, compañere, legislar en materia ambiental es legislar para un futuro, es decir, si queremos el Estado que tolere la degradación silenciosa o uno que actúe con firmeza y visión de largo plazo. Por estas razones someto a su consideración esta Iniciativa Convenio de que fortalecer el artículo 228 Código Penal del Estado de México es un paso necesario para garantizar un desarrollo verdaderamente sustentable, justo y responsable. Por lo que solicito respetuosamente se inserte de forma íntegra al Diario de los Debates y la Gaceta Parlamentaria.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lastRenderedPageBreak/>
        <w:tab/>
        <w:t>Es cuanto, diputada Presidenta. Muchas gracias.</w:t>
      </w:r>
    </w:p>
    <w:p w:rsidR="00972996" w:rsidRPr="00CB38AA" w:rsidRDefault="00972996" w:rsidP="00DF6EEA">
      <w:pPr>
        <w:pStyle w:val="Sinespaciado"/>
        <w:jc w:val="both"/>
        <w:rPr>
          <w:rFonts w:ascii="Times New Roman" w:hAnsi="Times New Roman" w:cs="Times New Roman"/>
          <w:sz w:val="24"/>
          <w:szCs w:val="24"/>
        </w:rPr>
      </w:pPr>
    </w:p>
    <w:p w:rsidR="00972996" w:rsidRPr="00CB38AA" w:rsidRDefault="00972996" w:rsidP="00DF6EEA">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(Se inserta documento)</w:t>
      </w:r>
    </w:p>
    <w:p w:rsidR="00972996" w:rsidRPr="00CB38AA" w:rsidRDefault="00972996" w:rsidP="00DF6EEA">
      <w:pPr>
        <w:spacing w:after="0" w:line="240" w:lineRule="auto"/>
        <w:jc w:val="center"/>
        <w:rPr>
          <w:rFonts w:ascii="Times New Roman" w:hAnsi="Times New Roman" w:cs="Times New Roman"/>
          <w:sz w:val="24"/>
          <w:szCs w:val="24"/>
        </w:rPr>
      </w:pPr>
    </w:p>
    <w:p w:rsidR="00972996" w:rsidRPr="00CB38AA" w:rsidRDefault="00972996" w:rsidP="00DF6EEA">
      <w:pPr>
        <w:spacing w:after="0" w:line="240" w:lineRule="auto"/>
        <w:jc w:val="center"/>
        <w:rPr>
          <w:rFonts w:ascii="Times New Roman" w:eastAsia="Segoe UI" w:hAnsi="Times New Roman" w:cs="Times New Roman"/>
          <w:sz w:val="24"/>
          <w:szCs w:val="24"/>
        </w:rPr>
      </w:pPr>
      <w:r w:rsidRPr="00CB38AA">
        <w:rPr>
          <w:rFonts w:ascii="Times New Roman" w:eastAsia="Segoe UI" w:hAnsi="Times New Roman" w:cs="Times New Roman"/>
          <w:sz w:val="24"/>
          <w:szCs w:val="24"/>
        </w:rPr>
        <w:t>GRUPO PARLAMENTARIO morena</w:t>
      </w:r>
    </w:p>
    <w:p w:rsidR="00972996" w:rsidRPr="00CB38AA" w:rsidRDefault="00972996" w:rsidP="00DF6EEA">
      <w:pPr>
        <w:spacing w:after="0" w:line="240" w:lineRule="auto"/>
        <w:jc w:val="center"/>
        <w:rPr>
          <w:rFonts w:ascii="Times New Roman" w:eastAsia="Times New Roman" w:hAnsi="Times New Roman" w:cs="Times New Roman"/>
          <w:sz w:val="24"/>
          <w:szCs w:val="24"/>
        </w:rPr>
      </w:pPr>
    </w:p>
    <w:p w:rsidR="00972996" w:rsidRPr="00CB38AA" w:rsidRDefault="00972996" w:rsidP="00DF6EEA">
      <w:pPr>
        <w:spacing w:after="0" w:line="240" w:lineRule="auto"/>
        <w:jc w:val="center"/>
        <w:rPr>
          <w:rFonts w:ascii="Times New Roman" w:eastAsia="Segoe UI" w:hAnsi="Times New Roman" w:cs="Times New Roman"/>
          <w:sz w:val="24"/>
          <w:szCs w:val="24"/>
        </w:rPr>
      </w:pPr>
      <w:r w:rsidRPr="00CB38AA">
        <w:rPr>
          <w:rFonts w:ascii="Times New Roman" w:eastAsia="Segoe UI" w:hAnsi="Times New Roman" w:cs="Times New Roman"/>
          <w:sz w:val="24"/>
          <w:szCs w:val="24"/>
        </w:rPr>
        <w:t>“2025. Bicentenario de la Vida Municipal en el Estado de México”</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right"/>
        <w:rPr>
          <w:rFonts w:ascii="Times New Roman" w:eastAsia="Arial" w:hAnsi="Times New Roman" w:cs="Times New Roman"/>
          <w:sz w:val="24"/>
          <w:szCs w:val="24"/>
        </w:rPr>
      </w:pPr>
      <w:r w:rsidRPr="00CB38AA">
        <w:rPr>
          <w:rFonts w:ascii="Times New Roman" w:eastAsia="Arial" w:hAnsi="Times New Roman" w:cs="Times New Roman"/>
          <w:b/>
          <w:sz w:val="24"/>
          <w:szCs w:val="24"/>
        </w:rPr>
        <w:t>Toluca, Capital del Estado de México, a --------- del 2025</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rPr>
          <w:rFonts w:ascii="Times New Roman" w:eastAsia="Arial" w:hAnsi="Times New Roman" w:cs="Times New Roman"/>
          <w:b/>
          <w:sz w:val="24"/>
          <w:szCs w:val="24"/>
        </w:rPr>
      </w:pPr>
      <w:r w:rsidRPr="00CB38AA">
        <w:rPr>
          <w:rFonts w:ascii="Times New Roman" w:eastAsia="Arial" w:hAnsi="Times New Roman" w:cs="Times New Roman"/>
          <w:b/>
          <w:sz w:val="24"/>
          <w:szCs w:val="24"/>
        </w:rPr>
        <w:t>DIPUTADA MARTHA AZUCENA CAMACHO REYNOSO</w:t>
      </w:r>
    </w:p>
    <w:p w:rsidR="00972996" w:rsidRPr="00CB38AA" w:rsidRDefault="00972996"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PRESIDENTA DE LA MESA DIRECTIVA DE LA</w:t>
      </w:r>
    </w:p>
    <w:p w:rsidR="00972996" w:rsidRPr="00CB38AA" w:rsidRDefault="00972996" w:rsidP="00DF6EEA">
      <w:pPr>
        <w:spacing w:after="0" w:line="240" w:lineRule="auto"/>
        <w:rPr>
          <w:rFonts w:ascii="Times New Roman" w:eastAsia="Arial" w:hAnsi="Times New Roman" w:cs="Times New Roman"/>
          <w:b/>
          <w:sz w:val="24"/>
          <w:szCs w:val="24"/>
        </w:rPr>
      </w:pPr>
      <w:r w:rsidRPr="00CB38AA">
        <w:rPr>
          <w:rFonts w:ascii="Times New Roman" w:eastAsia="Arial" w:hAnsi="Times New Roman" w:cs="Times New Roman"/>
          <w:b/>
          <w:sz w:val="24"/>
          <w:szCs w:val="24"/>
        </w:rPr>
        <w:t>LXII LEGISLATURA DEL ESTADO LIBRE Y</w:t>
      </w:r>
    </w:p>
    <w:p w:rsidR="00972996" w:rsidRPr="00CB38AA" w:rsidRDefault="00972996"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SOBERANO DE MÉXICO.</w:t>
      </w: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P R E S E N T E.</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El que suscribe, </w:t>
      </w:r>
      <w:r w:rsidRPr="00CB38AA">
        <w:rPr>
          <w:rFonts w:ascii="Times New Roman" w:eastAsia="Arial" w:hAnsi="Times New Roman" w:cs="Times New Roman"/>
          <w:b/>
          <w:sz w:val="24"/>
          <w:szCs w:val="24"/>
        </w:rPr>
        <w:t>DIPUTADO JAVIER CRUZ JARAMILLO</w:t>
      </w:r>
      <w:r w:rsidRPr="00CB38AA">
        <w:rPr>
          <w:rFonts w:ascii="Times New Roman" w:eastAsia="Arial" w:hAnsi="Times New Roman" w:cs="Times New Roman"/>
          <w:sz w:val="24"/>
          <w:szCs w:val="24"/>
        </w:rPr>
        <w:t xml:space="preserve">, integrante del Grupo Parlamentario del Movimiento de Regeneración Nacional de la LXII Legislatura, con fundamento en lo dispuesto en los artículo 71 fracción III de la Constitución Política de los Estados Unidos Mexicanos; artículos 51 fracción II; 57 y 61 fracción I de la Constitución Política del Estado Libre y Soberano de México; 28 fracción I, 38 fracción II, 79 y 81 de la Ley Orgánica del Poder Legislativo del Estado Libre y Soberano de México, así como 68 del Reglamento del Poder Legislativo del Estado Libre y Soberano de México, someto a la consideración de este órgano legislativo, la presente </w:t>
      </w:r>
      <w:r w:rsidRPr="00CB38AA">
        <w:rPr>
          <w:rFonts w:ascii="Times New Roman" w:eastAsia="Arial" w:hAnsi="Times New Roman" w:cs="Times New Roman"/>
          <w:b/>
          <w:sz w:val="24"/>
          <w:szCs w:val="24"/>
        </w:rPr>
        <w:t>Iniciativa con Proyecto de Decreto, por el que se reforma el artículo 228, con adición de la fracción XI del Código Penal del Estado de México, con sustento en la siguiente:</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EXPOSICIÓN DE MOTIVOS</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El medio ambiente constituye un bien jurídico fundamental para la vida y el desarrollo sostenible de la sociedad. En los últimos años, el Estado de México ha enfrentado un incremento significativo en conductas que deterioran los ecosistemas, tales como la tala ilegal, la contaminación de cuerpos de agua, la emisión de contaminantes atmosféricos y la generación de residuos peligrosos sin control. Estas prácticas no solo afectan la biodiversidad, sino que también ponen en riesgo la salud pública y la calidad de vida de las generaciones presentes y futuras.</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El artículo 228 del Código Penal del Estado de México establece sanciones para quienes, de manera intencional, realicen actos que contravengan disposiciones ambientales. Sin embargo, la realidad actual exige </w:t>
      </w:r>
      <w:r w:rsidRPr="00CB38AA">
        <w:rPr>
          <w:rFonts w:ascii="Times New Roman" w:eastAsia="Arial" w:hAnsi="Times New Roman" w:cs="Times New Roman"/>
          <w:b/>
          <w:sz w:val="24"/>
          <w:szCs w:val="24"/>
        </w:rPr>
        <w:t xml:space="preserve">fortalecer este marco normativo </w:t>
      </w:r>
      <w:r w:rsidRPr="00CB38AA">
        <w:rPr>
          <w:rFonts w:ascii="Times New Roman" w:eastAsia="Arial" w:hAnsi="Times New Roman" w:cs="Times New Roman"/>
          <w:sz w:val="24"/>
          <w:szCs w:val="24"/>
        </w:rPr>
        <w:t>para garantizar una protección más eficaz del medio ambiente. Las sanciones previstas resultan insuficientes frente al daño ocasionado y no contemplan nuevas modalidades de afectación derivadas del desarrollo tecnológico y urbano, como la contaminación por microplásticos, emisiones digitales y el manejo inadecuado de residuos electrónicos.</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Times New Roman" w:hAnsi="Times New Roman" w:cs="Times New Roman"/>
          <w:sz w:val="24"/>
          <w:szCs w:val="24"/>
        </w:rPr>
      </w:pPr>
      <w:r w:rsidRPr="00CB38AA">
        <w:rPr>
          <w:rFonts w:ascii="Times New Roman" w:eastAsia="Arial" w:hAnsi="Times New Roman" w:cs="Times New Roman"/>
          <w:sz w:val="24"/>
          <w:szCs w:val="24"/>
        </w:rPr>
        <w:t xml:space="preserve">Asimismo, se observa la necesidad de </w:t>
      </w:r>
      <w:r w:rsidRPr="00CB38AA">
        <w:rPr>
          <w:rFonts w:ascii="Times New Roman" w:eastAsia="Arial" w:hAnsi="Times New Roman" w:cs="Times New Roman"/>
          <w:b/>
          <w:sz w:val="24"/>
          <w:szCs w:val="24"/>
        </w:rPr>
        <w:t>precisar conceptos y ampliar supuestos de responsabilidad</w:t>
      </w:r>
      <w:r w:rsidRPr="00CB38AA">
        <w:rPr>
          <w:rFonts w:ascii="Times New Roman" w:eastAsia="Arial" w:hAnsi="Times New Roman" w:cs="Times New Roman"/>
          <w:sz w:val="24"/>
          <w:szCs w:val="24"/>
        </w:rPr>
        <w:t>, incorporando conductas que hoy no están tipificadas, como la alteración de áreas naturales protegidas mediante actividades clandestinas, el uso de sustancias químicas que afecten la fertilidad del suelo, y la omisión de medidas de mitigación en proyectos de alto impacto ambiental.</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Por lo anterior, se propone reformar el artículo 228 para:</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1. </w:t>
      </w:r>
      <w:r w:rsidRPr="00CB38AA">
        <w:rPr>
          <w:rFonts w:ascii="Times New Roman" w:eastAsia="Arial" w:hAnsi="Times New Roman" w:cs="Times New Roman"/>
          <w:b/>
          <w:sz w:val="24"/>
          <w:szCs w:val="24"/>
        </w:rPr>
        <w:t>Actualizar las conductas sancionadas</w:t>
      </w:r>
      <w:r w:rsidRPr="00CB38AA">
        <w:rPr>
          <w:rFonts w:ascii="Times New Roman" w:eastAsia="Arial" w:hAnsi="Times New Roman" w:cs="Times New Roman"/>
          <w:sz w:val="24"/>
          <w:szCs w:val="24"/>
        </w:rPr>
        <w:t>, incluyendo nuevas formas de contaminación y daño ambiental.</w:t>
      </w: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2. </w:t>
      </w:r>
      <w:r w:rsidRPr="00CB38AA">
        <w:rPr>
          <w:rFonts w:ascii="Times New Roman" w:eastAsia="Arial" w:hAnsi="Times New Roman" w:cs="Times New Roman"/>
          <w:b/>
          <w:sz w:val="24"/>
          <w:szCs w:val="24"/>
        </w:rPr>
        <w:t xml:space="preserve">Incrementar las penas </w:t>
      </w:r>
      <w:r w:rsidRPr="00CB38AA">
        <w:rPr>
          <w:rFonts w:ascii="Times New Roman" w:eastAsia="Arial" w:hAnsi="Times New Roman" w:cs="Times New Roman"/>
          <w:sz w:val="24"/>
          <w:szCs w:val="24"/>
        </w:rPr>
        <w:t>en casos de afectación grave o reiterada, así como cuando el daño sea irreversible.</w:t>
      </w: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3. </w:t>
      </w:r>
      <w:r w:rsidRPr="00CB38AA">
        <w:rPr>
          <w:rFonts w:ascii="Times New Roman" w:eastAsia="Arial" w:hAnsi="Times New Roman" w:cs="Times New Roman"/>
          <w:b/>
          <w:sz w:val="24"/>
          <w:szCs w:val="24"/>
        </w:rPr>
        <w:t xml:space="preserve">Incorporar agravantes </w:t>
      </w:r>
      <w:r w:rsidRPr="00CB38AA">
        <w:rPr>
          <w:rFonts w:ascii="Times New Roman" w:eastAsia="Arial" w:hAnsi="Times New Roman" w:cs="Times New Roman"/>
          <w:sz w:val="24"/>
          <w:szCs w:val="24"/>
        </w:rPr>
        <w:t>cuando las conductas se realicen en zonas protegidas, afecten especies en peligro de extinción o pongan en riesgo la salud humana.</w:t>
      </w: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4. </w:t>
      </w:r>
      <w:r w:rsidRPr="00CB38AA">
        <w:rPr>
          <w:rFonts w:ascii="Times New Roman" w:eastAsia="Arial" w:hAnsi="Times New Roman" w:cs="Times New Roman"/>
          <w:b/>
          <w:sz w:val="24"/>
          <w:szCs w:val="24"/>
        </w:rPr>
        <w:t>Establecer mecanismos de reparación del daño ambiental</w:t>
      </w:r>
      <w:r w:rsidRPr="00CB38AA">
        <w:rPr>
          <w:rFonts w:ascii="Times New Roman" w:eastAsia="Arial" w:hAnsi="Times New Roman" w:cs="Times New Roman"/>
          <w:sz w:val="24"/>
          <w:szCs w:val="24"/>
        </w:rPr>
        <w:t>, obligando a los responsables a implementar acciones de restauración.</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Justificación de la adición de la fracción XI (protección de sistemas de monitoreo)</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 incorporación de esta fracción responde a la necesidad de proteger los sistemas de monitoreo ambiental, sensores, estaciones meteorológicas y equipos destinados a la vigilancia y prevención de riesgos ambientales, que son herramientas esenciales para la gestión sostenible del territorio y la protección de la población. Su alteración, destrucción u obstaculización no solo impide la correcta aplicación de políticas ambientales, sino que también pone en riesgo la salud pública, la seguridad de las comunidades y la integridad de los ecosistemas. En el contexto actual, donde el cambio climático y la degradación ambiental son problemas prioritarios, la información generada por estos sistemas es crítica para la toma de decisiones y la activación de protocolos de emergencia. Por ello, se considera indispensable tipificar como delito la afectación dolosa a estos equipos, estableciendo sanciones severas que desincentiven estas conductas.</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Justificación del incremento de penas</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El daño ambiental ocasionado por actos como la tala ilegal, la contaminación de cuerpos de agua, la emisión de contaminantes atmosféricos y la destrucción de áreas naturales protegidas tiene efectos prolongados y, en muchos casos, irreversibles. Estos ilícitos no solo afectan el equilibrio ecológico, sino que también generan riesgos directos para la salud humana y pérdidas económicas significativas. Por ello, se propone aumentar la pena de prisión de </w:t>
      </w:r>
      <w:r w:rsidRPr="00CB38AA">
        <w:rPr>
          <w:rFonts w:ascii="Times New Roman" w:eastAsia="Arial" w:hAnsi="Times New Roman" w:cs="Times New Roman"/>
          <w:b/>
          <w:sz w:val="24"/>
          <w:szCs w:val="24"/>
        </w:rPr>
        <w:t xml:space="preserve">seis a doce años </w:t>
      </w:r>
      <w:r w:rsidRPr="00CB38AA">
        <w:rPr>
          <w:rFonts w:ascii="Times New Roman" w:eastAsia="Arial" w:hAnsi="Times New Roman" w:cs="Times New Roman"/>
          <w:sz w:val="24"/>
          <w:szCs w:val="24"/>
        </w:rPr>
        <w:t xml:space="preserve">y la multa de </w:t>
      </w:r>
      <w:r w:rsidRPr="00CB38AA">
        <w:rPr>
          <w:rFonts w:ascii="Times New Roman" w:eastAsia="Arial" w:hAnsi="Times New Roman" w:cs="Times New Roman"/>
          <w:b/>
          <w:sz w:val="24"/>
          <w:szCs w:val="24"/>
        </w:rPr>
        <w:t>quinientos a dos mil días</w:t>
      </w:r>
      <w:r w:rsidRPr="00CB38AA">
        <w:rPr>
          <w:rFonts w:ascii="Times New Roman" w:eastAsia="Arial" w:hAnsi="Times New Roman" w:cs="Times New Roman"/>
          <w:sz w:val="24"/>
          <w:szCs w:val="24"/>
        </w:rPr>
        <w:t>, con el objetivo de fortalecer el carácter disuasorio de la norma y garantizar una sanción proporcional al daño causado.</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Justificación de los agravantes</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Times New Roman" w:hAnsi="Times New Roman" w:cs="Times New Roman"/>
          <w:sz w:val="24"/>
          <w:szCs w:val="24"/>
        </w:rPr>
      </w:pPr>
      <w:r w:rsidRPr="00CB38AA">
        <w:rPr>
          <w:rFonts w:ascii="Times New Roman" w:eastAsia="Arial" w:hAnsi="Times New Roman" w:cs="Times New Roman"/>
          <w:sz w:val="24"/>
          <w:szCs w:val="24"/>
        </w:rPr>
        <w:t>La reforma incorpora agravantes que reflejan la gravedad de ciertas conductas y su impacto social y ambiental. Se considera necesario aumentar la sanción cuando:</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Segoe MDL2 Assets" w:hAnsi="Times New Roman" w:cs="Times New Roman"/>
          <w:sz w:val="24"/>
          <w:szCs w:val="24"/>
        </w:rPr>
        <w:t></w:t>
      </w:r>
      <w:r w:rsidRPr="00CB38AA">
        <w:rPr>
          <w:rFonts w:ascii="Times New Roman" w:eastAsia="Segoe MDL2 Assets" w:hAnsi="Times New Roman" w:cs="Times New Roman"/>
          <w:sz w:val="24"/>
          <w:szCs w:val="24"/>
        </w:rPr>
        <w:tab/>
      </w:r>
      <w:r w:rsidRPr="00CB38AA">
        <w:rPr>
          <w:rFonts w:ascii="Times New Roman" w:eastAsia="Arial" w:hAnsi="Times New Roman" w:cs="Times New Roman"/>
          <w:b/>
          <w:sz w:val="24"/>
          <w:szCs w:val="24"/>
        </w:rPr>
        <w:t>El daño sea irreversible o afecte ecosistemas estratégicos</w:t>
      </w:r>
      <w:r w:rsidRPr="00CB38AA">
        <w:rPr>
          <w:rFonts w:ascii="Times New Roman" w:eastAsia="Arial" w:hAnsi="Times New Roman" w:cs="Times New Roman"/>
          <w:sz w:val="24"/>
          <w:szCs w:val="24"/>
        </w:rPr>
        <w:t>, pues estas áreas son esenciales para la recarga hídrica, la regulación climática y la conservación de especies.</w:t>
      </w: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Segoe MDL2 Assets" w:hAnsi="Times New Roman" w:cs="Times New Roman"/>
          <w:sz w:val="24"/>
          <w:szCs w:val="24"/>
        </w:rPr>
        <w:t></w:t>
      </w:r>
      <w:r w:rsidRPr="00CB38AA">
        <w:rPr>
          <w:rFonts w:ascii="Times New Roman" w:eastAsia="Segoe MDL2 Assets" w:hAnsi="Times New Roman" w:cs="Times New Roman"/>
          <w:sz w:val="24"/>
          <w:szCs w:val="24"/>
        </w:rPr>
        <w:tab/>
      </w:r>
      <w:r w:rsidRPr="00CB38AA">
        <w:rPr>
          <w:rFonts w:ascii="Times New Roman" w:eastAsia="Arial" w:hAnsi="Times New Roman" w:cs="Times New Roman"/>
          <w:b/>
          <w:sz w:val="24"/>
          <w:szCs w:val="24"/>
        </w:rPr>
        <w:t>Se realice en áreas naturales protegidas o humedales</w:t>
      </w:r>
      <w:r w:rsidRPr="00CB38AA">
        <w:rPr>
          <w:rFonts w:ascii="Times New Roman" w:eastAsia="Arial" w:hAnsi="Times New Roman" w:cs="Times New Roman"/>
          <w:sz w:val="24"/>
          <w:szCs w:val="24"/>
        </w:rPr>
        <w:t>, dado que son zonas prioritarias para la biodiversidad y el equilibrio ecológico.</w:t>
      </w: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Segoe MDL2 Assets" w:hAnsi="Times New Roman" w:cs="Times New Roman"/>
          <w:sz w:val="24"/>
          <w:szCs w:val="24"/>
        </w:rPr>
        <w:t></w:t>
      </w:r>
      <w:r w:rsidRPr="00CB38AA">
        <w:rPr>
          <w:rFonts w:ascii="Times New Roman" w:eastAsia="Segoe MDL2 Assets" w:hAnsi="Times New Roman" w:cs="Times New Roman"/>
          <w:sz w:val="24"/>
          <w:szCs w:val="24"/>
        </w:rPr>
        <w:tab/>
      </w:r>
      <w:r w:rsidRPr="00CB38AA">
        <w:rPr>
          <w:rFonts w:ascii="Times New Roman" w:eastAsia="Arial" w:hAnsi="Times New Roman" w:cs="Times New Roman"/>
          <w:b/>
          <w:sz w:val="24"/>
          <w:szCs w:val="24"/>
        </w:rPr>
        <w:t>Se afecten especies en peligro de extinción</w:t>
      </w:r>
      <w:r w:rsidRPr="00CB38AA">
        <w:rPr>
          <w:rFonts w:ascii="Times New Roman" w:eastAsia="Arial" w:hAnsi="Times New Roman" w:cs="Times New Roman"/>
          <w:sz w:val="24"/>
          <w:szCs w:val="24"/>
        </w:rPr>
        <w:t>, lo que implica una pérdida irreparable para el patrimonio natural.</w:t>
      </w: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Segoe MDL2 Assets" w:hAnsi="Times New Roman" w:cs="Times New Roman"/>
          <w:sz w:val="24"/>
          <w:szCs w:val="24"/>
        </w:rPr>
        <w:t></w:t>
      </w:r>
      <w:r w:rsidRPr="00CB38AA">
        <w:rPr>
          <w:rFonts w:ascii="Times New Roman" w:eastAsia="Segoe MDL2 Assets" w:hAnsi="Times New Roman" w:cs="Times New Roman"/>
          <w:sz w:val="24"/>
          <w:szCs w:val="24"/>
        </w:rPr>
        <w:tab/>
      </w:r>
      <w:r w:rsidRPr="00CB38AA">
        <w:rPr>
          <w:rFonts w:ascii="Times New Roman" w:eastAsia="Arial" w:hAnsi="Times New Roman" w:cs="Times New Roman"/>
          <w:b/>
          <w:sz w:val="24"/>
          <w:szCs w:val="24"/>
        </w:rPr>
        <w:t>Se utilicen sustancias tóxicas que pongan en riesgo la salud humana</w:t>
      </w:r>
      <w:r w:rsidRPr="00CB38AA">
        <w:rPr>
          <w:rFonts w:ascii="Times New Roman" w:eastAsia="Arial" w:hAnsi="Times New Roman" w:cs="Times New Roman"/>
          <w:sz w:val="24"/>
          <w:szCs w:val="24"/>
        </w:rPr>
        <w:t>, ya que estas conductas trascienden el ámbito ambiental y comprometen la integridad física de las personas.</w:t>
      </w: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Segoe MDL2 Assets" w:hAnsi="Times New Roman" w:cs="Times New Roman"/>
          <w:sz w:val="24"/>
          <w:szCs w:val="24"/>
        </w:rPr>
        <w:lastRenderedPageBreak/>
        <w:t></w:t>
      </w:r>
      <w:r w:rsidRPr="00CB38AA">
        <w:rPr>
          <w:rFonts w:ascii="Times New Roman" w:eastAsia="Segoe MDL2 Assets" w:hAnsi="Times New Roman" w:cs="Times New Roman"/>
          <w:sz w:val="24"/>
          <w:szCs w:val="24"/>
        </w:rPr>
        <w:tab/>
      </w:r>
      <w:r w:rsidRPr="00CB38AA">
        <w:rPr>
          <w:rFonts w:ascii="Times New Roman" w:eastAsia="Arial" w:hAnsi="Times New Roman" w:cs="Times New Roman"/>
          <w:b/>
          <w:sz w:val="24"/>
          <w:szCs w:val="24"/>
        </w:rPr>
        <w:t>El responsable sea servidor público o actúe con abuso de autoridad</w:t>
      </w:r>
      <w:r w:rsidRPr="00CB38AA">
        <w:rPr>
          <w:rFonts w:ascii="Times New Roman" w:eastAsia="Arial" w:hAnsi="Times New Roman" w:cs="Times New Roman"/>
          <w:sz w:val="24"/>
          <w:szCs w:val="24"/>
        </w:rPr>
        <w:t>, porque se trata de una traición a la confianza pública y un incumplimiento grave del deber legal.</w:t>
      </w: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Segoe MDL2 Assets" w:hAnsi="Times New Roman" w:cs="Times New Roman"/>
          <w:sz w:val="24"/>
          <w:szCs w:val="24"/>
        </w:rPr>
        <w:t></w:t>
      </w:r>
      <w:r w:rsidRPr="00CB38AA">
        <w:rPr>
          <w:rFonts w:ascii="Times New Roman" w:eastAsia="Segoe MDL2 Assets" w:hAnsi="Times New Roman" w:cs="Times New Roman"/>
          <w:sz w:val="24"/>
          <w:szCs w:val="24"/>
        </w:rPr>
        <w:tab/>
      </w:r>
      <w:r w:rsidRPr="00CB38AA">
        <w:rPr>
          <w:rFonts w:ascii="Times New Roman" w:eastAsia="Arial" w:hAnsi="Times New Roman" w:cs="Times New Roman"/>
          <w:b/>
          <w:sz w:val="24"/>
          <w:szCs w:val="24"/>
        </w:rPr>
        <w:t>Exista reincidencia o colusión empresarial</w:t>
      </w:r>
      <w:r w:rsidRPr="00CB38AA">
        <w:rPr>
          <w:rFonts w:ascii="Times New Roman" w:eastAsia="Arial" w:hAnsi="Times New Roman" w:cs="Times New Roman"/>
          <w:sz w:val="24"/>
          <w:szCs w:val="24"/>
        </w:rPr>
        <w:t>, lo que evidencia una conducta sistemática y organizada para lucrar a costa del medio ambiente.</w:t>
      </w: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Segoe MDL2 Assets" w:hAnsi="Times New Roman" w:cs="Times New Roman"/>
          <w:sz w:val="24"/>
          <w:szCs w:val="24"/>
        </w:rPr>
        <w:t></w:t>
      </w:r>
      <w:r w:rsidRPr="00CB38AA">
        <w:rPr>
          <w:rFonts w:ascii="Times New Roman" w:eastAsia="Segoe MDL2 Assets" w:hAnsi="Times New Roman" w:cs="Times New Roman"/>
          <w:sz w:val="24"/>
          <w:szCs w:val="24"/>
        </w:rPr>
        <w:tab/>
      </w:r>
      <w:r w:rsidRPr="00CB38AA">
        <w:rPr>
          <w:rFonts w:ascii="Times New Roman" w:eastAsia="Arial" w:hAnsi="Times New Roman" w:cs="Times New Roman"/>
          <w:b/>
          <w:sz w:val="24"/>
          <w:szCs w:val="24"/>
        </w:rPr>
        <w:t>El daño afecte comunidades indígenas o rurales</w:t>
      </w:r>
      <w:r w:rsidRPr="00CB38AA">
        <w:rPr>
          <w:rFonts w:ascii="Times New Roman" w:eastAsia="Arial" w:hAnsi="Times New Roman" w:cs="Times New Roman"/>
          <w:sz w:val="24"/>
          <w:szCs w:val="24"/>
        </w:rPr>
        <w:t>, vulnerando derechos colectivos y modos de vida tradicionales.</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Esta reforma busca armonizar la legislación penal con los principios constitucionales de protección al medio ambiente y desarrollo sustentable, así como con los compromisos internacionales asumidos por México en materia ambiental.</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En tal virtud, se somete a consideración de esta Honorable LXII Legislatura la presente iniciativa con proyecto de decreto </w:t>
      </w:r>
      <w:r w:rsidRPr="00CB38AA">
        <w:rPr>
          <w:rFonts w:ascii="Times New Roman" w:eastAsia="Arial" w:hAnsi="Times New Roman" w:cs="Times New Roman"/>
          <w:b/>
          <w:sz w:val="24"/>
          <w:szCs w:val="24"/>
        </w:rPr>
        <w:t>por el que se reforma el artículo 228, con adición de la fracción XI del Código Penal del Estado de México</w:t>
      </w:r>
      <w:r w:rsidRPr="00CB38AA">
        <w:rPr>
          <w:rFonts w:ascii="Times New Roman" w:eastAsia="Arial" w:hAnsi="Times New Roman" w:cs="Times New Roman"/>
          <w:sz w:val="24"/>
          <w:szCs w:val="24"/>
        </w:rPr>
        <w:t>, para que, de estimarla procedente, se apruebe en sus términos expuestos.</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center"/>
        <w:rPr>
          <w:rFonts w:ascii="Times New Roman" w:eastAsia="Arial" w:hAnsi="Times New Roman" w:cs="Times New Roman"/>
          <w:b/>
          <w:sz w:val="24"/>
          <w:szCs w:val="24"/>
        </w:rPr>
      </w:pPr>
      <w:r w:rsidRPr="00CB38AA">
        <w:rPr>
          <w:rFonts w:ascii="Times New Roman" w:eastAsia="Arial" w:hAnsi="Times New Roman" w:cs="Times New Roman"/>
          <w:b/>
          <w:sz w:val="24"/>
          <w:szCs w:val="24"/>
        </w:rPr>
        <w:t>ATENTAMENTE</w:t>
      </w:r>
    </w:p>
    <w:p w:rsidR="00972996" w:rsidRPr="00CB38AA" w:rsidRDefault="00972996" w:rsidP="00DF6EEA">
      <w:pPr>
        <w:spacing w:after="0" w:line="240" w:lineRule="auto"/>
        <w:jc w:val="center"/>
        <w:rPr>
          <w:rFonts w:ascii="Times New Roman" w:eastAsia="Times New Roman" w:hAnsi="Times New Roman" w:cs="Times New Roman"/>
          <w:sz w:val="24"/>
          <w:szCs w:val="24"/>
        </w:rPr>
      </w:pPr>
      <w:r w:rsidRPr="00CB38AA">
        <w:rPr>
          <w:rFonts w:ascii="Times New Roman" w:eastAsia="Arial" w:hAnsi="Times New Roman" w:cs="Times New Roman"/>
          <w:b/>
          <w:sz w:val="24"/>
          <w:szCs w:val="24"/>
        </w:rPr>
        <w:t>DIPUTADO JAVIER CRUZ JARAMILLO</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PROYECTO DE DECRETO</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DECRETO NÚMERO_</w:t>
      </w:r>
    </w:p>
    <w:p w:rsidR="00972996" w:rsidRPr="00CB38AA" w:rsidRDefault="00972996" w:rsidP="00DF6EEA">
      <w:pPr>
        <w:spacing w:after="0" w:line="240" w:lineRule="auto"/>
        <w:rPr>
          <w:rFonts w:ascii="Times New Roman" w:eastAsia="Arial" w:hAnsi="Times New Roman" w:cs="Times New Roman"/>
          <w:b/>
          <w:sz w:val="24"/>
          <w:szCs w:val="24"/>
        </w:rPr>
      </w:pPr>
      <w:r w:rsidRPr="00CB38AA">
        <w:rPr>
          <w:rFonts w:ascii="Times New Roman" w:eastAsia="Arial" w:hAnsi="Times New Roman" w:cs="Times New Roman"/>
          <w:b/>
          <w:sz w:val="24"/>
          <w:szCs w:val="24"/>
        </w:rPr>
        <w:t>LA H. “LXII” LEGISLATURA DEL ESTADO DE MÉXICO</w:t>
      </w:r>
    </w:p>
    <w:p w:rsidR="00972996" w:rsidRPr="00CB38AA" w:rsidRDefault="00972996"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DECRETA:</w:t>
      </w:r>
    </w:p>
    <w:p w:rsidR="00972996" w:rsidRPr="00CB38AA" w:rsidRDefault="00972996" w:rsidP="00DF6EEA">
      <w:pPr>
        <w:spacing w:after="0" w:line="240" w:lineRule="auto"/>
        <w:jc w:val="both"/>
        <w:rPr>
          <w:rFonts w:ascii="Times New Roman" w:eastAsia="Arial" w:hAnsi="Times New Roman" w:cs="Times New Roman"/>
          <w:b/>
          <w:sz w:val="24"/>
          <w:szCs w:val="24"/>
        </w:rPr>
      </w:pP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ARTÍCULO ÚNICO. - Por el que se reforma el artículo 228, y se adiciona la fracción XI, al mismo Código Penal del Estado de México, para quedar como sigue:</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228.- Comete el delito de ecocidio </w:t>
      </w:r>
      <w:r w:rsidRPr="00CB38AA">
        <w:rPr>
          <w:rFonts w:ascii="Times New Roman" w:eastAsia="Arial" w:hAnsi="Times New Roman" w:cs="Times New Roman"/>
          <w:sz w:val="24"/>
          <w:szCs w:val="24"/>
        </w:rPr>
        <w:t xml:space="preserve">quien, de manera dolosa, ya sea por acción u omisión, realice cualquier acto que cause </w:t>
      </w:r>
      <w:r w:rsidRPr="00CB38AA">
        <w:rPr>
          <w:rFonts w:ascii="Times New Roman" w:eastAsia="Arial" w:hAnsi="Times New Roman" w:cs="Times New Roman"/>
          <w:b/>
          <w:sz w:val="24"/>
          <w:szCs w:val="24"/>
        </w:rPr>
        <w:t>daño grave, destrucción o pérdida significativa de ecosistemas, especies de flora o fauna, recursos naturales o equilibrio ambiental, así como daños a la salud pública</w:t>
      </w:r>
      <w:r w:rsidRPr="00CB38AA">
        <w:rPr>
          <w:rFonts w:ascii="Times New Roman" w:eastAsia="Arial" w:hAnsi="Times New Roman" w:cs="Times New Roman"/>
          <w:sz w:val="24"/>
          <w:szCs w:val="24"/>
        </w:rPr>
        <w:t>, en contravención a las disposiciones legales aplicables.</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A los responsables de este delito se les impondrá prisión de seis a doce años y de quinientos a dos mil días multa:</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I. </w:t>
      </w:r>
      <w:r w:rsidRPr="00CB38AA">
        <w:rPr>
          <w:rFonts w:ascii="Times New Roman" w:eastAsia="Arial" w:hAnsi="Times New Roman" w:cs="Times New Roman"/>
          <w:sz w:val="24"/>
          <w:szCs w:val="24"/>
        </w:rPr>
        <w:t>Cuando derriben, trasplante, quemen, destruyan o afecten árboles, áreas verdes, jardines públicos o infraestructura verde urbana, o realicen actos que alteren servicios ecosistémicos esenciales, sin la autorización correspondiente por la autoridad competente.</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II. </w:t>
      </w:r>
      <w:r w:rsidRPr="00CB38AA">
        <w:rPr>
          <w:rFonts w:ascii="Times New Roman" w:eastAsia="Arial" w:hAnsi="Times New Roman" w:cs="Times New Roman"/>
          <w:sz w:val="24"/>
          <w:szCs w:val="24"/>
        </w:rPr>
        <w:t>Cuando introduzcan, propaguen o permitan la dispersión de plagas, enfermedades o especies invasoras que afecten cultivos, bosques, biodiversidad o generen riesgos para la salud pública.</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III. </w:t>
      </w:r>
      <w:r w:rsidRPr="00CB38AA">
        <w:rPr>
          <w:rFonts w:ascii="Times New Roman" w:eastAsia="Arial" w:hAnsi="Times New Roman" w:cs="Times New Roman"/>
          <w:sz w:val="24"/>
          <w:szCs w:val="24"/>
        </w:rPr>
        <w:t>Cuando provoquen incendios forestales, agrícolas o en áreas naturales protegidas, o contribuyan a su propagación mediante negligencia grave.</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lastRenderedPageBreak/>
        <w:t xml:space="preserve">IV. </w:t>
      </w:r>
      <w:r w:rsidRPr="00CB38AA">
        <w:rPr>
          <w:rFonts w:ascii="Times New Roman" w:eastAsia="Arial" w:hAnsi="Times New Roman" w:cs="Times New Roman"/>
          <w:sz w:val="24"/>
          <w:szCs w:val="24"/>
        </w:rPr>
        <w:t>Cuando descarguen, infiltren, depositen o derramen aguas residuales, lixiviados, micro plásticos, sustancias químicas peligrosas o contaminantes emergentes en suelos, cuerpos de agua o acuíferos de jurisdicción municipal o estatal, causando daño a la salud, flora, fauna o ecosistemas.</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V. </w:t>
      </w:r>
      <w:r w:rsidRPr="00CB38AA">
        <w:rPr>
          <w:rFonts w:ascii="Times New Roman" w:eastAsia="Arial" w:hAnsi="Times New Roman" w:cs="Times New Roman"/>
          <w:sz w:val="24"/>
          <w:szCs w:val="24"/>
        </w:rPr>
        <w:t>Cuando emitan gases, partículas, compuestos orgánicos volátiles, contaminantes climáticos de corta vida o cualquier sustancia que contribuya al cambio climático o afecte la calidad del aire, en contravención a normas oficiales mexicanas, normas técnicas estatales o estándares internacionales reconocidos, en zonas o fuentes emisoras de jurisdicción municipal o estatal.</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Times New Roman" w:hAnsi="Times New Roman" w:cs="Times New Roman"/>
          <w:sz w:val="24"/>
          <w:szCs w:val="24"/>
        </w:rPr>
      </w:pPr>
      <w:r w:rsidRPr="00CB38AA">
        <w:rPr>
          <w:rFonts w:ascii="Times New Roman" w:eastAsia="Arial" w:hAnsi="Times New Roman" w:cs="Times New Roman"/>
          <w:b/>
          <w:sz w:val="24"/>
          <w:szCs w:val="24"/>
        </w:rPr>
        <w:t xml:space="preserve">VI. </w:t>
      </w:r>
      <w:r w:rsidRPr="00CB38AA">
        <w:rPr>
          <w:rFonts w:ascii="Times New Roman" w:eastAsia="Arial" w:hAnsi="Times New Roman" w:cs="Times New Roman"/>
          <w:sz w:val="24"/>
          <w:szCs w:val="24"/>
        </w:rPr>
        <w:t>Cuando generen emisiones de ruido, vibraciones, energía lumínica, térmica o electromagnética en zonas de jurisdicción municipal o estatal, que alteren la salud humana, la fauna silvestre o los ecosistemas.</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VII. </w:t>
      </w:r>
      <w:r w:rsidRPr="00CB38AA">
        <w:rPr>
          <w:rFonts w:ascii="Times New Roman" w:eastAsia="Arial" w:hAnsi="Times New Roman" w:cs="Times New Roman"/>
          <w:sz w:val="24"/>
          <w:szCs w:val="24"/>
        </w:rPr>
        <w:t>Cuando realicen obras, proyectos o actividades sin contar con autorización de impacto y riesgo ambiental por la autoridad competente, sin aplicar medidas de mitigación, compensación o restauración, o incumpla condicionantes impuestas por la autoridad.</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VIII. </w:t>
      </w:r>
      <w:r w:rsidRPr="00CB38AA">
        <w:rPr>
          <w:rFonts w:ascii="Times New Roman" w:eastAsia="Arial" w:hAnsi="Times New Roman" w:cs="Times New Roman"/>
          <w:sz w:val="24"/>
          <w:szCs w:val="24"/>
        </w:rPr>
        <w:t>Cuando rebasen los límites permisibles establecidos en normas oficiales mexicanas, normas técnicas estatales o estándares internacionales reconocidos, incluyendo parámetros de carbono, contaminantes emergentes y huella hídrica.</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IX. </w:t>
      </w:r>
      <w:r w:rsidRPr="00CB38AA">
        <w:rPr>
          <w:rFonts w:ascii="Times New Roman" w:eastAsia="Arial" w:hAnsi="Times New Roman" w:cs="Times New Roman"/>
          <w:sz w:val="24"/>
          <w:szCs w:val="24"/>
        </w:rPr>
        <w:t>Cuando presten servicios de guarda, custodia, reparación o depósito de vehículos, maquinaria o residuos peligrosos sin contar con autorización de impacto y riesgo ambiental, así como los protocolos de manejo seguro. establecidos por la autoridad competente.</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X. </w:t>
      </w:r>
      <w:r w:rsidRPr="00CB38AA">
        <w:rPr>
          <w:rFonts w:ascii="Times New Roman" w:eastAsia="Arial" w:hAnsi="Times New Roman" w:cs="Times New Roman"/>
          <w:sz w:val="24"/>
          <w:szCs w:val="24"/>
        </w:rPr>
        <w:t>Cuando almacenen, comercialicen o dispongan vehículos de desecho, autopartes usadas, baterías, aceites, neumáticos u otros residuos sujetos a responsabilidad extendida del productor, sin contar con autorización de impacto y riesgo ambiental, así como los protocolos de manejo seguro. establecidos por la autoridad competente.</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XI. </w:t>
      </w:r>
      <w:r w:rsidRPr="00CB38AA">
        <w:rPr>
          <w:rFonts w:ascii="Times New Roman" w:eastAsia="Arial" w:hAnsi="Times New Roman" w:cs="Times New Roman"/>
          <w:sz w:val="24"/>
          <w:szCs w:val="24"/>
        </w:rPr>
        <w:t>Cuando obstaculicen, alteren o destruyan sistemas de monitoreo ambiental, sensores, estaciones meteorológicas o equipos destinados a la vigilancia y prevención de riesgos ambientales, en zonas de jurisdicción municipal o estatal.</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 pena se aumentará hasta en una mitad más cuando:</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a) El daño sea irreversible o afecte ecosistemas estratégicos;</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b) Se realice en áreas naturales protegidas,</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c) zonas de recarga hídrica, humedales o corredores biológicos;</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d) Se afecten especies en peligro de extinción o endémicas;</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 Se utilicen sustancias tóxicas que pongan en riesgo la salud humana;</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f) El responsable sea servidor público o actúe con abuso de autoridad;</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g) Exista reincidencia, colusión empresarial o participación de grupos organizados;</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h) El daño ambiental genere afectaciones directas a comunidades indígenas o rurales.</w:t>
      </w:r>
    </w:p>
    <w:p w:rsidR="00972996" w:rsidRPr="00CB38AA" w:rsidRDefault="00972996" w:rsidP="00DF6EEA">
      <w:pPr>
        <w:spacing w:after="0" w:line="240" w:lineRule="auto"/>
        <w:rPr>
          <w:rFonts w:ascii="Times New Roman" w:eastAsia="Times New Roman" w:hAnsi="Times New Roman" w:cs="Times New Roman"/>
          <w:sz w:val="24"/>
          <w:szCs w:val="24"/>
        </w:rPr>
      </w:pPr>
    </w:p>
    <w:p w:rsidR="00972996" w:rsidRPr="00CB38AA" w:rsidRDefault="00972996"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TRANSITORIOS</w:t>
      </w:r>
    </w:p>
    <w:p w:rsidR="00972996" w:rsidRPr="00CB38AA" w:rsidRDefault="00972996" w:rsidP="00DF6EEA">
      <w:pPr>
        <w:spacing w:after="0" w:line="240" w:lineRule="auto"/>
        <w:jc w:val="both"/>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Times New Roman" w:hAnsi="Times New Roman" w:cs="Times New Roman"/>
          <w:sz w:val="24"/>
          <w:szCs w:val="24"/>
        </w:rPr>
      </w:pPr>
      <w:r w:rsidRPr="00CB38AA">
        <w:rPr>
          <w:rFonts w:ascii="Times New Roman" w:eastAsia="Arial" w:hAnsi="Times New Roman" w:cs="Times New Roman"/>
          <w:b/>
          <w:sz w:val="24"/>
          <w:szCs w:val="24"/>
        </w:rPr>
        <w:t xml:space="preserve">ARTICULO PRIMERO. </w:t>
      </w:r>
      <w:r w:rsidRPr="00CB38AA">
        <w:rPr>
          <w:rFonts w:ascii="Times New Roman" w:eastAsia="Arial" w:hAnsi="Times New Roman" w:cs="Times New Roman"/>
          <w:sz w:val="24"/>
          <w:szCs w:val="24"/>
        </w:rPr>
        <w:t>Publíquese el presente Decreto en el periódico oficial “Gaceta del Gobierno”.</w:t>
      </w:r>
    </w:p>
    <w:p w:rsidR="00972996" w:rsidRPr="00CB38AA" w:rsidRDefault="00972996" w:rsidP="00DF6EEA">
      <w:pPr>
        <w:spacing w:after="0" w:line="240" w:lineRule="auto"/>
        <w:jc w:val="both"/>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ARTICULO SEGUNDO. </w:t>
      </w:r>
      <w:r w:rsidRPr="00CB38AA">
        <w:rPr>
          <w:rFonts w:ascii="Times New Roman" w:eastAsia="Arial" w:hAnsi="Times New Roman" w:cs="Times New Roman"/>
          <w:sz w:val="24"/>
          <w:szCs w:val="24"/>
        </w:rPr>
        <w:t>El presente Decreto entrará en vigor el día siguiente al de su publicación en el periódico oficial “Gaceta del Gobierno” del Estado de México.</w:t>
      </w:r>
    </w:p>
    <w:p w:rsidR="00972996" w:rsidRPr="00CB38AA" w:rsidRDefault="00972996" w:rsidP="00DF6EEA">
      <w:pPr>
        <w:spacing w:after="0" w:line="240" w:lineRule="auto"/>
        <w:jc w:val="both"/>
        <w:rPr>
          <w:rFonts w:ascii="Times New Roman" w:eastAsia="Times New Roman" w:hAnsi="Times New Roman" w:cs="Times New Roman"/>
          <w:sz w:val="24"/>
          <w:szCs w:val="24"/>
        </w:rPr>
      </w:pPr>
    </w:p>
    <w:p w:rsidR="00972996" w:rsidRPr="00CB38AA" w:rsidRDefault="0097299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Dado en el Palacio del Poder Legislativo en la Ciudad de Toluca, Capital del Estado de México a los --- del mes --- de dos mil veinticinco.</w:t>
      </w:r>
    </w:p>
    <w:p w:rsidR="00972996" w:rsidRPr="00CB38AA" w:rsidRDefault="00972996" w:rsidP="00DF6EEA">
      <w:pPr>
        <w:spacing w:after="0" w:line="240" w:lineRule="auto"/>
        <w:jc w:val="center"/>
        <w:rPr>
          <w:rFonts w:ascii="Times New Roman" w:hAnsi="Times New Roman" w:cs="Times New Roman"/>
          <w:sz w:val="24"/>
          <w:szCs w:val="24"/>
        </w:rPr>
      </w:pPr>
    </w:p>
    <w:p w:rsidR="00972996" w:rsidRPr="00CB38AA" w:rsidRDefault="00972996" w:rsidP="00DF6EEA">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(Fin del documento)</w:t>
      </w:r>
    </w:p>
    <w:p w:rsidR="00972996" w:rsidRPr="00CB38AA" w:rsidRDefault="00972996" w:rsidP="00DF6EEA">
      <w:pPr>
        <w:spacing w:after="0" w:line="240" w:lineRule="auto"/>
        <w:jc w:val="center"/>
        <w:rPr>
          <w:rFonts w:ascii="Times New Roman" w:hAnsi="Times New Roman" w:cs="Times New Roman"/>
          <w:sz w:val="24"/>
          <w:szCs w:val="24"/>
        </w:rPr>
      </w:pP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 xml:space="preserve">PRESIDENTA DIP. MARTHA AZUCENA CAMACHO REYNOSO. Gracias, Diputado Javier Cruz Jaramillo.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Se registra la iniciativa y se remite a las Comisiones Legislativas de Procuración y Administración de Justicia y de Protección Ambiental y Cambio Climático para su estudio y dictamen.</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Con sujeción del punto número 9, el diputado Valentín Martínez Castillo, presenta en nombre del Grupo Parlamentario del Partido morena, Iniciativa con Proyecto de Decreto por el que se reforman diversas disposiciones de la Ley Orgánica Municipal del Estado de México, con el fin de fortalecer el trabajo de las Comisiones Edilicias Permanentes y Transparentar su actuar como Órganos Auxiliares del gobierno municipal.</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DIP. VALENTÍN MARTÍNEZ CASTILLO. Con su venia, querida Presidenta.</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Antes que nada, hacer un paréntesis para hacer un reconocimiento en nombre de la Región de los Volcanes, el Distrito XXVIII, que integra 12 municipios, por el trabajo que viene haciendo nuestra gobernadora, la Maestra Delfina Gómez Álvarez. Un trabajo excepcional entre todos los habitantes, entre todos los habitantes, solamente por reconocer algunas cosas, en este momento ya se entregó una de las obras importantes la rehabilitación de un parque ecoturístico en el municipio de Tepetlixpa ha estado trabajando con una inversión de 17 millones; también la renovación de la de la Unidad Deportiva del Municipio de Ayapango con 16.9 millones, en este momento se está ya poniendo las bases y construyendo en Amecameca un mercado municipal que por mucho tiempo se había pedido con una inversión de 63 millones y en Tlalmanalco, con la rehabilitación de un Deportivo, el Deportivo Cruz de Mayo, con una inversión de 22 millones de pesos, eso habla del trabajo que viene haciendo nuestra gobernadora en el Distrito XXVIII, en la región de los Volcanes, que tiene un panorama natural hermoso y que hoy con estas obras, muestra no solamente el interés sino el amor por los mexiquenses. Y finalmente la importancia que el gobierno del Estado tiene con sus acciones y cómo impacta la vida de los pueblos para que estos mejoren.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Bien, después de este paréntesis me presento ante esta Soberanía y saludo a quienes nos siguen por las diversas plataformas digitales, a los medios de comunicación y a quienes nos acompañan en este recinto.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Y con su venia, querida Presidenta, comparezco ante esta Soberanía para presentar la Iniciativa con Proyecto de Decreto por el que se reforman diversas disposiciones de la Ley Orgánica Municipal del Estado de México, con el propósito de fortalecer el trabajo de las comisiones edilicias permanentes y transparentar su actuación como órganos auxiliares de Gobiernos Municipales.</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lastRenderedPageBreak/>
        <w:t>Esta iniciativa emana de una convicción elemental y trascendente, el municipio no es solo una unidad administrativa, es la primera trinchera o la primera posición de la democracia y un motor genuino de la transformación nacional, como orden de gobierno más cercano a la gente es en el Ayuntamiento donde el pacto federal cobra vida o se debilita, es ahí donde la ciudadanía busca y merece encontrar respuestas inmediatas a sus demandas más sentidas.</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La reforma al artículo 115 constitucional de 1999 marcó un parteaguas, consolidó al municipio como auténtico órgano de gobierno, reconoció su personalidad jurídica, fortaleció su hacienda y le otorgó facultades reglamentarias propias, así como la facultad de regular su desarrollo urbano, esa visión del municipio libre y fuerte es la que hoy retomamos para actualizar nuestras instituciones locales, entre el 2009 y el 2014 en el Estado de México se fortaleció el régimen de comisiones edilicias al reconocerlas como órganos colegiados auxiliares del Cabildo, con facultades para conocer y dictaminar asuntos, ello corrigió un esquema previo de comisiones unipersonales, sin atribuciones claras y con frecuentes duplicidades de funciones con la Administración Municipal, representando un avance en su institucionalización ¿Cuántas veces no se ha escuchado hablar del regidor de Obras Públicas, del Regidor del Agua o del regidor de mercados? En 2020, afortunadamente se aprobó en el Estado de México una reforma orientada por criterios de austeridad que redujo el número de regidores y síndicos para que los ayuntamientos no sean órganos onerosos para los ciudadanos.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La reforma en su parte de comisiones ha sido desvirtuada en la práctica de los municipios, pues mientras la reforma pretendía que sean los propios ayuntamientos quienes se regulen y reglamenten sus comisiones, en los hechos, los municipios solamente las dieron por derogadas, no reglamentan y tenemos cabildos que no tienen orden y claridad en sus funciones, sin reglas claras, sin plazos y sin mecanismos de transparencia, el Cabildo perdió hasta cierto punto capacidad de deliberación y la toma de decisiones tendió a concentrarse. Hoy en la mayoría de los municipios se ha dejado a los regidores sin un ámbito específico de supervisión y ha generado conflictos internos dentro de los mismos ayuntamientos.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La austeridad que inspiró la reforma del 2020 de manera acertada no debe confundirse con una merma en la calidad del ejercicio del gobierno municipal; por ello, la presente propuesta busca que el Ayuntamiento deje definitivamente de ser estructura cerrada, complementa que ya reforma para contar con ayuntamientos que sean los órganos deliberantes con procesos semi legislativos eficientes y transparentes, hemos avanzado, sí, pero es necesario dar un paso más allá para consolidar al Cabildo como un foro de cristal transparente, donde la gestión pública se someta al escrutinio directo de la propia sociedad.</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La presente iniciativa de reforma se alinea con el Eje Uno del Plan de Desarrollo del Estado de México para el periodo 2023-2029, cero corrupción y gobierno del pueblo y para el pueblo; bajo los principios del Estado de Derecho y Austeridad al corregir la distorsión institucional que debilitó el trabajo colegiado de comisiones edilicias como lo ha venido haciendo nuestra querida gobernadora, la maestra Delfina Gómez Álvarez; así mismo, responde al Plan Nacional de Desarrollo 2024-2030 que impulsa la digitalización, la simplificación de trámites y la ampliación de la democracia participativa en todos los niveles de gobierno.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En congruencia con ello, al establecer que las sesiones de comisión sean públicas, se transmitirán en vivo se utilicen herramientas como la firma electrónica certificada, garantizamos que la política del Estado de México sea accesible, directa y plenamente auditable por la sociedad.</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Esta iniciativa no busca inflar estructuras ni generar gasto adicional, no, busca corregir una distorsión institucional y devolverle al cabildo herramientas modernas para deliberar, analizar, vigilar y transparentar.</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 xml:space="preserve">En la mayoría de las entidades del país las comisiones edilicias son el eje del trabajo municipal, el Estado de México no debe ser la excepción, quiero subrayar con claridad que esta propuesta respeta plenamente la autonomía municipal, no invade la esfera de la decisión de los </w:t>
      </w:r>
      <w:r w:rsidRPr="00CB38AA">
        <w:rPr>
          <w:rFonts w:ascii="Times New Roman" w:hAnsi="Times New Roman" w:cs="Times New Roman"/>
          <w:sz w:val="24"/>
          <w:szCs w:val="24"/>
        </w:rPr>
        <w:lastRenderedPageBreak/>
        <w:t>ayuntamientos, se enmarca en lo dispuesto por el artículo 115 de la constitución que faculta y mandata a las legislaturas locales a expedir normas generales sobre la organización y funcionamiento, qué proponemos:</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Primero. Certeza jurídica y funcionamiento real de las comisiones.</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Segundo. Plazos claros para evitar el rezago de los dictámenes.</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Tercero. Gobierno abierto, sesiones públicas de las comisiones, transmisión en vivo de sus sesiones o reuniones y minutas accesibles al escrutinio del pueblo.</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Cuarto. Un catálogo básico de comisiones permanentes, acorde a las necesidades municipales.</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Quinto. Planeación y resultados, coadyuvancia en el plan de desarrollo, el presupuesto basado en resultados y la agenda regulatoria.</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Finalmente, compañeras, compañeros la verdadera eficacia y eficiencia gubernamental no se construye desde el silencio, sino desde los cabildos fuertes profesionales y transparentes; fortalecer las comisiones edilicias no es obstaculizar al ejecutivo municipal, es acompañarlo, supervisarlo y legitimarlo democráticamente.</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Por lo anterior, someto a consideración de esta Soberanía la presente iniciativa y solicito respetuosamente a la Presidencia se sirva dar trámite legal y reglamentario correspondiente, así como su incorporación íntegra en la Gaceta Parlamentaria y en el Diario de los Debates de la presente sesión para el interés general de las y los mexiquenses.</w:t>
      </w:r>
    </w:p>
    <w:p w:rsidR="00A35DFE" w:rsidRPr="00CB38AA" w:rsidRDefault="00A35DFE" w:rsidP="00DF6EEA">
      <w:pPr>
        <w:spacing w:after="0" w:line="240" w:lineRule="auto"/>
        <w:ind w:firstLine="708"/>
        <w:jc w:val="both"/>
        <w:rPr>
          <w:rFonts w:ascii="Times New Roman" w:hAnsi="Times New Roman" w:cs="Times New Roman"/>
          <w:sz w:val="24"/>
          <w:szCs w:val="24"/>
        </w:rPr>
      </w:pPr>
      <w:r w:rsidRPr="00CB38AA">
        <w:rPr>
          <w:rFonts w:ascii="Times New Roman" w:hAnsi="Times New Roman" w:cs="Times New Roman"/>
          <w:sz w:val="24"/>
          <w:szCs w:val="24"/>
        </w:rPr>
        <w:t>Por su atención, muchas gracias, por mi parte es cuanto, muchas gracias nuevamente.</w:t>
      </w:r>
    </w:p>
    <w:p w:rsidR="009056B2" w:rsidRPr="00CB38AA" w:rsidRDefault="009056B2" w:rsidP="00DF6EEA">
      <w:pPr>
        <w:pStyle w:val="Sinespaciado"/>
        <w:jc w:val="both"/>
        <w:rPr>
          <w:rFonts w:ascii="Times New Roman" w:hAnsi="Times New Roman" w:cs="Times New Roman"/>
          <w:sz w:val="24"/>
          <w:szCs w:val="24"/>
        </w:rPr>
      </w:pPr>
    </w:p>
    <w:p w:rsidR="009056B2" w:rsidRPr="00CB38AA" w:rsidRDefault="009056B2" w:rsidP="00DF6EEA">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(Se inserta documento)</w:t>
      </w:r>
    </w:p>
    <w:p w:rsidR="009056B2" w:rsidRPr="00CB38AA" w:rsidRDefault="009056B2" w:rsidP="00DF6EEA">
      <w:pPr>
        <w:spacing w:after="0" w:line="240" w:lineRule="auto"/>
        <w:jc w:val="center"/>
        <w:rPr>
          <w:rFonts w:ascii="Times New Roman" w:hAnsi="Times New Roman" w:cs="Times New Roman"/>
          <w:sz w:val="24"/>
          <w:szCs w:val="24"/>
        </w:rPr>
      </w:pPr>
    </w:p>
    <w:p w:rsidR="00F31F1D" w:rsidRPr="00CB38AA" w:rsidRDefault="00F31F1D" w:rsidP="0029221F">
      <w:pPr>
        <w:spacing w:after="0" w:line="240" w:lineRule="auto"/>
        <w:jc w:val="right"/>
        <w:rPr>
          <w:rFonts w:ascii="Times New Roman" w:eastAsia="Times New Roman" w:hAnsi="Times New Roman" w:cs="Times New Roman"/>
          <w:b/>
          <w:sz w:val="24"/>
          <w:szCs w:val="24"/>
        </w:rPr>
      </w:pPr>
      <w:r w:rsidRPr="00CB38AA">
        <w:rPr>
          <w:rFonts w:ascii="Times New Roman" w:eastAsia="Times New Roman" w:hAnsi="Times New Roman" w:cs="Times New Roman"/>
          <w:b/>
          <w:sz w:val="24"/>
          <w:szCs w:val="24"/>
        </w:rPr>
        <w:t>Dip. Valentín Martínez Castillo</w:t>
      </w:r>
    </w:p>
    <w:p w:rsidR="00F31F1D" w:rsidRPr="00CB38AA" w:rsidRDefault="00F31F1D" w:rsidP="0029221F">
      <w:pPr>
        <w:spacing w:after="0" w:line="240" w:lineRule="auto"/>
        <w:jc w:val="right"/>
        <w:rPr>
          <w:rFonts w:ascii="Times New Roman" w:eastAsia="Times New Roman" w:hAnsi="Times New Roman" w:cs="Times New Roman"/>
          <w:b/>
          <w:sz w:val="24"/>
          <w:szCs w:val="24"/>
        </w:rPr>
      </w:pPr>
      <w:r w:rsidRPr="00CB38AA">
        <w:rPr>
          <w:rFonts w:ascii="Times New Roman" w:eastAsia="Times New Roman" w:hAnsi="Times New Roman" w:cs="Times New Roman"/>
          <w:b/>
          <w:sz w:val="24"/>
          <w:szCs w:val="24"/>
        </w:rPr>
        <w:t>Distrito XXVIIII Amecameca</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29221F">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“2026. Año del Humanismo Mexicano en el Estado de México”</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29221F">
      <w:pPr>
        <w:spacing w:after="0" w:line="240" w:lineRule="auto"/>
        <w:jc w:val="right"/>
        <w:rPr>
          <w:rFonts w:ascii="Times New Roman" w:eastAsia="Arial" w:hAnsi="Times New Roman" w:cs="Times New Roman"/>
          <w:sz w:val="24"/>
          <w:szCs w:val="24"/>
        </w:rPr>
      </w:pPr>
      <w:r w:rsidRPr="00CB38AA">
        <w:rPr>
          <w:rFonts w:ascii="Times New Roman" w:eastAsia="Arial" w:hAnsi="Times New Roman" w:cs="Times New Roman"/>
          <w:sz w:val="24"/>
          <w:szCs w:val="24"/>
        </w:rPr>
        <w:t>Toluca de Lerdo, Méx., a 22 de enero de 2026.</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DIPUTADA</w:t>
      </w:r>
    </w:p>
    <w:p w:rsidR="00F31F1D" w:rsidRPr="00CB38AA" w:rsidRDefault="00F31F1D" w:rsidP="00DF6EEA">
      <w:pPr>
        <w:spacing w:after="0" w:line="240" w:lineRule="auto"/>
        <w:jc w:val="both"/>
        <w:rPr>
          <w:rFonts w:ascii="Times New Roman" w:eastAsia="Arial" w:hAnsi="Times New Roman" w:cs="Times New Roman"/>
          <w:b/>
          <w:sz w:val="24"/>
          <w:szCs w:val="24"/>
        </w:rPr>
      </w:pPr>
      <w:r w:rsidRPr="00CB38AA">
        <w:rPr>
          <w:rFonts w:ascii="Times New Roman" w:eastAsia="Arial" w:hAnsi="Times New Roman" w:cs="Times New Roman"/>
          <w:b/>
          <w:sz w:val="24"/>
          <w:szCs w:val="24"/>
        </w:rPr>
        <w:t>MARTHA AZUCENA CAMACHO REYNOSO</w:t>
      </w:r>
    </w:p>
    <w:p w:rsidR="00F31F1D" w:rsidRPr="00CB38AA" w:rsidRDefault="00F31F1D" w:rsidP="00DF6EEA">
      <w:pPr>
        <w:spacing w:after="0" w:line="240" w:lineRule="auto"/>
        <w:jc w:val="both"/>
        <w:rPr>
          <w:rFonts w:ascii="Times New Roman" w:eastAsia="Arial" w:hAnsi="Times New Roman" w:cs="Times New Roman"/>
          <w:b/>
          <w:sz w:val="24"/>
          <w:szCs w:val="24"/>
        </w:rPr>
      </w:pPr>
      <w:r w:rsidRPr="00CB38AA">
        <w:rPr>
          <w:rFonts w:ascii="Times New Roman" w:eastAsia="Arial" w:hAnsi="Times New Roman" w:cs="Times New Roman"/>
          <w:b/>
          <w:sz w:val="24"/>
          <w:szCs w:val="24"/>
        </w:rPr>
        <w:t>PRESIDENTA DE LA H. “LXII” LEGISLATURA DEL</w:t>
      </w: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CONGRESO DEL ESTADO DE MÉXICO</w:t>
      </w: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P R E S E N T E</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VALENTÍN MARTÍNEZ CASTILLO</w:t>
      </w:r>
      <w:r w:rsidRPr="00CB38AA">
        <w:rPr>
          <w:rFonts w:ascii="Times New Roman" w:eastAsia="Arial" w:hAnsi="Times New Roman" w:cs="Times New Roman"/>
          <w:sz w:val="24"/>
          <w:szCs w:val="24"/>
        </w:rPr>
        <w:t xml:space="preserve">, Diputado Local por el Distrito 28 Amecameca e integrante del Grupo Parlamentario de </w:t>
      </w:r>
      <w:r w:rsidRPr="00CB38AA">
        <w:rPr>
          <w:rFonts w:ascii="Times New Roman" w:eastAsia="Arial" w:hAnsi="Times New Roman" w:cs="Times New Roman"/>
          <w:b/>
          <w:sz w:val="24"/>
          <w:szCs w:val="24"/>
        </w:rPr>
        <w:t xml:space="preserve">morena </w:t>
      </w:r>
      <w:r w:rsidRPr="00CB38AA">
        <w:rPr>
          <w:rFonts w:ascii="Times New Roman" w:eastAsia="Arial" w:hAnsi="Times New Roman" w:cs="Times New Roman"/>
          <w:sz w:val="24"/>
          <w:szCs w:val="24"/>
        </w:rPr>
        <w:t>en esta LXII Legislatura, con fundamento en lo dispuesto en los el artículo 61 fracción I de la Constitución Política del Estado Libre y Soberano de México, así como los artículos 23 fracción I y 57 fracción I de la Ley Orgánica del Poder Legislativo del Estado Libre y Soberano de México, así como 68 de su reglamento, someto a consideración de esta honorable Soberanía, la presente Iniciativa con Proyecto de Decreto por el que se reforman diversas disposiciones de la Ley Orgánica Municipal del Estado de México, con el fin de fortalecer el trabajo de las comisiones edilicias permanentes y transparentar su actuar como órganos auxiliares del gobierno municipal, con sustento en la siguiente:</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29221F">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Exposición de Motivos</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lastRenderedPageBreak/>
        <w:t>El Municipio Libre constituye la base de la división territorial y de la organización política y administrativa de nuestro Estado, tal como lo consagra el artículo 115 de la Constitución Política de los Estados Unidos Mexicanos. Es en el ámbito municipal donde se gesta el primer contacto entre la ciudadanía y el poder público, y donde la democracia debe vivirse de manera más intensa, directa y cotidiana.</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Times New Roman" w:hAnsi="Times New Roman" w:cs="Times New Roman"/>
          <w:sz w:val="24"/>
          <w:szCs w:val="24"/>
        </w:rPr>
      </w:pPr>
      <w:r w:rsidRPr="00CB38AA">
        <w:rPr>
          <w:rFonts w:ascii="Times New Roman" w:eastAsia="Arial" w:hAnsi="Times New Roman" w:cs="Times New Roman"/>
          <w:sz w:val="24"/>
          <w:szCs w:val="24"/>
        </w:rPr>
        <w:t>Bajo esta premisa, la conformación y funcionamiento de los Ayuntamientos no es un asunto menor, pues de ello depende la calidad de la representación política, la eficacia de la administración pública local y la existencia de contrapesos reales dentro del ejercicio del poder municipal. Las comisiones edilicias han sido, históricamente, uno de los principales instrumentos mediante los cuales el cabildo ejerce su función deliberativa, de análisis, supervisión y control institucional.</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Al analizar nuestra realidad legislativa, es necesario reconocer que la reforma de 2020 tuvo motivos atendibles, sustentados en las condiciones económicas y financieras que enfrentaban el país y el Estado, las cuales hicieron necesario aplicar políticas de austeridad orientadas al mejor aprovechamiento de los recursos públicos en beneficio de la población. Como resultado de dicha reforma, el número de cargos de sindicaturas y regidurías en el Estado de México se redujo de 1,712 a 1,227, es decir, 485 espacios de representación menos. Este ajuste respondió a una lógica legítima de racionalización del gasto y de contención del crecimiento de los cuerpos edilicios.</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No obstante, ese cambio estructural fue acompañado por la derogación expresa del régimen legal de las comisiones edilicias, trasladando su definición, integración y funcionamiento a los reglamentos de cabildo u ordenamientos internos que habría de aprobar cada Ayuntamiento. Se partió del supuesto de que la autonomía municipal permitiría preservar dichas comisiones como espacios de deliberación, análisis técnico y vigilancia administrativa. Sin embargo, la experiencia acumulada durante las dos últimas administraciones municipales en las que ha estado vigente esta reforma demuestra que dicho supuesto no se materializó.</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En la práctica, la gran mayoría de los municipios consideraron a las comisiones edilicias como figuras inexistentes o plenamente derogadas, lo que derivó en la pérdida de un trabajo sistemático, colegiado y especializado que los regidores habían venido construyendo desde la reforma de 2012 a la Ley Orgánica Municipal del Estado de México. Aquella reforma partía de una visión clara del municipio como el primer escaño de la democracia y reconocía a las comisiones edilicias como órganos fundamentales para estudiar, examinar y proponer al Ayuntamiento acuerdos, acciones o normas tendientes a mejorar la administración pública municipal, así como para vigilar el adecuado funcionamiento de los servicios públicos.</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 ausencia de reglas mínimas para la integración, operación, periodicidad de sesiones, acceso a la información, elaboración de dictámenes y rendición de informes provocó, en numerosos casos, que el cabildo se debilitara como órgano colegiado y que la toma de decisiones se concentrara en el poder ejecutivo municipal. Ello no solo afecta la calidad democrática del gobierno local, sino que contradice el sentido profundo de la austeridad republicana, la cual no puede ni debe confundirse con el debilitamiento de las instituciones de deliberación y control.</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El análisis comparado de las entidades federativas del país confirma esta problemática. En la totalidad de los estados de la República se reconoce, con distintos alcances y denominaciones, la existencia de comisiones edilicias permanentes como ejes estructurales del funcionamiento de los Ayuntamientos. Dichas comisiones abarcan materias esenciales como gobernación, hacienda, seguridad pública, planeación, obras públicas, servicios municipales, desarrollo urbano, medio </w:t>
      </w:r>
      <w:r w:rsidRPr="00CB38AA">
        <w:rPr>
          <w:rFonts w:ascii="Times New Roman" w:eastAsia="Arial" w:hAnsi="Times New Roman" w:cs="Times New Roman"/>
          <w:sz w:val="24"/>
          <w:szCs w:val="24"/>
        </w:rPr>
        <w:lastRenderedPageBreak/>
        <w:t>ambiente, salud, educación, derechos humanos, igualdad de género, transparencia y desarrollo económico, adaptándose a las particularidades sociales, económicas y territoriales de cada entidad. Este panorama evidencia que el Estado de México se encuentra en una posición atípica al haber debilitado, en los hechos, un instrumento institucional que en el resto del país se reconoce como indispensable para el adecuado funcionamiento del gobierno municipal.</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 presente iniciativa no pretende revertir la política de austeridad ni incrementar de manera indiscriminada el gasto público. Por el contrario, busca corregir una distorsión institucional, restableciendo un marco normativo claro, funcional y moderno para las comisiones edilicias, que permita armonizar la disciplina financiera con la calidad democrática, la profesionalización del trabajo edilicio y el fortalecimiento de los contrapesos al interior de los Ayuntamientos.</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En ese sentido, la reforma propone dotar de certeza jurídica a las comisiones del Ayuntamiento mediante ejes rectores que modernizan su funcionamiento. En materia de Fortalecimiento Institucional y Lenguaje Incluyente, se reforma la redacción de los artículos 31, 48, 65, 68 y 71 para garantizar la visibilidad de género en la norma, sustituyendo términos genéricos por denominaciones inclusivas como "la persona titular de la presidencia municipal".</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De manera particular, con el objeto de dinamizar el trabajo edilicio y evitar la parálisis administrativa, se adiciona la fracción VII Ter al artículo 48. Esta modificación faculta expresamente a la persona titular de la Presidencia Municipal para turnar de manera oportuna, para su estudio y dictamen, los asuntos competencia del Ayuntamiento a las comisiones respectivas, garantizando con ello un análisis técnico previo y adecuado antes de su discusión en el Pleno.</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Asimismo, con el firme propósito de erradicar la parálisis legislativa y el rezago en el desahogo de los asuntos municipales, la presente iniciativa reforma el artículo 68 para establecer, por primera vez, plazos perentorios en la labor de las comisiones. Actualmente, la falta de temporalidad definida permite que los expedientes permanezcan en estudio por tiempo indefinido. Por ello, se propone fijar un término de quince días naturales para que las comisiones emitan el dictamen correspondiente, otorgando la flexibilidad de una prórroga de hasta diez días naturales adicionales únicamente cuando la complejidad del asunto lo justifique. Además, cuando el Ayuntamiento califique un asunto como de urgente y obvia resolución, las comisiones estarán obligadas a dictaminar en un plazo máximo de 72 horas naturales.</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En concordancia con los principios de Gobierno Abierto y Transparencia, se moderniza el artículo 67 para establecer la obligación de que las sesiones de comisión sean públicas y transmitidas en vivo. Se incorpora también el uso de tecnologías de la información, permitiendo la celebración de reuniones a distancia y la formalización de acuerdos mediante firma electrónica certificada, adaptando el funcionamiento edilicio a la realidad digital actual.</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Como parte de esta reingeniería institucional, se restituye en el artículo 69 un catálogo básico y funcional de comisiones edilicias permanentes, que atiende los principales ejes de la administración pública municipal —gobernabilidad, seguridad, planeación, hacienda, territorio, servicios públicos, medio ambiente, bienestar social, derechos humanos y desarrollo económico— sin menoscabo de la autonomía municipal para crear comisiones adicionales. A su vez, se amplían las facultades de dichas comisiones en el artículo 70 para coadyuvar no solo en el Plan de Desarrollo, sino también en el Presupuesto basado en Resultados y la Agenda Regulatoria.</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lastRenderedPageBreak/>
        <w:t>La verdadera eficiencia gubernamental no se construye desde el silencio ni la subordinación, sino desde cabildos fuertes, profesionales y transparentes, capaces de equilibrar el poder sin paralizar la administración. Fortalecer las comisiones edilicias no significa obstaculizar la acción del ejecutivo municipal, sino acompañarla, supervisarla y legitimarla democráticamente.</w:t>
      </w: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A efecto de fortalecer la figura de las Comisiones como órganos auxiliares, se propone la reforma de los diversos artículos de la Ley Orgánica Municipal del Estado de México que a continuación se señalan:</w:t>
      </w:r>
    </w:p>
    <w:p w:rsidR="00F31F1D" w:rsidRPr="00CB38AA" w:rsidRDefault="00F31F1D" w:rsidP="00DF6EEA">
      <w:pPr>
        <w:spacing w:after="0" w:line="240" w:lineRule="auto"/>
        <w:jc w:val="both"/>
        <w:rPr>
          <w:rFonts w:ascii="Times New Roman" w:eastAsia="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389"/>
        <w:gridCol w:w="4824"/>
      </w:tblGrid>
      <w:tr w:rsidR="00CB38AA" w:rsidRPr="00CB38AA" w:rsidTr="009A2D71">
        <w:trPr>
          <w:trHeight w:val="20"/>
          <w:jc w:val="center"/>
        </w:trPr>
        <w:tc>
          <w:tcPr>
            <w:tcW w:w="4389" w:type="dxa"/>
            <w:tcBorders>
              <w:top w:val="single" w:sz="5" w:space="0" w:color="000000"/>
              <w:left w:val="single" w:sz="5" w:space="0" w:color="000000"/>
              <w:bottom w:val="single" w:sz="5" w:space="0" w:color="000000"/>
              <w:right w:val="single" w:sz="5" w:space="0" w:color="000000"/>
            </w:tcBorders>
            <w:shd w:val="clear" w:color="auto" w:fill="990033"/>
          </w:tcPr>
          <w:p w:rsidR="00F31F1D" w:rsidRPr="00CB38AA" w:rsidRDefault="00F31F1D" w:rsidP="00DF6EEA">
            <w:pPr>
              <w:spacing w:after="0" w:line="240" w:lineRule="auto"/>
              <w:jc w:val="center"/>
              <w:rPr>
                <w:rFonts w:ascii="Times New Roman" w:eastAsia="Times New Roman" w:hAnsi="Times New Roman" w:cs="Times New Roman"/>
                <w:sz w:val="24"/>
                <w:szCs w:val="24"/>
              </w:rPr>
            </w:pPr>
          </w:p>
          <w:p w:rsidR="00F31F1D" w:rsidRPr="00CB38AA" w:rsidRDefault="00F31F1D"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TEXTO VIGENTE</w:t>
            </w:r>
          </w:p>
        </w:tc>
        <w:tc>
          <w:tcPr>
            <w:tcW w:w="4824" w:type="dxa"/>
            <w:tcBorders>
              <w:top w:val="single" w:sz="5" w:space="0" w:color="000000"/>
              <w:left w:val="single" w:sz="5" w:space="0" w:color="000000"/>
              <w:bottom w:val="single" w:sz="5" w:space="0" w:color="000000"/>
              <w:right w:val="single" w:sz="5" w:space="0" w:color="000000"/>
            </w:tcBorders>
            <w:shd w:val="clear" w:color="auto" w:fill="990033"/>
          </w:tcPr>
          <w:p w:rsidR="00F31F1D" w:rsidRPr="00CB38AA" w:rsidRDefault="00F31F1D" w:rsidP="00DF6EEA">
            <w:pPr>
              <w:spacing w:after="0" w:line="240" w:lineRule="auto"/>
              <w:jc w:val="center"/>
              <w:rPr>
                <w:rFonts w:ascii="Times New Roman" w:eastAsia="Times New Roman" w:hAnsi="Times New Roman" w:cs="Times New Roman"/>
                <w:sz w:val="24"/>
                <w:szCs w:val="24"/>
              </w:rPr>
            </w:pPr>
          </w:p>
          <w:p w:rsidR="00F31F1D" w:rsidRPr="00CB38AA" w:rsidRDefault="00F31F1D"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REFORMA PROPUESTA</w:t>
            </w:r>
          </w:p>
        </w:tc>
      </w:tr>
      <w:tr w:rsidR="00CB38AA" w:rsidRPr="00CB38AA" w:rsidTr="009A2D71">
        <w:trPr>
          <w:trHeight w:val="20"/>
          <w:jc w:val="center"/>
        </w:trPr>
        <w:tc>
          <w:tcPr>
            <w:tcW w:w="4389" w:type="dxa"/>
            <w:tcBorders>
              <w:top w:val="single" w:sz="5" w:space="0" w:color="000000"/>
              <w:left w:val="single" w:sz="5" w:space="0" w:color="000000"/>
              <w:right w:val="single" w:sz="5" w:space="0" w:color="000000"/>
            </w:tcBorders>
          </w:tcPr>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31.- </w:t>
            </w:r>
            <w:r w:rsidRPr="00CB38AA">
              <w:rPr>
                <w:rFonts w:ascii="Times New Roman" w:eastAsia="Arial" w:hAnsi="Times New Roman" w:cs="Times New Roman"/>
                <w:sz w:val="24"/>
                <w:szCs w:val="24"/>
              </w:rPr>
              <w:t>Son atribuciones de los ayuntamientos:</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 a X. …</w:t>
            </w: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XI. Designar de entre sus miembros a los integrantes de las comisiones del ayuntamiento; y de entre los habitantes del municipio, a los jefes de sector y de manzana;</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XII. a XLVIII. …</w:t>
            </w:r>
          </w:p>
        </w:tc>
        <w:tc>
          <w:tcPr>
            <w:tcW w:w="4824" w:type="dxa"/>
            <w:tcBorders>
              <w:top w:val="single" w:sz="5" w:space="0" w:color="000000"/>
              <w:left w:val="single" w:sz="5" w:space="0" w:color="000000"/>
              <w:right w:val="single" w:sz="5" w:space="0" w:color="000000"/>
            </w:tcBorders>
          </w:tcPr>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31.- </w:t>
            </w:r>
            <w:r w:rsidRPr="00CB38AA">
              <w:rPr>
                <w:rFonts w:ascii="Times New Roman" w:eastAsia="Arial" w:hAnsi="Times New Roman" w:cs="Times New Roman"/>
                <w:sz w:val="24"/>
                <w:szCs w:val="24"/>
              </w:rPr>
              <w:t>…</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 a X. …</w:t>
            </w: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XI. Designar, de entre sus propios integrantes, a quienes formarán parte de las comisiones municipales; </w:t>
            </w:r>
            <w:r w:rsidRPr="00CB38AA">
              <w:rPr>
                <w:rFonts w:ascii="Times New Roman" w:eastAsia="Arial" w:hAnsi="Times New Roman" w:cs="Times New Roman"/>
                <w:sz w:val="24"/>
                <w:szCs w:val="24"/>
              </w:rPr>
              <w:t>y de entre los habitantes del municipio, a los jefes de sector y de manzana;</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XII. a XLVIII. …</w:t>
            </w:r>
          </w:p>
        </w:tc>
      </w:tr>
      <w:tr w:rsidR="00CB38AA" w:rsidRPr="00CB38AA" w:rsidTr="009A2D71">
        <w:trPr>
          <w:trHeight w:val="20"/>
          <w:jc w:val="center"/>
        </w:trPr>
        <w:tc>
          <w:tcPr>
            <w:tcW w:w="4389" w:type="dxa"/>
            <w:tcBorders>
              <w:top w:val="single" w:sz="5" w:space="0" w:color="000000"/>
              <w:left w:val="single" w:sz="5" w:space="0" w:color="000000"/>
              <w:right w:val="single" w:sz="5" w:space="0" w:color="000000"/>
            </w:tcBorders>
          </w:tcPr>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48.- </w:t>
            </w:r>
            <w:r w:rsidRPr="00CB38AA">
              <w:rPr>
                <w:rFonts w:ascii="Times New Roman" w:eastAsia="Arial" w:hAnsi="Times New Roman" w:cs="Times New Roman"/>
                <w:sz w:val="24"/>
                <w:szCs w:val="24"/>
              </w:rPr>
              <w:t>La persona titular de la presidencia</w:t>
            </w: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 a VII. …</w:t>
            </w: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SIN CORRELATIVO</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VIII. a XXVI. …</w:t>
            </w:r>
          </w:p>
        </w:tc>
        <w:tc>
          <w:tcPr>
            <w:tcW w:w="4824" w:type="dxa"/>
            <w:tcBorders>
              <w:top w:val="single" w:sz="5" w:space="0" w:color="000000"/>
              <w:left w:val="single" w:sz="5" w:space="0" w:color="000000"/>
              <w:right w:val="single" w:sz="5" w:space="0" w:color="000000"/>
            </w:tcBorders>
          </w:tcPr>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Artículo 48. …</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 a VII. …</w:t>
            </w:r>
          </w:p>
          <w:p w:rsidR="00F31F1D" w:rsidRPr="00CB38AA" w:rsidRDefault="00F31F1D" w:rsidP="00DF6EEA">
            <w:pPr>
              <w:spacing w:after="0" w:line="240" w:lineRule="auto"/>
              <w:jc w:val="both"/>
              <w:rPr>
                <w:rFonts w:ascii="Times New Roman" w:eastAsia="Arial" w:hAnsi="Times New Roman" w:cs="Times New Roman"/>
                <w:b/>
                <w:sz w:val="24"/>
                <w:szCs w:val="24"/>
              </w:rPr>
            </w:pPr>
            <w:r w:rsidRPr="00CB38AA">
              <w:rPr>
                <w:rFonts w:ascii="Times New Roman" w:eastAsia="Arial" w:hAnsi="Times New Roman" w:cs="Times New Roman"/>
                <w:b/>
                <w:sz w:val="24"/>
                <w:szCs w:val="24"/>
              </w:rPr>
              <w:t>VII Bis. Proponer al Ayuntamiento la integración de las comisiones permanentes, a más tardar en la tercera sesión ordinaria del primer año de gestión, y, cuando lo considere conveniente y necesario, la conformación de comisiones transitorias.</w:t>
            </w: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VII. Ter. Turnar para su estudio y dictamen, a las respectivas Comisiones, los asuntos que sean atribución del Ayuntamiento;</w:t>
            </w: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VIII. a XXVI. …</w:t>
            </w:r>
          </w:p>
        </w:tc>
      </w:tr>
      <w:tr w:rsidR="00CB38AA" w:rsidRPr="00CB38AA" w:rsidTr="009A2D71">
        <w:trPr>
          <w:trHeight w:val="20"/>
          <w:jc w:val="center"/>
        </w:trPr>
        <w:tc>
          <w:tcPr>
            <w:tcW w:w="4389" w:type="dxa"/>
            <w:tcBorders>
              <w:top w:val="single" w:sz="5" w:space="0" w:color="000000"/>
              <w:left w:val="single" w:sz="5" w:space="0" w:color="000000"/>
              <w:right w:val="single" w:sz="5" w:space="0" w:color="000000"/>
            </w:tcBorders>
          </w:tcPr>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64.- </w:t>
            </w:r>
            <w:r w:rsidRPr="00CB38AA">
              <w:rPr>
                <w:rFonts w:ascii="Times New Roman" w:eastAsia="Arial" w:hAnsi="Times New Roman" w:cs="Times New Roman"/>
                <w:sz w:val="24"/>
                <w:szCs w:val="24"/>
              </w:rPr>
              <w:t>Los ayuntamientos, para el eficaz desempeño de sus funciones públicas, podrán auxiliarse por:</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 a IV. …</w:t>
            </w:r>
          </w:p>
        </w:tc>
        <w:tc>
          <w:tcPr>
            <w:tcW w:w="4824" w:type="dxa"/>
            <w:tcBorders>
              <w:top w:val="single" w:sz="5" w:space="0" w:color="000000"/>
              <w:left w:val="single" w:sz="5" w:space="0" w:color="000000"/>
              <w:right w:val="single" w:sz="5" w:space="0" w:color="000000"/>
            </w:tcBorders>
          </w:tcPr>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64.- </w:t>
            </w:r>
            <w:r w:rsidRPr="00CB38AA">
              <w:rPr>
                <w:rFonts w:ascii="Times New Roman" w:eastAsia="Arial" w:hAnsi="Times New Roman" w:cs="Times New Roman"/>
                <w:sz w:val="24"/>
                <w:szCs w:val="24"/>
              </w:rPr>
              <w:t xml:space="preserve">Los ayuntamientos, para el eficaz desempeño de sus </w:t>
            </w:r>
            <w:r w:rsidRPr="00CB38AA">
              <w:rPr>
                <w:rFonts w:ascii="Times New Roman" w:eastAsia="Arial" w:hAnsi="Times New Roman" w:cs="Times New Roman"/>
                <w:b/>
                <w:sz w:val="24"/>
                <w:szCs w:val="24"/>
              </w:rPr>
              <w:t>atribuciones</w:t>
            </w:r>
            <w:r w:rsidRPr="00CB38AA">
              <w:rPr>
                <w:rFonts w:ascii="Times New Roman" w:eastAsia="Arial" w:hAnsi="Times New Roman" w:cs="Times New Roman"/>
                <w:sz w:val="24"/>
                <w:szCs w:val="24"/>
              </w:rPr>
              <w:t>, podrán auxiliarse por:</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 a IV. …</w:t>
            </w:r>
          </w:p>
        </w:tc>
      </w:tr>
      <w:tr w:rsidR="00CB38AA" w:rsidRPr="00CB38AA" w:rsidTr="009A2D71">
        <w:trPr>
          <w:trHeight w:val="20"/>
          <w:jc w:val="center"/>
        </w:trPr>
        <w:tc>
          <w:tcPr>
            <w:tcW w:w="4389" w:type="dxa"/>
            <w:tcBorders>
              <w:top w:val="single" w:sz="5" w:space="0" w:color="000000"/>
              <w:left w:val="single" w:sz="5" w:space="0" w:color="000000"/>
              <w:right w:val="single" w:sz="5" w:space="0" w:color="000000"/>
            </w:tcBorders>
          </w:tcPr>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65.- </w:t>
            </w:r>
            <w:r w:rsidRPr="00CB38AA">
              <w:rPr>
                <w:rFonts w:ascii="Times New Roman" w:eastAsia="Arial" w:hAnsi="Times New Roman" w:cs="Times New Roman"/>
                <w:sz w:val="24"/>
                <w:szCs w:val="24"/>
              </w:rPr>
              <w:t>Los integrantes de las comisiones del ayuntamiento serán nombrados por éste, de entre sus miembros, a propuesta del presidente municipal, a más tardar en la tercera sesión ordinaria que celebren al inicio de su gestión.</w:t>
            </w: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lastRenderedPageBreak/>
              <w:t>Las comisiones se conformarán de forma plural, paritaria y proporcional, tomando en cuenta el número de sus integrantes y la importancia de los ramos encomendados a las mismas; en su integración se deberá tomar en consideración el conocimiento, profesión, vocación, experiencia de las personas integrantes del ayuntamiento, observando los principios de igualdad, equidad y garantizando la paridad de género en la designación de presidencias de las comisiones del ayuntamiento.</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Una vez nombrados los integrantes de las comisiones, los presidentes de cada una tendrán treinta días para convocar a sesión a efecto de llevar a cabo su instalación e inicio de los trabajos.</w:t>
            </w:r>
          </w:p>
        </w:tc>
        <w:tc>
          <w:tcPr>
            <w:tcW w:w="4824" w:type="dxa"/>
            <w:tcBorders>
              <w:top w:val="single" w:sz="5" w:space="0" w:color="000000"/>
              <w:left w:val="single" w:sz="5" w:space="0" w:color="000000"/>
              <w:right w:val="single" w:sz="5" w:space="0" w:color="000000"/>
            </w:tcBorders>
          </w:tcPr>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lastRenderedPageBreak/>
              <w:t xml:space="preserve">Artículo 65.- </w:t>
            </w:r>
            <w:r w:rsidRPr="00CB38AA">
              <w:rPr>
                <w:rFonts w:ascii="Times New Roman" w:eastAsia="Arial" w:hAnsi="Times New Roman" w:cs="Times New Roman"/>
                <w:sz w:val="24"/>
                <w:szCs w:val="24"/>
              </w:rPr>
              <w:t>Los integrantes de las comisiones</w:t>
            </w: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del ayuntamiento serán nombrados por éste, de entre sus miembros, a propuesta de </w:t>
            </w:r>
            <w:r w:rsidRPr="00CB38AA">
              <w:rPr>
                <w:rFonts w:ascii="Times New Roman" w:eastAsia="Arial" w:hAnsi="Times New Roman" w:cs="Times New Roman"/>
                <w:b/>
                <w:sz w:val="24"/>
                <w:szCs w:val="24"/>
              </w:rPr>
              <w:t>la persona titular de la presidencia municipal</w:t>
            </w:r>
            <w:r w:rsidRPr="00CB38AA">
              <w:rPr>
                <w:rFonts w:ascii="Times New Roman" w:eastAsia="Arial" w:hAnsi="Times New Roman" w:cs="Times New Roman"/>
                <w:sz w:val="24"/>
                <w:szCs w:val="24"/>
              </w:rPr>
              <w:t>, a más tardar en la tercera sesión ordinaria que celebren al inicio de su gestión.</w:t>
            </w: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Una vez nombrados los integrantes de las comisiones, </w:t>
            </w:r>
            <w:r w:rsidRPr="00CB38AA">
              <w:rPr>
                <w:rFonts w:ascii="Times New Roman" w:eastAsia="Arial" w:hAnsi="Times New Roman" w:cs="Times New Roman"/>
                <w:b/>
                <w:sz w:val="24"/>
                <w:szCs w:val="24"/>
              </w:rPr>
              <w:t xml:space="preserve">las personas ediles titulares de la presidencia </w:t>
            </w:r>
            <w:r w:rsidRPr="00CB38AA">
              <w:rPr>
                <w:rFonts w:ascii="Times New Roman" w:eastAsia="Arial" w:hAnsi="Times New Roman" w:cs="Times New Roman"/>
                <w:sz w:val="24"/>
                <w:szCs w:val="24"/>
              </w:rPr>
              <w:t xml:space="preserve">de cada una tendrán treinta días para convocar a </w:t>
            </w:r>
            <w:r w:rsidRPr="00CB38AA">
              <w:rPr>
                <w:rFonts w:ascii="Times New Roman" w:eastAsia="Arial" w:hAnsi="Times New Roman" w:cs="Times New Roman"/>
                <w:b/>
                <w:sz w:val="24"/>
                <w:szCs w:val="24"/>
              </w:rPr>
              <w:t xml:space="preserve">reunión </w:t>
            </w:r>
            <w:r w:rsidRPr="00CB38AA">
              <w:rPr>
                <w:rFonts w:ascii="Times New Roman" w:eastAsia="Arial" w:hAnsi="Times New Roman" w:cs="Times New Roman"/>
                <w:sz w:val="24"/>
                <w:szCs w:val="24"/>
              </w:rPr>
              <w:t>a efecto de llevar a cabo su instalación e inicio de los trabajos.</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Las comisiones se conformarán, al menos, por una persona titular de la Presidencia, una persona titular de la Secretaría y al menos una vocalía. Se podrán designar las vocalías que se requieran, conforme lo considere la Presidencia Municipal y apruebe el Ayuntamiento.</w:t>
            </w:r>
          </w:p>
        </w:tc>
      </w:tr>
      <w:tr w:rsidR="00CB38AA" w:rsidRPr="00CB38AA" w:rsidTr="009A2D71">
        <w:trPr>
          <w:trHeight w:val="10775"/>
          <w:jc w:val="center"/>
        </w:trPr>
        <w:tc>
          <w:tcPr>
            <w:tcW w:w="4389" w:type="dxa"/>
            <w:tcBorders>
              <w:top w:val="single" w:sz="5" w:space="0" w:color="000000"/>
              <w:left w:val="single" w:sz="5" w:space="0" w:color="000000"/>
              <w:right w:val="single" w:sz="5" w:space="0" w:color="000000"/>
            </w:tcBorders>
          </w:tcPr>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lastRenderedPageBreak/>
              <w:t xml:space="preserve">Artículo 66.- </w:t>
            </w:r>
            <w:r w:rsidRPr="00CB38AA">
              <w:rPr>
                <w:rFonts w:ascii="Times New Roman" w:eastAsia="Arial" w:hAnsi="Times New Roman" w:cs="Times New Roman"/>
                <w:sz w:val="24"/>
                <w:szCs w:val="24"/>
              </w:rPr>
              <w:t>Las comisiones del ayuntamiento serán responsables de estudiar, examinar y proponer a éste los acuerdos, acciones o normas tendientes a mejorar la</w:t>
            </w:r>
            <w:r w:rsidR="005C6979" w:rsidRPr="00CB38AA">
              <w:rPr>
                <w:rFonts w:ascii="Times New Roman" w:eastAsia="Arial" w:hAnsi="Times New Roman" w:cs="Times New Roman"/>
                <w:sz w:val="24"/>
                <w:szCs w:val="24"/>
              </w:rPr>
              <w:t xml:space="preserve"> </w:t>
            </w:r>
            <w:r w:rsidRPr="00CB38AA">
              <w:rPr>
                <w:rFonts w:ascii="Times New Roman" w:eastAsia="Arial" w:hAnsi="Times New Roman" w:cs="Times New Roman"/>
                <w:sz w:val="24"/>
                <w:szCs w:val="24"/>
              </w:rPr>
              <w:t>administración pública municipal, la solución de los litigios laborales en su contra, así como de vigilar e informar sobre los asuntos a su cargo y sobre el cumplimiento de las disposiciones y acuerdos que dicte el cabildo.</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Las</w:t>
            </w:r>
            <w:r w:rsidR="005C6979" w:rsidRPr="00CB38AA">
              <w:rPr>
                <w:rFonts w:ascii="Times New Roman" w:eastAsia="Arial" w:hAnsi="Times New Roman" w:cs="Times New Roman"/>
                <w:sz w:val="24"/>
                <w:szCs w:val="24"/>
              </w:rPr>
              <w:t xml:space="preserve"> </w:t>
            </w:r>
            <w:r w:rsidRPr="00CB38AA">
              <w:rPr>
                <w:rFonts w:ascii="Times New Roman" w:eastAsia="Arial" w:hAnsi="Times New Roman" w:cs="Times New Roman"/>
                <w:sz w:val="24"/>
                <w:szCs w:val="24"/>
              </w:rPr>
              <w:t>comisiones, deberán</w:t>
            </w:r>
            <w:r w:rsidR="007C76E6" w:rsidRPr="00CB38AA">
              <w:rPr>
                <w:rFonts w:ascii="Times New Roman" w:eastAsia="Arial" w:hAnsi="Times New Roman" w:cs="Times New Roman"/>
                <w:sz w:val="24"/>
                <w:szCs w:val="24"/>
              </w:rPr>
              <w:t xml:space="preserve"> </w:t>
            </w:r>
            <w:r w:rsidRPr="00CB38AA">
              <w:rPr>
                <w:rFonts w:ascii="Times New Roman" w:eastAsia="Arial" w:hAnsi="Times New Roman" w:cs="Times New Roman"/>
                <w:sz w:val="24"/>
                <w:szCs w:val="24"/>
              </w:rPr>
              <w:t>entregar al ayuntamiento, en</w:t>
            </w:r>
            <w:r w:rsidR="007C76E6" w:rsidRPr="00CB38AA">
              <w:rPr>
                <w:rFonts w:ascii="Times New Roman" w:eastAsia="Arial" w:hAnsi="Times New Roman" w:cs="Times New Roman"/>
                <w:sz w:val="24"/>
                <w:szCs w:val="24"/>
              </w:rPr>
              <w:t xml:space="preserve"> </w:t>
            </w:r>
            <w:r w:rsidRPr="00CB38AA">
              <w:rPr>
                <w:rFonts w:ascii="Times New Roman" w:eastAsia="Arial" w:hAnsi="Times New Roman" w:cs="Times New Roman"/>
                <w:sz w:val="24"/>
                <w:szCs w:val="24"/>
              </w:rPr>
              <w:t>sesión</w:t>
            </w:r>
            <w:r w:rsidR="007C76E6" w:rsidRPr="00CB38AA">
              <w:rPr>
                <w:rFonts w:ascii="Times New Roman" w:eastAsia="Arial" w:hAnsi="Times New Roman" w:cs="Times New Roman"/>
                <w:sz w:val="24"/>
                <w:szCs w:val="24"/>
              </w:rPr>
              <w:t xml:space="preserve"> </w:t>
            </w:r>
            <w:r w:rsidRPr="00CB38AA">
              <w:rPr>
                <w:rFonts w:ascii="Times New Roman" w:eastAsia="Arial" w:hAnsi="Times New Roman" w:cs="Times New Roman"/>
                <w:sz w:val="24"/>
                <w:szCs w:val="24"/>
              </w:rPr>
              <w:t>ordinaria,</w:t>
            </w:r>
            <w:r w:rsidR="007C76E6" w:rsidRPr="00CB38AA">
              <w:rPr>
                <w:rFonts w:ascii="Times New Roman" w:eastAsia="Arial" w:hAnsi="Times New Roman" w:cs="Times New Roman"/>
                <w:sz w:val="24"/>
                <w:szCs w:val="24"/>
              </w:rPr>
              <w:t xml:space="preserve"> </w:t>
            </w:r>
            <w:r w:rsidRPr="00CB38AA">
              <w:rPr>
                <w:rFonts w:ascii="Times New Roman" w:eastAsia="Arial" w:hAnsi="Times New Roman" w:cs="Times New Roman"/>
                <w:sz w:val="24"/>
                <w:szCs w:val="24"/>
              </w:rPr>
              <w:t>un</w:t>
            </w:r>
            <w:r w:rsidR="007C76E6" w:rsidRPr="00CB38AA">
              <w:rPr>
                <w:rFonts w:ascii="Times New Roman" w:eastAsia="Arial" w:hAnsi="Times New Roman" w:cs="Times New Roman"/>
                <w:sz w:val="24"/>
                <w:szCs w:val="24"/>
              </w:rPr>
              <w:t xml:space="preserve"> </w:t>
            </w:r>
            <w:r w:rsidRPr="00CB38AA">
              <w:rPr>
                <w:rFonts w:ascii="Times New Roman" w:eastAsia="Arial" w:hAnsi="Times New Roman" w:cs="Times New Roman"/>
                <w:sz w:val="24"/>
                <w:szCs w:val="24"/>
              </w:rPr>
              <w:t>informe trimestral que permita conocer y transparentar el desarrollo de sus actividades, trabajo y gestiones realizadas.</w:t>
            </w:r>
          </w:p>
        </w:tc>
        <w:tc>
          <w:tcPr>
            <w:tcW w:w="4824" w:type="dxa"/>
            <w:tcBorders>
              <w:top w:val="single" w:sz="5" w:space="0" w:color="000000"/>
              <w:left w:val="single" w:sz="5" w:space="0" w:color="000000"/>
              <w:right w:val="single" w:sz="5" w:space="0" w:color="000000"/>
            </w:tcBorders>
          </w:tcPr>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Artículo 66.- Las comisiones del Ayuntamiento</w:t>
            </w: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Tendrán como finalidad analizar, estudiar y formular al propio Ayuntamiento propuestas de</w:t>
            </w:r>
            <w:r w:rsidR="005C6979" w:rsidRPr="00CB38AA">
              <w:rPr>
                <w:rFonts w:ascii="Times New Roman" w:eastAsia="Arial" w:hAnsi="Times New Roman" w:cs="Times New Roman"/>
                <w:b/>
                <w:sz w:val="24"/>
                <w:szCs w:val="24"/>
              </w:rPr>
              <w:t xml:space="preserve"> </w:t>
            </w:r>
            <w:r w:rsidRPr="00CB38AA">
              <w:rPr>
                <w:rFonts w:ascii="Times New Roman" w:eastAsia="Arial" w:hAnsi="Times New Roman" w:cs="Times New Roman"/>
                <w:b/>
                <w:sz w:val="24"/>
                <w:szCs w:val="24"/>
              </w:rPr>
              <w:t>acuerdos,</w:t>
            </w:r>
            <w:r w:rsidR="005C6979" w:rsidRPr="00CB38AA">
              <w:rPr>
                <w:rFonts w:ascii="Times New Roman" w:eastAsia="Arial" w:hAnsi="Times New Roman" w:cs="Times New Roman"/>
                <w:b/>
                <w:sz w:val="24"/>
                <w:szCs w:val="24"/>
              </w:rPr>
              <w:t xml:space="preserve"> </w:t>
            </w:r>
            <w:r w:rsidRPr="00CB38AA">
              <w:rPr>
                <w:rFonts w:ascii="Times New Roman" w:eastAsia="Arial" w:hAnsi="Times New Roman" w:cs="Times New Roman"/>
                <w:b/>
                <w:sz w:val="24"/>
                <w:szCs w:val="24"/>
              </w:rPr>
              <w:t>acciones</w:t>
            </w:r>
            <w:r w:rsidR="005C6979" w:rsidRPr="00CB38AA">
              <w:rPr>
                <w:rFonts w:ascii="Times New Roman" w:eastAsia="Arial" w:hAnsi="Times New Roman" w:cs="Times New Roman"/>
                <w:b/>
                <w:sz w:val="24"/>
                <w:szCs w:val="24"/>
              </w:rPr>
              <w:t xml:space="preserve"> </w:t>
            </w:r>
            <w:r w:rsidRPr="00CB38AA">
              <w:rPr>
                <w:rFonts w:ascii="Times New Roman" w:eastAsia="Arial" w:hAnsi="Times New Roman" w:cs="Times New Roman"/>
                <w:b/>
                <w:sz w:val="24"/>
                <w:szCs w:val="24"/>
              </w:rPr>
              <w:t>o</w:t>
            </w:r>
            <w:r w:rsidR="005C6979" w:rsidRPr="00CB38AA">
              <w:rPr>
                <w:rFonts w:ascii="Times New Roman" w:eastAsia="Arial" w:hAnsi="Times New Roman" w:cs="Times New Roman"/>
                <w:b/>
                <w:sz w:val="24"/>
                <w:szCs w:val="24"/>
              </w:rPr>
              <w:t xml:space="preserve"> </w:t>
            </w:r>
            <w:r w:rsidRPr="00CB38AA">
              <w:rPr>
                <w:rFonts w:ascii="Times New Roman" w:eastAsia="Arial" w:hAnsi="Times New Roman" w:cs="Times New Roman"/>
                <w:b/>
                <w:sz w:val="24"/>
                <w:szCs w:val="24"/>
              </w:rPr>
              <w:t>disposiciones orientadas al fortalecimiento y mejora de la Administración Pública Municipal, así como vigilar, supervisar e informarle sobre los asuntos de su competencia y el cumplimiento de las disposiciones y acuerdos que emita el Ayuntamiento.</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Las presidencias de las comisiones dirigirán los trabajos de análisis, estudio y dictamen, y serán responsables de</w:t>
            </w:r>
            <w:r w:rsidR="007C76E6" w:rsidRPr="00CB38AA">
              <w:rPr>
                <w:rFonts w:ascii="Times New Roman" w:eastAsia="Arial" w:hAnsi="Times New Roman" w:cs="Times New Roman"/>
                <w:b/>
                <w:sz w:val="24"/>
                <w:szCs w:val="24"/>
              </w:rPr>
              <w:t xml:space="preserve"> </w:t>
            </w:r>
            <w:r w:rsidRPr="00CB38AA">
              <w:rPr>
                <w:rFonts w:ascii="Times New Roman" w:eastAsia="Arial" w:hAnsi="Times New Roman" w:cs="Times New Roman"/>
                <w:b/>
                <w:sz w:val="24"/>
                <w:szCs w:val="24"/>
              </w:rPr>
              <w:t>la</w:t>
            </w:r>
            <w:r w:rsidR="00B10130" w:rsidRPr="00CB38AA">
              <w:rPr>
                <w:rFonts w:ascii="Times New Roman" w:eastAsia="Arial" w:hAnsi="Times New Roman" w:cs="Times New Roman"/>
                <w:b/>
                <w:sz w:val="24"/>
                <w:szCs w:val="24"/>
              </w:rPr>
              <w:t xml:space="preserve"> </w:t>
            </w:r>
            <w:r w:rsidRPr="00CB38AA">
              <w:rPr>
                <w:rFonts w:ascii="Times New Roman" w:eastAsia="Arial" w:hAnsi="Times New Roman" w:cs="Times New Roman"/>
                <w:b/>
                <w:sz w:val="24"/>
                <w:szCs w:val="24"/>
              </w:rPr>
              <w:t>guarda, control</w:t>
            </w:r>
            <w:r w:rsidR="007C76E6" w:rsidRPr="00CB38AA">
              <w:rPr>
                <w:rFonts w:ascii="Times New Roman" w:eastAsia="Arial" w:hAnsi="Times New Roman" w:cs="Times New Roman"/>
                <w:b/>
                <w:sz w:val="24"/>
                <w:szCs w:val="24"/>
              </w:rPr>
              <w:t xml:space="preserve"> </w:t>
            </w:r>
            <w:r w:rsidRPr="00CB38AA">
              <w:rPr>
                <w:rFonts w:ascii="Times New Roman" w:eastAsia="Arial" w:hAnsi="Times New Roman" w:cs="Times New Roman"/>
                <w:b/>
                <w:sz w:val="24"/>
                <w:szCs w:val="24"/>
              </w:rPr>
              <w:t>y debido resguardo de los documentos y expedientes que les sean turnados. Las secretarías de</w:t>
            </w:r>
            <w:r w:rsidR="00B10130" w:rsidRPr="00CB38AA">
              <w:rPr>
                <w:rFonts w:ascii="Times New Roman" w:eastAsia="Arial" w:hAnsi="Times New Roman" w:cs="Times New Roman"/>
                <w:b/>
                <w:sz w:val="24"/>
                <w:szCs w:val="24"/>
              </w:rPr>
              <w:t xml:space="preserve"> </w:t>
            </w:r>
            <w:r w:rsidRPr="00CB38AA">
              <w:rPr>
                <w:rFonts w:ascii="Times New Roman" w:eastAsia="Arial" w:hAnsi="Times New Roman" w:cs="Times New Roman"/>
                <w:b/>
                <w:sz w:val="24"/>
                <w:szCs w:val="24"/>
              </w:rPr>
              <w:t>cada</w:t>
            </w:r>
            <w:r w:rsidR="00B10130" w:rsidRPr="00CB38AA">
              <w:rPr>
                <w:rFonts w:ascii="Times New Roman" w:eastAsia="Arial" w:hAnsi="Times New Roman" w:cs="Times New Roman"/>
                <w:b/>
                <w:sz w:val="24"/>
                <w:szCs w:val="24"/>
              </w:rPr>
              <w:t xml:space="preserve"> </w:t>
            </w:r>
            <w:r w:rsidRPr="00CB38AA">
              <w:rPr>
                <w:rFonts w:ascii="Times New Roman" w:eastAsia="Arial" w:hAnsi="Times New Roman" w:cs="Times New Roman"/>
                <w:b/>
                <w:sz w:val="24"/>
                <w:szCs w:val="24"/>
              </w:rPr>
              <w:t>comisión</w:t>
            </w:r>
            <w:r w:rsidR="00B10130" w:rsidRPr="00CB38AA">
              <w:rPr>
                <w:rFonts w:ascii="Times New Roman" w:eastAsia="Arial" w:hAnsi="Times New Roman" w:cs="Times New Roman"/>
                <w:b/>
                <w:sz w:val="24"/>
                <w:szCs w:val="24"/>
              </w:rPr>
              <w:t xml:space="preserve"> </w:t>
            </w:r>
            <w:r w:rsidRPr="00CB38AA">
              <w:rPr>
                <w:rFonts w:ascii="Times New Roman" w:eastAsia="Arial" w:hAnsi="Times New Roman" w:cs="Times New Roman"/>
                <w:b/>
                <w:sz w:val="24"/>
                <w:szCs w:val="24"/>
              </w:rPr>
              <w:t>tendrán</w:t>
            </w:r>
            <w:r w:rsidR="00B10130" w:rsidRPr="00CB38AA">
              <w:rPr>
                <w:rFonts w:ascii="Times New Roman" w:eastAsia="Arial" w:hAnsi="Times New Roman" w:cs="Times New Roman"/>
                <w:b/>
                <w:sz w:val="24"/>
                <w:szCs w:val="24"/>
              </w:rPr>
              <w:t xml:space="preserve"> </w:t>
            </w:r>
            <w:r w:rsidRPr="00CB38AA">
              <w:rPr>
                <w:rFonts w:ascii="Times New Roman" w:eastAsia="Arial" w:hAnsi="Times New Roman" w:cs="Times New Roman"/>
                <w:b/>
                <w:sz w:val="24"/>
                <w:szCs w:val="24"/>
              </w:rPr>
              <w:t>a</w:t>
            </w:r>
            <w:r w:rsidR="00B10130" w:rsidRPr="00CB38AA">
              <w:rPr>
                <w:rFonts w:ascii="Times New Roman" w:eastAsia="Arial" w:hAnsi="Times New Roman" w:cs="Times New Roman"/>
                <w:b/>
                <w:sz w:val="24"/>
                <w:szCs w:val="24"/>
              </w:rPr>
              <w:t xml:space="preserve"> </w:t>
            </w:r>
            <w:r w:rsidRPr="00CB38AA">
              <w:rPr>
                <w:rFonts w:ascii="Times New Roman" w:eastAsia="Arial" w:hAnsi="Times New Roman" w:cs="Times New Roman"/>
                <w:b/>
                <w:sz w:val="24"/>
                <w:szCs w:val="24"/>
              </w:rPr>
              <w:t>su cargo la</w:t>
            </w:r>
            <w:r w:rsidR="00B10130" w:rsidRPr="00CB38AA">
              <w:rPr>
                <w:rFonts w:ascii="Times New Roman" w:eastAsia="Arial" w:hAnsi="Times New Roman" w:cs="Times New Roman"/>
                <w:b/>
                <w:sz w:val="24"/>
                <w:szCs w:val="24"/>
              </w:rPr>
              <w:t xml:space="preserve"> </w:t>
            </w:r>
            <w:r w:rsidRPr="00CB38AA">
              <w:rPr>
                <w:rFonts w:ascii="Times New Roman" w:eastAsia="Arial" w:hAnsi="Times New Roman" w:cs="Times New Roman"/>
                <w:b/>
                <w:sz w:val="24"/>
                <w:szCs w:val="24"/>
              </w:rPr>
              <w:t>elaboración de</w:t>
            </w:r>
            <w:r w:rsidR="00B10130" w:rsidRPr="00CB38AA">
              <w:rPr>
                <w:rFonts w:ascii="Times New Roman" w:eastAsia="Arial" w:hAnsi="Times New Roman" w:cs="Times New Roman"/>
                <w:b/>
                <w:sz w:val="24"/>
                <w:szCs w:val="24"/>
              </w:rPr>
              <w:t xml:space="preserve"> </w:t>
            </w:r>
            <w:r w:rsidRPr="00CB38AA">
              <w:rPr>
                <w:rFonts w:ascii="Times New Roman" w:eastAsia="Arial" w:hAnsi="Times New Roman" w:cs="Times New Roman"/>
                <w:b/>
                <w:sz w:val="24"/>
                <w:szCs w:val="24"/>
              </w:rPr>
              <w:t>las</w:t>
            </w:r>
            <w:r w:rsidR="00B10130" w:rsidRPr="00CB38AA">
              <w:rPr>
                <w:rFonts w:ascii="Times New Roman" w:eastAsia="Arial" w:hAnsi="Times New Roman" w:cs="Times New Roman"/>
                <w:b/>
                <w:sz w:val="24"/>
                <w:szCs w:val="24"/>
              </w:rPr>
              <w:t xml:space="preserve"> </w:t>
            </w:r>
            <w:r w:rsidRPr="00CB38AA">
              <w:rPr>
                <w:rFonts w:ascii="Times New Roman" w:eastAsia="Arial" w:hAnsi="Times New Roman" w:cs="Times New Roman"/>
                <w:b/>
                <w:sz w:val="24"/>
                <w:szCs w:val="24"/>
              </w:rPr>
              <w:t>minutas de</w:t>
            </w:r>
            <w:r w:rsidR="00B10130" w:rsidRPr="00CB38AA">
              <w:rPr>
                <w:rFonts w:ascii="Times New Roman" w:eastAsia="Arial" w:hAnsi="Times New Roman" w:cs="Times New Roman"/>
                <w:b/>
                <w:sz w:val="24"/>
                <w:szCs w:val="24"/>
              </w:rPr>
              <w:t xml:space="preserve"> </w:t>
            </w:r>
            <w:r w:rsidRPr="00CB38AA">
              <w:rPr>
                <w:rFonts w:ascii="Times New Roman" w:eastAsia="Arial" w:hAnsi="Times New Roman" w:cs="Times New Roman"/>
                <w:b/>
                <w:sz w:val="24"/>
                <w:szCs w:val="24"/>
              </w:rPr>
              <w:t>las reuniones, así como recabar, de manera conjunta con la presidencia, de las firmas de las personas integrantes de la comisión para la minuta en la que se asentarán los acuerdos de la misma.</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La persona titular de la Secretaría del Ayuntamiento procederá a la apertura y validación, mediante su firma, del libro de minutas de cada comisión, una vez que éstas hayan sido formalmente integradas. Dichos libros formarán parte del proceso de entrega- recepción y, al término de la gestión municipal, quedarán bajo resguardo de la Secretaría del Ayuntamiento</w:t>
            </w:r>
            <w:r w:rsidR="00B10130" w:rsidRPr="00CB38AA">
              <w:rPr>
                <w:rFonts w:ascii="Times New Roman" w:eastAsia="Arial" w:hAnsi="Times New Roman" w:cs="Times New Roman"/>
                <w:b/>
                <w:sz w:val="24"/>
                <w:szCs w:val="24"/>
              </w:rPr>
              <w:t xml:space="preserve"> </w:t>
            </w:r>
            <w:r w:rsidRPr="00CB38AA">
              <w:rPr>
                <w:rFonts w:ascii="Times New Roman" w:eastAsia="Arial" w:hAnsi="Times New Roman" w:cs="Times New Roman"/>
                <w:b/>
                <w:sz w:val="24"/>
                <w:szCs w:val="24"/>
              </w:rPr>
              <w:t>para su entrega a la administración entrante.</w:t>
            </w:r>
          </w:p>
        </w:tc>
      </w:tr>
      <w:tr w:rsidR="00CB38AA" w:rsidRPr="00CB38AA" w:rsidTr="009A2D71">
        <w:trPr>
          <w:trHeight w:val="20"/>
          <w:jc w:val="center"/>
        </w:trPr>
        <w:tc>
          <w:tcPr>
            <w:tcW w:w="4389" w:type="dxa"/>
            <w:tcBorders>
              <w:top w:val="single" w:sz="5" w:space="0" w:color="000000"/>
              <w:left w:val="single" w:sz="5" w:space="0" w:color="000000"/>
              <w:right w:val="single" w:sz="5" w:space="0" w:color="000000"/>
            </w:tcBorders>
          </w:tcPr>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Artículo67.- </w:t>
            </w:r>
            <w:r w:rsidRPr="00CB38AA">
              <w:rPr>
                <w:rFonts w:ascii="Times New Roman" w:eastAsia="Arial" w:hAnsi="Times New Roman" w:cs="Times New Roman"/>
                <w:sz w:val="24"/>
                <w:szCs w:val="24"/>
              </w:rPr>
              <w:t>Las</w:t>
            </w:r>
            <w:r w:rsidR="00B10130" w:rsidRPr="00CB38AA">
              <w:rPr>
                <w:rFonts w:ascii="Times New Roman" w:eastAsia="Arial" w:hAnsi="Times New Roman" w:cs="Times New Roman"/>
                <w:sz w:val="24"/>
                <w:szCs w:val="24"/>
              </w:rPr>
              <w:t xml:space="preserve"> </w:t>
            </w:r>
            <w:r w:rsidRPr="00CB38AA">
              <w:rPr>
                <w:rFonts w:ascii="Times New Roman" w:eastAsia="Arial" w:hAnsi="Times New Roman" w:cs="Times New Roman"/>
                <w:sz w:val="24"/>
                <w:szCs w:val="24"/>
              </w:rPr>
              <w:t>comisiones, para el cumplimiento de sus fines y previa autorización del ayuntamiento, podrán celebrar reuniones públicas en las localidades del municipio, para recabar la opinión de sus habitantes. Asimismo, en aquellos casos en que sea necesario, podrán solicitar asesoría externa especializada.</w:t>
            </w:r>
          </w:p>
        </w:tc>
        <w:tc>
          <w:tcPr>
            <w:tcW w:w="4824" w:type="dxa"/>
            <w:tcBorders>
              <w:top w:val="single" w:sz="5" w:space="0" w:color="000000"/>
              <w:left w:val="single" w:sz="5" w:space="0" w:color="000000"/>
              <w:right w:val="single" w:sz="5" w:space="0" w:color="000000"/>
            </w:tcBorders>
          </w:tcPr>
          <w:p w:rsidR="00F31F1D" w:rsidRPr="00CB38AA" w:rsidRDefault="00F31F1D" w:rsidP="00DF6EEA">
            <w:pPr>
              <w:spacing w:after="0" w:line="240" w:lineRule="auto"/>
              <w:jc w:val="both"/>
              <w:rPr>
                <w:rFonts w:ascii="Times New Roman" w:eastAsia="Arial" w:hAnsi="Times New Roman" w:cs="Times New Roman"/>
                <w:b/>
                <w:sz w:val="24"/>
                <w:szCs w:val="24"/>
              </w:rPr>
            </w:pPr>
            <w:r w:rsidRPr="00CB38AA">
              <w:rPr>
                <w:rFonts w:ascii="Times New Roman" w:eastAsia="Arial" w:hAnsi="Times New Roman" w:cs="Times New Roman"/>
                <w:b/>
                <w:sz w:val="24"/>
                <w:szCs w:val="24"/>
              </w:rPr>
              <w:t>Artículo 67.- Las comisiones se reunirán de manera ordinaria, al menos, una vez cada treinta días, y de forma extraordinaria cuando resulte necesario para el análisis, estudio y dictaminación de</w:t>
            </w:r>
            <w:r w:rsidR="00541B3B" w:rsidRPr="00CB38AA">
              <w:rPr>
                <w:rFonts w:ascii="Times New Roman" w:eastAsia="Arial" w:hAnsi="Times New Roman" w:cs="Times New Roman"/>
                <w:b/>
                <w:sz w:val="24"/>
                <w:szCs w:val="24"/>
              </w:rPr>
              <w:t xml:space="preserve"> </w:t>
            </w:r>
            <w:r w:rsidRPr="00CB38AA">
              <w:rPr>
                <w:rFonts w:ascii="Times New Roman" w:eastAsia="Arial" w:hAnsi="Times New Roman" w:cs="Times New Roman"/>
                <w:b/>
                <w:sz w:val="24"/>
                <w:szCs w:val="24"/>
              </w:rPr>
              <w:t>los</w:t>
            </w:r>
            <w:r w:rsidR="00541B3B" w:rsidRPr="00CB38AA">
              <w:rPr>
                <w:rFonts w:ascii="Times New Roman" w:eastAsia="Arial" w:hAnsi="Times New Roman" w:cs="Times New Roman"/>
                <w:b/>
                <w:sz w:val="24"/>
                <w:szCs w:val="24"/>
              </w:rPr>
              <w:t xml:space="preserve"> </w:t>
            </w:r>
            <w:r w:rsidRPr="00CB38AA">
              <w:rPr>
                <w:rFonts w:ascii="Times New Roman" w:eastAsia="Arial" w:hAnsi="Times New Roman" w:cs="Times New Roman"/>
                <w:b/>
                <w:sz w:val="24"/>
                <w:szCs w:val="24"/>
              </w:rPr>
              <w:t>asuntos</w:t>
            </w:r>
            <w:r w:rsidR="00541B3B" w:rsidRPr="00CB38AA">
              <w:rPr>
                <w:rFonts w:ascii="Times New Roman" w:eastAsia="Arial" w:hAnsi="Times New Roman" w:cs="Times New Roman"/>
                <w:b/>
                <w:sz w:val="24"/>
                <w:szCs w:val="24"/>
              </w:rPr>
              <w:t xml:space="preserve"> </w:t>
            </w:r>
            <w:r w:rsidRPr="00CB38AA">
              <w:rPr>
                <w:rFonts w:ascii="Times New Roman" w:eastAsia="Arial" w:hAnsi="Times New Roman" w:cs="Times New Roman"/>
                <w:b/>
                <w:sz w:val="24"/>
                <w:szCs w:val="24"/>
              </w:rPr>
              <w:t>que</w:t>
            </w:r>
            <w:r w:rsidR="003E3236" w:rsidRPr="00CB38AA">
              <w:rPr>
                <w:rFonts w:ascii="Times New Roman" w:eastAsia="Arial" w:hAnsi="Times New Roman" w:cs="Times New Roman"/>
                <w:b/>
                <w:sz w:val="24"/>
                <w:szCs w:val="24"/>
              </w:rPr>
              <w:t xml:space="preserve"> </w:t>
            </w:r>
            <w:r w:rsidRPr="00CB38AA">
              <w:rPr>
                <w:rFonts w:ascii="Times New Roman" w:eastAsia="Arial" w:hAnsi="Times New Roman" w:cs="Times New Roman"/>
                <w:b/>
                <w:sz w:val="24"/>
                <w:szCs w:val="24"/>
              </w:rPr>
              <w:t>les</w:t>
            </w:r>
            <w:r w:rsidR="003E3236" w:rsidRPr="00CB38AA">
              <w:rPr>
                <w:rFonts w:ascii="Times New Roman" w:eastAsia="Arial" w:hAnsi="Times New Roman" w:cs="Times New Roman"/>
                <w:b/>
                <w:sz w:val="24"/>
                <w:szCs w:val="24"/>
              </w:rPr>
              <w:t xml:space="preserve"> </w:t>
            </w:r>
            <w:r w:rsidRPr="00CB38AA">
              <w:rPr>
                <w:rFonts w:ascii="Times New Roman" w:eastAsia="Arial" w:hAnsi="Times New Roman" w:cs="Times New Roman"/>
                <w:b/>
                <w:sz w:val="24"/>
                <w:szCs w:val="24"/>
              </w:rPr>
              <w:t>sean turnados por el Ayuntamiento.</w:t>
            </w: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lastRenderedPageBreak/>
              <w:t>Las reuniones de las comisiones serán  públicas y deberán transmitirse en vivo a través del medio tecnológico que se determine, preferentemente mediante el portal oficial de internet del Ayuntamiento.</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Cuando, por causas técnicas debidamente  justificadas, no sea posible realizar la transmisión en tiempo real, las reuniones deberán ser videograbadas y publicadas de manera íntegra en el portal oficial de internet del Ayuntamiento, garantizando en todo momento el principio de máxima publicidad.</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Las minutas de las reuniones tendrán el carácter de documentos públicos y deberán publicarse en el portal de transparencia del Ayuntamiento, en los términos de la legislación aplicable.</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Para el cumplimiento de sus fines, y previa autorización del Ayuntamiento, las comisiones podrán celebrar reuniones públicas en las diversas localidades del municipio, con el objeto de recabar la opinión de sus habitantes. Asimismo, cuando la naturaleza de los asuntos lo requiera, podrán solicitar asesoría externa especializada.</w:t>
            </w:r>
          </w:p>
        </w:tc>
      </w:tr>
      <w:tr w:rsidR="00CB38AA" w:rsidRPr="00CB38AA" w:rsidTr="009A2D71">
        <w:trPr>
          <w:trHeight w:val="276"/>
          <w:jc w:val="center"/>
        </w:trPr>
        <w:tc>
          <w:tcPr>
            <w:tcW w:w="4389" w:type="dxa"/>
            <w:vMerge w:val="restart"/>
            <w:tcBorders>
              <w:top w:val="single" w:sz="5" w:space="0" w:color="000000"/>
              <w:left w:val="single" w:sz="5" w:space="0" w:color="000000"/>
              <w:right w:val="single" w:sz="5" w:space="0" w:color="000000"/>
            </w:tcBorders>
          </w:tcPr>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lastRenderedPageBreak/>
              <w:t>SIN CORRELATIVO</w:t>
            </w:r>
          </w:p>
        </w:tc>
        <w:tc>
          <w:tcPr>
            <w:tcW w:w="4824" w:type="dxa"/>
            <w:vMerge w:val="restart"/>
            <w:tcBorders>
              <w:top w:val="single" w:sz="5" w:space="0" w:color="000000"/>
              <w:left w:val="single" w:sz="5" w:space="0" w:color="000000"/>
              <w:right w:val="single" w:sz="5" w:space="0" w:color="000000"/>
            </w:tcBorders>
          </w:tcPr>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Artículo 67 Bis.- Las personas integrantes de las comisiones deberán asistir puntualmente a sus reuniones y únicamente podrán ausentarse por causa justificada, la cual deberá ser debidamente comunicada a la Secretaría del Ayuntamiento para los efectos reglamentarios aplicables.</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Las comisiones podrán celebrar reuniones a distancia mediante el uso de herramientas tecnológicas, siempre que así lo acuerde la mayoría de las personas integrantes de la comisión y se informe oportunamente al Ayuntamiento, observando las formalidades previstas en la normatividad aplicable. En las sesiones celebradas a distancia, los acuerdos y dictámenes deberán formalizarse mediante el uso</w:t>
            </w:r>
            <w:r w:rsidR="003E3236" w:rsidRPr="00CB38AA">
              <w:rPr>
                <w:rFonts w:ascii="Times New Roman" w:eastAsia="Arial" w:hAnsi="Times New Roman" w:cs="Times New Roman"/>
                <w:b/>
                <w:sz w:val="24"/>
                <w:szCs w:val="24"/>
              </w:rPr>
              <w:t xml:space="preserve"> </w:t>
            </w:r>
            <w:r w:rsidRPr="00CB38AA">
              <w:rPr>
                <w:rFonts w:ascii="Times New Roman" w:eastAsia="Arial" w:hAnsi="Times New Roman" w:cs="Times New Roman"/>
                <w:b/>
                <w:sz w:val="24"/>
                <w:szCs w:val="24"/>
              </w:rPr>
              <w:t>de</w:t>
            </w:r>
            <w:r w:rsidR="003E3236" w:rsidRPr="00CB38AA">
              <w:rPr>
                <w:rFonts w:ascii="Times New Roman" w:eastAsia="Arial" w:hAnsi="Times New Roman" w:cs="Times New Roman"/>
                <w:b/>
                <w:sz w:val="24"/>
                <w:szCs w:val="24"/>
              </w:rPr>
              <w:t xml:space="preserve"> </w:t>
            </w:r>
            <w:r w:rsidRPr="00CB38AA">
              <w:rPr>
                <w:rFonts w:ascii="Times New Roman" w:eastAsia="Arial" w:hAnsi="Times New Roman" w:cs="Times New Roman"/>
                <w:b/>
                <w:sz w:val="24"/>
                <w:szCs w:val="24"/>
              </w:rPr>
              <w:t>firma</w:t>
            </w:r>
            <w:r w:rsidR="003E3236" w:rsidRPr="00CB38AA">
              <w:rPr>
                <w:rFonts w:ascii="Times New Roman" w:eastAsia="Arial" w:hAnsi="Times New Roman" w:cs="Times New Roman"/>
                <w:b/>
                <w:sz w:val="24"/>
                <w:szCs w:val="24"/>
              </w:rPr>
              <w:t xml:space="preserve"> </w:t>
            </w:r>
            <w:r w:rsidRPr="00CB38AA">
              <w:rPr>
                <w:rFonts w:ascii="Times New Roman" w:eastAsia="Arial" w:hAnsi="Times New Roman" w:cs="Times New Roman"/>
                <w:b/>
                <w:sz w:val="24"/>
                <w:szCs w:val="24"/>
              </w:rPr>
              <w:t>electrónica certificada, en</w:t>
            </w:r>
            <w:r w:rsidR="00537556" w:rsidRPr="00CB38AA">
              <w:rPr>
                <w:rFonts w:ascii="Times New Roman" w:eastAsia="Arial" w:hAnsi="Times New Roman" w:cs="Times New Roman"/>
                <w:b/>
                <w:sz w:val="24"/>
                <w:szCs w:val="24"/>
              </w:rPr>
              <w:t xml:space="preserve"> </w:t>
            </w:r>
            <w:r w:rsidRPr="00CB38AA">
              <w:rPr>
                <w:rFonts w:ascii="Times New Roman" w:eastAsia="Arial" w:hAnsi="Times New Roman" w:cs="Times New Roman"/>
                <w:b/>
                <w:sz w:val="24"/>
                <w:szCs w:val="24"/>
              </w:rPr>
              <w:t xml:space="preserve">los términos de la legislación correspondiente. En estas circunstancias, al menos la persona edil </w:t>
            </w:r>
            <w:r w:rsidRPr="00CB38AA">
              <w:rPr>
                <w:rFonts w:ascii="Times New Roman" w:eastAsia="Arial" w:hAnsi="Times New Roman" w:cs="Times New Roman"/>
                <w:b/>
                <w:sz w:val="24"/>
                <w:szCs w:val="24"/>
              </w:rPr>
              <w:lastRenderedPageBreak/>
              <w:t>que presida la comisión deberá hacerlo desde el edificio sede del Ayuntamiento.</w:t>
            </w:r>
          </w:p>
        </w:tc>
      </w:tr>
      <w:tr w:rsidR="00CB38AA" w:rsidRPr="00CB38AA" w:rsidTr="009A2D71">
        <w:trPr>
          <w:trHeight w:val="276"/>
          <w:jc w:val="center"/>
        </w:trPr>
        <w:tc>
          <w:tcPr>
            <w:tcW w:w="4389" w:type="dxa"/>
            <w:vMerge/>
            <w:tcBorders>
              <w:left w:val="single" w:sz="5" w:space="0" w:color="000000"/>
              <w:right w:val="single" w:sz="5" w:space="0" w:color="000000"/>
            </w:tcBorders>
          </w:tcPr>
          <w:p w:rsidR="00F31F1D" w:rsidRPr="00CB38AA" w:rsidRDefault="00F31F1D" w:rsidP="00DF6EEA">
            <w:pPr>
              <w:spacing w:after="0" w:line="240" w:lineRule="auto"/>
              <w:jc w:val="both"/>
              <w:rPr>
                <w:rFonts w:ascii="Times New Roman" w:eastAsia="Times New Roman" w:hAnsi="Times New Roman" w:cs="Times New Roman"/>
                <w:sz w:val="24"/>
                <w:szCs w:val="24"/>
              </w:rPr>
            </w:pPr>
          </w:p>
        </w:tc>
        <w:tc>
          <w:tcPr>
            <w:tcW w:w="4824" w:type="dxa"/>
            <w:vMerge/>
            <w:tcBorders>
              <w:left w:val="single" w:sz="5" w:space="0" w:color="000000"/>
              <w:right w:val="single" w:sz="5" w:space="0" w:color="000000"/>
            </w:tcBorders>
          </w:tcPr>
          <w:p w:rsidR="00F31F1D" w:rsidRPr="00CB38AA" w:rsidRDefault="00F31F1D" w:rsidP="00DF6EEA">
            <w:pPr>
              <w:spacing w:after="0" w:line="240" w:lineRule="auto"/>
              <w:jc w:val="both"/>
              <w:rPr>
                <w:rFonts w:ascii="Times New Roman" w:eastAsia="Times New Roman" w:hAnsi="Times New Roman" w:cs="Times New Roman"/>
                <w:sz w:val="24"/>
                <w:szCs w:val="24"/>
              </w:rPr>
            </w:pPr>
          </w:p>
        </w:tc>
      </w:tr>
      <w:tr w:rsidR="00CB38AA" w:rsidRPr="00CB38AA" w:rsidTr="009A2D71">
        <w:trPr>
          <w:trHeight w:val="276"/>
          <w:jc w:val="center"/>
        </w:trPr>
        <w:tc>
          <w:tcPr>
            <w:tcW w:w="4389" w:type="dxa"/>
            <w:vMerge/>
            <w:tcBorders>
              <w:left w:val="single" w:sz="5" w:space="0" w:color="000000"/>
              <w:right w:val="single" w:sz="5" w:space="0" w:color="000000"/>
            </w:tcBorders>
          </w:tcPr>
          <w:p w:rsidR="00F31F1D" w:rsidRPr="00CB38AA" w:rsidRDefault="00F31F1D" w:rsidP="00DF6EEA">
            <w:pPr>
              <w:spacing w:after="0" w:line="240" w:lineRule="auto"/>
              <w:jc w:val="both"/>
              <w:rPr>
                <w:rFonts w:ascii="Times New Roman" w:eastAsia="Times New Roman" w:hAnsi="Times New Roman" w:cs="Times New Roman"/>
                <w:sz w:val="24"/>
                <w:szCs w:val="24"/>
              </w:rPr>
            </w:pPr>
          </w:p>
        </w:tc>
        <w:tc>
          <w:tcPr>
            <w:tcW w:w="4824" w:type="dxa"/>
            <w:vMerge/>
            <w:tcBorders>
              <w:left w:val="single" w:sz="5" w:space="0" w:color="000000"/>
              <w:right w:val="single" w:sz="5" w:space="0" w:color="000000"/>
            </w:tcBorders>
          </w:tcPr>
          <w:p w:rsidR="00F31F1D" w:rsidRPr="00CB38AA" w:rsidRDefault="00F31F1D" w:rsidP="00DF6EEA">
            <w:pPr>
              <w:spacing w:after="0" w:line="240" w:lineRule="auto"/>
              <w:jc w:val="both"/>
              <w:rPr>
                <w:rFonts w:ascii="Times New Roman" w:eastAsia="Times New Roman" w:hAnsi="Times New Roman" w:cs="Times New Roman"/>
                <w:sz w:val="24"/>
                <w:szCs w:val="24"/>
              </w:rPr>
            </w:pPr>
          </w:p>
        </w:tc>
      </w:tr>
      <w:tr w:rsidR="00CB38AA" w:rsidRPr="00CB38AA" w:rsidTr="009A2D71">
        <w:trPr>
          <w:trHeight w:val="276"/>
          <w:jc w:val="center"/>
        </w:trPr>
        <w:tc>
          <w:tcPr>
            <w:tcW w:w="4389" w:type="dxa"/>
            <w:vMerge/>
            <w:tcBorders>
              <w:left w:val="single" w:sz="5" w:space="0" w:color="000000"/>
              <w:right w:val="single" w:sz="5" w:space="0" w:color="000000"/>
            </w:tcBorders>
          </w:tcPr>
          <w:p w:rsidR="00F31F1D" w:rsidRPr="00CB38AA" w:rsidRDefault="00F31F1D" w:rsidP="00DF6EEA">
            <w:pPr>
              <w:spacing w:after="0" w:line="240" w:lineRule="auto"/>
              <w:jc w:val="both"/>
              <w:rPr>
                <w:rFonts w:ascii="Times New Roman" w:eastAsia="Times New Roman" w:hAnsi="Times New Roman" w:cs="Times New Roman"/>
                <w:sz w:val="24"/>
                <w:szCs w:val="24"/>
              </w:rPr>
            </w:pPr>
          </w:p>
        </w:tc>
        <w:tc>
          <w:tcPr>
            <w:tcW w:w="4824" w:type="dxa"/>
            <w:vMerge/>
            <w:tcBorders>
              <w:left w:val="single" w:sz="5" w:space="0" w:color="000000"/>
              <w:right w:val="single" w:sz="5" w:space="0" w:color="000000"/>
            </w:tcBorders>
          </w:tcPr>
          <w:p w:rsidR="00F31F1D" w:rsidRPr="00CB38AA" w:rsidRDefault="00F31F1D" w:rsidP="00DF6EEA">
            <w:pPr>
              <w:spacing w:after="0" w:line="240" w:lineRule="auto"/>
              <w:jc w:val="both"/>
              <w:rPr>
                <w:rFonts w:ascii="Times New Roman" w:eastAsia="Times New Roman" w:hAnsi="Times New Roman" w:cs="Times New Roman"/>
                <w:sz w:val="24"/>
                <w:szCs w:val="24"/>
              </w:rPr>
            </w:pPr>
          </w:p>
        </w:tc>
      </w:tr>
      <w:tr w:rsidR="00CB38AA" w:rsidRPr="00CB38AA" w:rsidTr="009A2D71">
        <w:trPr>
          <w:trHeight w:val="276"/>
          <w:jc w:val="center"/>
        </w:trPr>
        <w:tc>
          <w:tcPr>
            <w:tcW w:w="4389" w:type="dxa"/>
            <w:vMerge/>
            <w:tcBorders>
              <w:left w:val="single" w:sz="5" w:space="0" w:color="000000"/>
              <w:right w:val="single" w:sz="5" w:space="0" w:color="000000"/>
            </w:tcBorders>
          </w:tcPr>
          <w:p w:rsidR="00F31F1D" w:rsidRPr="00CB38AA" w:rsidRDefault="00F31F1D" w:rsidP="00DF6EEA">
            <w:pPr>
              <w:spacing w:after="0" w:line="240" w:lineRule="auto"/>
              <w:jc w:val="both"/>
              <w:rPr>
                <w:rFonts w:ascii="Times New Roman" w:eastAsia="Times New Roman" w:hAnsi="Times New Roman" w:cs="Times New Roman"/>
                <w:sz w:val="24"/>
                <w:szCs w:val="24"/>
              </w:rPr>
            </w:pPr>
          </w:p>
        </w:tc>
        <w:tc>
          <w:tcPr>
            <w:tcW w:w="4824" w:type="dxa"/>
            <w:vMerge/>
            <w:tcBorders>
              <w:left w:val="single" w:sz="5" w:space="0" w:color="000000"/>
              <w:right w:val="single" w:sz="5" w:space="0" w:color="000000"/>
            </w:tcBorders>
          </w:tcPr>
          <w:p w:rsidR="00F31F1D" w:rsidRPr="00CB38AA" w:rsidRDefault="00F31F1D" w:rsidP="00DF6EEA">
            <w:pPr>
              <w:spacing w:after="0" w:line="240" w:lineRule="auto"/>
              <w:jc w:val="both"/>
              <w:rPr>
                <w:rFonts w:ascii="Times New Roman" w:eastAsia="Times New Roman" w:hAnsi="Times New Roman" w:cs="Times New Roman"/>
                <w:sz w:val="24"/>
                <w:szCs w:val="24"/>
              </w:rPr>
            </w:pPr>
          </w:p>
        </w:tc>
      </w:tr>
      <w:tr w:rsidR="00CB38AA" w:rsidRPr="00CB38AA" w:rsidTr="009A2D71">
        <w:trPr>
          <w:trHeight w:val="276"/>
          <w:jc w:val="center"/>
        </w:trPr>
        <w:tc>
          <w:tcPr>
            <w:tcW w:w="4389" w:type="dxa"/>
            <w:vMerge/>
            <w:tcBorders>
              <w:left w:val="single" w:sz="5" w:space="0" w:color="000000"/>
              <w:bottom w:val="single" w:sz="5" w:space="0" w:color="000000"/>
              <w:right w:val="single" w:sz="5" w:space="0" w:color="000000"/>
            </w:tcBorders>
          </w:tcPr>
          <w:p w:rsidR="00F31F1D" w:rsidRPr="00CB38AA" w:rsidRDefault="00F31F1D" w:rsidP="00DF6EEA">
            <w:pPr>
              <w:spacing w:after="0" w:line="240" w:lineRule="auto"/>
              <w:jc w:val="both"/>
              <w:rPr>
                <w:rFonts w:ascii="Times New Roman" w:eastAsia="Times New Roman" w:hAnsi="Times New Roman" w:cs="Times New Roman"/>
                <w:sz w:val="24"/>
                <w:szCs w:val="24"/>
              </w:rPr>
            </w:pPr>
          </w:p>
        </w:tc>
        <w:tc>
          <w:tcPr>
            <w:tcW w:w="4824" w:type="dxa"/>
            <w:vMerge/>
            <w:tcBorders>
              <w:left w:val="single" w:sz="5" w:space="0" w:color="000000"/>
              <w:bottom w:val="single" w:sz="5" w:space="0" w:color="000000"/>
              <w:right w:val="single" w:sz="5" w:space="0" w:color="000000"/>
            </w:tcBorders>
          </w:tcPr>
          <w:p w:rsidR="00F31F1D" w:rsidRPr="00CB38AA" w:rsidRDefault="00F31F1D" w:rsidP="00DF6EEA">
            <w:pPr>
              <w:spacing w:after="0" w:line="240" w:lineRule="auto"/>
              <w:jc w:val="both"/>
              <w:rPr>
                <w:rFonts w:ascii="Times New Roman" w:eastAsia="Times New Roman" w:hAnsi="Times New Roman" w:cs="Times New Roman"/>
                <w:sz w:val="24"/>
                <w:szCs w:val="24"/>
              </w:rPr>
            </w:pPr>
          </w:p>
        </w:tc>
      </w:tr>
      <w:tr w:rsidR="00CB38AA" w:rsidRPr="00CB38AA" w:rsidTr="009A2D71">
        <w:trPr>
          <w:trHeight w:val="20"/>
          <w:jc w:val="center"/>
        </w:trPr>
        <w:tc>
          <w:tcPr>
            <w:tcW w:w="4389" w:type="dxa"/>
            <w:tcBorders>
              <w:top w:val="single" w:sz="5" w:space="0" w:color="000000"/>
              <w:left w:val="single" w:sz="5" w:space="0" w:color="000000"/>
              <w:right w:val="single" w:sz="5" w:space="0" w:color="000000"/>
            </w:tcBorders>
          </w:tcPr>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Artículo68.-</w:t>
            </w:r>
            <w:r w:rsidRPr="00CB38AA">
              <w:rPr>
                <w:rFonts w:ascii="Times New Roman" w:eastAsia="Arial" w:hAnsi="Times New Roman" w:cs="Times New Roman"/>
                <w:sz w:val="24"/>
                <w:szCs w:val="24"/>
              </w:rPr>
              <w:t>Previaautorización del ayuntamiento, las comisiones podrán llamar a comparecer a los titulares de las dependencias administrativas municipales a efecto de que les informen, cuando así se requiera, sobre el estado que guardan los asuntos de su dependencia.</w:t>
            </w: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Las comisiones podrán solicitar a través del presidente de la comisión al Secretario del Ayuntamiento, la información necesaria con el propósito de que puedan atender los asuntos que les han sido encomendados, así como para llevar a cabo el cumplimiento de sus funciones. Para tal efecto, éste deberá entregarla de forma oportuna.</w:t>
            </w:r>
          </w:p>
          <w:p w:rsidR="00F31F1D" w:rsidRPr="00CB38AA" w:rsidRDefault="00F31F1D" w:rsidP="00DF6EEA">
            <w:pPr>
              <w:spacing w:after="0" w:line="240" w:lineRule="auto"/>
              <w:jc w:val="both"/>
              <w:rPr>
                <w:rFonts w:ascii="Times New Roman" w:eastAsia="Arial" w:hAnsi="Times New Roman" w:cs="Times New Roman"/>
                <w:sz w:val="24"/>
                <w:szCs w:val="24"/>
              </w:rPr>
            </w:pPr>
          </w:p>
        </w:tc>
        <w:tc>
          <w:tcPr>
            <w:tcW w:w="4824" w:type="dxa"/>
            <w:tcBorders>
              <w:top w:val="single" w:sz="5" w:space="0" w:color="000000"/>
              <w:left w:val="single" w:sz="5" w:space="0" w:color="000000"/>
              <w:right w:val="single" w:sz="5" w:space="0" w:color="000000"/>
            </w:tcBorders>
          </w:tcPr>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Artículo68.-</w:t>
            </w:r>
            <w:r w:rsidRPr="00CB38AA">
              <w:rPr>
                <w:rFonts w:ascii="Times New Roman" w:eastAsia="Arial" w:hAnsi="Times New Roman" w:cs="Times New Roman"/>
                <w:sz w:val="24"/>
                <w:szCs w:val="24"/>
              </w:rPr>
              <w:t xml:space="preserve">Previa autorización del  Ayuntamiento, las comisiones podrán llamar a comparecer </w:t>
            </w:r>
            <w:r w:rsidRPr="00CB38AA">
              <w:rPr>
                <w:rFonts w:ascii="Times New Roman" w:eastAsia="Arial" w:hAnsi="Times New Roman" w:cs="Times New Roman"/>
                <w:b/>
                <w:sz w:val="24"/>
                <w:szCs w:val="24"/>
              </w:rPr>
              <w:t xml:space="preserve">a las personas titulares </w:t>
            </w:r>
            <w:r w:rsidRPr="00CB38AA">
              <w:rPr>
                <w:rFonts w:ascii="Times New Roman" w:eastAsia="Arial" w:hAnsi="Times New Roman" w:cs="Times New Roman"/>
                <w:sz w:val="24"/>
                <w:szCs w:val="24"/>
              </w:rPr>
              <w:t xml:space="preserve">de las dependencias administrativas municipales, a  efecto </w:t>
            </w:r>
            <w:r w:rsidRPr="00CB38AA">
              <w:rPr>
                <w:rFonts w:ascii="Times New Roman" w:eastAsia="Arial" w:hAnsi="Times New Roman" w:cs="Times New Roman"/>
                <w:b/>
                <w:sz w:val="24"/>
                <w:szCs w:val="24"/>
              </w:rPr>
              <w:t xml:space="preserve">de que informen, </w:t>
            </w:r>
            <w:r w:rsidRPr="00CB38AA">
              <w:rPr>
                <w:rFonts w:ascii="Times New Roman" w:eastAsia="Arial" w:hAnsi="Times New Roman" w:cs="Times New Roman"/>
                <w:sz w:val="24"/>
                <w:szCs w:val="24"/>
              </w:rPr>
              <w:t xml:space="preserve">cuando así se requiera, sobre el estado que guardan </w:t>
            </w:r>
            <w:r w:rsidRPr="00CB38AA">
              <w:rPr>
                <w:rFonts w:ascii="Times New Roman" w:eastAsia="Arial" w:hAnsi="Times New Roman" w:cs="Times New Roman"/>
                <w:b/>
                <w:sz w:val="24"/>
                <w:szCs w:val="24"/>
              </w:rPr>
              <w:t>los asuntos a su cargo</w:t>
            </w:r>
            <w:r w:rsidRPr="00CB38AA">
              <w:rPr>
                <w:rFonts w:ascii="Times New Roman" w:eastAsia="Arial" w:hAnsi="Times New Roman" w:cs="Times New Roman"/>
                <w:sz w:val="24"/>
                <w:szCs w:val="24"/>
              </w:rPr>
              <w:t>.</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Las comisiones podrán solicitar, a través </w:t>
            </w:r>
            <w:r w:rsidRPr="00CB38AA">
              <w:rPr>
                <w:rFonts w:ascii="Times New Roman" w:eastAsia="Arial" w:hAnsi="Times New Roman" w:cs="Times New Roman"/>
                <w:b/>
                <w:sz w:val="24"/>
                <w:szCs w:val="24"/>
              </w:rPr>
              <w:t>de la persona que presida la comisión</w:t>
            </w:r>
            <w:r w:rsidRPr="00CB38AA">
              <w:rPr>
                <w:rFonts w:ascii="Times New Roman" w:eastAsia="Arial" w:hAnsi="Times New Roman" w:cs="Times New Roman"/>
                <w:sz w:val="24"/>
                <w:szCs w:val="24"/>
              </w:rPr>
              <w:t xml:space="preserve">, </w:t>
            </w:r>
            <w:r w:rsidRPr="00CB38AA">
              <w:rPr>
                <w:rFonts w:ascii="Times New Roman" w:eastAsia="Arial" w:hAnsi="Times New Roman" w:cs="Times New Roman"/>
                <w:b/>
                <w:sz w:val="24"/>
                <w:szCs w:val="24"/>
              </w:rPr>
              <w:t>a la persona titular de la Secretaría del</w:t>
            </w:r>
            <w:r w:rsidR="00537556" w:rsidRPr="00CB38AA">
              <w:rPr>
                <w:rFonts w:ascii="Times New Roman" w:eastAsia="Arial" w:hAnsi="Times New Roman" w:cs="Times New Roman"/>
                <w:b/>
                <w:sz w:val="24"/>
                <w:szCs w:val="24"/>
              </w:rPr>
              <w:t xml:space="preserve"> </w:t>
            </w:r>
            <w:r w:rsidRPr="00CB38AA">
              <w:rPr>
                <w:rFonts w:ascii="Times New Roman" w:eastAsia="Arial" w:hAnsi="Times New Roman" w:cs="Times New Roman"/>
                <w:b/>
                <w:sz w:val="24"/>
                <w:szCs w:val="24"/>
              </w:rPr>
              <w:t>Ayuntamiento</w:t>
            </w:r>
            <w:r w:rsidRPr="00CB38AA">
              <w:rPr>
                <w:rFonts w:ascii="Times New Roman" w:eastAsia="Arial" w:hAnsi="Times New Roman" w:cs="Times New Roman"/>
                <w:sz w:val="24"/>
                <w:szCs w:val="24"/>
              </w:rPr>
              <w:t>, la</w:t>
            </w:r>
            <w:r w:rsidR="00537556" w:rsidRPr="00CB38AA">
              <w:rPr>
                <w:rFonts w:ascii="Times New Roman" w:eastAsia="Arial" w:hAnsi="Times New Roman" w:cs="Times New Roman"/>
                <w:sz w:val="24"/>
                <w:szCs w:val="24"/>
              </w:rPr>
              <w:t xml:space="preserve"> </w:t>
            </w:r>
            <w:r w:rsidRPr="00CB38AA">
              <w:rPr>
                <w:rFonts w:ascii="Times New Roman" w:eastAsia="Arial" w:hAnsi="Times New Roman" w:cs="Times New Roman"/>
                <w:sz w:val="24"/>
                <w:szCs w:val="24"/>
              </w:rPr>
              <w:t xml:space="preserve">información necesaria </w:t>
            </w:r>
            <w:r w:rsidRPr="00CB38AA">
              <w:rPr>
                <w:rFonts w:ascii="Times New Roman" w:eastAsia="Arial" w:hAnsi="Times New Roman" w:cs="Times New Roman"/>
                <w:b/>
                <w:sz w:val="24"/>
                <w:szCs w:val="24"/>
              </w:rPr>
              <w:t xml:space="preserve">para atender </w:t>
            </w:r>
            <w:r w:rsidRPr="00CB38AA">
              <w:rPr>
                <w:rFonts w:ascii="Times New Roman" w:eastAsia="Arial" w:hAnsi="Times New Roman" w:cs="Times New Roman"/>
                <w:sz w:val="24"/>
                <w:szCs w:val="24"/>
              </w:rPr>
              <w:t xml:space="preserve">los asuntos que les han sido encomendados, </w:t>
            </w:r>
            <w:r w:rsidRPr="00CB38AA">
              <w:rPr>
                <w:rFonts w:ascii="Times New Roman" w:eastAsia="Arial" w:hAnsi="Times New Roman" w:cs="Times New Roman"/>
                <w:b/>
                <w:sz w:val="24"/>
                <w:szCs w:val="24"/>
              </w:rPr>
              <w:t>así como para el debido cumplimiento de sus funciones</w:t>
            </w:r>
            <w:r w:rsidRPr="00CB38AA">
              <w:rPr>
                <w:rFonts w:ascii="Times New Roman" w:eastAsia="Arial" w:hAnsi="Times New Roman" w:cs="Times New Roman"/>
                <w:sz w:val="24"/>
                <w:szCs w:val="24"/>
              </w:rPr>
              <w:t xml:space="preserve">. Para tal efecto, </w:t>
            </w:r>
            <w:r w:rsidRPr="00CB38AA">
              <w:rPr>
                <w:rFonts w:ascii="Times New Roman" w:eastAsia="Arial" w:hAnsi="Times New Roman" w:cs="Times New Roman"/>
                <w:b/>
                <w:sz w:val="24"/>
                <w:szCs w:val="24"/>
              </w:rPr>
              <w:t>dicha información deberá ser proporcionada de manera oportuna</w:t>
            </w:r>
            <w:r w:rsidRPr="00CB38AA">
              <w:rPr>
                <w:rFonts w:ascii="Times New Roman" w:eastAsia="Arial" w:hAnsi="Times New Roman" w:cs="Times New Roman"/>
                <w:sz w:val="24"/>
                <w:szCs w:val="24"/>
              </w:rPr>
              <w:t>.</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Las comisiones dispondrán de quince días naturales para dictaminar un asunto turnado por el Ayuntamiento, los cuales podrán prorrogar hasta por diez días naturales más, cuando la importancia del asunto lo amerite y la comisión lo justifique ante el Ayuntamiento. Una vez concluido estos términos, deberán emitir el dictamen correspondiente el cual se discutirá en la sesión de cabildo ordinaria inmediata.</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Cuando se trate de un asunto urgente, y el Ayuntamiento resuelva, por votación mayoritaria, considerarlo de urgente y obvia resolución, deberá dictaminarse en las siguientes 72 horas naturales, siempre que existan los elementos técnicos necesarios para tal fin.</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Todo dictamen se elaborará con perspectiva de género y estará redactado con un lenguaje claro, preciso, incluyente y no sexista, y se compondrán de cuatro partes fundamentales: un preámbulo, los antecedentes, los considerandos y los puntos resolutivos.</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Deberá estar debidamente fundado y motivado, e incluir las modificaciones que en su caso se hayan realizado y concluir con proposiciones </w:t>
            </w:r>
            <w:r w:rsidRPr="00CB38AA">
              <w:rPr>
                <w:rFonts w:ascii="Times New Roman" w:eastAsia="Arial" w:hAnsi="Times New Roman" w:cs="Times New Roman"/>
                <w:b/>
                <w:sz w:val="24"/>
                <w:szCs w:val="24"/>
              </w:rPr>
              <w:lastRenderedPageBreak/>
              <w:t>claras y sencillas que puedan sujetarse a votación.</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Times New Roman" w:hAnsi="Times New Roman" w:cs="Times New Roman"/>
                <w:sz w:val="24"/>
                <w:szCs w:val="24"/>
              </w:rPr>
            </w:pPr>
            <w:r w:rsidRPr="00CB38AA">
              <w:rPr>
                <w:rFonts w:ascii="Times New Roman" w:eastAsia="Arial" w:hAnsi="Times New Roman" w:cs="Times New Roman"/>
                <w:b/>
                <w:sz w:val="24"/>
                <w:szCs w:val="24"/>
              </w:rPr>
              <w:t>La persona titular de la Secretaría del Ayuntamiento turnará, con la firma de la persona que presida la comisión, los dictámenes que emitan las comisiones y el proyecto de acuerdo respectivo, a las demás personas integrantes del Ayuntamiento, junto con el orden del día de la sesión en la que se programe su análisis y discusión.</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Previo a cada sesión de cabildo, las personas que presidan las comisiones remitirán a la persona titular de la Secretaría del Ayuntamiento un informe sobre el estado que guarda cada asunto turnado, a fin de que éste sea informado al Pleno.</w:t>
            </w:r>
          </w:p>
        </w:tc>
      </w:tr>
      <w:tr w:rsidR="00CB38AA" w:rsidRPr="00CB38AA" w:rsidTr="009A2D71">
        <w:trPr>
          <w:trHeight w:val="20"/>
          <w:jc w:val="center"/>
        </w:trPr>
        <w:tc>
          <w:tcPr>
            <w:tcW w:w="4389" w:type="dxa"/>
            <w:tcBorders>
              <w:top w:val="single" w:sz="5" w:space="0" w:color="000000"/>
              <w:left w:val="single" w:sz="5" w:space="0" w:color="000000"/>
              <w:bottom w:val="single" w:sz="5" w:space="0" w:color="000000"/>
              <w:right w:val="single" w:sz="5" w:space="0" w:color="000000"/>
            </w:tcBorders>
          </w:tcPr>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lastRenderedPageBreak/>
              <w:t>Artículo 69.- Las comisiones las determinará el ayuntamiento de acuerdo a las necesidades del municipio y podrán ser permanentes o transitorias.</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 Serán permanentes las comisiones:</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a). De gobernación, cuyo responsable será el presidente municipal;</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b). De planeación para el desarrollo, que estará a cargo del presidente municipal;</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c). De hacienda, que presidirá el síndico o el primer síndico, cuando haya </w:t>
            </w:r>
            <w:r w:rsidR="00537556" w:rsidRPr="00CB38AA">
              <w:rPr>
                <w:rFonts w:ascii="Times New Roman" w:eastAsia="Arial" w:hAnsi="Times New Roman" w:cs="Times New Roman"/>
                <w:sz w:val="24"/>
                <w:szCs w:val="24"/>
              </w:rPr>
              <w:t>más</w:t>
            </w:r>
            <w:r w:rsidRPr="00CB38AA">
              <w:rPr>
                <w:rFonts w:ascii="Times New Roman" w:eastAsia="Arial" w:hAnsi="Times New Roman" w:cs="Times New Roman"/>
                <w:sz w:val="24"/>
                <w:szCs w:val="24"/>
              </w:rPr>
              <w:t xml:space="preserve"> de uno;</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d). Derogado.</w:t>
            </w: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 Derogado.</w:t>
            </w: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f). Derogado.</w:t>
            </w: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g). Derogado.</w:t>
            </w: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h). Derogado.</w:t>
            </w: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 Derogado.</w:t>
            </w: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j). Derogado.</w:t>
            </w: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k). Derogado.</w:t>
            </w: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 Derogado.</w:t>
            </w: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m). Derogado.</w:t>
            </w: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n). Derogado.</w:t>
            </w: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spacing w:after="0" w:line="240" w:lineRule="auto"/>
              <w:ind w:left="72"/>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ñ). Derogado.</w:t>
            </w:r>
          </w:p>
          <w:p w:rsidR="00F31F1D" w:rsidRPr="00CB38AA" w:rsidRDefault="00F31F1D" w:rsidP="00DF6EEA">
            <w:pPr>
              <w:spacing w:after="0" w:line="240" w:lineRule="auto"/>
              <w:ind w:left="72"/>
              <w:jc w:val="both"/>
              <w:rPr>
                <w:rFonts w:ascii="Times New Roman" w:eastAsia="Calibri" w:hAnsi="Times New Roman" w:cs="Times New Roman"/>
                <w:sz w:val="24"/>
                <w:szCs w:val="24"/>
                <w:lang w:val="es-ES"/>
              </w:rPr>
            </w:pPr>
          </w:p>
          <w:p w:rsidR="00F31F1D" w:rsidRPr="00CB38AA" w:rsidRDefault="00F31F1D" w:rsidP="00DF6EEA">
            <w:pPr>
              <w:numPr>
                <w:ilvl w:val="0"/>
                <w:numId w:val="1"/>
              </w:numPr>
              <w:tabs>
                <w:tab w:val="clear" w:pos="288"/>
              </w:tabs>
              <w:spacing w:after="0" w:line="240" w:lineRule="auto"/>
              <w:ind w:left="144"/>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Derogado.</w:t>
            </w:r>
          </w:p>
          <w:p w:rsidR="00F31F1D" w:rsidRPr="00CB38AA" w:rsidRDefault="00F31F1D" w:rsidP="00DF6EEA">
            <w:pPr>
              <w:spacing w:after="0" w:line="240" w:lineRule="auto"/>
              <w:jc w:val="both"/>
              <w:rPr>
                <w:rFonts w:ascii="Times New Roman" w:eastAsia="Calibri" w:hAnsi="Times New Roman" w:cs="Times New Roman"/>
                <w:sz w:val="24"/>
                <w:szCs w:val="24"/>
                <w:lang w:val="es-ES"/>
              </w:rPr>
            </w:pPr>
          </w:p>
          <w:p w:rsidR="00F31F1D" w:rsidRPr="00CB38AA" w:rsidRDefault="00F31F1D" w:rsidP="00DF6EEA">
            <w:pPr>
              <w:spacing w:after="0" w:line="240" w:lineRule="auto"/>
              <w:jc w:val="both"/>
              <w:rPr>
                <w:rFonts w:ascii="Times New Roman" w:eastAsia="Calibri" w:hAnsi="Times New Roman" w:cs="Times New Roman"/>
                <w:sz w:val="24"/>
                <w:szCs w:val="24"/>
                <w:lang w:val="es-ES"/>
              </w:rPr>
            </w:pPr>
          </w:p>
          <w:p w:rsidR="00F31F1D" w:rsidRPr="00CB38AA" w:rsidRDefault="00F31F1D" w:rsidP="00DF6EEA">
            <w:pPr>
              <w:numPr>
                <w:ilvl w:val="0"/>
                <w:numId w:val="1"/>
              </w:numPr>
              <w:tabs>
                <w:tab w:val="clear" w:pos="288"/>
              </w:tabs>
              <w:spacing w:after="0" w:line="240" w:lineRule="auto"/>
              <w:ind w:left="144"/>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Derogado.</w:t>
            </w:r>
          </w:p>
          <w:p w:rsidR="00F31F1D" w:rsidRPr="00CB38AA" w:rsidRDefault="00F31F1D" w:rsidP="00DF6EEA">
            <w:pPr>
              <w:spacing w:after="0" w:line="240" w:lineRule="auto"/>
              <w:jc w:val="both"/>
              <w:rPr>
                <w:rFonts w:ascii="Times New Roman" w:eastAsia="Calibri" w:hAnsi="Times New Roman" w:cs="Times New Roman"/>
                <w:sz w:val="24"/>
                <w:szCs w:val="24"/>
                <w:lang w:val="es-ES"/>
              </w:rPr>
            </w:pPr>
          </w:p>
          <w:p w:rsidR="00F31F1D" w:rsidRPr="00CB38AA" w:rsidRDefault="00F31F1D" w:rsidP="00DF6EEA">
            <w:pPr>
              <w:numPr>
                <w:ilvl w:val="0"/>
                <w:numId w:val="1"/>
              </w:numPr>
              <w:tabs>
                <w:tab w:val="clear" w:pos="288"/>
              </w:tabs>
              <w:spacing w:after="0" w:line="240" w:lineRule="auto"/>
              <w:ind w:left="144"/>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Derogado.</w:t>
            </w:r>
          </w:p>
          <w:p w:rsidR="00F31F1D" w:rsidRPr="00CB38AA" w:rsidRDefault="00F31F1D" w:rsidP="00DF6EEA">
            <w:pPr>
              <w:spacing w:after="0" w:line="240" w:lineRule="auto"/>
              <w:ind w:left="720"/>
              <w:contextualSpacing/>
              <w:jc w:val="both"/>
              <w:rPr>
                <w:rFonts w:ascii="Times New Roman" w:eastAsia="Calibri" w:hAnsi="Times New Roman" w:cs="Times New Roman"/>
                <w:sz w:val="24"/>
                <w:szCs w:val="24"/>
                <w:lang w:val="es-ES"/>
              </w:rPr>
            </w:pPr>
          </w:p>
          <w:p w:rsidR="00F31F1D" w:rsidRPr="00CB38AA" w:rsidRDefault="00F31F1D" w:rsidP="00DF6EEA">
            <w:pPr>
              <w:numPr>
                <w:ilvl w:val="0"/>
                <w:numId w:val="1"/>
              </w:numPr>
              <w:tabs>
                <w:tab w:val="clear" w:pos="288"/>
              </w:tabs>
              <w:spacing w:after="0" w:line="240" w:lineRule="auto"/>
              <w:ind w:left="144"/>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Derogado.</w:t>
            </w:r>
          </w:p>
          <w:p w:rsidR="00F31F1D" w:rsidRPr="00CB38AA" w:rsidRDefault="00F31F1D" w:rsidP="00DF6EEA">
            <w:pPr>
              <w:spacing w:after="0" w:line="240" w:lineRule="auto"/>
              <w:ind w:left="720"/>
              <w:contextualSpacing/>
              <w:jc w:val="both"/>
              <w:rPr>
                <w:rFonts w:ascii="Times New Roman" w:eastAsia="Calibri" w:hAnsi="Times New Roman" w:cs="Times New Roman"/>
                <w:sz w:val="24"/>
                <w:szCs w:val="24"/>
                <w:lang w:val="es-ES"/>
              </w:rPr>
            </w:pPr>
          </w:p>
          <w:p w:rsidR="00F31F1D" w:rsidRPr="00CB38AA" w:rsidRDefault="00F31F1D" w:rsidP="00DF6EEA">
            <w:pPr>
              <w:numPr>
                <w:ilvl w:val="0"/>
                <w:numId w:val="1"/>
              </w:numPr>
              <w:tabs>
                <w:tab w:val="clear" w:pos="288"/>
              </w:tabs>
              <w:spacing w:after="0" w:line="240" w:lineRule="auto"/>
              <w:ind w:left="144"/>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Derogado.</w:t>
            </w:r>
          </w:p>
          <w:p w:rsidR="00F31F1D" w:rsidRPr="00CB38AA" w:rsidRDefault="00F31F1D" w:rsidP="00DF6EEA">
            <w:pPr>
              <w:spacing w:after="0" w:line="240" w:lineRule="auto"/>
              <w:jc w:val="both"/>
              <w:rPr>
                <w:rFonts w:ascii="Times New Roman" w:eastAsia="Calibri" w:hAnsi="Times New Roman" w:cs="Times New Roman"/>
                <w:sz w:val="24"/>
                <w:szCs w:val="24"/>
                <w:lang w:val="es-ES"/>
              </w:rPr>
            </w:pPr>
          </w:p>
          <w:p w:rsidR="00F31F1D" w:rsidRPr="00CB38AA" w:rsidRDefault="00F31F1D" w:rsidP="00DF6EEA">
            <w:pPr>
              <w:numPr>
                <w:ilvl w:val="0"/>
                <w:numId w:val="1"/>
              </w:numPr>
              <w:tabs>
                <w:tab w:val="clear" w:pos="288"/>
              </w:tabs>
              <w:spacing w:after="0" w:line="240" w:lineRule="auto"/>
              <w:ind w:left="144"/>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Derogado.</w:t>
            </w:r>
          </w:p>
          <w:p w:rsidR="00F31F1D" w:rsidRPr="00CB38AA" w:rsidRDefault="00F31F1D" w:rsidP="00DF6EEA">
            <w:pPr>
              <w:spacing w:after="0" w:line="240" w:lineRule="auto"/>
              <w:jc w:val="both"/>
              <w:rPr>
                <w:rFonts w:ascii="Times New Roman" w:eastAsia="Calibri" w:hAnsi="Times New Roman" w:cs="Times New Roman"/>
                <w:sz w:val="24"/>
                <w:szCs w:val="24"/>
                <w:lang w:val="es-ES"/>
              </w:rPr>
            </w:pPr>
          </w:p>
          <w:p w:rsidR="00F31F1D" w:rsidRPr="00CB38AA" w:rsidRDefault="00F31F1D" w:rsidP="00DF6EEA">
            <w:pPr>
              <w:numPr>
                <w:ilvl w:val="0"/>
                <w:numId w:val="1"/>
              </w:numPr>
              <w:tabs>
                <w:tab w:val="clear" w:pos="288"/>
              </w:tabs>
              <w:spacing w:after="0" w:line="240" w:lineRule="auto"/>
              <w:ind w:left="144"/>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Derogado.</w:t>
            </w:r>
          </w:p>
          <w:p w:rsidR="00F31F1D" w:rsidRPr="00CB38AA" w:rsidRDefault="00F31F1D" w:rsidP="00DF6EEA">
            <w:pPr>
              <w:spacing w:after="0" w:line="240" w:lineRule="auto"/>
              <w:jc w:val="both"/>
              <w:rPr>
                <w:rFonts w:ascii="Times New Roman" w:eastAsia="Calibri" w:hAnsi="Times New Roman" w:cs="Times New Roman"/>
                <w:sz w:val="24"/>
                <w:szCs w:val="24"/>
                <w:lang w:val="es-ES"/>
              </w:rPr>
            </w:pPr>
          </w:p>
          <w:p w:rsidR="00F31F1D" w:rsidRPr="00CB38AA" w:rsidRDefault="00F31F1D" w:rsidP="00DF6EEA">
            <w:pPr>
              <w:numPr>
                <w:ilvl w:val="0"/>
                <w:numId w:val="1"/>
              </w:numPr>
              <w:tabs>
                <w:tab w:val="clear" w:pos="288"/>
              </w:tabs>
              <w:spacing w:after="0" w:line="240" w:lineRule="auto"/>
              <w:ind w:left="144"/>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Derogado.</w:t>
            </w:r>
          </w:p>
          <w:p w:rsidR="00F31F1D" w:rsidRPr="00CB38AA" w:rsidRDefault="00F31F1D" w:rsidP="00DF6EEA">
            <w:pPr>
              <w:spacing w:after="0" w:line="240" w:lineRule="auto"/>
              <w:jc w:val="both"/>
              <w:rPr>
                <w:rFonts w:ascii="Times New Roman" w:eastAsia="Calibri" w:hAnsi="Times New Roman" w:cs="Times New Roman"/>
                <w:sz w:val="24"/>
                <w:szCs w:val="24"/>
                <w:lang w:val="es-ES"/>
              </w:rPr>
            </w:pPr>
          </w:p>
          <w:p w:rsidR="00F31F1D" w:rsidRPr="00CB38AA" w:rsidRDefault="00F31F1D" w:rsidP="00DF6EEA">
            <w:pPr>
              <w:numPr>
                <w:ilvl w:val="0"/>
                <w:numId w:val="1"/>
              </w:numPr>
              <w:tabs>
                <w:tab w:val="clear" w:pos="288"/>
              </w:tabs>
              <w:spacing w:after="0" w:line="240" w:lineRule="auto"/>
              <w:ind w:left="144"/>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Derogado.</w:t>
            </w:r>
          </w:p>
          <w:p w:rsidR="00F31F1D" w:rsidRPr="00CB38AA" w:rsidRDefault="00F31F1D" w:rsidP="00DF6EEA">
            <w:pPr>
              <w:spacing w:after="0" w:line="240" w:lineRule="auto"/>
              <w:jc w:val="both"/>
              <w:rPr>
                <w:rFonts w:ascii="Times New Roman" w:eastAsia="Calibri" w:hAnsi="Times New Roman" w:cs="Times New Roman"/>
                <w:sz w:val="24"/>
                <w:szCs w:val="24"/>
                <w:lang w:val="es-ES"/>
              </w:rPr>
            </w:pPr>
          </w:p>
          <w:p w:rsidR="00F31F1D" w:rsidRPr="00CB38AA" w:rsidRDefault="00F31F1D" w:rsidP="00DF6EEA">
            <w:pPr>
              <w:numPr>
                <w:ilvl w:val="0"/>
                <w:numId w:val="1"/>
              </w:numPr>
              <w:tabs>
                <w:tab w:val="clear" w:pos="288"/>
              </w:tabs>
              <w:spacing w:after="0" w:line="240" w:lineRule="auto"/>
              <w:ind w:left="144"/>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Derogado.</w:t>
            </w:r>
          </w:p>
          <w:p w:rsidR="00F31F1D" w:rsidRPr="00CB38AA" w:rsidRDefault="00F31F1D" w:rsidP="00DF6EEA">
            <w:pPr>
              <w:spacing w:after="0" w:line="240" w:lineRule="auto"/>
              <w:ind w:left="720"/>
              <w:contextualSpacing/>
              <w:jc w:val="both"/>
              <w:rPr>
                <w:rFonts w:ascii="Times New Roman" w:eastAsia="Calibri" w:hAnsi="Times New Roman" w:cs="Times New Roman"/>
                <w:sz w:val="24"/>
                <w:szCs w:val="24"/>
                <w:lang w:val="es-ES"/>
              </w:rPr>
            </w:pPr>
          </w:p>
          <w:p w:rsidR="00F31F1D" w:rsidRPr="00CB38AA" w:rsidRDefault="00F31F1D" w:rsidP="00DF6EEA">
            <w:pPr>
              <w:numPr>
                <w:ilvl w:val="0"/>
                <w:numId w:val="1"/>
              </w:numPr>
              <w:tabs>
                <w:tab w:val="clear" w:pos="288"/>
              </w:tabs>
              <w:spacing w:after="0" w:line="240" w:lineRule="auto"/>
              <w:ind w:left="144"/>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Derogado.</w:t>
            </w:r>
          </w:p>
          <w:p w:rsidR="00F31F1D" w:rsidRPr="00CB38AA" w:rsidRDefault="00F31F1D" w:rsidP="00DF6EEA">
            <w:pPr>
              <w:spacing w:after="0" w:line="240" w:lineRule="auto"/>
              <w:jc w:val="both"/>
              <w:rPr>
                <w:rFonts w:ascii="Times New Roman" w:eastAsia="Calibri" w:hAnsi="Times New Roman" w:cs="Times New Roman"/>
                <w:sz w:val="24"/>
                <w:szCs w:val="24"/>
                <w:lang w:val="es-ES"/>
              </w:rPr>
            </w:pPr>
          </w:p>
          <w:p w:rsidR="00F31F1D" w:rsidRPr="00CB38AA" w:rsidRDefault="00F31F1D" w:rsidP="00DF6EEA">
            <w:pPr>
              <w:numPr>
                <w:ilvl w:val="0"/>
                <w:numId w:val="1"/>
              </w:numPr>
              <w:tabs>
                <w:tab w:val="clear" w:pos="288"/>
              </w:tabs>
              <w:spacing w:after="0" w:line="240" w:lineRule="auto"/>
              <w:ind w:left="144"/>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Derogado.</w:t>
            </w:r>
          </w:p>
          <w:p w:rsidR="00F31F1D" w:rsidRPr="00CB38AA" w:rsidRDefault="00F31F1D" w:rsidP="00DF6EEA">
            <w:pPr>
              <w:spacing w:after="0" w:line="240" w:lineRule="auto"/>
              <w:ind w:left="720"/>
              <w:contextualSpacing/>
              <w:jc w:val="both"/>
              <w:rPr>
                <w:rFonts w:ascii="Times New Roman" w:eastAsia="Calibri" w:hAnsi="Times New Roman" w:cs="Times New Roman"/>
                <w:sz w:val="24"/>
                <w:szCs w:val="24"/>
                <w:lang w:val="es-ES"/>
              </w:rPr>
            </w:pPr>
          </w:p>
          <w:p w:rsidR="00F31F1D" w:rsidRPr="00CB38AA" w:rsidRDefault="00F31F1D" w:rsidP="00DF6EEA">
            <w:pPr>
              <w:numPr>
                <w:ilvl w:val="0"/>
                <w:numId w:val="2"/>
              </w:numPr>
              <w:tabs>
                <w:tab w:val="clear" w:pos="432"/>
              </w:tabs>
              <w:spacing w:after="0" w:line="240" w:lineRule="auto"/>
              <w:ind w:left="144"/>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Derogado.</w:t>
            </w:r>
          </w:p>
          <w:p w:rsidR="00F31F1D" w:rsidRPr="00CB38AA" w:rsidRDefault="00F31F1D" w:rsidP="00DF6EEA">
            <w:pPr>
              <w:spacing w:after="0" w:line="240" w:lineRule="auto"/>
              <w:jc w:val="both"/>
              <w:rPr>
                <w:rFonts w:ascii="Times New Roman" w:eastAsia="Calibri" w:hAnsi="Times New Roman" w:cs="Times New Roman"/>
                <w:sz w:val="24"/>
                <w:szCs w:val="24"/>
                <w:lang w:val="es-ES"/>
              </w:rPr>
            </w:pPr>
          </w:p>
          <w:p w:rsidR="00F31F1D" w:rsidRPr="00CB38AA" w:rsidRDefault="00F31F1D" w:rsidP="00DF6EEA">
            <w:pPr>
              <w:numPr>
                <w:ilvl w:val="0"/>
                <w:numId w:val="2"/>
              </w:numPr>
              <w:tabs>
                <w:tab w:val="clear" w:pos="432"/>
              </w:tabs>
              <w:spacing w:after="0" w:line="240" w:lineRule="auto"/>
              <w:ind w:left="144"/>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Derogado.</w:t>
            </w:r>
          </w:p>
          <w:p w:rsidR="00F31F1D" w:rsidRPr="00CB38AA" w:rsidRDefault="00F31F1D" w:rsidP="00DF6EEA">
            <w:pPr>
              <w:spacing w:after="0" w:line="240" w:lineRule="auto"/>
              <w:ind w:left="720"/>
              <w:contextualSpacing/>
              <w:jc w:val="both"/>
              <w:rPr>
                <w:rFonts w:ascii="Times New Roman" w:eastAsia="Calibri" w:hAnsi="Times New Roman" w:cs="Times New Roman"/>
                <w:sz w:val="24"/>
                <w:szCs w:val="24"/>
                <w:lang w:val="es-ES"/>
              </w:rPr>
            </w:pPr>
          </w:p>
          <w:p w:rsidR="00F31F1D" w:rsidRPr="00CB38AA" w:rsidRDefault="00F31F1D" w:rsidP="00DF6EEA">
            <w:pPr>
              <w:numPr>
                <w:ilvl w:val="0"/>
                <w:numId w:val="2"/>
              </w:numPr>
              <w:tabs>
                <w:tab w:val="clear" w:pos="432"/>
              </w:tabs>
              <w:spacing w:after="0" w:line="240" w:lineRule="auto"/>
              <w:ind w:left="144"/>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Derogado.</w:t>
            </w:r>
          </w:p>
          <w:p w:rsidR="00F31F1D" w:rsidRPr="00CB38AA" w:rsidRDefault="00F31F1D" w:rsidP="00DF6EEA">
            <w:pPr>
              <w:spacing w:after="0" w:line="240" w:lineRule="auto"/>
              <w:ind w:left="72"/>
              <w:jc w:val="both"/>
              <w:rPr>
                <w:rFonts w:ascii="Times New Roman" w:eastAsia="Calibri" w:hAnsi="Times New Roman" w:cs="Times New Roman"/>
                <w:sz w:val="24"/>
                <w:szCs w:val="24"/>
                <w:lang w:val="es-ES"/>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Calibri" w:hAnsi="Times New Roman" w:cs="Times New Roman"/>
                <w:sz w:val="24"/>
                <w:szCs w:val="24"/>
                <w:lang w:val="es-ES"/>
              </w:rPr>
              <w:t>II. Serán comisiones transitorias, aquéllas que se designen para la atención de problemas especiales o situaciones emergentes o eventuales de diferente índole y quedarán integradas por los miembros que determine el ayuntamiento, coordinadas por el responsable del área competente.</w:t>
            </w:r>
          </w:p>
          <w:p w:rsidR="00F31F1D" w:rsidRPr="00CB38AA" w:rsidRDefault="00F31F1D" w:rsidP="00DF6EEA">
            <w:pPr>
              <w:spacing w:after="0" w:line="240" w:lineRule="auto"/>
              <w:jc w:val="both"/>
              <w:rPr>
                <w:rFonts w:ascii="Times New Roman" w:eastAsia="Arial" w:hAnsi="Times New Roman" w:cs="Times New Roman"/>
                <w:sz w:val="24"/>
                <w:szCs w:val="24"/>
              </w:rPr>
            </w:pPr>
          </w:p>
        </w:tc>
        <w:tc>
          <w:tcPr>
            <w:tcW w:w="4824" w:type="dxa"/>
            <w:tcBorders>
              <w:top w:val="single" w:sz="5" w:space="0" w:color="000000"/>
              <w:left w:val="single" w:sz="5" w:space="0" w:color="000000"/>
              <w:right w:val="single" w:sz="5" w:space="0" w:color="000000"/>
            </w:tcBorders>
          </w:tcPr>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lastRenderedPageBreak/>
              <w:t>Artículo 69.- Para el estudio, examen y despacho de los diversos asuntos de la administración pública municipal, el Ayuntamiento constituirá las comisiones permanentes y transitorias que se estimen necesarias.</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I. Las comisiones permanentes, de forma enunciativa y no limitativa, serán las siguientes:</w:t>
            </w:r>
          </w:p>
          <w:p w:rsidR="00F31F1D" w:rsidRPr="00CB38AA" w:rsidRDefault="00F31F1D" w:rsidP="00DF6EEA">
            <w:pPr>
              <w:spacing w:after="0" w:line="240" w:lineRule="auto"/>
              <w:jc w:val="both"/>
              <w:rPr>
                <w:rFonts w:ascii="Times New Roman" w:eastAsia="Arial" w:hAnsi="Times New Roman" w:cs="Times New Roman"/>
                <w:b/>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a) De Gobernación y Reglamentos, presidida por la Presidenta o el Presidente Municipal;</w:t>
            </w:r>
          </w:p>
          <w:p w:rsidR="00F31F1D" w:rsidRPr="00CB38AA" w:rsidRDefault="00F31F1D" w:rsidP="00DF6EEA">
            <w:pPr>
              <w:spacing w:after="0" w:line="240" w:lineRule="auto"/>
              <w:jc w:val="both"/>
              <w:rPr>
                <w:rFonts w:ascii="Times New Roman" w:eastAsia="Arial" w:hAnsi="Times New Roman" w:cs="Times New Roman"/>
                <w:b/>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b) De Seguridad Ciudadana y Protección Civil,</w:t>
            </w: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presidida por la Presidenta o el Presidente Municipal;</w:t>
            </w:r>
          </w:p>
          <w:p w:rsidR="00F31F1D" w:rsidRPr="00CB38AA" w:rsidRDefault="00F31F1D" w:rsidP="00DF6EEA">
            <w:pPr>
              <w:spacing w:after="0" w:line="240" w:lineRule="auto"/>
              <w:jc w:val="both"/>
              <w:rPr>
                <w:rFonts w:ascii="Times New Roman" w:eastAsia="Arial" w:hAnsi="Times New Roman" w:cs="Times New Roman"/>
                <w:b/>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c) De Planeación del Desarrollo y Agenda Sustentable, presidida por la Presidenta o el Presidente Municipal;</w:t>
            </w:r>
          </w:p>
          <w:p w:rsidR="00F31F1D" w:rsidRPr="00CB38AA" w:rsidRDefault="00F31F1D" w:rsidP="00DF6EEA">
            <w:pPr>
              <w:spacing w:after="0" w:line="240" w:lineRule="auto"/>
              <w:jc w:val="both"/>
              <w:rPr>
                <w:rFonts w:ascii="Times New Roman" w:eastAsia="Arial" w:hAnsi="Times New Roman" w:cs="Times New Roman"/>
                <w:b/>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d) De Hacienda y Patrimonio Municipal, presidida por la Síndica o el Síndico Municipal; cuando en el municipio haya dos sindicaturas, la persona que ocupe la primera sindicatura se encargará de las funciones y presidencia relativas a la Hacienda Pública, y la otra de las relativas al Patrimonio Municipal;</w:t>
            </w:r>
          </w:p>
          <w:p w:rsidR="00F31F1D" w:rsidRPr="00CB38AA" w:rsidRDefault="00F31F1D" w:rsidP="00DF6EEA">
            <w:pPr>
              <w:spacing w:after="0" w:line="240" w:lineRule="auto"/>
              <w:jc w:val="both"/>
              <w:rPr>
                <w:rFonts w:ascii="Times New Roman" w:eastAsia="Arial" w:hAnsi="Times New Roman" w:cs="Times New Roman"/>
                <w:b/>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e) De Transparencia, Combate a la Corrupción</w:t>
            </w: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y Acceso a la Información;</w:t>
            </w:r>
          </w:p>
          <w:p w:rsidR="00F31F1D" w:rsidRPr="00CB38AA" w:rsidRDefault="00F31F1D" w:rsidP="00DF6EEA">
            <w:pPr>
              <w:spacing w:after="0" w:line="240" w:lineRule="auto"/>
              <w:jc w:val="both"/>
              <w:rPr>
                <w:rFonts w:ascii="Times New Roman" w:eastAsia="Arial" w:hAnsi="Times New Roman" w:cs="Times New Roman"/>
                <w:b/>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f) De Infraestructura y Ordenamiento Territorial;</w:t>
            </w:r>
          </w:p>
          <w:p w:rsidR="00F31F1D" w:rsidRPr="00CB38AA" w:rsidRDefault="00F31F1D" w:rsidP="00DF6EEA">
            <w:pPr>
              <w:spacing w:after="0" w:line="240" w:lineRule="auto"/>
              <w:jc w:val="both"/>
              <w:rPr>
                <w:rFonts w:ascii="Times New Roman" w:eastAsia="Arial" w:hAnsi="Times New Roman" w:cs="Times New Roman"/>
                <w:b/>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g) De Servicios Públicos Municipales;</w:t>
            </w:r>
          </w:p>
          <w:p w:rsidR="00F31F1D" w:rsidRPr="00CB38AA" w:rsidRDefault="00F31F1D" w:rsidP="00DF6EEA">
            <w:pPr>
              <w:spacing w:after="0" w:line="240" w:lineRule="auto"/>
              <w:jc w:val="both"/>
              <w:rPr>
                <w:rFonts w:ascii="Times New Roman" w:eastAsia="Arial" w:hAnsi="Times New Roman" w:cs="Times New Roman"/>
                <w:b/>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h) De Parques, Jardines, Panteones y Espacio Público;</w:t>
            </w:r>
          </w:p>
          <w:p w:rsidR="00F31F1D" w:rsidRPr="00CB38AA" w:rsidRDefault="00F31F1D" w:rsidP="00DF6EEA">
            <w:pPr>
              <w:spacing w:after="0" w:line="240" w:lineRule="auto"/>
              <w:jc w:val="both"/>
              <w:rPr>
                <w:rFonts w:ascii="Times New Roman" w:eastAsia="Arial" w:hAnsi="Times New Roman" w:cs="Times New Roman"/>
                <w:b/>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i) De Agua Potable, Drenaje y Alcantarillado;</w:t>
            </w:r>
          </w:p>
          <w:p w:rsidR="00F31F1D" w:rsidRPr="00CB38AA" w:rsidRDefault="00F31F1D" w:rsidP="00DF6EEA">
            <w:pPr>
              <w:spacing w:after="0" w:line="240" w:lineRule="auto"/>
              <w:jc w:val="both"/>
              <w:rPr>
                <w:rFonts w:ascii="Times New Roman" w:eastAsia="Arial" w:hAnsi="Times New Roman" w:cs="Times New Roman"/>
                <w:b/>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j) De Medio Ambiente y Bienestar Animal;</w:t>
            </w:r>
          </w:p>
          <w:p w:rsidR="00F31F1D" w:rsidRPr="00CB38AA" w:rsidRDefault="00F31F1D" w:rsidP="00DF6EEA">
            <w:pPr>
              <w:spacing w:after="0" w:line="240" w:lineRule="auto"/>
              <w:jc w:val="both"/>
              <w:rPr>
                <w:rFonts w:ascii="Times New Roman" w:eastAsia="Arial" w:hAnsi="Times New Roman" w:cs="Times New Roman"/>
                <w:b/>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k) De Salud Pública y Asistencia Social;</w:t>
            </w:r>
          </w:p>
          <w:p w:rsidR="00F31F1D" w:rsidRPr="00CB38AA" w:rsidRDefault="00F31F1D" w:rsidP="00DF6EEA">
            <w:pPr>
              <w:spacing w:after="0" w:line="240" w:lineRule="auto"/>
              <w:jc w:val="both"/>
              <w:rPr>
                <w:rFonts w:ascii="Times New Roman" w:eastAsia="Arial" w:hAnsi="Times New Roman" w:cs="Times New Roman"/>
                <w:b/>
                <w:sz w:val="24"/>
                <w:szCs w:val="24"/>
              </w:rPr>
            </w:pPr>
          </w:p>
          <w:p w:rsidR="00F31F1D" w:rsidRPr="00CB38AA" w:rsidRDefault="00F31F1D" w:rsidP="00DF6EEA">
            <w:pPr>
              <w:spacing w:after="0" w:line="240" w:lineRule="auto"/>
              <w:jc w:val="both"/>
              <w:rPr>
                <w:rFonts w:ascii="Times New Roman" w:eastAsia="Arial" w:hAnsi="Times New Roman" w:cs="Times New Roman"/>
                <w:b/>
                <w:sz w:val="24"/>
                <w:szCs w:val="24"/>
              </w:rPr>
            </w:pPr>
            <w:r w:rsidRPr="00CB38AA">
              <w:rPr>
                <w:rFonts w:ascii="Times New Roman" w:eastAsia="Arial" w:hAnsi="Times New Roman" w:cs="Times New Roman"/>
                <w:b/>
                <w:sz w:val="24"/>
                <w:szCs w:val="24"/>
              </w:rPr>
              <w:t>l) De Educación, Cultura, Recreación y Deporte;</w:t>
            </w: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numPr>
                <w:ilvl w:val="0"/>
                <w:numId w:val="3"/>
              </w:numPr>
              <w:tabs>
                <w:tab w:val="clear" w:pos="360"/>
              </w:tabs>
              <w:spacing w:after="0" w:line="240" w:lineRule="auto"/>
              <w:ind w:left="72"/>
              <w:jc w:val="both"/>
              <w:rPr>
                <w:rFonts w:ascii="Times New Roman" w:eastAsia="Calibri" w:hAnsi="Times New Roman" w:cs="Times New Roman"/>
                <w:b/>
                <w:sz w:val="24"/>
                <w:szCs w:val="24"/>
                <w:lang w:val="es-ES"/>
              </w:rPr>
            </w:pPr>
            <w:r w:rsidRPr="00CB38AA">
              <w:rPr>
                <w:rFonts w:ascii="Times New Roman" w:eastAsia="Calibri" w:hAnsi="Times New Roman" w:cs="Times New Roman"/>
                <w:b/>
                <w:sz w:val="24"/>
                <w:szCs w:val="24"/>
                <w:lang w:val="es-ES"/>
              </w:rPr>
              <w:t>De Igualdad de Género, Diversidad y Derechos Humanos;</w:t>
            </w:r>
          </w:p>
          <w:p w:rsidR="00F31F1D" w:rsidRPr="00CB38AA" w:rsidRDefault="00F31F1D" w:rsidP="00DF6EEA">
            <w:pPr>
              <w:spacing w:after="0" w:line="240" w:lineRule="auto"/>
              <w:jc w:val="both"/>
              <w:rPr>
                <w:rFonts w:ascii="Times New Roman" w:eastAsia="Calibri" w:hAnsi="Times New Roman" w:cs="Times New Roman"/>
                <w:b/>
                <w:sz w:val="24"/>
                <w:szCs w:val="24"/>
                <w:lang w:val="es-ES"/>
              </w:rPr>
            </w:pPr>
          </w:p>
          <w:p w:rsidR="00F31F1D" w:rsidRPr="00CB38AA" w:rsidRDefault="00F31F1D" w:rsidP="00DF6EEA">
            <w:pPr>
              <w:numPr>
                <w:ilvl w:val="0"/>
                <w:numId w:val="3"/>
              </w:numPr>
              <w:tabs>
                <w:tab w:val="clear" w:pos="360"/>
              </w:tabs>
              <w:spacing w:after="0" w:line="240" w:lineRule="auto"/>
              <w:ind w:left="72"/>
              <w:jc w:val="both"/>
              <w:rPr>
                <w:rFonts w:ascii="Times New Roman" w:eastAsia="Calibri" w:hAnsi="Times New Roman" w:cs="Times New Roman"/>
                <w:b/>
                <w:sz w:val="24"/>
                <w:szCs w:val="24"/>
                <w:lang w:val="es-ES"/>
              </w:rPr>
            </w:pPr>
            <w:r w:rsidRPr="00CB38AA">
              <w:rPr>
                <w:rFonts w:ascii="Times New Roman" w:eastAsia="Calibri" w:hAnsi="Times New Roman" w:cs="Times New Roman"/>
                <w:b/>
                <w:sz w:val="24"/>
                <w:szCs w:val="24"/>
                <w:lang w:val="es-ES"/>
              </w:rPr>
              <w:t>De Niñez, Juventud y Familia;</w:t>
            </w:r>
          </w:p>
          <w:p w:rsidR="00F31F1D" w:rsidRPr="00CB38AA" w:rsidRDefault="00F31F1D" w:rsidP="00DF6EEA">
            <w:pPr>
              <w:spacing w:after="0" w:line="240" w:lineRule="auto"/>
              <w:ind w:left="720"/>
              <w:contextualSpacing/>
              <w:rPr>
                <w:rFonts w:ascii="Times New Roman" w:eastAsia="Calibri" w:hAnsi="Times New Roman" w:cs="Times New Roman"/>
                <w:b/>
                <w:sz w:val="24"/>
                <w:szCs w:val="24"/>
                <w:lang w:val="es-ES"/>
              </w:rPr>
            </w:pPr>
          </w:p>
          <w:p w:rsidR="00F31F1D" w:rsidRPr="00CB38AA" w:rsidRDefault="00F31F1D" w:rsidP="00DF6EEA">
            <w:pPr>
              <w:spacing w:after="0" w:line="240" w:lineRule="auto"/>
              <w:ind w:left="720"/>
              <w:contextualSpacing/>
              <w:rPr>
                <w:rFonts w:ascii="Times New Roman" w:eastAsia="Calibri" w:hAnsi="Times New Roman" w:cs="Times New Roman"/>
                <w:b/>
                <w:sz w:val="24"/>
                <w:szCs w:val="24"/>
                <w:lang w:val="es-ES"/>
              </w:rPr>
            </w:pPr>
          </w:p>
          <w:p w:rsidR="00F31F1D" w:rsidRPr="00CB38AA" w:rsidRDefault="00F31F1D" w:rsidP="00DF6EEA">
            <w:pPr>
              <w:spacing w:after="0" w:line="240" w:lineRule="auto"/>
              <w:ind w:left="720"/>
              <w:contextualSpacing/>
              <w:rPr>
                <w:rFonts w:ascii="Times New Roman" w:eastAsia="Calibri" w:hAnsi="Times New Roman" w:cs="Times New Roman"/>
                <w:b/>
                <w:sz w:val="24"/>
                <w:szCs w:val="24"/>
                <w:lang w:val="es-ES"/>
              </w:rPr>
            </w:pPr>
          </w:p>
          <w:p w:rsidR="00F31F1D" w:rsidRPr="00CB38AA" w:rsidRDefault="00F31F1D" w:rsidP="00DF6EEA">
            <w:pPr>
              <w:numPr>
                <w:ilvl w:val="0"/>
                <w:numId w:val="3"/>
              </w:numPr>
              <w:tabs>
                <w:tab w:val="clear" w:pos="360"/>
              </w:tabs>
              <w:spacing w:after="0" w:line="240" w:lineRule="auto"/>
              <w:ind w:left="72"/>
              <w:jc w:val="both"/>
              <w:rPr>
                <w:rFonts w:ascii="Times New Roman" w:eastAsia="Calibri" w:hAnsi="Times New Roman" w:cs="Times New Roman"/>
                <w:b/>
                <w:sz w:val="24"/>
                <w:szCs w:val="24"/>
                <w:lang w:val="es-ES"/>
              </w:rPr>
            </w:pPr>
            <w:r w:rsidRPr="00CB38AA">
              <w:rPr>
                <w:rFonts w:ascii="Times New Roman" w:eastAsia="Calibri" w:hAnsi="Times New Roman" w:cs="Times New Roman"/>
                <w:b/>
                <w:sz w:val="24"/>
                <w:szCs w:val="24"/>
                <w:lang w:val="es-ES"/>
              </w:rPr>
              <w:t>De Desarrollo Económico, Industria, Comercio y Abasto; y</w:t>
            </w:r>
          </w:p>
          <w:p w:rsidR="00F31F1D" w:rsidRPr="00CB38AA" w:rsidRDefault="00F31F1D" w:rsidP="00DF6EEA">
            <w:pPr>
              <w:spacing w:after="0" w:line="240" w:lineRule="auto"/>
              <w:ind w:left="720"/>
              <w:contextualSpacing/>
              <w:rPr>
                <w:rFonts w:ascii="Times New Roman" w:eastAsia="Calibri" w:hAnsi="Times New Roman" w:cs="Times New Roman"/>
                <w:b/>
                <w:sz w:val="24"/>
                <w:szCs w:val="24"/>
                <w:lang w:val="es-ES"/>
              </w:rPr>
            </w:pPr>
          </w:p>
          <w:p w:rsidR="00F31F1D" w:rsidRPr="00CB38AA" w:rsidRDefault="00F31F1D" w:rsidP="00DF6EEA">
            <w:pPr>
              <w:numPr>
                <w:ilvl w:val="0"/>
                <w:numId w:val="3"/>
              </w:numPr>
              <w:tabs>
                <w:tab w:val="clear" w:pos="360"/>
              </w:tabs>
              <w:spacing w:after="0" w:line="240" w:lineRule="auto"/>
              <w:ind w:left="72"/>
              <w:jc w:val="both"/>
              <w:rPr>
                <w:rFonts w:ascii="Times New Roman" w:eastAsia="Calibri" w:hAnsi="Times New Roman" w:cs="Times New Roman"/>
                <w:b/>
                <w:sz w:val="24"/>
                <w:szCs w:val="24"/>
                <w:lang w:val="es-ES"/>
              </w:rPr>
            </w:pPr>
            <w:r w:rsidRPr="00CB38AA">
              <w:rPr>
                <w:rFonts w:ascii="Times New Roman" w:eastAsia="Calibri" w:hAnsi="Times New Roman" w:cs="Times New Roman"/>
                <w:b/>
                <w:sz w:val="24"/>
                <w:szCs w:val="24"/>
                <w:lang w:val="es-ES"/>
              </w:rPr>
              <w:t>Las demás que determine el Ayuntamiento, de acuerdo con las necesidades del Municipio.</w:t>
            </w:r>
          </w:p>
          <w:p w:rsidR="00F31F1D" w:rsidRPr="00CB38AA" w:rsidRDefault="00F31F1D" w:rsidP="00DF6EEA">
            <w:pPr>
              <w:spacing w:after="0" w:line="240" w:lineRule="auto"/>
              <w:ind w:left="72"/>
              <w:jc w:val="both"/>
              <w:rPr>
                <w:rFonts w:ascii="Times New Roman" w:eastAsia="Calibri" w:hAnsi="Times New Roman" w:cs="Times New Roman"/>
                <w:b/>
                <w:sz w:val="24"/>
                <w:szCs w:val="24"/>
                <w:lang w:val="es-ES"/>
              </w:rPr>
            </w:pPr>
          </w:p>
          <w:p w:rsidR="00F31F1D" w:rsidRPr="00CB38AA" w:rsidRDefault="00F31F1D" w:rsidP="00DF6EEA">
            <w:pPr>
              <w:spacing w:after="0" w:line="240" w:lineRule="auto"/>
              <w:ind w:left="72"/>
              <w:jc w:val="both"/>
              <w:rPr>
                <w:rFonts w:ascii="Times New Roman" w:eastAsia="Calibri" w:hAnsi="Times New Roman" w:cs="Times New Roman"/>
                <w:b/>
                <w:sz w:val="24"/>
                <w:szCs w:val="24"/>
                <w:lang w:val="es-ES"/>
              </w:rPr>
            </w:pPr>
          </w:p>
          <w:p w:rsidR="00F31F1D" w:rsidRPr="00CB38AA" w:rsidRDefault="00F31F1D" w:rsidP="00DF6EEA">
            <w:pPr>
              <w:spacing w:after="0" w:line="240" w:lineRule="auto"/>
              <w:ind w:left="72"/>
              <w:jc w:val="both"/>
              <w:rPr>
                <w:rFonts w:ascii="Times New Roman" w:eastAsia="Calibri" w:hAnsi="Times New Roman" w:cs="Times New Roman"/>
                <w:b/>
                <w:sz w:val="24"/>
                <w:szCs w:val="24"/>
                <w:lang w:val="es-ES"/>
              </w:rPr>
            </w:pPr>
          </w:p>
          <w:p w:rsidR="00F31F1D" w:rsidRPr="00CB38AA" w:rsidRDefault="00F31F1D" w:rsidP="00DF6EEA">
            <w:pPr>
              <w:spacing w:after="0" w:line="240" w:lineRule="auto"/>
              <w:ind w:left="72"/>
              <w:jc w:val="both"/>
              <w:rPr>
                <w:rFonts w:ascii="Times New Roman" w:eastAsia="Calibri" w:hAnsi="Times New Roman" w:cs="Times New Roman"/>
                <w:b/>
                <w:sz w:val="24"/>
                <w:szCs w:val="24"/>
                <w:lang w:val="es-ES"/>
              </w:rPr>
            </w:pPr>
          </w:p>
          <w:p w:rsidR="00F31F1D" w:rsidRPr="00CB38AA" w:rsidRDefault="00F31F1D" w:rsidP="00DF6EEA">
            <w:pPr>
              <w:spacing w:after="0" w:line="240" w:lineRule="auto"/>
              <w:ind w:left="72"/>
              <w:jc w:val="both"/>
              <w:rPr>
                <w:rFonts w:ascii="Times New Roman" w:eastAsia="Calibri" w:hAnsi="Times New Roman" w:cs="Times New Roman"/>
                <w:b/>
                <w:sz w:val="24"/>
                <w:szCs w:val="24"/>
                <w:lang w:val="es-ES"/>
              </w:rPr>
            </w:pPr>
          </w:p>
          <w:p w:rsidR="00F31F1D" w:rsidRPr="00CB38AA" w:rsidRDefault="00F31F1D" w:rsidP="00DF6EEA">
            <w:pPr>
              <w:spacing w:after="0" w:line="240" w:lineRule="auto"/>
              <w:ind w:left="72"/>
              <w:jc w:val="both"/>
              <w:rPr>
                <w:rFonts w:ascii="Times New Roman" w:eastAsia="Calibri" w:hAnsi="Times New Roman" w:cs="Times New Roman"/>
                <w:b/>
                <w:sz w:val="24"/>
                <w:szCs w:val="24"/>
                <w:lang w:val="es-ES"/>
              </w:rPr>
            </w:pPr>
          </w:p>
          <w:p w:rsidR="00F31F1D" w:rsidRPr="00CB38AA" w:rsidRDefault="00F31F1D" w:rsidP="00DF6EEA">
            <w:pPr>
              <w:spacing w:after="0" w:line="240" w:lineRule="auto"/>
              <w:ind w:left="72"/>
              <w:jc w:val="both"/>
              <w:rPr>
                <w:rFonts w:ascii="Times New Roman" w:eastAsia="Calibri" w:hAnsi="Times New Roman" w:cs="Times New Roman"/>
                <w:b/>
                <w:sz w:val="24"/>
                <w:szCs w:val="24"/>
                <w:lang w:val="es-ES"/>
              </w:rPr>
            </w:pPr>
          </w:p>
          <w:p w:rsidR="00F31F1D" w:rsidRPr="00CB38AA" w:rsidRDefault="00F31F1D" w:rsidP="00DF6EEA">
            <w:pPr>
              <w:spacing w:after="0" w:line="240" w:lineRule="auto"/>
              <w:ind w:left="72"/>
              <w:jc w:val="both"/>
              <w:rPr>
                <w:rFonts w:ascii="Times New Roman" w:eastAsia="Calibri" w:hAnsi="Times New Roman" w:cs="Times New Roman"/>
                <w:b/>
                <w:sz w:val="24"/>
                <w:szCs w:val="24"/>
                <w:lang w:val="es-ES"/>
              </w:rPr>
            </w:pPr>
          </w:p>
          <w:p w:rsidR="00F31F1D" w:rsidRPr="00CB38AA" w:rsidRDefault="00F31F1D" w:rsidP="00DF6EEA">
            <w:pPr>
              <w:spacing w:after="0" w:line="240" w:lineRule="auto"/>
              <w:ind w:left="72"/>
              <w:jc w:val="both"/>
              <w:rPr>
                <w:rFonts w:ascii="Times New Roman" w:eastAsia="Calibri" w:hAnsi="Times New Roman" w:cs="Times New Roman"/>
                <w:b/>
                <w:sz w:val="24"/>
                <w:szCs w:val="24"/>
                <w:lang w:val="es-ES"/>
              </w:rPr>
            </w:pPr>
          </w:p>
          <w:p w:rsidR="00F31F1D" w:rsidRPr="00CB38AA" w:rsidRDefault="00F31F1D" w:rsidP="00DF6EEA">
            <w:pPr>
              <w:spacing w:after="0" w:line="240" w:lineRule="auto"/>
              <w:ind w:left="72"/>
              <w:jc w:val="both"/>
              <w:rPr>
                <w:rFonts w:ascii="Times New Roman" w:eastAsia="Calibri" w:hAnsi="Times New Roman" w:cs="Times New Roman"/>
                <w:b/>
                <w:sz w:val="24"/>
                <w:szCs w:val="24"/>
                <w:lang w:val="es-ES"/>
              </w:rPr>
            </w:pPr>
          </w:p>
          <w:p w:rsidR="00F31F1D" w:rsidRPr="00CB38AA" w:rsidRDefault="00F31F1D" w:rsidP="00DF6EEA">
            <w:pPr>
              <w:spacing w:after="0" w:line="240" w:lineRule="auto"/>
              <w:ind w:left="72"/>
              <w:jc w:val="both"/>
              <w:rPr>
                <w:rFonts w:ascii="Times New Roman" w:eastAsia="Calibri" w:hAnsi="Times New Roman" w:cs="Times New Roman"/>
                <w:b/>
                <w:sz w:val="24"/>
                <w:szCs w:val="24"/>
                <w:lang w:val="es-ES"/>
              </w:rPr>
            </w:pPr>
          </w:p>
          <w:p w:rsidR="00F31F1D" w:rsidRPr="00CB38AA" w:rsidRDefault="00F31F1D" w:rsidP="00DF6EEA">
            <w:pPr>
              <w:spacing w:after="0" w:line="240" w:lineRule="auto"/>
              <w:ind w:left="72"/>
              <w:jc w:val="both"/>
              <w:rPr>
                <w:rFonts w:ascii="Times New Roman" w:eastAsia="Calibri" w:hAnsi="Times New Roman" w:cs="Times New Roman"/>
                <w:b/>
                <w:sz w:val="24"/>
                <w:szCs w:val="24"/>
                <w:lang w:val="es-ES"/>
              </w:rPr>
            </w:pPr>
          </w:p>
          <w:p w:rsidR="00F31F1D" w:rsidRPr="00CB38AA" w:rsidRDefault="00F31F1D" w:rsidP="00DF6EEA">
            <w:pPr>
              <w:spacing w:after="0" w:line="240" w:lineRule="auto"/>
              <w:ind w:left="72"/>
              <w:jc w:val="both"/>
              <w:rPr>
                <w:rFonts w:ascii="Times New Roman" w:eastAsia="Calibri" w:hAnsi="Times New Roman" w:cs="Times New Roman"/>
                <w:b/>
                <w:sz w:val="24"/>
                <w:szCs w:val="24"/>
                <w:lang w:val="es-ES"/>
              </w:rPr>
            </w:pPr>
          </w:p>
          <w:p w:rsidR="00F31F1D" w:rsidRPr="00CB38AA" w:rsidRDefault="00F31F1D" w:rsidP="00DF6EEA">
            <w:pPr>
              <w:spacing w:after="0" w:line="240" w:lineRule="auto"/>
              <w:ind w:left="72"/>
              <w:jc w:val="both"/>
              <w:rPr>
                <w:rFonts w:ascii="Times New Roman" w:eastAsia="Calibri" w:hAnsi="Times New Roman" w:cs="Times New Roman"/>
                <w:b/>
                <w:sz w:val="24"/>
                <w:szCs w:val="24"/>
                <w:lang w:val="es-ES"/>
              </w:rPr>
            </w:pPr>
          </w:p>
          <w:p w:rsidR="00F31F1D" w:rsidRPr="00CB38AA" w:rsidRDefault="00F31F1D" w:rsidP="00DF6EEA">
            <w:pPr>
              <w:spacing w:after="0" w:line="240" w:lineRule="auto"/>
              <w:ind w:left="72"/>
              <w:jc w:val="both"/>
              <w:rPr>
                <w:rFonts w:ascii="Times New Roman" w:eastAsia="Calibri" w:hAnsi="Times New Roman" w:cs="Times New Roman"/>
                <w:b/>
                <w:sz w:val="24"/>
                <w:szCs w:val="24"/>
                <w:lang w:val="es-ES"/>
              </w:rPr>
            </w:pPr>
          </w:p>
          <w:p w:rsidR="00F31F1D" w:rsidRPr="00CB38AA" w:rsidRDefault="00F31F1D" w:rsidP="00DF6EEA">
            <w:pPr>
              <w:spacing w:after="0" w:line="240" w:lineRule="auto"/>
              <w:ind w:left="72"/>
              <w:jc w:val="both"/>
              <w:rPr>
                <w:rFonts w:ascii="Times New Roman" w:eastAsia="Calibri" w:hAnsi="Times New Roman" w:cs="Times New Roman"/>
                <w:b/>
                <w:sz w:val="24"/>
                <w:szCs w:val="24"/>
                <w:lang w:val="es-ES"/>
              </w:rPr>
            </w:pPr>
          </w:p>
          <w:p w:rsidR="00F31F1D" w:rsidRPr="00CB38AA" w:rsidRDefault="00F31F1D" w:rsidP="00DF6EEA">
            <w:pPr>
              <w:spacing w:after="0" w:line="240" w:lineRule="auto"/>
              <w:ind w:left="72"/>
              <w:jc w:val="both"/>
              <w:rPr>
                <w:rFonts w:ascii="Times New Roman" w:eastAsia="Calibri" w:hAnsi="Times New Roman" w:cs="Times New Roman"/>
                <w:b/>
                <w:sz w:val="24"/>
                <w:szCs w:val="24"/>
                <w:lang w:val="es-ES"/>
              </w:rPr>
            </w:pPr>
          </w:p>
          <w:p w:rsidR="00F31F1D" w:rsidRPr="00CB38AA" w:rsidRDefault="00F31F1D" w:rsidP="00DF6EEA">
            <w:pPr>
              <w:spacing w:after="0" w:line="240" w:lineRule="auto"/>
              <w:ind w:left="72"/>
              <w:jc w:val="both"/>
              <w:rPr>
                <w:rFonts w:ascii="Times New Roman" w:eastAsia="Calibri" w:hAnsi="Times New Roman" w:cs="Times New Roman"/>
                <w:b/>
                <w:sz w:val="24"/>
                <w:szCs w:val="24"/>
                <w:lang w:val="es-ES"/>
              </w:rPr>
            </w:pPr>
          </w:p>
          <w:p w:rsidR="00F31F1D" w:rsidRPr="00CB38AA" w:rsidRDefault="00F31F1D" w:rsidP="00DF6EEA">
            <w:pPr>
              <w:spacing w:after="0" w:line="240" w:lineRule="auto"/>
              <w:ind w:left="72"/>
              <w:jc w:val="both"/>
              <w:rPr>
                <w:rFonts w:ascii="Times New Roman" w:eastAsia="Calibri" w:hAnsi="Times New Roman" w:cs="Times New Roman"/>
                <w:b/>
                <w:sz w:val="24"/>
                <w:szCs w:val="24"/>
                <w:lang w:val="es-ES"/>
              </w:rPr>
            </w:pPr>
          </w:p>
          <w:p w:rsidR="00F31F1D" w:rsidRPr="00CB38AA" w:rsidRDefault="00F31F1D" w:rsidP="00DF6EEA">
            <w:pPr>
              <w:spacing w:after="0" w:line="240" w:lineRule="auto"/>
              <w:ind w:left="72"/>
              <w:jc w:val="both"/>
              <w:rPr>
                <w:rFonts w:ascii="Times New Roman" w:eastAsia="Calibri" w:hAnsi="Times New Roman" w:cs="Times New Roman"/>
                <w:b/>
                <w:sz w:val="24"/>
                <w:szCs w:val="24"/>
                <w:lang w:val="es-ES"/>
              </w:rPr>
            </w:pPr>
          </w:p>
          <w:p w:rsidR="00F31F1D" w:rsidRPr="00CB38AA" w:rsidRDefault="00F31F1D" w:rsidP="00DF6EEA">
            <w:pPr>
              <w:spacing w:after="0" w:line="240" w:lineRule="auto"/>
              <w:ind w:left="72"/>
              <w:jc w:val="both"/>
              <w:rPr>
                <w:rFonts w:ascii="Times New Roman" w:eastAsia="Calibri" w:hAnsi="Times New Roman" w:cs="Times New Roman"/>
                <w:b/>
                <w:sz w:val="24"/>
                <w:szCs w:val="24"/>
                <w:lang w:val="es-ES"/>
              </w:rPr>
            </w:pPr>
          </w:p>
          <w:p w:rsidR="00F31F1D" w:rsidRPr="00CB38AA" w:rsidRDefault="00F31F1D" w:rsidP="00DF6EEA">
            <w:pPr>
              <w:spacing w:after="0" w:line="240" w:lineRule="auto"/>
              <w:ind w:left="72"/>
              <w:jc w:val="both"/>
              <w:rPr>
                <w:rFonts w:ascii="Times New Roman" w:eastAsia="Calibri" w:hAnsi="Times New Roman" w:cs="Times New Roman"/>
                <w:b/>
                <w:sz w:val="24"/>
                <w:szCs w:val="24"/>
                <w:lang w:val="es-ES"/>
              </w:rPr>
            </w:pPr>
          </w:p>
          <w:p w:rsidR="00F31F1D" w:rsidRPr="00CB38AA" w:rsidRDefault="00F31F1D" w:rsidP="00DF6EEA">
            <w:pPr>
              <w:spacing w:after="0" w:line="240" w:lineRule="auto"/>
              <w:ind w:left="72"/>
              <w:jc w:val="both"/>
              <w:rPr>
                <w:rFonts w:ascii="Times New Roman" w:eastAsia="Calibri" w:hAnsi="Times New Roman" w:cs="Times New Roman"/>
                <w:b/>
                <w:sz w:val="24"/>
                <w:szCs w:val="24"/>
                <w:lang w:val="es-ES"/>
              </w:rPr>
            </w:pPr>
          </w:p>
          <w:p w:rsidR="00F31F1D" w:rsidRPr="00CB38AA" w:rsidRDefault="00F31F1D" w:rsidP="00DF6EEA">
            <w:pPr>
              <w:spacing w:after="0" w:line="240" w:lineRule="auto"/>
              <w:ind w:left="72"/>
              <w:jc w:val="both"/>
              <w:rPr>
                <w:rFonts w:ascii="Times New Roman" w:eastAsia="Calibri" w:hAnsi="Times New Roman" w:cs="Times New Roman"/>
                <w:b/>
                <w:sz w:val="24"/>
                <w:szCs w:val="24"/>
                <w:lang w:val="es-ES"/>
              </w:rPr>
            </w:pPr>
          </w:p>
          <w:p w:rsidR="00F31F1D" w:rsidRPr="00CB38AA" w:rsidRDefault="00F31F1D" w:rsidP="00DF6EEA">
            <w:pPr>
              <w:spacing w:after="0" w:line="240" w:lineRule="auto"/>
              <w:ind w:left="72"/>
              <w:jc w:val="both"/>
              <w:rPr>
                <w:rFonts w:ascii="Times New Roman" w:eastAsia="Calibri" w:hAnsi="Times New Roman" w:cs="Times New Roman"/>
                <w:b/>
                <w:sz w:val="24"/>
                <w:szCs w:val="24"/>
                <w:lang w:val="es-ES"/>
              </w:rPr>
            </w:pPr>
          </w:p>
          <w:p w:rsidR="00F31F1D" w:rsidRPr="00CB38AA" w:rsidRDefault="00F31F1D" w:rsidP="00DF6EEA">
            <w:pPr>
              <w:spacing w:after="0" w:line="240" w:lineRule="auto"/>
              <w:ind w:left="72"/>
              <w:jc w:val="both"/>
              <w:rPr>
                <w:rFonts w:ascii="Times New Roman" w:eastAsia="Calibri" w:hAnsi="Times New Roman" w:cs="Times New Roman"/>
                <w:b/>
                <w:sz w:val="24"/>
                <w:szCs w:val="24"/>
                <w:lang w:val="es-ES"/>
              </w:rPr>
            </w:pPr>
            <w:r w:rsidRPr="00CB38AA">
              <w:rPr>
                <w:rFonts w:ascii="Times New Roman" w:eastAsia="Calibri" w:hAnsi="Times New Roman" w:cs="Times New Roman"/>
                <w:b/>
                <w:sz w:val="24"/>
                <w:szCs w:val="24"/>
                <w:lang w:val="es-ES"/>
              </w:rPr>
              <w:t>II. Para el desahogo de asuntos de interés público y competencia municipal, el Ayuntamiento podrá aprobar la integración de Comisiones Especiales. La propuesta respectiva contendrá las bases para su conformación, operación y el plazo para la conclusión de sus labores. Los resultados obtenidos serán sometidos a la consideración y resolución definitiva del Ayuntamiento.</w:t>
            </w:r>
          </w:p>
          <w:p w:rsidR="00F31F1D" w:rsidRPr="00CB38AA" w:rsidRDefault="00F31F1D" w:rsidP="00DF6EEA">
            <w:pPr>
              <w:spacing w:after="0" w:line="240" w:lineRule="auto"/>
              <w:ind w:left="72"/>
              <w:jc w:val="both"/>
              <w:rPr>
                <w:rFonts w:ascii="Times New Roman" w:eastAsia="Calibri" w:hAnsi="Times New Roman" w:cs="Times New Roman"/>
                <w:b/>
                <w:sz w:val="24"/>
                <w:szCs w:val="24"/>
                <w:lang w:val="es-ES"/>
              </w:rPr>
            </w:pPr>
          </w:p>
          <w:p w:rsidR="00F31F1D" w:rsidRPr="00CB38AA" w:rsidRDefault="00F31F1D" w:rsidP="00DF6EEA">
            <w:pPr>
              <w:spacing w:after="0" w:line="240" w:lineRule="auto"/>
              <w:ind w:left="72"/>
              <w:jc w:val="both"/>
              <w:rPr>
                <w:rFonts w:ascii="Times New Roman" w:eastAsia="Calibri" w:hAnsi="Times New Roman" w:cs="Times New Roman"/>
                <w:sz w:val="24"/>
                <w:szCs w:val="24"/>
                <w:lang w:val="es-ES"/>
              </w:rPr>
            </w:pPr>
            <w:r w:rsidRPr="00CB38AA">
              <w:rPr>
                <w:rFonts w:ascii="Times New Roman" w:eastAsia="Calibri" w:hAnsi="Times New Roman" w:cs="Times New Roman"/>
                <w:b/>
                <w:sz w:val="24"/>
                <w:szCs w:val="24"/>
                <w:lang w:val="es-ES"/>
              </w:rPr>
              <w:t>El Ayuntamiento expedirá su Reglamento de Comisiones en la misma sesión en que se apruebe la integración de las mismas.</w:t>
            </w:r>
          </w:p>
          <w:p w:rsidR="00F31F1D" w:rsidRPr="00CB38AA" w:rsidRDefault="00F31F1D" w:rsidP="00DF6EEA">
            <w:pPr>
              <w:spacing w:after="0" w:line="240" w:lineRule="auto"/>
              <w:ind w:left="72"/>
              <w:jc w:val="both"/>
              <w:rPr>
                <w:rFonts w:ascii="Times New Roman" w:eastAsia="Arial" w:hAnsi="Times New Roman" w:cs="Times New Roman"/>
                <w:sz w:val="24"/>
                <w:szCs w:val="24"/>
              </w:rPr>
            </w:pPr>
          </w:p>
        </w:tc>
      </w:tr>
      <w:tr w:rsidR="00CB38AA" w:rsidRPr="00CB38AA" w:rsidTr="009A2D71">
        <w:trPr>
          <w:trHeight w:val="20"/>
          <w:jc w:val="center"/>
        </w:trPr>
        <w:tc>
          <w:tcPr>
            <w:tcW w:w="4389" w:type="dxa"/>
            <w:tcBorders>
              <w:top w:val="single" w:sz="5" w:space="0" w:color="000000"/>
              <w:left w:val="single" w:sz="5" w:space="0" w:color="000000"/>
              <w:right w:val="single" w:sz="5" w:space="0" w:color="000000"/>
            </w:tcBorders>
          </w:tcPr>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lastRenderedPageBreak/>
              <w:t>Artículo 70.- Las comisiones del ayuntamiento coadyuvarán en la elaboración del Plan de Desarrollo Municipal y en su evaluación.</w:t>
            </w:r>
          </w:p>
        </w:tc>
        <w:tc>
          <w:tcPr>
            <w:tcW w:w="4824" w:type="dxa"/>
            <w:tcBorders>
              <w:top w:val="single" w:sz="5" w:space="0" w:color="000000"/>
              <w:left w:val="single" w:sz="5" w:space="0" w:color="000000"/>
              <w:right w:val="single" w:sz="5" w:space="0" w:color="000000"/>
            </w:tcBorders>
          </w:tcPr>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Artículo70.- Las comisiones del Ayuntamiento coadyuvarán en la elaboración </w:t>
            </w:r>
            <w:r w:rsidRPr="00CB38AA">
              <w:rPr>
                <w:rFonts w:ascii="Times New Roman" w:eastAsia="Arial" w:hAnsi="Times New Roman" w:cs="Times New Roman"/>
                <w:b/>
                <w:sz w:val="24"/>
                <w:szCs w:val="24"/>
              </w:rPr>
              <w:t>y posterior evaluación del Plan de Desarrollo Municipal, el Presupuesto basado en Resultados, así como de la Agenda Regulatoria y el Programa de Mejora Regulatoria</w:t>
            </w:r>
            <w:r w:rsidRPr="00CB38AA">
              <w:rPr>
                <w:rFonts w:ascii="Times New Roman" w:eastAsia="Arial" w:hAnsi="Times New Roman" w:cs="Times New Roman"/>
                <w:sz w:val="24"/>
                <w:szCs w:val="24"/>
              </w:rPr>
              <w:t>.</w:t>
            </w:r>
          </w:p>
        </w:tc>
      </w:tr>
      <w:tr w:rsidR="00CB38AA" w:rsidRPr="00CB38AA" w:rsidTr="009A2D71">
        <w:trPr>
          <w:trHeight w:val="20"/>
          <w:jc w:val="center"/>
        </w:trPr>
        <w:tc>
          <w:tcPr>
            <w:tcW w:w="4389" w:type="dxa"/>
            <w:tcBorders>
              <w:top w:val="single" w:sz="5" w:space="0" w:color="000000"/>
              <w:left w:val="single" w:sz="5" w:space="0" w:color="000000"/>
              <w:right w:val="single" w:sz="5" w:space="0" w:color="000000"/>
            </w:tcBorders>
          </w:tcPr>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Artículo 71.- Las comisiones del ayuntamiento carecen de facultades ejecutivas. Los asuntos y acuerdos que no estén señalados expresamente para una comisión quedarán bajo la responsabilidad del presidente municipal.</w:t>
            </w:r>
          </w:p>
        </w:tc>
        <w:tc>
          <w:tcPr>
            <w:tcW w:w="4824" w:type="dxa"/>
            <w:tcBorders>
              <w:top w:val="single" w:sz="5" w:space="0" w:color="000000"/>
              <w:left w:val="single" w:sz="5" w:space="0" w:color="000000"/>
              <w:right w:val="single" w:sz="5" w:space="0" w:color="000000"/>
            </w:tcBorders>
          </w:tcPr>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Artículo71.-Lascomisiones del Ayuntamiento carecen de facultades ejecutivas. Los asuntos y acuerdos que no estén señalados expresamente como competencia de alguna comisión quedarán bajo la responsabilidad </w:t>
            </w:r>
            <w:r w:rsidRPr="00CB38AA">
              <w:rPr>
                <w:rFonts w:ascii="Times New Roman" w:eastAsia="Arial" w:hAnsi="Times New Roman" w:cs="Times New Roman"/>
                <w:b/>
                <w:sz w:val="24"/>
                <w:szCs w:val="24"/>
              </w:rPr>
              <w:t>de la persona titular de la Presidencia Municipal.</w:t>
            </w:r>
          </w:p>
        </w:tc>
      </w:tr>
    </w:tbl>
    <w:p w:rsidR="00F31F1D" w:rsidRPr="00CB38AA" w:rsidRDefault="00F31F1D" w:rsidP="00DF6EEA">
      <w:pPr>
        <w:spacing w:after="0" w:line="240" w:lineRule="auto"/>
        <w:rPr>
          <w:rFonts w:ascii="Times New Roman" w:eastAsia="Times New Roman" w:hAnsi="Times New Roman" w:cs="Times New Roman"/>
          <w:sz w:val="24"/>
          <w:szCs w:val="24"/>
          <w:lang w:val="en-US"/>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Por lo anteriormente expuesto, y con la convicción de que es posible armonizar la austeridad con el fortalecimiento de la vida democrática municipal, se somete a la consideración de esta Honorable Asamblea la iniciativa con proyecto de decreto que se acompaña., cuyo objeto es reformar la Ley Orgánica Municipal del Estado de México, a fin de restituir y fortalecer el régimen de comisiones edilicias, garantizar cabildos funcionales y consolidar la gobernabilidad, la transparencia y la representación efectiva en nuestros municipios.</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ATENTAMENTE</w:t>
      </w:r>
    </w:p>
    <w:p w:rsidR="00F31F1D" w:rsidRPr="00CB38AA" w:rsidRDefault="00F31F1D"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DIP. VALENTÍN MARTÍNEZ CASTILLO</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ind w:left="567" w:hanging="567"/>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C.c.p. </w:t>
      </w:r>
      <w:r w:rsidRPr="00CB38AA">
        <w:rPr>
          <w:rFonts w:ascii="Times New Roman" w:eastAsia="Arial" w:hAnsi="Times New Roman" w:cs="Times New Roman"/>
          <w:b/>
          <w:sz w:val="24"/>
          <w:szCs w:val="24"/>
        </w:rPr>
        <w:t>Dip. José Francisco Vázquez Rodríguez</w:t>
      </w:r>
      <w:r w:rsidRPr="00CB38AA">
        <w:rPr>
          <w:rFonts w:ascii="Times New Roman" w:eastAsia="Arial" w:hAnsi="Times New Roman" w:cs="Times New Roman"/>
          <w:sz w:val="24"/>
          <w:szCs w:val="24"/>
        </w:rPr>
        <w:t>, Presidente de la Junta de Coordinación Política y Coordinador del Grupo Parlamentario de Morena en la LXII Legislatura del Congreso del Estado de México.</w:t>
      </w:r>
    </w:p>
    <w:p w:rsidR="00F31F1D" w:rsidRPr="00CB38AA" w:rsidRDefault="00F31F1D" w:rsidP="00DF6EEA">
      <w:pPr>
        <w:spacing w:after="0" w:line="240" w:lineRule="auto"/>
        <w:ind w:firstLine="567"/>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Dip. Ángel Adriel Negrete Avonce, Vicecoordinador del Grupo Parlamentario de Morena.</w:t>
      </w:r>
    </w:p>
    <w:p w:rsidR="00F31F1D" w:rsidRPr="00CB38AA" w:rsidRDefault="00F31F1D" w:rsidP="00DF6EEA">
      <w:pPr>
        <w:spacing w:after="0" w:line="240" w:lineRule="auto"/>
        <w:ind w:firstLine="567"/>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Archivo.</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PROYECTO DE DECRETO</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DECRETO NÚMERO</w:t>
      </w:r>
    </w:p>
    <w:p w:rsidR="00F31F1D" w:rsidRPr="00CB38AA" w:rsidRDefault="00F31F1D" w:rsidP="00DF6EEA">
      <w:pPr>
        <w:spacing w:after="0" w:line="240" w:lineRule="auto"/>
        <w:jc w:val="both"/>
        <w:rPr>
          <w:rFonts w:ascii="Times New Roman" w:eastAsia="Arial" w:hAnsi="Times New Roman" w:cs="Times New Roman"/>
          <w:b/>
          <w:sz w:val="24"/>
          <w:szCs w:val="24"/>
        </w:rPr>
      </w:pPr>
      <w:r w:rsidRPr="00CB38AA">
        <w:rPr>
          <w:rFonts w:ascii="Times New Roman" w:eastAsia="Arial" w:hAnsi="Times New Roman" w:cs="Times New Roman"/>
          <w:b/>
          <w:sz w:val="24"/>
          <w:szCs w:val="24"/>
        </w:rPr>
        <w:t>LA “LXII” LEGISLATURA</w:t>
      </w:r>
    </w:p>
    <w:p w:rsidR="00F31F1D" w:rsidRPr="00CB38AA" w:rsidRDefault="00F31F1D" w:rsidP="00DF6EEA">
      <w:pPr>
        <w:spacing w:after="0" w:line="240" w:lineRule="auto"/>
        <w:jc w:val="both"/>
        <w:rPr>
          <w:rFonts w:ascii="Times New Roman" w:eastAsia="Arial" w:hAnsi="Times New Roman" w:cs="Times New Roman"/>
          <w:b/>
          <w:sz w:val="24"/>
          <w:szCs w:val="24"/>
        </w:rPr>
      </w:pPr>
      <w:r w:rsidRPr="00CB38AA">
        <w:rPr>
          <w:rFonts w:ascii="Times New Roman" w:eastAsia="Arial" w:hAnsi="Times New Roman" w:cs="Times New Roman"/>
          <w:b/>
          <w:sz w:val="24"/>
          <w:szCs w:val="24"/>
        </w:rPr>
        <w:t>DEL ESTADO DE MÉXICO:</w:t>
      </w: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DECRETA:</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Único. </w:t>
      </w:r>
      <w:r w:rsidRPr="00CB38AA">
        <w:rPr>
          <w:rFonts w:ascii="Times New Roman" w:eastAsia="Arial" w:hAnsi="Times New Roman" w:cs="Times New Roman"/>
          <w:sz w:val="24"/>
          <w:szCs w:val="24"/>
        </w:rPr>
        <w:t>Se reforman el artículo 31, fracción XI; el artículo 65, en sus párrafos primero y tercero; el artículo 66, en su párrafo primero; así como los artículos 67, 68, 69, 70 y 71; y se adicionan al artículo 48 las fracciones VII Bis y VII Ter; al artículo 65, un párrafo cuarto; al artículo 66, dos párrafos tercero y cuarto; y el artículo 67 Bis; todos de la Ley Orgánica Municipal del Estado de México, para quedar como sigue:</w:t>
      </w:r>
    </w:p>
    <w:p w:rsidR="00F31F1D" w:rsidRPr="00CB38AA" w:rsidRDefault="00F31F1D" w:rsidP="00DF6EEA">
      <w:pPr>
        <w:spacing w:after="0" w:line="240" w:lineRule="auto"/>
        <w:jc w:val="both"/>
        <w:rPr>
          <w:rFonts w:ascii="Times New Roman" w:eastAsia="Arial" w:hAnsi="Times New Roman" w:cs="Times New Roman"/>
          <w:b/>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31.- </w:t>
      </w:r>
      <w:r w:rsidRPr="00CB38AA">
        <w:rPr>
          <w:rFonts w:ascii="Times New Roman" w:eastAsia="Arial" w:hAnsi="Times New Roman" w:cs="Times New Roman"/>
          <w:sz w:val="24"/>
          <w:szCs w:val="24"/>
        </w:rPr>
        <w:t>…</w:t>
      </w: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 a X. …</w:t>
      </w: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XI. Designar, de entre sus propios integrantes, a quienes formarán parte de las comisiones municipales; y de entre los habitantes del municipio, a los jefes de sector y de manzana;</w:t>
      </w: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XII. a XLVIII. …</w:t>
      </w:r>
    </w:p>
    <w:p w:rsidR="00F31F1D" w:rsidRPr="00CB38AA" w:rsidRDefault="00F31F1D" w:rsidP="00DF6EEA">
      <w:pPr>
        <w:spacing w:after="0" w:line="240" w:lineRule="auto"/>
        <w:jc w:val="both"/>
        <w:rPr>
          <w:rFonts w:ascii="Times New Roman" w:eastAsia="Arial" w:hAnsi="Times New Roman" w:cs="Times New Roman"/>
          <w:b/>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48. </w:t>
      </w:r>
      <w:r w:rsidRPr="00CB38AA">
        <w:rPr>
          <w:rFonts w:ascii="Times New Roman" w:eastAsia="Arial" w:hAnsi="Times New Roman" w:cs="Times New Roman"/>
          <w:sz w:val="24"/>
          <w:szCs w:val="24"/>
        </w:rPr>
        <w:t>…</w:t>
      </w: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 a VII. …</w:t>
      </w: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VII Bis. Proponer al Ayuntamiento la integración de las comisiones permanentes, a más tardar en la tercera sesión ordinaria del primer año de gestión, y, cuando lo considere conveniente y necesario, la conformación de comisiones transitorias.</w:t>
      </w: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VII. Ter. Turnar para su estudio y dictamen, a las respectivas Comisiones, los asuntos que sean atribución del Ayuntamiento;</w:t>
      </w:r>
    </w:p>
    <w:p w:rsidR="00F31F1D" w:rsidRPr="00CB38AA" w:rsidRDefault="00F31F1D" w:rsidP="00DF6EEA">
      <w:pPr>
        <w:spacing w:after="0" w:line="240" w:lineRule="auto"/>
        <w:jc w:val="both"/>
        <w:rPr>
          <w:rFonts w:ascii="Times New Roman" w:eastAsia="Arial"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VIII. a XXVI. …</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64.- </w:t>
      </w:r>
      <w:r w:rsidRPr="00CB38AA">
        <w:rPr>
          <w:rFonts w:ascii="Times New Roman" w:eastAsia="Arial" w:hAnsi="Times New Roman" w:cs="Times New Roman"/>
          <w:sz w:val="24"/>
          <w:szCs w:val="24"/>
        </w:rPr>
        <w:t>Los ayuntamientos, para el eficaz desempeño de sus atribuciones, podrán auxiliarse por:</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Times New Roman" w:hAnsi="Times New Roman" w:cs="Times New Roman"/>
          <w:sz w:val="24"/>
          <w:szCs w:val="24"/>
        </w:rPr>
      </w:pPr>
      <w:r w:rsidRPr="00CB38AA">
        <w:rPr>
          <w:rFonts w:ascii="Times New Roman" w:eastAsia="Arial" w:hAnsi="Times New Roman" w:cs="Times New Roman"/>
          <w:sz w:val="24"/>
          <w:szCs w:val="24"/>
        </w:rPr>
        <w:t>I. a IV. …</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65.- </w:t>
      </w:r>
      <w:r w:rsidRPr="00CB38AA">
        <w:rPr>
          <w:rFonts w:ascii="Times New Roman" w:eastAsia="Arial" w:hAnsi="Times New Roman" w:cs="Times New Roman"/>
          <w:sz w:val="24"/>
          <w:szCs w:val="24"/>
        </w:rPr>
        <w:t>Los integrantes de las comisiones del ayuntamiento serán nombrados por éste, de entre sus miembros, a propuesta de la persona titular de la presidencia municipal, a más tardar en la tercera sesión ordinaria que celebren al inicio de su gestión.</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lastRenderedPageBreak/>
        <w:t>Una vez nombrados los integrantes de las comisiones, las personas ediles titulares de la presidencia de cada una tendrán treinta días para convocar a reunión a efecto de llevar a cabo su instalación e inicio de los trabajos.</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Las comisiones se conformarán, al menos, por una persona titular de la Presidencia, una persona titular de la Secretaría y al menos una vocalía. Se podrán designar las vocalías que se requieran, conforme lo considere la Presidencia Municipal y apruebe el Ayuntamiento.</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66.- </w:t>
      </w:r>
      <w:r w:rsidRPr="00CB38AA">
        <w:rPr>
          <w:rFonts w:ascii="Times New Roman" w:eastAsia="Arial" w:hAnsi="Times New Roman" w:cs="Times New Roman"/>
          <w:sz w:val="24"/>
          <w:szCs w:val="24"/>
        </w:rPr>
        <w:t>Las comisiones del Ayuntamiento tendrán como finalidad analizar, estudiar y formular al propio Ayuntamiento propuestas de acuerdos, acciones o disposiciones orientadas al fortalecimiento y mejora de la Administración Pública Municipal, así como vigilar, supervisar e informarle sobre los asuntos de su competencia y el cumplimiento de las disposiciones y acuerdos que emita el Ayuntamiento.</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Las presidencias de las comisiones dirigirán los trabajos de análisis, estudio y dictamen, y serán responsables de la guarda, control y debido resguardo de los documentos y expedientes que les sean turnados. Las secretarías de cada comisión tendrán a su cargo la elaboración de las minutas de las reuniones, así como recabar, de manera conjunta con la presidencia, de las firmas de las personas integrantes de la comisión para la minuta en la que se asentarán los acuerdos de la misma.</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 persona titular de la Secretaría del Ayuntamiento procederá a la apertura y validación, mediante su firma, del libro de minutas de cada comisión, una vez que éstas hayan sido formalmente integradas. Dichos libros formarán parte del proceso de entrega-recepción y, al término de la gestión municipal, quedarán bajo resguardo de la Secretaría del Ayuntamiento para su entrega a la administración entrante.</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67.- </w:t>
      </w:r>
      <w:r w:rsidRPr="00CB38AA">
        <w:rPr>
          <w:rFonts w:ascii="Times New Roman" w:eastAsia="Arial" w:hAnsi="Times New Roman" w:cs="Times New Roman"/>
          <w:sz w:val="24"/>
          <w:szCs w:val="24"/>
        </w:rPr>
        <w:t>Las comisiones se reunirán de manera ordinaria, al menos, una vez cada treinta días, y de forma extraordinaria cuando resulte necesario para el análisis, estudio y dictaminación de los asuntos que les sean turnados por el Ayuntamiento.</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Las reuniones de las comisiones serán públicas y deberán transmitirse en vivo a través del medio tecnológico que se determine, preferentemente mediante el portal oficial de internet del Ayuntamiento.</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Cuando, por causas técnicas debidamente justificadas, no sea posible realizar la transmisión en tiempo real, las reuniones deberán ser videograbadas y publicadas de manera íntegra en el portal oficial de internet del Ayuntamiento, garantizando en todo momento el principio de máxima publicidad.</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Las minutas de las reuniones tendrán el carácter de documentos públicos y deberán publicarse en el portal de transparencia del Ayuntamiento, en los términos de la legislación aplicable.</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Para el cumplimiento de sus fines, y previa autorización del Ayuntamiento, las comisiones podrán celebrar reuniones públicas en las diversas localidades del municipio, con el objeto de recabar la opinión de sus habitantes. Asimismo, cuando la naturaleza de los asuntos lo requiera, podrán solicitar asesoría externa especializada.</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lastRenderedPageBreak/>
        <w:t xml:space="preserve">Artículo 67 Bis. - </w:t>
      </w:r>
      <w:r w:rsidRPr="00CB38AA">
        <w:rPr>
          <w:rFonts w:ascii="Times New Roman" w:eastAsia="Arial" w:hAnsi="Times New Roman" w:cs="Times New Roman"/>
          <w:sz w:val="24"/>
          <w:szCs w:val="24"/>
        </w:rPr>
        <w:t>Las personas integrantes de las comisiones deberán asistir puntualmente a sus reuniones y únicamente podrán ausentarse por causa justificada, la cual deberá ser debidamente comunicada a la Secretaría del Ayuntamiento para los efectos reglamentarios aplicables.</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Las comisiones podrán celebrar reuniones a distancia mediante el uso de herramientas tecnológicas, siempre que así lo acuerde la mayoría de las personas integrantes de la comisión y se informe oportunamente al Ayuntamiento, observando las formalidades previstas en la normatividad aplicable. En las sesiones celebradas a distancia, los acuerdos y dictámenes deberán formalizarse mediante el uso de firma electrónica certificada, en los términos de la legislación correspondiente. En estas circunstancias, al menos la persona edil que presida la comisión deberá hacerlo desde el edificio sede del Ayuntamiento.</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68.- </w:t>
      </w:r>
      <w:r w:rsidRPr="00CB38AA">
        <w:rPr>
          <w:rFonts w:ascii="Times New Roman" w:eastAsia="Arial" w:hAnsi="Times New Roman" w:cs="Times New Roman"/>
          <w:sz w:val="24"/>
          <w:szCs w:val="24"/>
        </w:rPr>
        <w:t>Previa autorización del Ayuntamiento, las comisiones podrán llamar a comparecer a las personas titulares de las dependencias administrativas municipales, a efecto de que informen, cuando así se requiera, sobre el estado que guardan los asuntos a su cargo.</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Las comisiones podrán solicitar, a través de la persona que presida la comisión, a la persona titular de la Secretaría del Ayuntamiento, la información necesaria para atender los asuntos que les han sido encomendados, así como para el debido cumplimiento de sus funciones. Para tal efecto, dicha información deberá ser proporcionada de manera oportuna.</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Las comisiones dispondrán de quince días naturales para dictaminar un asunto turnado por el Ayuntamiento, los cuales podrán prorrogar hasta por diez días naturales más, cuando la importancia del asunto lo amerite y la comisión lo justifique ante el Ayuntamiento. Una vez concluido estos términos, deberán emitir el dictamen correspondiente el cual se discutirá en la sesión de cabildo ordinaria inmediata.</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Cuando se trate de un asunto urgente, y el Ayuntamiento resuelva, por votación mayoritaria, considerarlo de urgente y obvia resolución, deberá dictaminarse en las siguientes 72 horas naturales, siempre que existan los elementos técnicos necesarios para tal fin.</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Todo dictamen se elaborará con perspectiva de género y estará redactado con un lenguaje claro, preciso, incluyente y no sexista, y se compondrán de cuatro partes fundamentales: un preámbulo, los antecedentes, los considerandos y los puntos resolutivos.</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Deberá estar debidamente fundado y motivado, e incluir las modificaciones que en su caso se hayan realizado y concluir con proposiciones claras y sencillas que puedan sujetarse a votación.</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 persona titular de la Secretaría del Ayuntamiento turnará, con la firma de la persona que presida la comisión, los dictámenes que emitan las comisiones y el proyecto de acuerdo respectivo, a las demás personas integrantes del Ayuntamiento, junto con el orden del día de la sesión en la que se programe su análisis y discusión.</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Previo a cada sesión de cabildo, las personas que presidan las comisiones remitirán a la persona titular de la Secretaría del Ayuntamiento un informe sobre el estado que guarda cada asunto turnado, a fin de que éste sea informado al Pleno.</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lastRenderedPageBreak/>
        <w:t>Artículo 69.- Para el estudio, examen y despacho de los diversos asuntos de la administración pública municipal, el Ayuntamiento constituirá las comisiones permanentes y transitorias que se estimen necesarias.</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 Las comisiones permanentes, de forma enunciativa y no limitativa, serán las siguientes:</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a) De Gobernación y Reglamentos, presidida por la Presidenta o el Presidente Municipal;</w:t>
      </w: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b) De Seguridad Ciudadana y Protección Civil, presidida por la Presidenta o el Presidente Municipal;</w:t>
      </w: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c) De Planeación del Desarrollo y Agenda Sustentable, presidida por la Presidenta o el Presidente Municipal;</w:t>
      </w: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d) De Hacienda y Patrimonio Municipal, presidida por la Síndica o el Síndico Municipal; cuando en el municipio haya dos sindicaturas, la persona que ocupe la primera sindicatura se encargará de las funciones y presidencia relativas a la Hacienda Pública, y la otra de las relativas al Patrimonio Municipal;</w:t>
      </w: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 De Transparencia, Combate a la Corrupción y Acceso a la Información;</w:t>
      </w: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f) De Infraestructura y Ordenamiento Territorial;</w:t>
      </w: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g) De Servicios Públicos Municipales;</w:t>
      </w:r>
    </w:p>
    <w:p w:rsidR="00F31F1D" w:rsidRPr="00CB38AA" w:rsidRDefault="00F31F1D" w:rsidP="00DF6EEA">
      <w:pPr>
        <w:spacing w:after="0" w:line="240" w:lineRule="auto"/>
        <w:jc w:val="both"/>
        <w:rPr>
          <w:rFonts w:ascii="Times New Roman" w:eastAsia="Times New Roman" w:hAnsi="Times New Roman" w:cs="Times New Roman"/>
          <w:sz w:val="24"/>
          <w:szCs w:val="24"/>
        </w:rPr>
      </w:pPr>
      <w:r w:rsidRPr="00CB38AA">
        <w:rPr>
          <w:rFonts w:ascii="Times New Roman" w:eastAsia="Arial" w:hAnsi="Times New Roman" w:cs="Times New Roman"/>
          <w:sz w:val="24"/>
          <w:szCs w:val="24"/>
        </w:rPr>
        <w:t>h) De Parques, Jardines, Panteones y Espacio Público;</w:t>
      </w: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 De Agua Potable, Drenaje y Alcantarillado;</w:t>
      </w: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j) De Medio Ambiente y Bienestar Animal;</w:t>
      </w: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k) De Salud Pública y Asistencia Social;</w:t>
      </w: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 De Educación, Cultura, Recreación y Deporte;</w:t>
      </w: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m) De Igualdad de Género, Diversidad y Derechos Humanos;</w:t>
      </w: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n) De Niñez, Juventud y Familia;</w:t>
      </w: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o) De Desarrollo Económico, Industria, Comercio y Abasto; y</w:t>
      </w: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 Las demás que determine el Ayuntamiento, de acuerdo con las necesidades del Municipio.</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II. Para el desahogo de asuntos de interés público y competencia municipal, el Ayuntamiento podrá aprobar la integración de Comisiones Especiales. La propuesta respectiva contendrá las bases para su conformación, operación y el plazo para la conclusión de sus labores. Los resultados obtenidos serán sometidos a la consideración y resolución definitiva del Ayuntamiento.</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El Ayuntamiento expedirá su Reglamento de Comisiones en la misma sesión en que se apruebe la integración de las mismas.</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70.- </w:t>
      </w:r>
      <w:r w:rsidRPr="00CB38AA">
        <w:rPr>
          <w:rFonts w:ascii="Times New Roman" w:eastAsia="Arial" w:hAnsi="Times New Roman" w:cs="Times New Roman"/>
          <w:sz w:val="24"/>
          <w:szCs w:val="24"/>
        </w:rPr>
        <w:t>Las comisiones del Ayuntamiento coadyuvarán en la elaboración y posterior evaluación del Plan de Desarrollo Municipal, el Presupuesto basado en Resultados, así como de la Agenda Regulatoria y el Programa de Mejora Regulatoria.</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71.- </w:t>
      </w:r>
      <w:r w:rsidRPr="00CB38AA">
        <w:rPr>
          <w:rFonts w:ascii="Times New Roman" w:eastAsia="Arial" w:hAnsi="Times New Roman" w:cs="Times New Roman"/>
          <w:sz w:val="24"/>
          <w:szCs w:val="24"/>
        </w:rPr>
        <w:t>Las comisiones del Ayuntamiento carecen de facultades ejecutivas. Los asuntos y acuerdos que no estén señalados expresamente como competencia de alguna comisión quedarán bajo la responsabilidad de la persona titular de la Presidencia Municipal.</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TRANSITORIOS</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PRIMERO. - </w:t>
      </w:r>
      <w:r w:rsidRPr="00CB38AA">
        <w:rPr>
          <w:rFonts w:ascii="Times New Roman" w:eastAsia="Arial" w:hAnsi="Times New Roman" w:cs="Times New Roman"/>
          <w:sz w:val="24"/>
          <w:szCs w:val="24"/>
        </w:rPr>
        <w:t>Publíquese el presente decreto en el Periódico Oficial “Gaceta del Gobierno” del Estado de México.</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Times New Roman" w:hAnsi="Times New Roman" w:cs="Times New Roman"/>
          <w:sz w:val="24"/>
          <w:szCs w:val="24"/>
        </w:rPr>
      </w:pPr>
      <w:r w:rsidRPr="00CB38AA">
        <w:rPr>
          <w:rFonts w:ascii="Times New Roman" w:eastAsia="Arial" w:hAnsi="Times New Roman" w:cs="Times New Roman"/>
          <w:b/>
          <w:sz w:val="24"/>
          <w:szCs w:val="24"/>
        </w:rPr>
        <w:lastRenderedPageBreak/>
        <w:t xml:space="preserve">ARTÍCULO SEGUNDO. - </w:t>
      </w:r>
      <w:r w:rsidRPr="00CB38AA">
        <w:rPr>
          <w:rFonts w:ascii="Times New Roman" w:eastAsia="Arial" w:hAnsi="Times New Roman" w:cs="Times New Roman"/>
          <w:sz w:val="24"/>
          <w:szCs w:val="24"/>
        </w:rPr>
        <w:t>El presente Decreto entrará en vigor al día siguiente al de su publicación en la Gaceta Oficial del Gobierno.</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Lo tendrá́́ entendido la Gobernadora del Estado, haciendo que se publique y se cumpla.</w:t>
      </w:r>
    </w:p>
    <w:p w:rsidR="00F31F1D" w:rsidRPr="00CB38AA" w:rsidRDefault="00F31F1D" w:rsidP="00DF6EEA">
      <w:pPr>
        <w:spacing w:after="0" w:line="240" w:lineRule="auto"/>
        <w:jc w:val="both"/>
        <w:rPr>
          <w:rFonts w:ascii="Times New Roman" w:eastAsia="Times New Roman" w:hAnsi="Times New Roman" w:cs="Times New Roman"/>
          <w:sz w:val="24"/>
          <w:szCs w:val="24"/>
        </w:rPr>
      </w:pPr>
    </w:p>
    <w:p w:rsidR="00F31F1D" w:rsidRPr="00CB38AA" w:rsidRDefault="00F31F1D"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Dado en el Palacio del Poder Legislativo, en la ciudad de Toluca de Lerdo, capital del Estado de México, a los _______ días del mes de ______ del año dos mil</w:t>
      </w:r>
      <w:r w:rsidRPr="00CB38AA">
        <w:rPr>
          <w:rFonts w:ascii="Times New Roman" w:eastAsia="Arial" w:hAnsi="Times New Roman" w:cs="Times New Roman"/>
          <w:sz w:val="24"/>
          <w:szCs w:val="24"/>
          <w:u w:val="single" w:color="000000"/>
        </w:rPr>
        <w:t xml:space="preserve"> </w:t>
      </w:r>
      <w:r w:rsidRPr="00CB38AA">
        <w:rPr>
          <w:rFonts w:ascii="Times New Roman" w:eastAsia="Arial" w:hAnsi="Times New Roman" w:cs="Times New Roman"/>
          <w:sz w:val="24"/>
          <w:szCs w:val="24"/>
        </w:rPr>
        <w:t>.</w:t>
      </w:r>
    </w:p>
    <w:p w:rsidR="009056B2" w:rsidRPr="00CB38AA" w:rsidRDefault="009056B2" w:rsidP="00DF6EEA">
      <w:pPr>
        <w:spacing w:after="0" w:line="240" w:lineRule="auto"/>
        <w:jc w:val="center"/>
        <w:rPr>
          <w:rFonts w:ascii="Times New Roman" w:hAnsi="Times New Roman" w:cs="Times New Roman"/>
          <w:sz w:val="24"/>
          <w:szCs w:val="24"/>
        </w:rPr>
      </w:pPr>
    </w:p>
    <w:p w:rsidR="009056B2" w:rsidRPr="00CB38AA" w:rsidRDefault="009056B2" w:rsidP="00DF6EEA">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(Fin del documento)</w:t>
      </w:r>
    </w:p>
    <w:p w:rsidR="009056B2" w:rsidRPr="00CB38AA" w:rsidRDefault="009056B2" w:rsidP="00DF6EEA">
      <w:pPr>
        <w:spacing w:after="0" w:line="240" w:lineRule="auto"/>
        <w:jc w:val="center"/>
        <w:rPr>
          <w:rFonts w:ascii="Times New Roman" w:hAnsi="Times New Roman" w:cs="Times New Roman"/>
          <w:sz w:val="24"/>
          <w:szCs w:val="24"/>
        </w:rPr>
      </w:pP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PRESIDENTA DIP. MARTHA AZUCENA CAMACHO REYNOSO. Gracias diputado Valentín Martínez Castillo.</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Se registra la iniciativa y se remite a la Comisión Legislativa de Legislación y Administración Municipal, para su estudio y dictamen.</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En observancia con el punto número 10, el diputado Israel Espíndola López presenta en nombre del Grupo Parlamentario del Partido morena, Iniciativa con Proyecto de Decreto por el que se expide la Ley de Protección e Impulso Productivo y Patrimonial del Mezcal del Estado de México.</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DIP. ISRAEL ESPÍNDOLA LÓPEZ. Con su venia Presidenta y de los compañeros de la Directiva.</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Saludo con mucho gusto a mis compañeras, compañere y compañeros diputados, a nuestras amigas y amigos mezcaleros que nos acompañan, a los medios de comunicación y a todas las personas que nos siguen a través de las redes sociales.</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Hoy estamos ante un acto de justicia que por fin toca la puerta de quienes fueron ignorados durante décadas, es el reconocimiento que las familias campesinas mezcaleras esperaron por generaciones, durante años nuestros maestros mezcaleros trabajaron en el silencio sin respaldo institucional, sin denominación que protegiera su esfuerzo, sin certeza jurídica que defendiera su producto, resistieron el abandono, la invisibilidad, la indiferencia y aún así no dejaron morir la tradición.</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 xml:space="preserve">Por eso hoy con profundo respeto expreso nuestro agradecimiento a nuestra Gobernadora, Maestra Delfina Gómez Álvarez, gracias por no permitir que el olvido siguiera marcando el destino del sur de nuestro estado y de nuestros mezcaleros.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Gracias por asumir esta causa no como un trámite administrativo, sino como un acto de justicia histórica porque cuando se gobierna con sensibilidad social, el abandono se convierte en reconocimiento y la marginación en oportunidad, reconozco también el trabajo coordinado de la Consejería Jurídica, la Secretaría del Campo, el Instituto de Investigación y Fomento a las Artesanías, la Dirección General de Planeación y Desarrollo Turístico Sostenible y CAMEX,  Pro Bosque, las Cámaras empresariales y todas las instituciones que hicieron posible este hecho histórico, la modificación de la Declaratoria General de Protección de la Denominación de origen Mezcal incorporando Almoloya de Alquisiras, Amatepec, Coatepec Harinas, Ixtapan de la Sal, Luvianos, Malinalco, Ocuilan, Sultepec, Tejupilco, Tenancingo, Tlatlaya, Tonatico, Villa Guerrero, Zacualpan y Zumpahuacán, este logro no fue casualidad, fue resultado de sustento técnico, rigor científico y verdad histórica.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Los estudios acreditaron que el sur mexiquense posee las condiciones naturales idóneas para el agave y que la tradición mezcalera no es reciente, ni improvisada, viene desde tiempos prehispánicos, ha sobrevivido a la colonia y se mantiene viva en los alambiques artesanales y en la sabiduría familiar que pasa de generación en generación, dicen las abuelas que el agave no es una planta, es un guardián, que cada penca guarda memoria y cada quiote es una plegaria que se eleva al cielo, que el mezcal no se bebe con la boca sino con el alma y que sus vapores de sus vapores vienen la voz de quienes resistieron cuando nadie los veía y esa voz ya no está sola, hoy el Estado </w:t>
      </w:r>
      <w:r w:rsidRPr="00CB38AA">
        <w:rPr>
          <w:rFonts w:ascii="Times New Roman" w:hAnsi="Times New Roman" w:cs="Times New Roman"/>
          <w:sz w:val="24"/>
          <w:szCs w:val="24"/>
        </w:rPr>
        <w:lastRenderedPageBreak/>
        <w:t xml:space="preserve">la reconoce y cuando el abandono se transforma en justicia, no solo se protege la denominación de origen, se honra la historia, se fortalece la identidad y se devuelve la dignidad a un pueblo entero.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En los territorios del sur del Estado de México, donde la tierra es roja, donde el viento silba entre los cerros y el sol cae lento sobre los campos agave ros, las comunidades aprendieron lo que la naturaleza susurra, lo que el fuego transforma y lo que el tiempo enseña, aprendieron que la paciencia es sagrada.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El mezcal nace ahí, en ese cruce misterioso entre lo humano y lo divino, nace de la tierra que respira, del agua que purifica, del fuego que revela y del aire que lleva el aroma del esfuerzo de generaciones enteras, nace del trabajo callado, de manos curtidas, del cuidado amoroso de quienes siembran, sabiendo que quizá no serán ellos quienes cosechen, porque el siglo del agave es largo y generoso, pero también exige esperanza, hoy al ser reconocido el territorio del Estado de México dentro de la Denominación de Origen Mezcal, celebramos no solo un hecho jurídico, celebramos la primera y única denominación de origen del Estado de México, celebramos que el mundo escuchó el eco de nuestros maestros Mezcaleros, guardianes del fuego y de los secretos que se transmiten no con palabras, sino con miradas, gestos, silencios y rituales, celebramos que la memoria de nuestros pueblos se convierte en ley, que la identidad de nuestra tierra encuentra protección y que el futuro abraza las raíces sin arrancarlas pero este reconocimiento también nos llama, nos convoca y nos exige, el mezcal es frágil, depende de ecosistemas vulnerables, de agaves que tardan años en ofrecerse, de tradiciones que pueden desaparecer si no las honramos, de productores que luchan contra mercados injustos, de mujeres y hombres que mantienen viva una artesanía que no se fabrica, se siente, se respira, se vive.</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Por eso, esta ley, no es un documento técnico, es un pacto espiritual con nuestra tierra, es una promesa a quienes trabajan antes del amanecer, es una plegaria convertida en norma para que el mezcal mexiquense, no sea devorado por la prisa del mercado, ni por la avaricia de la explotación.</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Esta ley, comienza reconociendo algo esencial, el agave es un recurso estratégico, es raíz económica, es identidad. Proteger al agave, evita su sobre explotación, crea un plan estatal de repoblamiento, impulsa prácticas regenerativas, ordena el manejo de residuos, regula el uso de leña y promueve energías sustentables, porque si el mezcal nace del fuego, ese fuego debe de ser responsable y si nace de la tierra, esa tierra debe de seguir viva; pero también protege algo aún más sagrado, a las personas, protege a la maestra y al maestro mezcalero que aprendieron el oficio de generación en generación, protege a la productora que sostiene su palenque con dignidad, protege a los jóvenes rurales que quieren quedarse en su comunidad sin renunciar a prosperar, protege a las cooperativas, protege al pequeño productor que durante años cargó con impuestos desproporcionados y mercados injustos, esta ley les devuelve justicia, otorga reducción de impuestos, abre acceso a créditos con tasas preferenciales, crea un fondo estatal para apoyar plantaciones, certificaciones, equipamiento e infraestructuras sustentable, establece un microcréditos para mujeres y jóvenes y respalda la exportación responsable, porque la tradición no está peleada con el progreso, porque crecer no significa traicionar el origen, esta ley crea el consejo del mezcal mexiquense, un órgano, donde productores, comunidades, academia y autoridades decidirán juntos, dónde habrá foros, consultas públicas y participación real, porque el mezcal, no puede gobernarse sin quienes lo hacen posible, porque debemos defender el nombre del territorio para que lo que nace en el sur mexiquense, lleve con orgullo su origen, para que nadie vuelva a apropiarse de lo que no sembró, impulsa rutas turísticas, centros de interpretación y visibilidad cultural, declara el patrimonio mezcalero como parte del patrimonio cultural inmaterial del Estado de México, porque el mezcal es memoria líquida, es historia destilada y cuando el mundo lo probó, entendió lo que nosotros siempre supimos, las medallas internacionales no fueron casualidad, fueron consecuencia, consecuencia de generaciones que nunca dejaron de creer en su tierra; pero esta ley no sólo celebra el pasado, siembra futuro, promueve investigación, bancos de </w:t>
      </w:r>
      <w:r w:rsidRPr="00CB38AA">
        <w:rPr>
          <w:rFonts w:ascii="Times New Roman" w:hAnsi="Times New Roman" w:cs="Times New Roman"/>
          <w:sz w:val="24"/>
          <w:szCs w:val="24"/>
        </w:rPr>
        <w:lastRenderedPageBreak/>
        <w:t>germoplasma, tecnologías limpias, aprovechamiento de sus productos e innovación sin perder identidad, esta ley es equilibrio entre lo ancestral y lo moderno, entre el mercado y la dignidad, entre la economía y la naturaleza; es decirle al campo, tu paciencia valió la pena, tu silencio fue escuchado, tu tradición ahora será ley, beneficio al productor a la mujer rural, al joven que quiere emprender sin abandonar su comunidad, beneficio al turismo local, al aventurismo, al pequeño negocio al medio ambiente, a la identidad del Estado de México; pero sobre todo, beneficia a la dignidad.</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Hoy el Estado de México, no sólo entra en la denominación de origen, el Estado de México, entra en una nueva etapa de justicia rural, mezcal hoy se escribe con “M” de mexiquenses.</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Es cuanto, muchas gracias.</w:t>
      </w:r>
    </w:p>
    <w:p w:rsidR="004B36A7" w:rsidRPr="00CB38AA" w:rsidRDefault="004B36A7" w:rsidP="00DF6EEA">
      <w:pPr>
        <w:pStyle w:val="Sinespaciado"/>
        <w:jc w:val="both"/>
        <w:rPr>
          <w:rFonts w:ascii="Times New Roman" w:hAnsi="Times New Roman" w:cs="Times New Roman"/>
          <w:sz w:val="24"/>
          <w:szCs w:val="24"/>
        </w:rPr>
      </w:pPr>
    </w:p>
    <w:p w:rsidR="004B36A7" w:rsidRPr="00CB38AA" w:rsidRDefault="004B36A7" w:rsidP="00DF6EEA">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(Se inserta documento)</w:t>
      </w:r>
    </w:p>
    <w:p w:rsidR="004B36A7" w:rsidRPr="00CB38AA" w:rsidRDefault="004B36A7" w:rsidP="00DF6EEA">
      <w:pPr>
        <w:spacing w:after="0" w:line="240" w:lineRule="auto"/>
        <w:jc w:val="center"/>
        <w:rPr>
          <w:rFonts w:ascii="Times New Roman" w:hAnsi="Times New Roman" w:cs="Times New Roman"/>
          <w:sz w:val="24"/>
          <w:szCs w:val="24"/>
        </w:rPr>
      </w:pPr>
    </w:p>
    <w:p w:rsidR="00CA0107" w:rsidRPr="00CB38AA" w:rsidRDefault="00CA0107" w:rsidP="00DF6EEA">
      <w:pPr>
        <w:spacing w:after="0" w:line="240" w:lineRule="auto"/>
        <w:ind w:left="20"/>
        <w:jc w:val="center"/>
        <w:rPr>
          <w:rFonts w:ascii="Times New Roman" w:eastAsia="Arial" w:hAnsi="Times New Roman" w:cs="Times New Roman"/>
          <w:sz w:val="24"/>
          <w:szCs w:val="24"/>
        </w:rPr>
      </w:pPr>
      <w:r w:rsidRPr="00CB38AA">
        <w:rPr>
          <w:rFonts w:ascii="Times New Roman" w:eastAsia="Arial" w:hAnsi="Times New Roman" w:cs="Times New Roman"/>
          <w:sz w:val="24"/>
          <w:szCs w:val="24"/>
        </w:rPr>
        <w:t>“2026. Año del Humanismo Mexicano en el Estado de México”.</w:t>
      </w:r>
    </w:p>
    <w:p w:rsidR="00CA0107" w:rsidRPr="00CB38AA" w:rsidRDefault="00CA0107" w:rsidP="00DF6EEA">
      <w:pPr>
        <w:spacing w:after="0" w:line="240" w:lineRule="auto"/>
        <w:rPr>
          <w:rFonts w:ascii="Times New Roman" w:eastAsia="Calibri" w:hAnsi="Times New Roman" w:cs="Times New Roman"/>
          <w:sz w:val="24"/>
          <w:szCs w:val="24"/>
        </w:rPr>
      </w:pPr>
    </w:p>
    <w:p w:rsidR="00CA0107" w:rsidRPr="00CB38AA" w:rsidRDefault="00CA0107" w:rsidP="00DF6EEA">
      <w:pPr>
        <w:spacing w:after="0" w:line="240" w:lineRule="auto"/>
        <w:jc w:val="center"/>
        <w:rPr>
          <w:rFonts w:ascii="Times New Roman" w:eastAsia="Arial" w:hAnsi="Times New Roman" w:cs="Times New Roman"/>
          <w:b/>
          <w:sz w:val="24"/>
          <w:szCs w:val="24"/>
        </w:rPr>
      </w:pPr>
      <w:r w:rsidRPr="00CB38AA">
        <w:rPr>
          <w:rFonts w:ascii="Times New Roman" w:eastAsia="Arial" w:hAnsi="Times New Roman" w:cs="Times New Roman"/>
          <w:b/>
          <w:sz w:val="24"/>
          <w:szCs w:val="24"/>
        </w:rPr>
        <w:t>Toluca de Lerdo, Capital del Estado de México,</w:t>
      </w:r>
    </w:p>
    <w:p w:rsidR="00CA0107" w:rsidRPr="00CB38AA" w:rsidRDefault="00CA0107" w:rsidP="00DF6EEA">
      <w:pPr>
        <w:spacing w:after="0" w:line="240" w:lineRule="auto"/>
        <w:ind w:left="20"/>
        <w:jc w:val="right"/>
        <w:rPr>
          <w:rFonts w:ascii="Times New Roman" w:eastAsia="Arial" w:hAnsi="Times New Roman" w:cs="Times New Roman"/>
          <w:sz w:val="24"/>
          <w:szCs w:val="24"/>
        </w:rPr>
      </w:pPr>
      <w:r w:rsidRPr="00CB38AA">
        <w:rPr>
          <w:rFonts w:ascii="Times New Roman" w:eastAsia="Arial" w:hAnsi="Times New Roman" w:cs="Times New Roman"/>
          <w:b/>
          <w:sz w:val="24"/>
          <w:szCs w:val="24"/>
        </w:rPr>
        <w:t>enero de 2026.</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rPr>
          <w:rFonts w:ascii="Times New Roman" w:eastAsia="Arial" w:hAnsi="Times New Roman" w:cs="Times New Roman"/>
          <w:b/>
          <w:sz w:val="24"/>
          <w:szCs w:val="24"/>
        </w:rPr>
      </w:pPr>
      <w:r w:rsidRPr="00CB38AA">
        <w:rPr>
          <w:rFonts w:ascii="Times New Roman" w:eastAsia="Arial" w:hAnsi="Times New Roman" w:cs="Times New Roman"/>
          <w:b/>
          <w:sz w:val="24"/>
          <w:szCs w:val="24"/>
        </w:rPr>
        <w:t>DIPUTADA MARTHA AZUCENA CAMACHO REYNOSO</w:t>
      </w:r>
    </w:p>
    <w:p w:rsidR="00CA0107" w:rsidRPr="00CB38AA" w:rsidRDefault="00CA0107"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PRESIDENTA DE LA MESA DIRECTIVA DE LA</w:t>
      </w:r>
    </w:p>
    <w:p w:rsidR="00CA0107" w:rsidRPr="00CB38AA" w:rsidRDefault="00CA0107" w:rsidP="00DF6EEA">
      <w:pPr>
        <w:spacing w:after="0" w:line="240" w:lineRule="auto"/>
        <w:rPr>
          <w:rFonts w:ascii="Times New Roman" w:eastAsia="Arial" w:hAnsi="Times New Roman" w:cs="Times New Roman"/>
          <w:b/>
          <w:sz w:val="24"/>
          <w:szCs w:val="24"/>
        </w:rPr>
      </w:pPr>
      <w:r w:rsidRPr="00CB38AA">
        <w:rPr>
          <w:rFonts w:ascii="Times New Roman" w:eastAsia="Arial" w:hAnsi="Times New Roman" w:cs="Times New Roman"/>
          <w:b/>
          <w:sz w:val="24"/>
          <w:szCs w:val="24"/>
        </w:rPr>
        <w:t>LXII LEGISLATURA DEL ESTADO LIBRE Y</w:t>
      </w:r>
    </w:p>
    <w:p w:rsidR="00CA0107" w:rsidRPr="00CB38AA" w:rsidRDefault="00CA0107"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SOBERANO DE MÉXICO</w:t>
      </w: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P R E S E N T E.</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Quien suscribe, Diputado </w:t>
      </w:r>
      <w:r w:rsidRPr="00CB38AA">
        <w:rPr>
          <w:rFonts w:ascii="Times New Roman" w:eastAsia="Arial" w:hAnsi="Times New Roman" w:cs="Times New Roman"/>
          <w:b/>
          <w:sz w:val="24"/>
          <w:szCs w:val="24"/>
        </w:rPr>
        <w:t>ISRAEL ESPÍNDOLA LÓPEZ</w:t>
      </w:r>
      <w:r w:rsidRPr="00CB38AA">
        <w:rPr>
          <w:rFonts w:ascii="Times New Roman" w:eastAsia="Arial" w:hAnsi="Times New Roman" w:cs="Times New Roman"/>
          <w:sz w:val="24"/>
          <w:szCs w:val="24"/>
        </w:rPr>
        <w:t xml:space="preserve">, a nombre del Grupo Parlamentario del Partido morena de la LXII Legislatura; con fundamento en lo dispuesto por los artículos 116 de la Constitución Política de los Estados Unidos Mexicanos; 51 fracción II, 57, 61 fracción I y demás relativos aplicables de la Constitución Política del Estado Libre y Soberano de México; 28 fracción I, 30 y demás aplicables de la Ley Orgánica del Poder Legislativo del Estado Libre y Soberano de México, así como de los artículo 68 y 70 del Reglamento del Poder Legislativo del Estado de México; sometemos a la consideración de esta Soberanía la siguiente, </w:t>
      </w:r>
      <w:r w:rsidRPr="00CB38AA">
        <w:rPr>
          <w:rFonts w:ascii="Times New Roman" w:eastAsia="Arial" w:hAnsi="Times New Roman" w:cs="Times New Roman"/>
          <w:b/>
          <w:sz w:val="24"/>
          <w:szCs w:val="24"/>
        </w:rPr>
        <w:t>Iniciativa con Proyecto de Decreto por el que se expide Ley de Protección e Impulso Patrimonial del Mezcal del Estado de México</w:t>
      </w:r>
      <w:r w:rsidRPr="00CB38AA">
        <w:rPr>
          <w:rFonts w:ascii="Times New Roman" w:eastAsia="Arial" w:hAnsi="Times New Roman" w:cs="Times New Roman"/>
          <w:sz w:val="24"/>
          <w:szCs w:val="24"/>
        </w:rPr>
        <w:t>, con sustento en la siguiente:</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center"/>
        <w:rPr>
          <w:rFonts w:ascii="Times New Roman" w:eastAsia="Arial" w:hAnsi="Times New Roman" w:cs="Times New Roman"/>
          <w:b/>
          <w:sz w:val="24"/>
          <w:szCs w:val="24"/>
        </w:rPr>
      </w:pPr>
      <w:r w:rsidRPr="00CB38AA">
        <w:rPr>
          <w:rFonts w:ascii="Times New Roman" w:eastAsia="Arial" w:hAnsi="Times New Roman" w:cs="Times New Roman"/>
          <w:b/>
          <w:sz w:val="24"/>
          <w:szCs w:val="24"/>
        </w:rPr>
        <w:t>EXPOSICIÓN DE MOTIVOS</w:t>
      </w:r>
    </w:p>
    <w:p w:rsidR="00CA0107" w:rsidRPr="00CB38AA" w:rsidRDefault="00CA0107"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ANTECEDENTES</w:t>
      </w:r>
    </w:p>
    <w:p w:rsidR="00CA0107" w:rsidRPr="00CB38AA" w:rsidRDefault="00CA0107" w:rsidP="00DF6EEA">
      <w:pPr>
        <w:spacing w:after="0" w:line="240" w:lineRule="auto"/>
        <w:rPr>
          <w:rFonts w:ascii="Times New Roman" w:eastAsia="Arial" w:hAnsi="Times New Roman" w:cs="Times New Roman"/>
          <w:b/>
          <w:sz w:val="24"/>
          <w:szCs w:val="24"/>
        </w:rPr>
      </w:pPr>
    </w:p>
    <w:p w:rsidR="00CA0107" w:rsidRPr="00CB38AA" w:rsidRDefault="00CA0107"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1.- 28 de noviembre de 1994</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Times New Roman" w:hAnsi="Times New Roman" w:cs="Times New Roman"/>
          <w:sz w:val="24"/>
          <w:szCs w:val="24"/>
        </w:rPr>
        <w:t>●</w:t>
      </w:r>
      <w:r w:rsidRPr="00CB38AA">
        <w:rPr>
          <w:rFonts w:ascii="Times New Roman" w:eastAsia="Times New Roman" w:hAnsi="Times New Roman" w:cs="Times New Roman"/>
          <w:sz w:val="24"/>
          <w:szCs w:val="24"/>
        </w:rPr>
        <w:tab/>
      </w:r>
      <w:r w:rsidRPr="00CB38AA">
        <w:rPr>
          <w:rFonts w:ascii="Times New Roman" w:eastAsia="Arial" w:hAnsi="Times New Roman" w:cs="Times New Roman"/>
          <w:b/>
          <w:sz w:val="24"/>
          <w:szCs w:val="24"/>
        </w:rPr>
        <w:t xml:space="preserve">Publicación en el Diario Oficial de la Federación (DOF) </w:t>
      </w:r>
      <w:r w:rsidRPr="00CB38AA">
        <w:rPr>
          <w:rFonts w:ascii="Times New Roman" w:eastAsia="Arial" w:hAnsi="Times New Roman" w:cs="Times New Roman"/>
          <w:sz w:val="24"/>
          <w:szCs w:val="24"/>
        </w:rPr>
        <w:t xml:space="preserve">de la </w:t>
      </w:r>
      <w:r w:rsidRPr="00CB38AA">
        <w:rPr>
          <w:rFonts w:ascii="Times New Roman" w:eastAsia="Arial" w:hAnsi="Times New Roman" w:cs="Times New Roman"/>
          <w:b/>
          <w:sz w:val="24"/>
          <w:szCs w:val="24"/>
        </w:rPr>
        <w:t>Resolución mediante la cual se otorga protección a la Denominación de Origen “Mezcal”</w:t>
      </w:r>
      <w:r w:rsidRPr="00CB38AA">
        <w:rPr>
          <w:rFonts w:ascii="Times New Roman" w:eastAsia="Arial" w:hAnsi="Times New Roman" w:cs="Times New Roman"/>
          <w:sz w:val="24"/>
          <w:szCs w:val="24"/>
        </w:rPr>
        <w:t>, que estableció originalmente la zona protegida (principalmente Oaxaca y otros estados inicialmente).</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2.- 30 de septiembre de 2016</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Times New Roman" w:hAnsi="Times New Roman" w:cs="Times New Roman"/>
          <w:sz w:val="24"/>
          <w:szCs w:val="24"/>
        </w:rPr>
        <w:t>●</w:t>
      </w:r>
      <w:r w:rsidRPr="00CB38AA">
        <w:rPr>
          <w:rFonts w:ascii="Times New Roman" w:eastAsia="Times New Roman" w:hAnsi="Times New Roman" w:cs="Times New Roman"/>
          <w:sz w:val="24"/>
          <w:szCs w:val="24"/>
        </w:rPr>
        <w:tab/>
      </w:r>
      <w:r w:rsidRPr="00CB38AA">
        <w:rPr>
          <w:rFonts w:ascii="Times New Roman" w:eastAsia="Arial" w:hAnsi="Times New Roman" w:cs="Times New Roman"/>
          <w:b/>
          <w:sz w:val="24"/>
          <w:szCs w:val="24"/>
        </w:rPr>
        <w:t xml:space="preserve">Solicitud formal del Gobernador del Estado de México </w:t>
      </w:r>
      <w:r w:rsidRPr="00CB38AA">
        <w:rPr>
          <w:rFonts w:ascii="Times New Roman" w:eastAsia="Arial" w:hAnsi="Times New Roman" w:cs="Times New Roman"/>
          <w:sz w:val="24"/>
          <w:szCs w:val="24"/>
        </w:rPr>
        <w:t xml:space="preserve">al IMPI para la </w:t>
      </w:r>
      <w:r w:rsidRPr="00CB38AA">
        <w:rPr>
          <w:rFonts w:ascii="Times New Roman" w:eastAsia="Arial" w:hAnsi="Times New Roman" w:cs="Times New Roman"/>
          <w:b/>
          <w:sz w:val="24"/>
          <w:szCs w:val="24"/>
        </w:rPr>
        <w:t>ampliación de la Denominación de Origen Mezcal e</w:t>
      </w:r>
      <w:r w:rsidRPr="00CB38AA">
        <w:rPr>
          <w:rFonts w:ascii="Times New Roman" w:eastAsia="Arial" w:hAnsi="Times New Roman" w:cs="Times New Roman"/>
          <w:sz w:val="24"/>
          <w:szCs w:val="24"/>
        </w:rPr>
        <w:t xml:space="preserve"> incluir municipios mexiquenses (documentos oficiales y gestiones estatales posteriores se retoman a esta solicitud). (Registrado en iniciativas y congratulaciones legislativas nacionales).</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3.- 2016–2017 — Estudios técnicos preparatorios</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Times New Roman" w:hAnsi="Times New Roman" w:cs="Times New Roman"/>
          <w:sz w:val="24"/>
          <w:szCs w:val="24"/>
        </w:rPr>
        <w:t>●</w:t>
      </w:r>
      <w:r w:rsidRPr="00CB38AA">
        <w:rPr>
          <w:rFonts w:ascii="Times New Roman" w:eastAsia="Times New Roman" w:hAnsi="Times New Roman" w:cs="Times New Roman"/>
          <w:sz w:val="24"/>
          <w:szCs w:val="24"/>
        </w:rPr>
        <w:tab/>
      </w:r>
      <w:r w:rsidRPr="00CB38AA">
        <w:rPr>
          <w:rFonts w:ascii="Times New Roman" w:eastAsia="Arial" w:hAnsi="Times New Roman" w:cs="Times New Roman"/>
          <w:b/>
          <w:sz w:val="24"/>
          <w:szCs w:val="24"/>
        </w:rPr>
        <w:t>Encargo y elaboración del “Estudio Técnico Justificativo para delimitar el área geográfica de producción de mezcal en el Estado de México”</w:t>
      </w:r>
      <w:r w:rsidRPr="00CB38AA">
        <w:rPr>
          <w:rFonts w:ascii="Times New Roman" w:eastAsia="Arial" w:hAnsi="Times New Roman" w:cs="Times New Roman"/>
          <w:sz w:val="24"/>
          <w:szCs w:val="24"/>
        </w:rPr>
        <w:t xml:space="preserve">, con participación técnica de maestras y maestros productores del mezcal del Estado de México, de instituciones como </w:t>
      </w:r>
      <w:r w:rsidRPr="00CB38AA">
        <w:rPr>
          <w:rFonts w:ascii="Times New Roman" w:eastAsia="Arial" w:hAnsi="Times New Roman" w:cs="Times New Roman"/>
          <w:b/>
          <w:sz w:val="24"/>
          <w:szCs w:val="24"/>
        </w:rPr>
        <w:t>CIATEJ (Centro de Investigación y Asistencia en Tecnología y Diseño del Estado de Jalisco A.C.)</w:t>
      </w:r>
      <w:r w:rsidRPr="00CB38AA">
        <w:rPr>
          <w:rFonts w:ascii="Times New Roman" w:eastAsia="Arial" w:hAnsi="Times New Roman" w:cs="Times New Roman"/>
          <w:sz w:val="24"/>
          <w:szCs w:val="24"/>
        </w:rPr>
        <w:t>, ICAMEX, la Secretaría de Desarrollo Agropecuario del Estado de México y especialistas académicos (UNAM). Este estudio fue el soporte técnico-científico para la solicitud de inclusión.</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4.- 8 de agosto de 2018</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Times New Roman" w:hAnsi="Times New Roman" w:cs="Times New Roman"/>
          <w:sz w:val="24"/>
          <w:szCs w:val="24"/>
        </w:rPr>
        <w:t>●</w:t>
      </w:r>
      <w:r w:rsidRPr="00CB38AA">
        <w:rPr>
          <w:rFonts w:ascii="Times New Roman" w:eastAsia="Times New Roman" w:hAnsi="Times New Roman" w:cs="Times New Roman"/>
          <w:sz w:val="24"/>
          <w:szCs w:val="24"/>
        </w:rPr>
        <w:tab/>
      </w:r>
      <w:r w:rsidRPr="00CB38AA">
        <w:rPr>
          <w:rFonts w:ascii="Times New Roman" w:eastAsia="Arial" w:hAnsi="Times New Roman" w:cs="Times New Roman"/>
          <w:b/>
          <w:sz w:val="24"/>
          <w:szCs w:val="24"/>
        </w:rPr>
        <w:t xml:space="preserve">Resolución del IMPI publicada en el DOF (8-ago-2018) </w:t>
      </w:r>
      <w:r w:rsidRPr="00CB38AA">
        <w:rPr>
          <w:rFonts w:ascii="Times New Roman" w:eastAsia="Arial" w:hAnsi="Times New Roman" w:cs="Times New Roman"/>
          <w:sz w:val="24"/>
          <w:szCs w:val="24"/>
        </w:rPr>
        <w:t xml:space="preserve">por la que se </w:t>
      </w:r>
      <w:r w:rsidRPr="00CB38AA">
        <w:rPr>
          <w:rFonts w:ascii="Times New Roman" w:eastAsia="Arial" w:hAnsi="Times New Roman" w:cs="Times New Roman"/>
          <w:b/>
          <w:sz w:val="24"/>
          <w:szCs w:val="24"/>
        </w:rPr>
        <w:t xml:space="preserve">modificó la Declaración General de Protección de la Denominación de Origen Mezcal </w:t>
      </w:r>
      <w:r w:rsidRPr="00CB38AA">
        <w:rPr>
          <w:rFonts w:ascii="Times New Roman" w:eastAsia="Arial" w:hAnsi="Times New Roman" w:cs="Times New Roman"/>
          <w:sz w:val="24"/>
          <w:szCs w:val="24"/>
        </w:rPr>
        <w:t xml:space="preserve">para </w:t>
      </w:r>
      <w:r w:rsidRPr="00CB38AA">
        <w:rPr>
          <w:rFonts w:ascii="Times New Roman" w:eastAsia="Arial" w:hAnsi="Times New Roman" w:cs="Times New Roman"/>
          <w:b/>
          <w:sz w:val="24"/>
          <w:szCs w:val="24"/>
        </w:rPr>
        <w:t xml:space="preserve">incluir 15 municipios del Estado de México </w:t>
      </w:r>
      <w:r w:rsidRPr="00CB38AA">
        <w:rPr>
          <w:rFonts w:ascii="Times New Roman" w:eastAsia="Arial" w:hAnsi="Times New Roman" w:cs="Times New Roman"/>
          <w:sz w:val="24"/>
          <w:szCs w:val="24"/>
        </w:rPr>
        <w:t>(entre ellos: Almoloya de Alquisiras, Amatepec, Coatepec Harinas, Ixtapan de la Sal, Luvianos, Malinalco, Ocuilan, Sultepec, Tejupilco, Tenancingo, Tlatlaya, Tonatico, Villa Guerrero, Zacualpan y Zumpahuacán). Esta resolución se sustentó en el Estudio Técnico Justificativo y documentación pericial.</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5.- 2018–2024 — Controversias y litigios (amparos y recursos)</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Times New Roman" w:hAnsi="Times New Roman" w:cs="Times New Roman"/>
          <w:sz w:val="24"/>
          <w:szCs w:val="24"/>
        </w:rPr>
        <w:t>●</w:t>
      </w:r>
      <w:r w:rsidRPr="00CB38AA">
        <w:rPr>
          <w:rFonts w:ascii="Times New Roman" w:eastAsia="Times New Roman" w:hAnsi="Times New Roman" w:cs="Times New Roman"/>
          <w:sz w:val="24"/>
          <w:szCs w:val="24"/>
        </w:rPr>
        <w:tab/>
      </w:r>
      <w:r w:rsidRPr="00CB38AA">
        <w:rPr>
          <w:rFonts w:ascii="Times New Roman" w:eastAsia="Arial" w:hAnsi="Times New Roman" w:cs="Times New Roman"/>
          <w:b/>
          <w:sz w:val="24"/>
          <w:szCs w:val="24"/>
        </w:rPr>
        <w:t xml:space="preserve">Interposición de amparos y recursos legales </w:t>
      </w:r>
      <w:r w:rsidRPr="00CB38AA">
        <w:rPr>
          <w:rFonts w:ascii="Times New Roman" w:eastAsia="Arial" w:hAnsi="Times New Roman" w:cs="Times New Roman"/>
          <w:sz w:val="24"/>
          <w:szCs w:val="24"/>
        </w:rPr>
        <w:t>por parte de</w:t>
      </w:r>
      <w:r w:rsidRPr="00CB38AA">
        <w:rPr>
          <w:rFonts w:ascii="Times New Roman" w:eastAsia="Arial" w:hAnsi="Times New Roman" w:cs="Times New Roman"/>
          <w:sz w:val="24"/>
          <w:szCs w:val="24"/>
        </w:rPr>
        <w:tab/>
        <w:t xml:space="preserve">productores y del Consejo Regulador originarios (principalmente de Oaxaca), que cuestionaron la ampliación. Es público que la inclusión quedó temporalmente </w:t>
      </w:r>
      <w:r w:rsidRPr="00CB38AA">
        <w:rPr>
          <w:rFonts w:ascii="Times New Roman" w:eastAsia="Arial" w:hAnsi="Times New Roman" w:cs="Times New Roman"/>
          <w:b/>
          <w:sz w:val="24"/>
          <w:szCs w:val="24"/>
        </w:rPr>
        <w:t xml:space="preserve">suspendida y objeto de litigio </w:t>
      </w:r>
      <w:r w:rsidRPr="00CB38AA">
        <w:rPr>
          <w:rFonts w:ascii="Times New Roman" w:eastAsia="Arial" w:hAnsi="Times New Roman" w:cs="Times New Roman"/>
          <w:sz w:val="24"/>
          <w:szCs w:val="24"/>
        </w:rPr>
        <w:t>en instancias federales; hubo resoluciones parciales, desistimientos y prórrogas mientras se resolvían los recursos. Diversos informes parlamentarios y boletines estatales documentan este periodo de impugnaciones.</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rPr>
          <w:rFonts w:ascii="Times New Roman" w:eastAsia="Arial" w:hAnsi="Times New Roman" w:cs="Times New Roman"/>
          <w:b/>
          <w:sz w:val="24"/>
          <w:szCs w:val="24"/>
        </w:rPr>
      </w:pPr>
      <w:r w:rsidRPr="00CB38AA">
        <w:rPr>
          <w:rFonts w:ascii="Times New Roman" w:eastAsia="Arial" w:hAnsi="Times New Roman" w:cs="Times New Roman"/>
          <w:b/>
          <w:sz w:val="24"/>
          <w:szCs w:val="24"/>
        </w:rPr>
        <w:t>6.- 2023–2025 — Seguimiento técnico y gestiones estatales</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Times New Roman" w:hAnsi="Times New Roman" w:cs="Times New Roman"/>
          <w:sz w:val="24"/>
          <w:szCs w:val="24"/>
        </w:rPr>
        <w:t>●</w:t>
      </w:r>
      <w:r w:rsidRPr="00CB38AA">
        <w:rPr>
          <w:rFonts w:ascii="Times New Roman" w:eastAsia="Times New Roman" w:hAnsi="Times New Roman" w:cs="Times New Roman"/>
          <w:sz w:val="24"/>
          <w:szCs w:val="24"/>
        </w:rPr>
        <w:tab/>
      </w:r>
      <w:r w:rsidRPr="00CB38AA">
        <w:rPr>
          <w:rFonts w:ascii="Times New Roman" w:eastAsia="Arial" w:hAnsi="Times New Roman" w:cs="Times New Roman"/>
          <w:sz w:val="24"/>
          <w:szCs w:val="24"/>
        </w:rPr>
        <w:t>El Gobierno del Estado de México, instituciones estatales (Secretarías del Campo, Consejería Jurídica, Desarrollo Económico e ICAMEX entre otras) y actores académicos mantuvieron gestiones, apoyos técnicos y campañas para</w:t>
      </w:r>
      <w:r w:rsidRPr="00CB38AA">
        <w:rPr>
          <w:rFonts w:ascii="Times New Roman" w:eastAsia="Calibri" w:hAnsi="Times New Roman" w:cs="Times New Roman"/>
          <w:b/>
          <w:sz w:val="24"/>
          <w:szCs w:val="24"/>
        </w:rPr>
        <w:t xml:space="preserve"> </w:t>
      </w:r>
      <w:r w:rsidRPr="00CB38AA">
        <w:rPr>
          <w:rFonts w:ascii="Times New Roman" w:eastAsia="Arial" w:hAnsi="Times New Roman" w:cs="Times New Roman"/>
          <w:sz w:val="24"/>
          <w:szCs w:val="24"/>
        </w:rPr>
        <w:t>acreditar producción ancestral, existencia de agaves nativos y prácticas tradicionales en la región. En el Congreso mexiquense y en iniciativas estatales se hace referencia recurrente a estos esfuerzos.</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7.- 24 de septiembre de 2025 (contexto nacional)</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Times New Roman" w:hAnsi="Times New Roman" w:cs="Times New Roman"/>
          <w:sz w:val="24"/>
          <w:szCs w:val="24"/>
        </w:rPr>
        <w:t>●</w:t>
      </w:r>
      <w:r w:rsidRPr="00CB38AA">
        <w:rPr>
          <w:rFonts w:ascii="Times New Roman" w:eastAsia="Times New Roman" w:hAnsi="Times New Roman" w:cs="Times New Roman"/>
          <w:sz w:val="24"/>
          <w:szCs w:val="24"/>
        </w:rPr>
        <w:tab/>
      </w:r>
      <w:r w:rsidRPr="00CB38AA">
        <w:rPr>
          <w:rFonts w:ascii="Times New Roman" w:eastAsia="Arial" w:hAnsi="Times New Roman" w:cs="Times New Roman"/>
          <w:sz w:val="24"/>
          <w:szCs w:val="24"/>
        </w:rPr>
        <w:t>En 2025 hubo modificaciones de la Declaración General de Protección de la DO Mezcal para otros municipios/estados (por ejemplo, incorporación de municipios de Michoacán publicada el 24-sep-2025), lo que muestra que el IMPI continuó el proceso de revisiones y ampliaciones de la DO durante 2025. (Contexto administrativo que coincidió con gestiones por Edomex).</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rPr>
          <w:rFonts w:ascii="Times New Roman" w:eastAsia="Arial" w:hAnsi="Times New Roman" w:cs="Times New Roman"/>
          <w:b/>
          <w:sz w:val="24"/>
          <w:szCs w:val="24"/>
        </w:rPr>
      </w:pPr>
      <w:r w:rsidRPr="00CB38AA">
        <w:rPr>
          <w:rFonts w:ascii="Times New Roman" w:eastAsia="Arial" w:hAnsi="Times New Roman" w:cs="Times New Roman"/>
          <w:b/>
          <w:sz w:val="24"/>
          <w:szCs w:val="24"/>
        </w:rPr>
        <w:t>8.- 11–21 de noviembre de 2025 — Hito decisivo / Publicación final</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Times New Roman" w:hAnsi="Times New Roman" w:cs="Times New Roman"/>
          <w:sz w:val="24"/>
          <w:szCs w:val="24"/>
        </w:rPr>
        <w:t>●</w:t>
      </w:r>
      <w:r w:rsidRPr="00CB38AA">
        <w:rPr>
          <w:rFonts w:ascii="Times New Roman" w:eastAsia="Times New Roman" w:hAnsi="Times New Roman" w:cs="Times New Roman"/>
          <w:sz w:val="24"/>
          <w:szCs w:val="24"/>
        </w:rPr>
        <w:tab/>
      </w:r>
      <w:r w:rsidRPr="00CB38AA">
        <w:rPr>
          <w:rFonts w:ascii="Times New Roman" w:eastAsia="Arial" w:hAnsi="Times New Roman" w:cs="Times New Roman"/>
          <w:b/>
          <w:sz w:val="24"/>
          <w:szCs w:val="24"/>
        </w:rPr>
        <w:t xml:space="preserve">Deliberación y acto formal del IMPI </w:t>
      </w:r>
      <w:r w:rsidRPr="00CB38AA">
        <w:rPr>
          <w:rFonts w:ascii="Times New Roman" w:eastAsia="Arial" w:hAnsi="Times New Roman" w:cs="Times New Roman"/>
          <w:sz w:val="24"/>
          <w:szCs w:val="24"/>
        </w:rPr>
        <w:t>(reportes del 11 de noviembre de 2025) culminaron con la modificación</w:t>
      </w:r>
      <w:r w:rsidRPr="00CB38AA">
        <w:rPr>
          <w:rFonts w:ascii="Times New Roman" w:eastAsia="Arial" w:hAnsi="Times New Roman" w:cs="Times New Roman"/>
          <w:b/>
          <w:sz w:val="24"/>
          <w:szCs w:val="24"/>
        </w:rPr>
        <w:t xml:space="preserve"> formal de la Declaración General de Protección de la Denominación de Origen Mezcal </w:t>
      </w:r>
      <w:r w:rsidRPr="00CB38AA">
        <w:rPr>
          <w:rFonts w:ascii="Times New Roman" w:eastAsia="Arial" w:hAnsi="Times New Roman" w:cs="Times New Roman"/>
          <w:sz w:val="24"/>
          <w:szCs w:val="24"/>
        </w:rPr>
        <w:t xml:space="preserve">para </w:t>
      </w:r>
      <w:r w:rsidRPr="00CB38AA">
        <w:rPr>
          <w:rFonts w:ascii="Times New Roman" w:eastAsia="Arial" w:hAnsi="Times New Roman" w:cs="Times New Roman"/>
          <w:b/>
          <w:sz w:val="24"/>
          <w:szCs w:val="24"/>
        </w:rPr>
        <w:t>incluir 15 municipios del Estado de México</w:t>
      </w:r>
      <w:r w:rsidRPr="00CB38AA">
        <w:rPr>
          <w:rFonts w:ascii="Times New Roman" w:eastAsia="Arial" w:hAnsi="Times New Roman" w:cs="Times New Roman"/>
          <w:sz w:val="24"/>
          <w:szCs w:val="24"/>
        </w:rPr>
        <w:t xml:space="preserve">, publicada en el </w:t>
      </w:r>
      <w:r w:rsidRPr="00CB38AA">
        <w:rPr>
          <w:rFonts w:ascii="Times New Roman" w:eastAsia="Arial" w:hAnsi="Times New Roman" w:cs="Times New Roman"/>
          <w:b/>
          <w:sz w:val="24"/>
          <w:szCs w:val="24"/>
        </w:rPr>
        <w:t>Diario Oficial de la Federación el 21 de noviembre de 2025</w:t>
      </w:r>
      <w:r w:rsidRPr="00CB38AA">
        <w:rPr>
          <w:rFonts w:ascii="Times New Roman" w:eastAsia="Arial" w:hAnsi="Times New Roman" w:cs="Times New Roman"/>
          <w:sz w:val="24"/>
          <w:szCs w:val="24"/>
        </w:rPr>
        <w:t xml:space="preserve">. Los medios locales y nacionales lo cubrieron ampliamente (La Jornada, Gob.mx, boletines estatales). Esta publicación constituye la constancia </w:t>
      </w:r>
      <w:r w:rsidRPr="00CB38AA">
        <w:rPr>
          <w:rFonts w:ascii="Times New Roman" w:eastAsia="Arial" w:hAnsi="Times New Roman" w:cs="Times New Roman"/>
          <w:sz w:val="24"/>
          <w:szCs w:val="24"/>
        </w:rPr>
        <w:lastRenderedPageBreak/>
        <w:t>jurídica pública que incorpora oficialmente a esos municipios dentro de la zona de protección de la DO Mezcal.</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Dicho análisis técnico y los informes periciales que sustentaron el expediente de nuestro Estado ante el Instituto Mexicano de la Propiedad Industrial (IMPI) confirman:</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Times New Roman" w:hAnsi="Times New Roman" w:cs="Times New Roman"/>
          <w:sz w:val="24"/>
          <w:szCs w:val="24"/>
        </w:rPr>
        <w:t>●</w:t>
      </w:r>
      <w:r w:rsidRPr="00CB38AA">
        <w:rPr>
          <w:rFonts w:ascii="Times New Roman" w:eastAsia="Times New Roman" w:hAnsi="Times New Roman" w:cs="Times New Roman"/>
          <w:sz w:val="24"/>
          <w:szCs w:val="24"/>
        </w:rPr>
        <w:tab/>
      </w:r>
      <w:r w:rsidRPr="00CB38AA">
        <w:rPr>
          <w:rFonts w:ascii="Times New Roman" w:eastAsia="Arial" w:hAnsi="Times New Roman" w:cs="Times New Roman"/>
          <w:sz w:val="24"/>
          <w:szCs w:val="24"/>
        </w:rPr>
        <w:t>Que el sur mexiquense reúne factores naturales excepcionales, relieves volcánicos, sierras madres, altitud, clima seco, suelos fragosos, para el cultivo del agave y la elaboración del mezcal.</w:t>
      </w: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Times New Roman" w:hAnsi="Times New Roman" w:cs="Times New Roman"/>
          <w:sz w:val="24"/>
          <w:szCs w:val="24"/>
        </w:rPr>
        <w:t>●</w:t>
      </w:r>
      <w:r w:rsidRPr="00CB38AA">
        <w:rPr>
          <w:rFonts w:ascii="Times New Roman" w:eastAsia="Times New Roman" w:hAnsi="Times New Roman" w:cs="Times New Roman"/>
          <w:sz w:val="24"/>
          <w:szCs w:val="24"/>
        </w:rPr>
        <w:tab/>
      </w:r>
      <w:r w:rsidRPr="00CB38AA">
        <w:rPr>
          <w:rFonts w:ascii="Times New Roman" w:eastAsia="Arial" w:hAnsi="Times New Roman" w:cs="Times New Roman"/>
          <w:sz w:val="24"/>
          <w:szCs w:val="24"/>
        </w:rPr>
        <w:t>Que los factores humanos e históricos están vigentes desde tiempos prehispánicos, pasando por la Colonia hasta el presente, en la transmisión del conocimiento, las técnicas, los alambiques artesanales, la sabiduría familiar.</w:t>
      </w: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Times New Roman" w:hAnsi="Times New Roman" w:cs="Times New Roman"/>
          <w:sz w:val="24"/>
          <w:szCs w:val="24"/>
        </w:rPr>
        <w:t>●</w:t>
      </w:r>
      <w:r w:rsidRPr="00CB38AA">
        <w:rPr>
          <w:rFonts w:ascii="Times New Roman" w:eastAsia="Times New Roman" w:hAnsi="Times New Roman" w:cs="Times New Roman"/>
          <w:sz w:val="24"/>
          <w:szCs w:val="24"/>
        </w:rPr>
        <w:tab/>
      </w:r>
      <w:r w:rsidRPr="00CB38AA">
        <w:rPr>
          <w:rFonts w:ascii="Times New Roman" w:eastAsia="Arial" w:hAnsi="Times New Roman" w:cs="Times New Roman"/>
          <w:sz w:val="24"/>
          <w:szCs w:val="24"/>
        </w:rPr>
        <w:t>Que no se trata de una producción reciente o circunstancial; el arte del destilado es tradición, arraigo, comunidad que se transmite de abuelos a padres y de padres a hijos.</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Y en ese marco, quiero destacar </w:t>
      </w:r>
      <w:r w:rsidRPr="00CB38AA">
        <w:rPr>
          <w:rFonts w:ascii="Times New Roman" w:eastAsia="Arial" w:hAnsi="Times New Roman" w:cs="Times New Roman"/>
          <w:b/>
          <w:sz w:val="24"/>
          <w:szCs w:val="24"/>
        </w:rPr>
        <w:t xml:space="preserve">lo más reciente </w:t>
      </w:r>
      <w:r w:rsidRPr="00CB38AA">
        <w:rPr>
          <w:rFonts w:ascii="Times New Roman" w:eastAsia="Arial" w:hAnsi="Times New Roman" w:cs="Times New Roman"/>
          <w:sz w:val="24"/>
          <w:szCs w:val="24"/>
        </w:rPr>
        <w:t>que refuerza nuestra causa y le imprime urgencia política:</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Times New Roman" w:hAnsi="Times New Roman" w:cs="Times New Roman"/>
          <w:sz w:val="24"/>
          <w:szCs w:val="24"/>
        </w:rPr>
        <w:t>●</w:t>
      </w:r>
      <w:r w:rsidRPr="00CB38AA">
        <w:rPr>
          <w:rFonts w:ascii="Times New Roman" w:eastAsia="Times New Roman" w:hAnsi="Times New Roman" w:cs="Times New Roman"/>
          <w:sz w:val="24"/>
          <w:szCs w:val="24"/>
        </w:rPr>
        <w:tab/>
      </w:r>
      <w:r w:rsidRPr="00CB38AA">
        <w:rPr>
          <w:rFonts w:ascii="Times New Roman" w:eastAsia="Arial" w:hAnsi="Times New Roman" w:cs="Times New Roman"/>
          <w:sz w:val="24"/>
          <w:szCs w:val="24"/>
        </w:rPr>
        <w:t>En mayo de 2025 se reportó que el Estado de México, junto con sus municipios del sur, es ya “apuesta estratégica” bajo los ejes de reactivación económica: el mezcal aparece como motor productivo, destino de turismo y generador de identidad.</w:t>
      </w:r>
    </w:p>
    <w:p w:rsidR="00CA0107" w:rsidRPr="00CB38AA" w:rsidRDefault="00CA0107" w:rsidP="00DF6EEA">
      <w:pPr>
        <w:spacing w:after="0" w:line="240" w:lineRule="auto"/>
        <w:jc w:val="both"/>
        <w:rPr>
          <w:rFonts w:ascii="Times New Roman" w:eastAsia="Times New Roman" w:hAnsi="Times New Roman" w:cs="Times New Roman"/>
          <w:sz w:val="24"/>
          <w:szCs w:val="24"/>
        </w:rPr>
      </w:pPr>
      <w:r w:rsidRPr="00CB38AA">
        <w:rPr>
          <w:rFonts w:ascii="Times New Roman" w:eastAsia="Times New Roman" w:hAnsi="Times New Roman" w:cs="Times New Roman"/>
          <w:sz w:val="24"/>
          <w:szCs w:val="24"/>
        </w:rPr>
        <w:t>●</w:t>
      </w:r>
      <w:r w:rsidRPr="00CB38AA">
        <w:rPr>
          <w:rFonts w:ascii="Times New Roman" w:eastAsia="Times New Roman" w:hAnsi="Times New Roman" w:cs="Times New Roman"/>
          <w:sz w:val="24"/>
          <w:szCs w:val="24"/>
        </w:rPr>
        <w:tab/>
      </w:r>
      <w:r w:rsidRPr="00CB38AA">
        <w:rPr>
          <w:rFonts w:ascii="Times New Roman" w:eastAsia="Arial" w:hAnsi="Times New Roman" w:cs="Times New Roman"/>
          <w:sz w:val="24"/>
          <w:szCs w:val="24"/>
        </w:rPr>
        <w:t xml:space="preserve">En ese mismo año, los productores mexiquenses ganaron </w:t>
      </w:r>
      <w:r w:rsidRPr="00CB38AA">
        <w:rPr>
          <w:rFonts w:ascii="Times New Roman" w:eastAsia="Arial" w:hAnsi="Times New Roman" w:cs="Times New Roman"/>
          <w:b/>
          <w:sz w:val="24"/>
          <w:szCs w:val="24"/>
        </w:rPr>
        <w:t xml:space="preserve">reconocimientos internacionales </w:t>
      </w:r>
      <w:r w:rsidRPr="00CB38AA">
        <w:rPr>
          <w:rFonts w:ascii="Times New Roman" w:eastAsia="Arial" w:hAnsi="Times New Roman" w:cs="Times New Roman"/>
          <w:sz w:val="24"/>
          <w:szCs w:val="24"/>
        </w:rPr>
        <w:t>en el Concurso Internacional de Bruselas; los mezcales del Estado de México obtuvieron medallas de Gran Oro, Oro y Plata, obteniendo el segundo lugar a nivel nacional en el México Selection (concurso de destilados más prestigioso de Norteamérica) lo que confirma su calidad mundial y refuerza el argumento más que técnico, moral, de por qué deben tener pleno reconocimiento.</w:t>
      </w: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Times New Roman" w:hAnsi="Times New Roman" w:cs="Times New Roman"/>
          <w:sz w:val="24"/>
          <w:szCs w:val="24"/>
        </w:rPr>
        <w:t>●</w:t>
      </w:r>
      <w:r w:rsidRPr="00CB38AA">
        <w:rPr>
          <w:rFonts w:ascii="Times New Roman" w:eastAsia="Times New Roman" w:hAnsi="Times New Roman" w:cs="Times New Roman"/>
          <w:sz w:val="24"/>
          <w:szCs w:val="24"/>
        </w:rPr>
        <w:tab/>
      </w:r>
      <w:r w:rsidRPr="00CB38AA">
        <w:rPr>
          <w:rFonts w:ascii="Times New Roman" w:eastAsia="Arial" w:hAnsi="Times New Roman" w:cs="Times New Roman"/>
          <w:sz w:val="24"/>
          <w:szCs w:val="24"/>
        </w:rPr>
        <w:t>No podemos ignorar que otros estados como Morelos y Aguascalientes, ya lograron la denominación de origen para su mezcal; esa circunstancia nos exige actuar con celo, con compromiso, para que el Estado de México no quede rezagado en su propio derecho.</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Compañeras, compañere y compañeros, este no es un simple expediente técnico que se archiva; es la justicia que se hace real; es el reconocimiento que las familias campesinas mezcaleras han esperado por generaciones; es el servicio público elevado a la dignidad de un pueblo. ¡Gracias Gobernadora! Maestra Delfina Gómez Álvarez, por no dejar que el olvido sea el estigma de nuestra tierra, Usted nos ha enseñado a actuar con Justicia, y si hay voluntad para Gobernar, todo es posible.</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Asimismo queremos destacar el trabajo de la Consejería Jurídica, la Secretaría del Campo, del Instituto de Investigación y Fomento a las Artesanías, así como a la Dirección General de Planeación y Desarrollo Turístico Sostenible, quienes con su apoyo realidad han materializado lo que hoy es un hecho, que se modifique la Declaratoria General de Protección de la Denominación de Origen “Mezcal”, para incluir a los municipios de Almoloya de Alquisiras, Amatepec, Coatepec Harinas, Ixtapan de la Sal, Luvianos, Malinalco, Ocuilan, Sultepec, Tejupilco, Tenancingo, Tlatlaya, Tonatico, Villa Guerrero, Zacualpan y Zumpahuacán del Estado de México.</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INTRODUCCIÓN</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Dicen las abuelas que el agave (metuche) no es planta, es un guardián, que cada penca es una historia y cada quiote es una plegaria que se eleva al cielo; que el mezcal no se bebe con la boca, sino con el alma; y que en sus vapores habita la voz de quienes caminaron antes que nosotros.</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lastRenderedPageBreak/>
        <w:t>En los territorios del Estado de México donde la tierra es roja, donde el viento silba entre los cerros y donde el sol cae lento sobre los campos agaveros, las comunidades aprendieron a escuchar lo que la naturaleza susurra; lo que el fuego transforma, lo que el tiempo enseña, y que la paciencia es sagrada.</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Times New Roman" w:hAnsi="Times New Roman" w:cs="Times New Roman"/>
          <w:sz w:val="24"/>
          <w:szCs w:val="24"/>
        </w:rPr>
      </w:pPr>
      <w:r w:rsidRPr="00CB38AA">
        <w:rPr>
          <w:rFonts w:ascii="Times New Roman" w:eastAsia="Arial" w:hAnsi="Times New Roman" w:cs="Times New Roman"/>
          <w:sz w:val="24"/>
          <w:szCs w:val="24"/>
        </w:rPr>
        <w:t>El mezcal nace ahí, en ese cruce misterioso entre lo humano y lo divino; nace de la tierra que respira, del agua que purifica, del fuego que revela y del aire que se lleva el aroma del esfuerzo de generaciones enteras. Nace del trabajo callado de manos curtidas, del cuidado amoroso de quienes siembran sabiendo que quizá no serán ellos quienes cosechen, porque el ciclo del agave es largo y generoso, pero también exige esperanza.</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Hoy, al ser reconocido el territorio del Estado de México dentro de la Denominación de Origen Mezcal, celebramos no solo un hecho jurídico; celebramos que el mundo escuchó el eco de nuestros maestros mezcaleros guardianes del fuego y de los secretos que se transmiten no con palabras sino con miradas, gestos, silencios y rituales; celebramos que la memoria de nuestros pueblos se vuelve ley, que la identidad de nuestra tierra encuentra un camino de protección, y que el futuro abraza las raíces sin arrancarlas.</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Pero, este reconocimiento también nos llama, nos convoca, nos exige, porque el mezcal es frágil, ya que depende de ecosistemas vulnerables, de agaves que tardan años en ofrecerse, de tradiciones que pueden desaparecer si no las honramos, de productores que luchan contra mercados injustos, de mujeres y hombres que mantienen viva una artesanía que no se fabrica, se siente, se respira, se vive.</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Por eso esta Ley no es un documento técnico, es un pacto espiritual con nuestra tierra, es una promesa a quienes trabajan desde antes del amanecer, es una plegaria legal para que el mezcal mexiquense no sea devorado por la prisa del mercado ni por la avaricia de la explotación.</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Esta Ley protege la esencia de lo que somos:</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Protege al agave, ser milenario que necesita tiempo y respeto. Protege a los maestros y maestras mezcaleras que cargan en sus manos la herencia de siglos.</w:t>
      </w: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Protege los suelos donde cada raíz es un testimonio de resistencia.</w:t>
      </w: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Protege la ruta turística que no solo recorre caminos, sino emociones.</w:t>
      </w: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Protege la economía del pequeño productor, que sin apoyo muere, pero con el Estado florece.</w:t>
      </w: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Protege la autenticidad de lo que es nuestro, para que no sea imitado, usurpado o diluido.</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Times New Roman" w:hAnsi="Times New Roman" w:cs="Times New Roman"/>
          <w:sz w:val="24"/>
          <w:szCs w:val="24"/>
        </w:rPr>
      </w:pPr>
      <w:r w:rsidRPr="00CB38AA">
        <w:rPr>
          <w:rFonts w:ascii="Times New Roman" w:eastAsia="Arial" w:hAnsi="Times New Roman" w:cs="Times New Roman"/>
          <w:sz w:val="24"/>
          <w:szCs w:val="24"/>
        </w:rPr>
        <w:t>Esta Ley también siembra futuro; un futuro donde la agricultura regenerativa restaure lo que la naturaleza nos presta; un futuro donde la exportación no signifique renunciar a la tradición; un futuro donde el mezcal sea símbolo de orgullo, cultura, respeto y prosperidad justa; un futuro donde las nuevas generaciones encuentren en el campo no abandono, sino esperanza.</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Queremos que cada botella de mezcal mexiquense cuente una historia verdadera; una historia de tierra viva; una historia de dignidad campesina; una historia de fuego que transforma sin destruir; una historia que nos recuerde que somos un pueblo que sabe escuchar a la naturaleza y trabajar con ella, no contra ella.</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Por eso presentamos esta Ley:</w:t>
      </w:r>
    </w:p>
    <w:p w:rsidR="00CA0107" w:rsidRPr="00CB38AA" w:rsidRDefault="00CA0107"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Porque el mezcal no es un producto, es un espíritu.</w:t>
      </w:r>
    </w:p>
    <w:p w:rsidR="00CA0107" w:rsidRPr="00CB38AA" w:rsidRDefault="00CA0107"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lastRenderedPageBreak/>
        <w:t>Porque el agave no es un cultivo, es un maestro.</w:t>
      </w:r>
    </w:p>
    <w:p w:rsidR="00CA0107" w:rsidRPr="00CB38AA" w:rsidRDefault="00CA0107"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Porque las comunidades no son industria, son corazón.</w:t>
      </w:r>
    </w:p>
    <w:p w:rsidR="00CA0107" w:rsidRPr="00CB38AA" w:rsidRDefault="00CA0107"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Porque la identidad no se improvisa, se construye, se cuida y se honra.</w:t>
      </w:r>
    </w:p>
    <w:p w:rsidR="00CA0107" w:rsidRPr="00CB38AA" w:rsidRDefault="00CA0107"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Que esta Ley es la prueba de que sabemos mirar hacia atrás sin dejar de avanzar.</w:t>
      </w:r>
    </w:p>
    <w:p w:rsidR="00CA0107" w:rsidRPr="00CB38AA" w:rsidRDefault="00CA0107"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Que es el puente entre lo ancestral y lo moderno.</w:t>
      </w:r>
    </w:p>
    <w:p w:rsidR="00CA0107" w:rsidRPr="00CB38AA" w:rsidRDefault="00CA0107"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Que son las raíces y alas a la vez.</w:t>
      </w:r>
    </w:p>
    <w:p w:rsidR="00CA0107" w:rsidRPr="00CB38AA" w:rsidRDefault="00CA0107" w:rsidP="00DF6EEA">
      <w:pPr>
        <w:spacing w:after="0" w:line="240" w:lineRule="auto"/>
        <w:rPr>
          <w:rFonts w:ascii="Times New Roman" w:eastAsia="Arial" w:hAnsi="Times New Roman" w:cs="Times New Roman"/>
          <w:sz w:val="24"/>
          <w:szCs w:val="24"/>
        </w:rPr>
      </w:pPr>
      <w:r w:rsidRPr="00CB38AA">
        <w:rPr>
          <w:rFonts w:ascii="Times New Roman" w:eastAsia="Times New Roman" w:hAnsi="Times New Roman" w:cs="Times New Roman"/>
          <w:sz w:val="24"/>
          <w:szCs w:val="24"/>
        </w:rPr>
        <w:t xml:space="preserve">Que son un lugar digno, una economía justa y un futuro luminoso </w:t>
      </w:r>
      <w:r w:rsidRPr="00CB38AA">
        <w:rPr>
          <w:rFonts w:ascii="Times New Roman" w:eastAsia="Arial" w:hAnsi="Times New Roman" w:cs="Times New Roman"/>
          <w:sz w:val="24"/>
          <w:szCs w:val="24"/>
        </w:rPr>
        <w:t>nuestra gente.</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Y que cada vez que levantemos un vaso de mezcal mexiquense, recordemos que ahí, en una sola gota, se encuentra concentrada la historia de nuestro Estado, su espíritu, su fuerza, su misticismo y su humanidad.</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center"/>
        <w:rPr>
          <w:rFonts w:ascii="Times New Roman" w:eastAsia="Arial" w:hAnsi="Times New Roman" w:cs="Times New Roman"/>
          <w:b/>
          <w:sz w:val="24"/>
          <w:szCs w:val="24"/>
        </w:rPr>
      </w:pPr>
      <w:r w:rsidRPr="00CB38AA">
        <w:rPr>
          <w:rFonts w:ascii="Times New Roman" w:eastAsia="Arial" w:hAnsi="Times New Roman" w:cs="Times New Roman"/>
          <w:b/>
          <w:sz w:val="24"/>
          <w:szCs w:val="24"/>
        </w:rPr>
        <w:t>LEY DE PROTECCIÓN E IMPULSO PRODUCTIVO Y</w:t>
      </w:r>
    </w:p>
    <w:p w:rsidR="00CA0107" w:rsidRPr="00CB38AA" w:rsidRDefault="00CA0107"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PATRIMONIAL DEL MEZCAL DEL ESTADO DE MÉXICO</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TÍTULO PRIMERO</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center"/>
        <w:rPr>
          <w:rFonts w:ascii="Times New Roman" w:eastAsia="Arial" w:hAnsi="Times New Roman" w:cs="Times New Roman"/>
          <w:b/>
          <w:sz w:val="24"/>
          <w:szCs w:val="24"/>
        </w:rPr>
      </w:pPr>
      <w:r w:rsidRPr="00CB38AA">
        <w:rPr>
          <w:rFonts w:ascii="Times New Roman" w:eastAsia="Arial" w:hAnsi="Times New Roman" w:cs="Times New Roman"/>
          <w:b/>
          <w:sz w:val="24"/>
          <w:szCs w:val="24"/>
        </w:rPr>
        <w:t>DEL AGAVE COMO BASE BIOLÓGICA, CULTURAL Y PRODUCTIVA</w:t>
      </w:r>
    </w:p>
    <w:p w:rsidR="00CA0107" w:rsidRPr="00CB38AA" w:rsidRDefault="00CA0107" w:rsidP="00DF6EEA">
      <w:pPr>
        <w:spacing w:after="0" w:line="240" w:lineRule="auto"/>
        <w:jc w:val="both"/>
        <w:rPr>
          <w:rFonts w:ascii="Times New Roman" w:eastAsia="Times New Roman" w:hAnsi="Times New Roman" w:cs="Times New Roman"/>
          <w:sz w:val="24"/>
          <w:szCs w:val="24"/>
        </w:rPr>
      </w:pPr>
      <w:r w:rsidRPr="00CB38AA">
        <w:rPr>
          <w:rFonts w:ascii="Times New Roman" w:eastAsia="Times New Roman" w:hAnsi="Times New Roman" w:cs="Times New Roman"/>
          <w:b/>
          <w:sz w:val="24"/>
          <w:szCs w:val="24"/>
        </w:rPr>
        <w:t xml:space="preserve">Artículo 1. </w:t>
      </w:r>
      <w:r w:rsidRPr="00CB38AA">
        <w:rPr>
          <w:rFonts w:ascii="Times New Roman" w:eastAsia="Times New Roman" w:hAnsi="Times New Roman" w:cs="Times New Roman"/>
          <w:sz w:val="24"/>
          <w:szCs w:val="24"/>
        </w:rPr>
        <w:t>Para efectos de la presente Ley, se entenderá por:</w:t>
      </w:r>
    </w:p>
    <w:p w:rsidR="00CA0107" w:rsidRPr="00CB38AA" w:rsidRDefault="00CA0107" w:rsidP="00DF6EEA">
      <w:pPr>
        <w:spacing w:after="0" w:line="240" w:lineRule="auto"/>
        <w:jc w:val="both"/>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I. </w:t>
      </w:r>
      <w:r w:rsidRPr="00CB38AA">
        <w:rPr>
          <w:rFonts w:ascii="Times New Roman" w:eastAsia="Arial" w:hAnsi="Times New Roman" w:cs="Times New Roman"/>
          <w:b/>
          <w:sz w:val="24"/>
          <w:szCs w:val="24"/>
        </w:rPr>
        <w:t xml:space="preserve">Agave: </w:t>
      </w:r>
      <w:r w:rsidRPr="00CB38AA">
        <w:rPr>
          <w:rFonts w:ascii="Times New Roman" w:eastAsia="Arial" w:hAnsi="Times New Roman" w:cs="Times New Roman"/>
          <w:sz w:val="24"/>
          <w:szCs w:val="24"/>
        </w:rPr>
        <w:t xml:space="preserve">Planta de origen mexicano perteneciente a la familia </w:t>
      </w:r>
      <w:r w:rsidRPr="00CB38AA">
        <w:rPr>
          <w:rFonts w:ascii="Times New Roman" w:eastAsia="Arial" w:hAnsi="Times New Roman" w:cs="Times New Roman"/>
          <w:i/>
          <w:sz w:val="24"/>
          <w:szCs w:val="24"/>
        </w:rPr>
        <w:t xml:space="preserve">Agavaceae </w:t>
      </w:r>
      <w:r w:rsidRPr="00CB38AA">
        <w:rPr>
          <w:rFonts w:ascii="Times New Roman" w:eastAsia="Arial" w:hAnsi="Times New Roman" w:cs="Times New Roman"/>
          <w:sz w:val="24"/>
          <w:szCs w:val="24"/>
        </w:rPr>
        <w:t xml:space="preserve">o </w:t>
      </w:r>
      <w:r w:rsidRPr="00CB38AA">
        <w:rPr>
          <w:rFonts w:ascii="Times New Roman" w:eastAsia="Arial" w:hAnsi="Times New Roman" w:cs="Times New Roman"/>
          <w:i/>
          <w:sz w:val="24"/>
          <w:szCs w:val="24"/>
        </w:rPr>
        <w:t>Asparagaceae</w:t>
      </w:r>
      <w:r w:rsidRPr="00CB38AA">
        <w:rPr>
          <w:rFonts w:ascii="Times New Roman" w:eastAsia="Arial" w:hAnsi="Times New Roman" w:cs="Times New Roman"/>
          <w:sz w:val="24"/>
          <w:szCs w:val="24"/>
        </w:rPr>
        <w:t xml:space="preserve">, subfamilia </w:t>
      </w:r>
      <w:r w:rsidRPr="00CB38AA">
        <w:rPr>
          <w:rFonts w:ascii="Times New Roman" w:eastAsia="Arial" w:hAnsi="Times New Roman" w:cs="Times New Roman"/>
          <w:i/>
          <w:sz w:val="24"/>
          <w:szCs w:val="24"/>
        </w:rPr>
        <w:t>Agavoideae</w:t>
      </w:r>
      <w:r w:rsidRPr="00CB38AA">
        <w:rPr>
          <w:rFonts w:ascii="Times New Roman" w:eastAsia="Arial" w:hAnsi="Times New Roman" w:cs="Times New Roman"/>
          <w:sz w:val="24"/>
          <w:szCs w:val="24"/>
        </w:rPr>
        <w:t>, considerada en todos sus géneros, especies, subespecies, variedades y formas, susceptible de aprovechamiento productivo, cultural, ambiental y económico, y que constituye la materia prima esencial para la elaboración del mezcal y otros productos derivados.</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II. </w:t>
      </w:r>
      <w:r w:rsidRPr="00CB38AA">
        <w:rPr>
          <w:rFonts w:ascii="Times New Roman" w:eastAsia="Arial" w:hAnsi="Times New Roman" w:cs="Times New Roman"/>
          <w:b/>
          <w:sz w:val="24"/>
          <w:szCs w:val="24"/>
        </w:rPr>
        <w:t xml:space="preserve">Agave mezcalero: </w:t>
      </w:r>
      <w:r w:rsidRPr="00CB38AA">
        <w:rPr>
          <w:rFonts w:ascii="Times New Roman" w:eastAsia="Arial" w:hAnsi="Times New Roman" w:cs="Times New Roman"/>
          <w:sz w:val="24"/>
          <w:szCs w:val="24"/>
        </w:rPr>
        <w:t>Especie o variedad de agave apta para la elaboración de mezcal conforme a la normatividad aplicable y a los usos tradicionales reconocidos en el Estado de México.</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III. </w:t>
      </w:r>
      <w:r w:rsidRPr="00CB38AA">
        <w:rPr>
          <w:rFonts w:ascii="Times New Roman" w:eastAsia="Arial" w:hAnsi="Times New Roman" w:cs="Times New Roman"/>
          <w:b/>
          <w:sz w:val="24"/>
          <w:szCs w:val="24"/>
        </w:rPr>
        <w:t xml:space="preserve">Mezcal: </w:t>
      </w:r>
      <w:r w:rsidRPr="00CB38AA">
        <w:rPr>
          <w:rFonts w:ascii="Times New Roman" w:eastAsia="Arial" w:hAnsi="Times New Roman" w:cs="Times New Roman"/>
          <w:sz w:val="24"/>
          <w:szCs w:val="24"/>
        </w:rPr>
        <w:t>Bebida alcohólica destilada obtenida a partir de la fermentación y destilación del mosto extraído de las piñas del agave, producida conforme a métodos tradicionales, artesanales, ancestrales o tecnificados, dentro del territorio considerado dentro de la DOM del Estado de México.</w:t>
      </w:r>
    </w:p>
    <w:p w:rsidR="00CA0107" w:rsidRPr="00CB38AA" w:rsidRDefault="00CA0107" w:rsidP="00DF6EEA">
      <w:pPr>
        <w:spacing w:after="0" w:line="240" w:lineRule="auto"/>
        <w:jc w:val="both"/>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Times New Roman" w:hAnsi="Times New Roman" w:cs="Times New Roman"/>
          <w:sz w:val="24"/>
          <w:szCs w:val="24"/>
        </w:rPr>
      </w:pPr>
      <w:r w:rsidRPr="00CB38AA">
        <w:rPr>
          <w:rFonts w:ascii="Times New Roman" w:eastAsia="Times New Roman" w:hAnsi="Times New Roman" w:cs="Times New Roman"/>
          <w:sz w:val="24"/>
          <w:szCs w:val="24"/>
        </w:rPr>
        <w:t xml:space="preserve">IV. </w:t>
      </w:r>
      <w:r w:rsidRPr="00CB38AA">
        <w:rPr>
          <w:rFonts w:ascii="Times New Roman" w:eastAsia="Times New Roman" w:hAnsi="Times New Roman" w:cs="Times New Roman"/>
          <w:b/>
          <w:sz w:val="24"/>
          <w:szCs w:val="24"/>
        </w:rPr>
        <w:t>Mezcal artesanal y ancestral:</w:t>
      </w:r>
      <w:r w:rsidRPr="00CB38AA">
        <w:rPr>
          <w:rFonts w:ascii="Times New Roman" w:eastAsia="Times New Roman" w:hAnsi="Times New Roman" w:cs="Times New Roman"/>
          <w:sz w:val="24"/>
          <w:szCs w:val="24"/>
        </w:rPr>
        <w:t xml:space="preserve"> Aquél elaborado conforme a procesos tradicionales y saberes comunitarios, con insumos y técnicas que preservan la identidad cultural del mezcal mexiquense.</w:t>
      </w:r>
    </w:p>
    <w:p w:rsidR="00CA0107" w:rsidRPr="00CB38AA" w:rsidRDefault="00CA0107" w:rsidP="00DF6EEA">
      <w:pPr>
        <w:spacing w:after="0" w:line="240" w:lineRule="auto"/>
        <w:jc w:val="both"/>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V. </w:t>
      </w:r>
      <w:r w:rsidRPr="00CB38AA">
        <w:rPr>
          <w:rFonts w:ascii="Times New Roman" w:eastAsia="Arial" w:hAnsi="Times New Roman" w:cs="Times New Roman"/>
          <w:b/>
          <w:sz w:val="24"/>
          <w:szCs w:val="24"/>
        </w:rPr>
        <w:t xml:space="preserve">Productora o Productor de Agave: </w:t>
      </w:r>
      <w:r w:rsidRPr="00CB38AA">
        <w:rPr>
          <w:rFonts w:ascii="Times New Roman" w:eastAsia="Arial" w:hAnsi="Times New Roman" w:cs="Times New Roman"/>
          <w:sz w:val="24"/>
          <w:szCs w:val="24"/>
        </w:rPr>
        <w:t>Persona física o jurídica colectiva que realiza actividades de siembra, cultivo, manejo, conservación y aprovechamiento del agave.</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VI. </w:t>
      </w:r>
      <w:r w:rsidRPr="00CB38AA">
        <w:rPr>
          <w:rFonts w:ascii="Times New Roman" w:eastAsia="Arial" w:hAnsi="Times New Roman" w:cs="Times New Roman"/>
          <w:b/>
          <w:sz w:val="24"/>
          <w:szCs w:val="24"/>
        </w:rPr>
        <w:t xml:space="preserve">Productora o Productor de Mezcal: </w:t>
      </w:r>
      <w:r w:rsidRPr="00CB38AA">
        <w:rPr>
          <w:rFonts w:ascii="Times New Roman" w:eastAsia="Arial" w:hAnsi="Times New Roman" w:cs="Times New Roman"/>
          <w:sz w:val="24"/>
          <w:szCs w:val="24"/>
        </w:rPr>
        <w:t>Persona física o jurídica colectiva que transforma el agave en mezcal conforme a esta Ley.</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VII. </w:t>
      </w:r>
      <w:r w:rsidRPr="00CB38AA">
        <w:rPr>
          <w:rFonts w:ascii="Times New Roman" w:eastAsia="Arial" w:hAnsi="Times New Roman" w:cs="Times New Roman"/>
          <w:b/>
          <w:sz w:val="24"/>
          <w:szCs w:val="24"/>
        </w:rPr>
        <w:t xml:space="preserve">Maestra o Maestro Mezcalero: </w:t>
      </w:r>
      <w:r w:rsidRPr="00CB38AA">
        <w:rPr>
          <w:rFonts w:ascii="Times New Roman" w:eastAsia="Arial" w:hAnsi="Times New Roman" w:cs="Times New Roman"/>
          <w:sz w:val="24"/>
          <w:szCs w:val="24"/>
        </w:rPr>
        <w:t>Persona depositaria de conocimientos tradicionales transmitidos generacionalmente sobre la elaboración del mezcal.</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VIII. </w:t>
      </w:r>
      <w:r w:rsidRPr="00CB38AA">
        <w:rPr>
          <w:rFonts w:ascii="Times New Roman" w:eastAsia="Arial" w:hAnsi="Times New Roman" w:cs="Times New Roman"/>
          <w:b/>
          <w:sz w:val="24"/>
          <w:szCs w:val="24"/>
        </w:rPr>
        <w:t xml:space="preserve">Patrimonio Mezcalero: </w:t>
      </w:r>
      <w:r w:rsidRPr="00CB38AA">
        <w:rPr>
          <w:rFonts w:ascii="Times New Roman" w:eastAsia="Arial" w:hAnsi="Times New Roman" w:cs="Times New Roman"/>
          <w:sz w:val="24"/>
          <w:szCs w:val="24"/>
        </w:rPr>
        <w:t>Conjunto de saberes, prácticas, técnicas, espacios, expresiones culturales y tradiciones vinculadas al cultivo del agave y la elaboración del mezcal.</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lastRenderedPageBreak/>
        <w:t xml:space="preserve">IX. </w:t>
      </w:r>
      <w:r w:rsidRPr="00CB38AA">
        <w:rPr>
          <w:rFonts w:ascii="Times New Roman" w:eastAsia="Arial" w:hAnsi="Times New Roman" w:cs="Times New Roman"/>
          <w:b/>
          <w:sz w:val="24"/>
          <w:szCs w:val="24"/>
        </w:rPr>
        <w:t xml:space="preserve">Denominación de Origen Mezcal del Estado de México (DOMEM): </w:t>
      </w:r>
      <w:r w:rsidRPr="00CB38AA">
        <w:rPr>
          <w:rFonts w:ascii="Times New Roman" w:eastAsia="Arial" w:hAnsi="Times New Roman" w:cs="Times New Roman"/>
          <w:sz w:val="24"/>
          <w:szCs w:val="24"/>
        </w:rPr>
        <w:t>Protección jurídica que reconoce al mezcal del Estado de México como producto vinculado a un territorio específico, conforme a la legislación aplicable.</w:t>
      </w:r>
    </w:p>
    <w:p w:rsidR="00CA0107" w:rsidRPr="00CB38AA" w:rsidRDefault="00CA0107" w:rsidP="00DF6EEA">
      <w:pPr>
        <w:spacing w:after="0" w:line="240" w:lineRule="auto"/>
        <w:jc w:val="both"/>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X. </w:t>
      </w:r>
      <w:r w:rsidRPr="00CB38AA">
        <w:rPr>
          <w:rFonts w:ascii="Times New Roman" w:eastAsia="Arial" w:hAnsi="Times New Roman" w:cs="Times New Roman"/>
          <w:b/>
          <w:sz w:val="24"/>
          <w:szCs w:val="24"/>
        </w:rPr>
        <w:t xml:space="preserve">Secretaría: </w:t>
      </w:r>
      <w:r w:rsidRPr="00CB38AA">
        <w:rPr>
          <w:rFonts w:ascii="Times New Roman" w:eastAsia="Arial" w:hAnsi="Times New Roman" w:cs="Times New Roman"/>
          <w:sz w:val="24"/>
          <w:szCs w:val="24"/>
        </w:rPr>
        <w:t>La Secretaría del Campo del Gobierno del Estado de México o la que en el futuro asuma dichas atribuciones.</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XI. </w:t>
      </w:r>
      <w:r w:rsidRPr="00CB38AA">
        <w:rPr>
          <w:rFonts w:ascii="Times New Roman" w:eastAsia="Arial" w:hAnsi="Times New Roman" w:cs="Times New Roman"/>
          <w:b/>
          <w:sz w:val="24"/>
          <w:szCs w:val="24"/>
        </w:rPr>
        <w:t xml:space="preserve">Registro Estatal del Agave y el Mezcal: </w:t>
      </w:r>
      <w:r w:rsidRPr="00CB38AA">
        <w:rPr>
          <w:rFonts w:ascii="Times New Roman" w:eastAsia="Arial" w:hAnsi="Times New Roman" w:cs="Times New Roman"/>
          <w:sz w:val="24"/>
          <w:szCs w:val="24"/>
        </w:rPr>
        <w:t>Instrumento administrativo que concentra la información de personas productoras, viveros, plantaciones, destilerías, marcas y procesos.</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XII. </w:t>
      </w:r>
      <w:r w:rsidRPr="00CB38AA">
        <w:rPr>
          <w:rFonts w:ascii="Times New Roman" w:eastAsia="Arial" w:hAnsi="Times New Roman" w:cs="Times New Roman"/>
          <w:b/>
          <w:sz w:val="24"/>
          <w:szCs w:val="24"/>
        </w:rPr>
        <w:t xml:space="preserve">Producto y Subproducto: </w:t>
      </w:r>
      <w:r w:rsidRPr="00CB38AA">
        <w:rPr>
          <w:rFonts w:ascii="Times New Roman" w:eastAsia="Arial" w:hAnsi="Times New Roman" w:cs="Times New Roman"/>
          <w:sz w:val="24"/>
          <w:szCs w:val="24"/>
        </w:rPr>
        <w:t>Bien principal o derivado resultante del aprovechamiento productivo del agave.</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XIII. </w:t>
      </w:r>
      <w:r w:rsidRPr="00CB38AA">
        <w:rPr>
          <w:rFonts w:ascii="Times New Roman" w:eastAsia="Arial" w:hAnsi="Times New Roman" w:cs="Times New Roman"/>
          <w:b/>
          <w:sz w:val="24"/>
          <w:szCs w:val="24"/>
        </w:rPr>
        <w:t xml:space="preserve">Ley: </w:t>
      </w:r>
      <w:r w:rsidRPr="00CB38AA">
        <w:rPr>
          <w:rFonts w:ascii="Times New Roman" w:eastAsia="Arial" w:hAnsi="Times New Roman" w:cs="Times New Roman"/>
          <w:sz w:val="24"/>
          <w:szCs w:val="24"/>
        </w:rPr>
        <w:t>Ley de Protección e Impulso Productivo y Patrimonial del Mezcal del Estado de México.</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XIV. </w:t>
      </w:r>
      <w:r w:rsidRPr="00CB38AA">
        <w:rPr>
          <w:rFonts w:ascii="Times New Roman" w:eastAsia="Arial" w:hAnsi="Times New Roman" w:cs="Times New Roman"/>
          <w:b/>
          <w:sz w:val="24"/>
          <w:szCs w:val="24"/>
        </w:rPr>
        <w:t xml:space="preserve">Consejo del Mezcal Mexiquense: </w:t>
      </w:r>
      <w:r w:rsidRPr="00CB38AA">
        <w:rPr>
          <w:rFonts w:ascii="Times New Roman" w:eastAsia="Arial" w:hAnsi="Times New Roman" w:cs="Times New Roman"/>
          <w:sz w:val="24"/>
          <w:szCs w:val="24"/>
        </w:rPr>
        <w:t>Órgano técnico de coordinación, certificación, investigación y promoción del mezcal del Estado de Mexiquense.</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XV. </w:t>
      </w:r>
      <w:r w:rsidRPr="00CB38AA">
        <w:rPr>
          <w:rFonts w:ascii="Times New Roman" w:eastAsia="Arial" w:hAnsi="Times New Roman" w:cs="Times New Roman"/>
          <w:b/>
          <w:sz w:val="24"/>
          <w:szCs w:val="24"/>
        </w:rPr>
        <w:t xml:space="preserve">Secretaria del medio ambiente: </w:t>
      </w:r>
      <w:r w:rsidRPr="00CB38AA">
        <w:rPr>
          <w:rFonts w:ascii="Times New Roman" w:eastAsia="Arial" w:hAnsi="Times New Roman" w:cs="Times New Roman"/>
          <w:sz w:val="24"/>
          <w:szCs w:val="24"/>
        </w:rPr>
        <w:t>Dependencia del gobierno estatal encargada de diseñar, coordinar y aplicar políticas públicas, programas y acciones enfocadas en la protección, conservación, restauración y aprovechamiento sustentable de los recursos naturales, el aire, el agua y los suelos de la entidad.</w:t>
      </w:r>
    </w:p>
    <w:p w:rsidR="00CA0107" w:rsidRPr="00CB38AA" w:rsidRDefault="00CA0107" w:rsidP="00DF6EEA">
      <w:pPr>
        <w:spacing w:after="0" w:line="240" w:lineRule="auto"/>
        <w:jc w:val="both"/>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2. </w:t>
      </w:r>
      <w:r w:rsidRPr="00CB38AA">
        <w:rPr>
          <w:rFonts w:ascii="Times New Roman" w:eastAsia="Arial" w:hAnsi="Times New Roman" w:cs="Times New Roman"/>
          <w:sz w:val="24"/>
          <w:szCs w:val="24"/>
        </w:rPr>
        <w:t>El agave es reconocido como recurso estratégico, patrimonio biocultural y base productiva del mezcal en el Estado de México; su conservación y aprovechamiento sustentable son de interés público.</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3. </w:t>
      </w:r>
      <w:r w:rsidRPr="00CB38AA">
        <w:rPr>
          <w:rFonts w:ascii="Times New Roman" w:eastAsia="Arial" w:hAnsi="Times New Roman" w:cs="Times New Roman"/>
          <w:sz w:val="24"/>
          <w:szCs w:val="24"/>
        </w:rPr>
        <w:t>La aplicación de esta Ley se regirá por los principios de sustentabilidad, identidad cultural, desarrollo rural, equidad social, trazabilidad, legalidad y fortalecimiento comunitario.</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Capítulo II</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De la Conservación y Aprovechamiento Sustentable del Agave</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4. </w:t>
      </w:r>
      <w:r w:rsidRPr="00CB38AA">
        <w:rPr>
          <w:rFonts w:ascii="Times New Roman" w:eastAsia="Arial" w:hAnsi="Times New Roman" w:cs="Times New Roman"/>
          <w:sz w:val="24"/>
          <w:szCs w:val="24"/>
        </w:rPr>
        <w:t>El Estado promoverá la conservación de agaves nativos, silvestres y semisilvestres, evitando su sobreexplotación.</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5. </w:t>
      </w:r>
      <w:r w:rsidRPr="00CB38AA">
        <w:rPr>
          <w:rFonts w:ascii="Times New Roman" w:eastAsia="Arial" w:hAnsi="Times New Roman" w:cs="Times New Roman"/>
          <w:sz w:val="24"/>
          <w:szCs w:val="24"/>
        </w:rPr>
        <w:t>Se establecerá un Plan Estatal de Repoblamiento y Manejo Sustentable del Agave, con incentivos a prácticas regenerativas y agricultura de conservación.</w:t>
      </w:r>
    </w:p>
    <w:p w:rsidR="00CA0107" w:rsidRPr="00CB38AA" w:rsidRDefault="00CA0107" w:rsidP="00DF6EEA">
      <w:pPr>
        <w:spacing w:after="0" w:line="240" w:lineRule="auto"/>
        <w:jc w:val="both"/>
        <w:rPr>
          <w:rFonts w:ascii="Times New Roman" w:eastAsia="Times New Roman" w:hAnsi="Times New Roman" w:cs="Times New Roman"/>
          <w:sz w:val="24"/>
          <w:szCs w:val="24"/>
        </w:rPr>
      </w:pPr>
    </w:p>
    <w:p w:rsidR="00CA0107" w:rsidRPr="00CB38AA" w:rsidRDefault="00CA0107" w:rsidP="00DF6EEA">
      <w:pPr>
        <w:spacing w:after="0" w:line="240" w:lineRule="auto"/>
        <w:jc w:val="center"/>
        <w:rPr>
          <w:rFonts w:ascii="Times New Roman" w:eastAsia="Times New Roman" w:hAnsi="Times New Roman" w:cs="Times New Roman"/>
          <w:b/>
          <w:sz w:val="24"/>
          <w:szCs w:val="24"/>
        </w:rPr>
      </w:pPr>
      <w:r w:rsidRPr="00CB38AA">
        <w:rPr>
          <w:rFonts w:ascii="Times New Roman" w:eastAsia="Times New Roman" w:hAnsi="Times New Roman" w:cs="Times New Roman"/>
          <w:b/>
          <w:sz w:val="24"/>
          <w:szCs w:val="24"/>
        </w:rPr>
        <w:t>TÍTULO SEGUNDO</w:t>
      </w:r>
    </w:p>
    <w:p w:rsidR="00CA0107" w:rsidRPr="00CB38AA" w:rsidRDefault="00CA0107" w:rsidP="00DF6EEA">
      <w:pPr>
        <w:spacing w:after="0" w:line="240" w:lineRule="auto"/>
        <w:jc w:val="center"/>
        <w:rPr>
          <w:rFonts w:ascii="Times New Roman" w:eastAsia="Times New Roman" w:hAnsi="Times New Roman" w:cs="Times New Roman"/>
          <w:b/>
          <w:sz w:val="24"/>
          <w:szCs w:val="24"/>
        </w:rPr>
      </w:pPr>
    </w:p>
    <w:p w:rsidR="00CA0107" w:rsidRPr="00CB38AA" w:rsidRDefault="00CA0107" w:rsidP="00DF6EEA">
      <w:pPr>
        <w:spacing w:after="0" w:line="240" w:lineRule="auto"/>
        <w:jc w:val="center"/>
        <w:rPr>
          <w:rFonts w:ascii="Times New Roman" w:eastAsia="Arial" w:hAnsi="Times New Roman" w:cs="Times New Roman"/>
          <w:b/>
          <w:sz w:val="24"/>
          <w:szCs w:val="24"/>
        </w:rPr>
      </w:pPr>
      <w:r w:rsidRPr="00CB38AA">
        <w:rPr>
          <w:rFonts w:ascii="Times New Roman" w:eastAsia="Arial" w:hAnsi="Times New Roman" w:cs="Times New Roman"/>
          <w:b/>
          <w:sz w:val="24"/>
          <w:szCs w:val="24"/>
        </w:rPr>
        <w:t>DEL MEZCAL DEL ESTADO DE MÉXICO Y SU</w:t>
      </w:r>
    </w:p>
    <w:p w:rsidR="00CA0107" w:rsidRPr="00CB38AA" w:rsidRDefault="00CA0107" w:rsidP="00DF6EEA">
      <w:pPr>
        <w:spacing w:after="0" w:line="240" w:lineRule="auto"/>
        <w:jc w:val="center"/>
        <w:rPr>
          <w:rFonts w:ascii="Times New Roman" w:eastAsia="Arial" w:hAnsi="Times New Roman" w:cs="Times New Roman"/>
          <w:b/>
          <w:sz w:val="24"/>
          <w:szCs w:val="24"/>
        </w:rPr>
      </w:pPr>
      <w:r w:rsidRPr="00CB38AA">
        <w:rPr>
          <w:rFonts w:ascii="Times New Roman" w:eastAsia="Arial" w:hAnsi="Times New Roman" w:cs="Times New Roman"/>
          <w:b/>
          <w:sz w:val="24"/>
          <w:szCs w:val="24"/>
        </w:rPr>
        <w:t>DENOMINACIÓN DE ORIGEN</w:t>
      </w:r>
    </w:p>
    <w:p w:rsidR="00CA0107" w:rsidRPr="00CB38AA" w:rsidRDefault="00CA0107" w:rsidP="00DF6EEA">
      <w:pPr>
        <w:spacing w:after="0" w:line="240" w:lineRule="auto"/>
        <w:jc w:val="center"/>
        <w:rPr>
          <w:rFonts w:ascii="Times New Roman" w:eastAsia="Arial" w:hAnsi="Times New Roman" w:cs="Times New Roman"/>
          <w:b/>
          <w:sz w:val="24"/>
          <w:szCs w:val="24"/>
        </w:rPr>
      </w:pPr>
    </w:p>
    <w:p w:rsidR="00CA0107" w:rsidRPr="00CB38AA" w:rsidRDefault="00CA0107"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Capítulo I</w:t>
      </w:r>
    </w:p>
    <w:p w:rsidR="00CA0107" w:rsidRPr="00CB38AA" w:rsidRDefault="00CA0107" w:rsidP="00DF6EEA">
      <w:pPr>
        <w:spacing w:after="0" w:line="240" w:lineRule="auto"/>
        <w:jc w:val="center"/>
        <w:rPr>
          <w:rFonts w:ascii="Times New Roman" w:eastAsia="Arial" w:hAnsi="Times New Roman" w:cs="Times New Roman"/>
          <w:b/>
          <w:sz w:val="24"/>
          <w:szCs w:val="24"/>
        </w:rPr>
      </w:pPr>
    </w:p>
    <w:p w:rsidR="00CA0107" w:rsidRPr="00CB38AA" w:rsidRDefault="00CA0107"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Del Reconocimiento y Protección</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lastRenderedPageBreak/>
        <w:t xml:space="preserve">Artículo 6. </w:t>
      </w:r>
      <w:r w:rsidRPr="00CB38AA">
        <w:rPr>
          <w:rFonts w:ascii="Times New Roman" w:eastAsia="Arial" w:hAnsi="Times New Roman" w:cs="Times New Roman"/>
          <w:sz w:val="24"/>
          <w:szCs w:val="24"/>
        </w:rPr>
        <w:t>El mezcal del Estado de México se reconoce como producto con Denominación de Origen protegida.</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7. </w:t>
      </w:r>
      <w:r w:rsidRPr="00CB38AA">
        <w:rPr>
          <w:rFonts w:ascii="Times New Roman" w:eastAsia="Arial" w:hAnsi="Times New Roman" w:cs="Times New Roman"/>
          <w:sz w:val="24"/>
          <w:szCs w:val="24"/>
        </w:rPr>
        <w:t>Se prohíbe el uso indebido, imitación o evocación engañosa del nombre Mezcal del Estado de México.</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TÍTULO TERCERO</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center"/>
        <w:rPr>
          <w:rFonts w:ascii="Times New Roman" w:eastAsia="Arial" w:hAnsi="Times New Roman" w:cs="Times New Roman"/>
          <w:b/>
          <w:sz w:val="24"/>
          <w:szCs w:val="24"/>
        </w:rPr>
      </w:pPr>
      <w:r w:rsidRPr="00CB38AA">
        <w:rPr>
          <w:rFonts w:ascii="Times New Roman" w:eastAsia="Arial" w:hAnsi="Times New Roman" w:cs="Times New Roman"/>
          <w:b/>
          <w:sz w:val="24"/>
          <w:szCs w:val="24"/>
        </w:rPr>
        <w:t>DEL CONSEJO DEL MEZCAL MEXIQUENSE</w:t>
      </w:r>
    </w:p>
    <w:p w:rsidR="00CA0107" w:rsidRPr="00CB38AA" w:rsidRDefault="00CA0107" w:rsidP="00DF6EEA">
      <w:pPr>
        <w:spacing w:after="0" w:line="240" w:lineRule="auto"/>
        <w:jc w:val="center"/>
        <w:rPr>
          <w:rFonts w:ascii="Times New Roman" w:eastAsia="Arial" w:hAnsi="Times New Roman" w:cs="Times New Roman"/>
          <w:b/>
          <w:sz w:val="24"/>
          <w:szCs w:val="24"/>
        </w:rPr>
      </w:pPr>
    </w:p>
    <w:p w:rsidR="00CA0107" w:rsidRPr="00CB38AA" w:rsidRDefault="00CA0107"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Capítulo I</w:t>
      </w:r>
    </w:p>
    <w:p w:rsidR="00CA0107" w:rsidRPr="00CB38AA" w:rsidRDefault="00CA0107" w:rsidP="00DF6EEA">
      <w:pPr>
        <w:spacing w:after="0" w:line="240" w:lineRule="auto"/>
        <w:jc w:val="center"/>
        <w:rPr>
          <w:rFonts w:ascii="Times New Roman" w:eastAsia="Arial" w:hAnsi="Times New Roman" w:cs="Times New Roman"/>
          <w:b/>
          <w:sz w:val="24"/>
          <w:szCs w:val="24"/>
        </w:rPr>
      </w:pPr>
    </w:p>
    <w:p w:rsidR="00CA0107" w:rsidRPr="00CB38AA" w:rsidRDefault="00CA0107" w:rsidP="00DF6EEA">
      <w:pPr>
        <w:spacing w:after="0" w:line="240" w:lineRule="auto"/>
        <w:jc w:val="center"/>
        <w:rPr>
          <w:rFonts w:ascii="Times New Roman" w:eastAsia="Arial" w:hAnsi="Times New Roman" w:cs="Times New Roman"/>
          <w:b/>
          <w:sz w:val="24"/>
          <w:szCs w:val="24"/>
        </w:rPr>
      </w:pPr>
      <w:r w:rsidRPr="00CB38AA">
        <w:rPr>
          <w:rFonts w:ascii="Times New Roman" w:eastAsia="Arial" w:hAnsi="Times New Roman" w:cs="Times New Roman"/>
          <w:b/>
          <w:sz w:val="24"/>
          <w:szCs w:val="24"/>
        </w:rPr>
        <w:t>De la Integración y funcionamiento</w:t>
      </w:r>
    </w:p>
    <w:p w:rsidR="00CA0107" w:rsidRPr="00CB38AA" w:rsidRDefault="00CA0107" w:rsidP="00DF6EEA">
      <w:pPr>
        <w:spacing w:after="0" w:line="240" w:lineRule="auto"/>
        <w:jc w:val="center"/>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8. </w:t>
      </w:r>
      <w:r w:rsidRPr="00CB38AA">
        <w:rPr>
          <w:rFonts w:ascii="Times New Roman" w:eastAsia="Arial" w:hAnsi="Times New Roman" w:cs="Times New Roman"/>
          <w:sz w:val="24"/>
          <w:szCs w:val="24"/>
        </w:rPr>
        <w:t>Se crea el Consejo del Mezcal Mexiquense como órgano técnico de coordinación, certificación, investigación y promoción.</w:t>
      </w:r>
    </w:p>
    <w:p w:rsidR="00CA0107" w:rsidRPr="00CB38AA" w:rsidRDefault="00CA0107" w:rsidP="00DF6EEA">
      <w:pPr>
        <w:spacing w:after="0" w:line="240" w:lineRule="auto"/>
        <w:jc w:val="both"/>
        <w:rPr>
          <w:rFonts w:ascii="Times New Roman" w:eastAsia="Arial"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9. </w:t>
      </w:r>
      <w:r w:rsidRPr="00CB38AA">
        <w:rPr>
          <w:rFonts w:ascii="Times New Roman" w:eastAsia="Arial" w:hAnsi="Times New Roman" w:cs="Times New Roman"/>
          <w:sz w:val="24"/>
          <w:szCs w:val="24"/>
        </w:rPr>
        <w:t>El Consejo se integrará por representantes de productores, comunidades, academia y autoridades Estatales.</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10. </w:t>
      </w:r>
      <w:r w:rsidRPr="00CB38AA">
        <w:rPr>
          <w:rFonts w:ascii="Times New Roman" w:eastAsia="Arial" w:hAnsi="Times New Roman" w:cs="Times New Roman"/>
          <w:sz w:val="24"/>
          <w:szCs w:val="24"/>
        </w:rPr>
        <w:t>El Consejo del Mezcal Mexiquense podrá convocar foros, encuentros, consultas públicas y mesas de trabajo regionales con personas productoras, comunidades mezcaleras, academia y sociedad civil, con el objeto de fortalecer la toma de decisiones, la actualización normativa y la planeación del desarrollo del sector mezcalero.</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TÍTULO CUARTO</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center"/>
        <w:rPr>
          <w:rFonts w:ascii="Times New Roman" w:eastAsia="Arial" w:hAnsi="Times New Roman" w:cs="Times New Roman"/>
          <w:b/>
          <w:sz w:val="24"/>
          <w:szCs w:val="24"/>
        </w:rPr>
      </w:pPr>
      <w:r w:rsidRPr="00CB38AA">
        <w:rPr>
          <w:rFonts w:ascii="Times New Roman" w:eastAsia="Arial" w:hAnsi="Times New Roman" w:cs="Times New Roman"/>
          <w:b/>
          <w:sz w:val="24"/>
          <w:szCs w:val="24"/>
        </w:rPr>
        <w:t>DE LA SUSTENTABILIDAD Y MANEJO DEL AGAVE</w:t>
      </w:r>
    </w:p>
    <w:p w:rsidR="00CA0107" w:rsidRPr="00CB38AA" w:rsidRDefault="00CA0107" w:rsidP="00DF6EEA">
      <w:pPr>
        <w:spacing w:after="0" w:line="240" w:lineRule="auto"/>
        <w:jc w:val="center"/>
        <w:rPr>
          <w:rFonts w:ascii="Times New Roman" w:eastAsia="Arial" w:hAnsi="Times New Roman" w:cs="Times New Roman"/>
          <w:b/>
          <w:sz w:val="24"/>
          <w:szCs w:val="24"/>
        </w:rPr>
      </w:pPr>
    </w:p>
    <w:p w:rsidR="00CA0107" w:rsidRPr="00CB38AA" w:rsidRDefault="00CA0107"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Capítulo I</w:t>
      </w:r>
    </w:p>
    <w:p w:rsidR="00CA0107" w:rsidRPr="00CB38AA" w:rsidRDefault="00CA0107" w:rsidP="00DF6EEA">
      <w:pPr>
        <w:spacing w:after="0" w:line="240" w:lineRule="auto"/>
        <w:jc w:val="center"/>
        <w:rPr>
          <w:rFonts w:ascii="Times New Roman" w:eastAsia="Arial" w:hAnsi="Times New Roman" w:cs="Times New Roman"/>
          <w:b/>
          <w:sz w:val="24"/>
          <w:szCs w:val="24"/>
        </w:rPr>
      </w:pPr>
    </w:p>
    <w:p w:rsidR="00CA0107" w:rsidRPr="00CB38AA" w:rsidRDefault="00CA0107"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De la Extracción, Acopio y Aprovechamiento</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10. </w:t>
      </w:r>
      <w:r w:rsidRPr="00CB38AA">
        <w:rPr>
          <w:rFonts w:ascii="Times New Roman" w:eastAsia="Arial" w:hAnsi="Times New Roman" w:cs="Times New Roman"/>
          <w:sz w:val="24"/>
          <w:szCs w:val="24"/>
        </w:rPr>
        <w:t>La extracción silvestre de agave deberá contar con planes de reposición obligatoria y manejo ambiental de los residuos de la cadena productiva agave-mezcal para su aprovechamiento y correcta disposición.</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11. </w:t>
      </w:r>
      <w:r w:rsidRPr="00CB38AA">
        <w:rPr>
          <w:rFonts w:ascii="Times New Roman" w:eastAsia="Arial" w:hAnsi="Times New Roman" w:cs="Times New Roman"/>
          <w:sz w:val="24"/>
          <w:szCs w:val="24"/>
        </w:rPr>
        <w:t>La Secretaría de medio ambiente regulará el manejo de residuos, bagazo y vinazas conforme a criterios ambientales, conforme al plan de manejo de residuos de la agroindustria del agave-mezcal.</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12. </w:t>
      </w:r>
      <w:r w:rsidRPr="00CB38AA">
        <w:rPr>
          <w:rFonts w:ascii="Times New Roman" w:eastAsia="Arial" w:hAnsi="Times New Roman" w:cs="Times New Roman"/>
          <w:sz w:val="24"/>
          <w:szCs w:val="24"/>
        </w:rPr>
        <w:t>El traslado, acopio y aprovechamiento de leña o madera destinada a los procesos de cocción del agave para la elaboración de mezcal deberá realizarse conforme a la normatividad ambiental y forestal aplicable.</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El Estado promoverá el uso de fuentes de energía sustentables, esquemas de aprovechamiento legal de biomasa, reforestación compensatoria y prácticas que reduzcan la presión sobre los recursos forestales, sin afectar los métodos tradicionales de producción.</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lastRenderedPageBreak/>
        <w:t>TÍTULO QUINTO</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center"/>
        <w:rPr>
          <w:rFonts w:ascii="Times New Roman" w:eastAsia="Arial" w:hAnsi="Times New Roman" w:cs="Times New Roman"/>
          <w:b/>
          <w:sz w:val="24"/>
          <w:szCs w:val="24"/>
        </w:rPr>
      </w:pPr>
      <w:r w:rsidRPr="00CB38AA">
        <w:rPr>
          <w:rFonts w:ascii="Times New Roman" w:eastAsia="Arial" w:hAnsi="Times New Roman" w:cs="Times New Roman"/>
          <w:b/>
          <w:sz w:val="24"/>
          <w:szCs w:val="24"/>
        </w:rPr>
        <w:t>DE LA PRODUCCIÓN, TRANSFORMACIÓN Y</w:t>
      </w:r>
    </w:p>
    <w:p w:rsidR="00CA0107" w:rsidRPr="00CB38AA" w:rsidRDefault="00CA0107" w:rsidP="00DF6EEA">
      <w:pPr>
        <w:spacing w:after="0" w:line="240" w:lineRule="auto"/>
        <w:jc w:val="center"/>
        <w:rPr>
          <w:rFonts w:ascii="Times New Roman" w:eastAsia="Times New Roman" w:hAnsi="Times New Roman" w:cs="Times New Roman"/>
          <w:sz w:val="24"/>
          <w:szCs w:val="24"/>
        </w:rPr>
      </w:pPr>
      <w:r w:rsidRPr="00CB38AA">
        <w:rPr>
          <w:rFonts w:ascii="Times New Roman" w:eastAsia="Arial" w:hAnsi="Times New Roman" w:cs="Times New Roman"/>
          <w:b/>
          <w:sz w:val="24"/>
          <w:szCs w:val="24"/>
        </w:rPr>
        <w:t>COMERCIALIZACIÓN</w:t>
      </w:r>
    </w:p>
    <w:p w:rsidR="00CA0107" w:rsidRPr="00CB38AA" w:rsidRDefault="00CA0107" w:rsidP="00DF6EEA">
      <w:pPr>
        <w:spacing w:after="0" w:line="240" w:lineRule="auto"/>
        <w:jc w:val="both"/>
        <w:rPr>
          <w:rFonts w:ascii="Times New Roman" w:eastAsia="Arial" w:hAnsi="Times New Roman" w:cs="Times New Roman"/>
          <w:b/>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13. </w:t>
      </w:r>
      <w:r w:rsidRPr="00CB38AA">
        <w:rPr>
          <w:rFonts w:ascii="Times New Roman" w:eastAsia="Arial" w:hAnsi="Times New Roman" w:cs="Times New Roman"/>
          <w:sz w:val="24"/>
          <w:szCs w:val="24"/>
        </w:rPr>
        <w:t>La producción y envasado del mezcal deberán cumplir con la normatividad sanitaria y de calidad aplicable.</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14. </w:t>
      </w:r>
      <w:r w:rsidRPr="00CB38AA">
        <w:rPr>
          <w:rFonts w:ascii="Times New Roman" w:eastAsia="Arial" w:hAnsi="Times New Roman" w:cs="Times New Roman"/>
          <w:sz w:val="24"/>
          <w:szCs w:val="24"/>
        </w:rPr>
        <w:t>El Estado fomentará cooperativas, cadenas cortas de comercialización y exportación responsable.</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TÍTULO SEXTO</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center"/>
        <w:rPr>
          <w:rFonts w:ascii="Times New Roman" w:eastAsia="Arial" w:hAnsi="Times New Roman" w:cs="Times New Roman"/>
          <w:b/>
          <w:sz w:val="24"/>
          <w:szCs w:val="24"/>
        </w:rPr>
      </w:pPr>
      <w:r w:rsidRPr="00CB38AA">
        <w:rPr>
          <w:rFonts w:ascii="Times New Roman" w:eastAsia="Arial" w:hAnsi="Times New Roman" w:cs="Times New Roman"/>
          <w:b/>
          <w:sz w:val="24"/>
          <w:szCs w:val="24"/>
        </w:rPr>
        <w:t>DE LOS ESTÍMULOS FISCALES, INCENTIVOS</w:t>
      </w:r>
    </w:p>
    <w:p w:rsidR="00CA0107" w:rsidRPr="00CB38AA" w:rsidRDefault="00CA0107" w:rsidP="00DF6EEA">
      <w:pPr>
        <w:spacing w:after="0" w:line="240" w:lineRule="auto"/>
        <w:jc w:val="center"/>
        <w:rPr>
          <w:rFonts w:ascii="Times New Roman" w:eastAsia="Arial" w:hAnsi="Times New Roman" w:cs="Times New Roman"/>
          <w:b/>
          <w:sz w:val="24"/>
          <w:szCs w:val="24"/>
        </w:rPr>
      </w:pPr>
      <w:r w:rsidRPr="00CB38AA">
        <w:rPr>
          <w:rFonts w:ascii="Times New Roman" w:eastAsia="Arial" w:hAnsi="Times New Roman" w:cs="Times New Roman"/>
          <w:b/>
          <w:sz w:val="24"/>
          <w:szCs w:val="24"/>
        </w:rPr>
        <w:t>ECONÓMICOS Y POLÍTICA TRIBUTARIA DEL MEZCAL</w:t>
      </w:r>
    </w:p>
    <w:p w:rsidR="00CA0107" w:rsidRPr="00CB38AA" w:rsidRDefault="00CA0107"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MEXIQUENSE</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Capítulo I</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De los Estímulos e incentivos económicos</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15. </w:t>
      </w:r>
      <w:r w:rsidRPr="00CB38AA">
        <w:rPr>
          <w:rFonts w:ascii="Times New Roman" w:eastAsia="Arial" w:hAnsi="Times New Roman" w:cs="Times New Roman"/>
          <w:sz w:val="24"/>
          <w:szCs w:val="24"/>
        </w:rPr>
        <w:t>El presente Título tiene por objeto establecer un régimen especial de estímulos fiscales, incentivos económicos y medidas de alivio tributario, con la finalidad de corregir las cargas fiscales excesivas que afectan a las personas productoras de agave y mezcal, fortalecer la formación gradual del sector, impulsar el desarrollo rural sostenible y garantizar la competitividad del mezcal del Estado de México.</w:t>
      </w:r>
    </w:p>
    <w:p w:rsidR="00CA0107" w:rsidRPr="00CB38AA" w:rsidRDefault="00CA0107" w:rsidP="00DF6EEA">
      <w:pPr>
        <w:spacing w:after="0" w:line="240" w:lineRule="auto"/>
        <w:jc w:val="both"/>
        <w:rPr>
          <w:rFonts w:ascii="Times New Roman" w:eastAsia="Arial" w:hAnsi="Times New Roman" w:cs="Times New Roman"/>
          <w:b/>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16. </w:t>
      </w:r>
      <w:r w:rsidRPr="00CB38AA">
        <w:rPr>
          <w:rFonts w:ascii="Times New Roman" w:eastAsia="Arial" w:hAnsi="Times New Roman" w:cs="Times New Roman"/>
          <w:sz w:val="24"/>
          <w:szCs w:val="24"/>
        </w:rPr>
        <w:t>Los estímulos previstos en este Título se regirán por los principios de proporcionalidad tributaria, equidad rural, impulso al pequeño productor, sostenibilidad ambiental, valor agregado local, transparencia y rendición de cuentas.</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17. </w:t>
      </w:r>
      <w:r w:rsidRPr="00CB38AA">
        <w:rPr>
          <w:rFonts w:ascii="Times New Roman" w:eastAsia="Arial" w:hAnsi="Times New Roman" w:cs="Times New Roman"/>
          <w:sz w:val="24"/>
          <w:szCs w:val="24"/>
        </w:rPr>
        <w:t>Tendrán acceso a los estímulos fiscales y económicos las personas físicas o jurídicas colectivas inscritas en el Registro Estatal del Agave y el Mezcal que acrediten:</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 Producción dentro del territorio autorizado;</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II. Cumplimiento de la trazabilidad y certificación aplicable;</w:t>
      </w:r>
    </w:p>
    <w:p w:rsidR="00CA0107" w:rsidRPr="00CB38AA" w:rsidRDefault="00CA0107" w:rsidP="00DF6EEA">
      <w:pPr>
        <w:spacing w:after="0" w:line="240" w:lineRule="auto"/>
        <w:rPr>
          <w:rFonts w:ascii="Times New Roman" w:eastAsia="Arial" w:hAnsi="Times New Roman" w:cs="Times New Roman"/>
          <w:sz w:val="24"/>
          <w:szCs w:val="24"/>
        </w:rPr>
      </w:pPr>
    </w:p>
    <w:p w:rsidR="00CA0107" w:rsidRPr="00CB38AA" w:rsidRDefault="00CA0107"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III. Prácticas de manejo sustentable del agave;</w:t>
      </w:r>
    </w:p>
    <w:p w:rsidR="00CA0107" w:rsidRPr="00CB38AA" w:rsidRDefault="00CA0107" w:rsidP="00DF6EEA">
      <w:pPr>
        <w:spacing w:after="0" w:line="240" w:lineRule="auto"/>
        <w:jc w:val="both"/>
        <w:rPr>
          <w:rFonts w:ascii="Times New Roman" w:eastAsia="Arial"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IV. Cumplimiento de las disposiciones sanitarias y ambientales.</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center"/>
        <w:rPr>
          <w:rFonts w:ascii="Times New Roman" w:eastAsia="Arial" w:hAnsi="Times New Roman" w:cs="Times New Roman"/>
          <w:b/>
          <w:sz w:val="24"/>
          <w:szCs w:val="24"/>
        </w:rPr>
      </w:pPr>
      <w:r w:rsidRPr="00CB38AA">
        <w:rPr>
          <w:rFonts w:ascii="Times New Roman" w:eastAsia="Arial" w:hAnsi="Times New Roman" w:cs="Times New Roman"/>
          <w:b/>
          <w:sz w:val="24"/>
          <w:szCs w:val="24"/>
        </w:rPr>
        <w:t>Capítulo II</w:t>
      </w:r>
    </w:p>
    <w:p w:rsidR="00CA0107" w:rsidRPr="00CB38AA" w:rsidRDefault="00CA0107" w:rsidP="00DF6EEA">
      <w:pPr>
        <w:spacing w:after="0" w:line="240" w:lineRule="auto"/>
        <w:jc w:val="center"/>
        <w:rPr>
          <w:rFonts w:ascii="Times New Roman" w:eastAsia="Arial" w:hAnsi="Times New Roman" w:cs="Times New Roman"/>
          <w:b/>
          <w:sz w:val="24"/>
          <w:szCs w:val="24"/>
        </w:rPr>
      </w:pPr>
    </w:p>
    <w:p w:rsidR="00CA0107" w:rsidRPr="00CB38AA" w:rsidRDefault="00CA0107" w:rsidP="00DF6EEA">
      <w:pPr>
        <w:spacing w:after="0" w:line="240" w:lineRule="auto"/>
        <w:jc w:val="center"/>
        <w:rPr>
          <w:rFonts w:ascii="Times New Roman" w:eastAsia="Arial" w:hAnsi="Times New Roman" w:cs="Times New Roman"/>
          <w:b/>
          <w:sz w:val="24"/>
          <w:szCs w:val="24"/>
        </w:rPr>
      </w:pPr>
      <w:r w:rsidRPr="00CB38AA">
        <w:rPr>
          <w:rFonts w:ascii="Times New Roman" w:eastAsia="Arial" w:hAnsi="Times New Roman" w:cs="Times New Roman"/>
          <w:b/>
          <w:sz w:val="24"/>
          <w:szCs w:val="24"/>
        </w:rPr>
        <w:t>Estímulos Fiscales Estatales</w:t>
      </w:r>
    </w:p>
    <w:p w:rsidR="00CA0107" w:rsidRPr="00CB38AA" w:rsidRDefault="00CA0107" w:rsidP="00DF6EEA">
      <w:pPr>
        <w:spacing w:after="0" w:line="240" w:lineRule="auto"/>
        <w:jc w:val="center"/>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Artículo 18.</w:t>
      </w:r>
      <w:r w:rsidRPr="00CB38AA">
        <w:rPr>
          <w:rFonts w:ascii="Times New Roman" w:eastAsia="Arial" w:hAnsi="Times New Roman" w:cs="Times New Roman"/>
          <w:sz w:val="24"/>
          <w:szCs w:val="24"/>
        </w:rPr>
        <w:t xml:space="preserve"> Se otorga a las personas productoras de mezcal inscritas en el Registro Estatal una reducción de hasta el ochenta por ciento del Impuesto sobre Erogaciones por Remuneraciones al Trabajo Personal, durante los primeros cinco años de operación formal certificada.</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19. </w:t>
      </w:r>
      <w:r w:rsidRPr="00CB38AA">
        <w:rPr>
          <w:rFonts w:ascii="Times New Roman" w:eastAsia="Arial" w:hAnsi="Times New Roman" w:cs="Times New Roman"/>
          <w:sz w:val="24"/>
          <w:szCs w:val="24"/>
        </w:rPr>
        <w:t>Los municipios mezcaleros podrán otorgar estímulos consistentes en reducciones o exenciones del impuesto predial, licencias de funcionamiento y derechos municipales, a las unidades productivas de agave y mezcal que acrediten su inscripción y cumplimiento normativo.</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20. </w:t>
      </w:r>
      <w:r w:rsidRPr="00CB38AA">
        <w:rPr>
          <w:rFonts w:ascii="Times New Roman" w:eastAsia="Arial" w:hAnsi="Times New Roman" w:cs="Times New Roman"/>
          <w:sz w:val="24"/>
          <w:szCs w:val="24"/>
        </w:rPr>
        <w:t>Los establecimientos de hospedaje, restaurantes y servicios turísticos incorporados oficialmente a la Ruta del Mezcal del Estado de México podrán acceder a reducciones de hasta el cincuenta por ciento del Impuesto sobre Hospedaje, conforme a los lineamientos que emita el Ejecutivo.</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Capítulo III</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center"/>
        <w:rPr>
          <w:rFonts w:ascii="Times New Roman" w:eastAsia="Arial" w:hAnsi="Times New Roman" w:cs="Times New Roman"/>
          <w:b/>
          <w:sz w:val="24"/>
          <w:szCs w:val="24"/>
        </w:rPr>
      </w:pPr>
      <w:r w:rsidRPr="00CB38AA">
        <w:rPr>
          <w:rFonts w:ascii="Times New Roman" w:eastAsia="Arial" w:hAnsi="Times New Roman" w:cs="Times New Roman"/>
          <w:b/>
          <w:sz w:val="24"/>
          <w:szCs w:val="24"/>
        </w:rPr>
        <w:t>Del Fondo Estatal para el Desarrollo del Mezcal Mexiquense</w:t>
      </w:r>
    </w:p>
    <w:p w:rsidR="00CA0107" w:rsidRPr="00CB38AA" w:rsidRDefault="00CA0107" w:rsidP="00DF6EEA">
      <w:pPr>
        <w:spacing w:after="0" w:line="240" w:lineRule="auto"/>
        <w:jc w:val="both"/>
        <w:rPr>
          <w:rFonts w:ascii="Times New Roman" w:eastAsia="Arial"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Artículo 21.</w:t>
      </w:r>
      <w:r w:rsidRPr="00CB38AA">
        <w:rPr>
          <w:rFonts w:ascii="Times New Roman" w:eastAsia="Arial" w:hAnsi="Times New Roman" w:cs="Times New Roman"/>
          <w:sz w:val="24"/>
          <w:szCs w:val="24"/>
        </w:rPr>
        <w:t xml:space="preserve"> Se crea el Fondo Estatal para el Desarrollo del Mezcal Mexiquense, como instrumento financiero permanente destinado a fortalecer la cadena productiva del mezcal.</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22. </w:t>
      </w:r>
      <w:r w:rsidRPr="00CB38AA">
        <w:rPr>
          <w:rFonts w:ascii="Times New Roman" w:eastAsia="Arial" w:hAnsi="Times New Roman" w:cs="Times New Roman"/>
          <w:sz w:val="24"/>
          <w:szCs w:val="24"/>
        </w:rPr>
        <w:t>El Fondo contará, entre otros, con los siguientes componentes:</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I. Apoyo directo al cultivo, plantación, sanidad, trazabilidad y mantenimiento de agave;</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II. Subsidios para certificación, trazabilidad y cumplimiento normativo;</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III. Programas de equipamiento productivo tradicional y tecnológico;</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IV. Apoyo a infraestructura sustentable para manejo de residuos;</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V. Reconocimiento económico a maestras y maestros mezcaleros tradicionales.</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Capítulo IV</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center"/>
        <w:rPr>
          <w:rFonts w:ascii="Times New Roman" w:eastAsia="Arial" w:hAnsi="Times New Roman" w:cs="Times New Roman"/>
          <w:b/>
          <w:sz w:val="24"/>
          <w:szCs w:val="24"/>
        </w:rPr>
      </w:pPr>
      <w:r w:rsidRPr="00CB38AA">
        <w:rPr>
          <w:rFonts w:ascii="Times New Roman" w:eastAsia="Arial" w:hAnsi="Times New Roman" w:cs="Times New Roman"/>
          <w:b/>
          <w:sz w:val="24"/>
          <w:szCs w:val="24"/>
        </w:rPr>
        <w:t>Del Financiamiento Preferencial y Alivio Crediticio</w:t>
      </w:r>
    </w:p>
    <w:p w:rsidR="00CA0107" w:rsidRPr="00CB38AA" w:rsidRDefault="00CA0107" w:rsidP="00DF6EEA">
      <w:pPr>
        <w:spacing w:after="0" w:line="240" w:lineRule="auto"/>
        <w:jc w:val="center"/>
        <w:rPr>
          <w:rFonts w:ascii="Times New Roman" w:eastAsia="Arial"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Artículo 23.</w:t>
      </w:r>
      <w:r w:rsidRPr="00CB38AA">
        <w:rPr>
          <w:rFonts w:ascii="Times New Roman" w:eastAsia="Arial" w:hAnsi="Times New Roman" w:cs="Times New Roman"/>
          <w:sz w:val="24"/>
          <w:szCs w:val="24"/>
        </w:rPr>
        <w:t xml:space="preserve"> El Ejecutivo del Estado promoverá créditos con tasas preferenciales no mayores al cinco por ciento anual para proyectos productivos mezcaleros.</w:t>
      </w:r>
    </w:p>
    <w:p w:rsidR="00CA0107" w:rsidRPr="00CB38AA" w:rsidRDefault="00CA0107" w:rsidP="00DF6EEA">
      <w:pPr>
        <w:spacing w:after="0" w:line="240" w:lineRule="auto"/>
        <w:rPr>
          <w:rFonts w:ascii="Times New Roman" w:eastAsia="Calibri"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24. </w:t>
      </w:r>
      <w:r w:rsidRPr="00CB38AA">
        <w:rPr>
          <w:rFonts w:ascii="Times New Roman" w:eastAsia="Arial" w:hAnsi="Times New Roman" w:cs="Times New Roman"/>
          <w:sz w:val="24"/>
          <w:szCs w:val="24"/>
        </w:rPr>
        <w:t>El Fondo Estatal podrá fungir como garante parcial de créditos destinados a certificación, modernización y adquisición de equipo e incorporación a mercados nacionales e internacionales.</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25. </w:t>
      </w:r>
      <w:r w:rsidRPr="00CB38AA">
        <w:rPr>
          <w:rFonts w:ascii="Times New Roman" w:eastAsia="Arial" w:hAnsi="Times New Roman" w:cs="Times New Roman"/>
          <w:sz w:val="24"/>
          <w:szCs w:val="24"/>
        </w:rPr>
        <w:t>Se establecerán programas especiales de microcréditos para mujeres productoras, jóvenes rurales y cooperativas mezcaleras.</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Capítulo V</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Del Programa Estatal de Exportación del Mezcal</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lastRenderedPageBreak/>
        <w:t xml:space="preserve">Artículo 26. </w:t>
      </w:r>
      <w:r w:rsidRPr="00CB38AA">
        <w:rPr>
          <w:rFonts w:ascii="Times New Roman" w:eastAsia="Arial" w:hAnsi="Times New Roman" w:cs="Times New Roman"/>
          <w:sz w:val="24"/>
          <w:szCs w:val="24"/>
        </w:rPr>
        <w:t>El Estado implementará un Programa Estatal de Exportación del Mezcal, que incluirá apoyos para etiquetado internacional, registros sanitarios, estudios de mercado y participación en ferias.</w:t>
      </w:r>
    </w:p>
    <w:p w:rsidR="00CA0107" w:rsidRPr="00CB38AA" w:rsidRDefault="00CA0107" w:rsidP="00DF6EEA">
      <w:pPr>
        <w:spacing w:after="0" w:line="240" w:lineRule="auto"/>
        <w:jc w:val="both"/>
        <w:rPr>
          <w:rFonts w:ascii="Times New Roman" w:eastAsia="Arial"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21. </w:t>
      </w:r>
      <w:r w:rsidRPr="00CB38AA">
        <w:rPr>
          <w:rFonts w:ascii="Times New Roman" w:eastAsia="Arial" w:hAnsi="Times New Roman" w:cs="Times New Roman"/>
          <w:sz w:val="24"/>
          <w:szCs w:val="24"/>
        </w:rPr>
        <w:t>Se crea el sello “Colibrí Estado de México - Mezcal", como distintivo oficial de calidad, origen y competitividad internacional.</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rPr>
          <w:rFonts w:ascii="Times New Roman" w:eastAsia="Calibri" w:hAnsi="Times New Roman" w:cs="Times New Roman"/>
          <w:sz w:val="24"/>
          <w:szCs w:val="24"/>
        </w:rPr>
      </w:pPr>
    </w:p>
    <w:p w:rsidR="00CA0107" w:rsidRPr="00CB38AA" w:rsidRDefault="00CA0107"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Capítulo VI</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De la Transparencia, Evaluación y Revisión de la Política Fiscal</w:t>
      </w:r>
    </w:p>
    <w:p w:rsidR="00CA0107" w:rsidRPr="00CB38AA" w:rsidRDefault="00CA0107" w:rsidP="00DF6EEA">
      <w:pPr>
        <w:spacing w:after="0" w:line="240" w:lineRule="auto"/>
        <w:jc w:val="both"/>
        <w:rPr>
          <w:rFonts w:ascii="Times New Roman" w:eastAsia="Arial" w:hAnsi="Times New Roman" w:cs="Times New Roman"/>
          <w:b/>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28. </w:t>
      </w:r>
      <w:r w:rsidRPr="00CB38AA">
        <w:rPr>
          <w:rFonts w:ascii="Times New Roman" w:eastAsia="Arial" w:hAnsi="Times New Roman" w:cs="Times New Roman"/>
          <w:sz w:val="24"/>
          <w:szCs w:val="24"/>
        </w:rPr>
        <w:t>El Ejecutivo del Estado deberá rendir un informe anual al Congreso sobre el impacto económico, fiscal y social de los estímulos otorgados al sector mezcalero.</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29. </w:t>
      </w:r>
      <w:r w:rsidRPr="00CB38AA">
        <w:rPr>
          <w:rFonts w:ascii="Times New Roman" w:eastAsia="Arial" w:hAnsi="Times New Roman" w:cs="Times New Roman"/>
          <w:sz w:val="24"/>
          <w:szCs w:val="24"/>
        </w:rPr>
        <w:t>Las comunidades y consejos mezcaleros podrán solicitar auditorías sociales y revisiones a la aplicación de los recursos públicos destinados al sector.</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TÍTULO SÉPTIMO</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center"/>
        <w:rPr>
          <w:rFonts w:ascii="Times New Roman" w:eastAsia="Arial" w:hAnsi="Times New Roman" w:cs="Times New Roman"/>
          <w:b/>
          <w:sz w:val="24"/>
          <w:szCs w:val="24"/>
        </w:rPr>
      </w:pPr>
      <w:r w:rsidRPr="00CB38AA">
        <w:rPr>
          <w:rFonts w:ascii="Times New Roman" w:eastAsia="Arial" w:hAnsi="Times New Roman" w:cs="Times New Roman"/>
          <w:b/>
          <w:sz w:val="24"/>
          <w:szCs w:val="24"/>
        </w:rPr>
        <w:t>DEL PATRIMONIO CULTURAL, TURISMO Y SABERES</w:t>
      </w:r>
    </w:p>
    <w:p w:rsidR="00CA0107" w:rsidRPr="00CB38AA" w:rsidRDefault="00CA0107"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TRADICIONALES</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Capítulo I</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center"/>
        <w:rPr>
          <w:rFonts w:ascii="Times New Roman" w:eastAsia="Times New Roman" w:hAnsi="Times New Roman" w:cs="Times New Roman"/>
          <w:sz w:val="24"/>
          <w:szCs w:val="24"/>
        </w:rPr>
      </w:pPr>
      <w:r w:rsidRPr="00CB38AA">
        <w:rPr>
          <w:rFonts w:ascii="Times New Roman" w:eastAsia="Arial" w:hAnsi="Times New Roman" w:cs="Times New Roman"/>
          <w:b/>
          <w:sz w:val="24"/>
          <w:szCs w:val="24"/>
        </w:rPr>
        <w:t>De la difusión y reconocimiento del mezcal mexiquense</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30. </w:t>
      </w:r>
      <w:r w:rsidRPr="00CB38AA">
        <w:rPr>
          <w:rFonts w:ascii="Times New Roman" w:eastAsia="Arial" w:hAnsi="Times New Roman" w:cs="Times New Roman"/>
          <w:sz w:val="24"/>
          <w:szCs w:val="24"/>
        </w:rPr>
        <w:t>El patrimonio mezcalero forma parte del patrimonio cultural inmaterial del Estado de México.</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31. </w:t>
      </w:r>
      <w:r w:rsidRPr="00CB38AA">
        <w:rPr>
          <w:rFonts w:ascii="Times New Roman" w:eastAsia="Arial" w:hAnsi="Times New Roman" w:cs="Times New Roman"/>
          <w:sz w:val="24"/>
          <w:szCs w:val="24"/>
        </w:rPr>
        <w:t>Se impulsarán rutas turísticas, centros de interpretación del agave, fomentar el agroturismo y programas educativos.</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32. </w:t>
      </w:r>
      <w:r w:rsidRPr="00CB38AA">
        <w:rPr>
          <w:rFonts w:ascii="Times New Roman" w:eastAsia="Arial" w:hAnsi="Times New Roman" w:cs="Times New Roman"/>
          <w:sz w:val="24"/>
          <w:szCs w:val="24"/>
        </w:rPr>
        <w:t>El Estado impulsará acciones permanentes de visibilidad, difusión y reconocimiento del mezcal mexiquense, sus personas productoras, comunidades y maestras y maestros mezcaleros, mediante campañas culturales, educativas, turísticas, ferias, exposiciones, plataformas digitales y participación en eventos nacionales e internacionales.</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TÍTULO OCTAVO</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DE LA INVESTIGACIÓN, INNOVACIÓN Y DESARROLLO TECNOLÓGICO</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Capítulo I</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center"/>
        <w:rPr>
          <w:rFonts w:ascii="Times New Roman" w:eastAsia="Arial" w:hAnsi="Times New Roman" w:cs="Times New Roman"/>
          <w:b/>
          <w:sz w:val="24"/>
          <w:szCs w:val="24"/>
        </w:rPr>
      </w:pPr>
      <w:r w:rsidRPr="00CB38AA">
        <w:rPr>
          <w:rFonts w:ascii="Times New Roman" w:eastAsia="Arial" w:hAnsi="Times New Roman" w:cs="Times New Roman"/>
          <w:b/>
          <w:sz w:val="24"/>
          <w:szCs w:val="24"/>
        </w:rPr>
        <w:t>De la investigación de los procesos productivos del agave- mezcal</w:t>
      </w:r>
    </w:p>
    <w:p w:rsidR="00CA0107" w:rsidRPr="00CB38AA" w:rsidRDefault="00CA0107" w:rsidP="00DF6EEA">
      <w:pPr>
        <w:spacing w:after="0" w:line="240" w:lineRule="auto"/>
        <w:jc w:val="center"/>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33. </w:t>
      </w:r>
      <w:r w:rsidRPr="00CB38AA">
        <w:rPr>
          <w:rFonts w:ascii="Times New Roman" w:eastAsia="Arial" w:hAnsi="Times New Roman" w:cs="Times New Roman"/>
          <w:sz w:val="24"/>
          <w:szCs w:val="24"/>
        </w:rPr>
        <w:t xml:space="preserve">El Estado promoverá bancos de germoplasma de los agaves nativos del Estado de México, tecnologías limpias para la producción de mezcal y el aprovechamiento de los </w:t>
      </w:r>
      <w:r w:rsidRPr="00CB38AA">
        <w:rPr>
          <w:rFonts w:ascii="Times New Roman" w:eastAsia="Arial" w:hAnsi="Times New Roman" w:cs="Times New Roman"/>
          <w:sz w:val="24"/>
          <w:szCs w:val="24"/>
        </w:rPr>
        <w:lastRenderedPageBreak/>
        <w:t>subproductos de la agroindustria y convenios con universidades para la investigación de los procesos productivos de toda la cadena agave-mezcal.</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center"/>
        <w:rPr>
          <w:rFonts w:ascii="Times New Roman" w:eastAsia="Arial" w:hAnsi="Times New Roman" w:cs="Times New Roman"/>
          <w:b/>
          <w:sz w:val="24"/>
          <w:szCs w:val="24"/>
        </w:rPr>
      </w:pPr>
    </w:p>
    <w:p w:rsidR="00CA0107" w:rsidRPr="00CB38AA" w:rsidRDefault="00CA0107"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TÍTULO NOVENO</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center"/>
        <w:rPr>
          <w:rFonts w:ascii="Times New Roman" w:eastAsia="Arial" w:hAnsi="Times New Roman" w:cs="Times New Roman"/>
          <w:b/>
          <w:sz w:val="24"/>
          <w:szCs w:val="24"/>
        </w:rPr>
      </w:pPr>
      <w:r w:rsidRPr="00CB38AA">
        <w:rPr>
          <w:rFonts w:ascii="Times New Roman" w:eastAsia="Arial" w:hAnsi="Times New Roman" w:cs="Times New Roman"/>
          <w:b/>
          <w:sz w:val="24"/>
          <w:szCs w:val="24"/>
        </w:rPr>
        <w:t>DE LA VIGILANCIA, INFRACCIONES Y SANCIONES</w:t>
      </w:r>
    </w:p>
    <w:p w:rsidR="00CA0107" w:rsidRPr="00CB38AA" w:rsidRDefault="00CA0107" w:rsidP="00DF6EEA">
      <w:pPr>
        <w:spacing w:after="0" w:line="240" w:lineRule="auto"/>
        <w:jc w:val="center"/>
        <w:rPr>
          <w:rFonts w:ascii="Times New Roman" w:eastAsia="Arial" w:hAnsi="Times New Roman" w:cs="Times New Roman"/>
          <w:b/>
          <w:sz w:val="24"/>
          <w:szCs w:val="24"/>
        </w:rPr>
      </w:pPr>
    </w:p>
    <w:p w:rsidR="00CA0107" w:rsidRPr="00CB38AA" w:rsidRDefault="00CA0107"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Capítulo I</w:t>
      </w:r>
    </w:p>
    <w:p w:rsidR="00CA0107" w:rsidRPr="00CB38AA" w:rsidRDefault="00CA0107" w:rsidP="00DF6EEA">
      <w:pPr>
        <w:spacing w:after="0" w:line="240" w:lineRule="auto"/>
        <w:jc w:val="center"/>
        <w:rPr>
          <w:rFonts w:ascii="Times New Roman" w:eastAsia="Arial" w:hAnsi="Times New Roman" w:cs="Times New Roman"/>
          <w:b/>
          <w:sz w:val="24"/>
          <w:szCs w:val="24"/>
        </w:rPr>
      </w:pPr>
    </w:p>
    <w:p w:rsidR="00CA0107" w:rsidRPr="00CB38AA" w:rsidRDefault="00CA0107"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De las infracciones y sanciones</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34. </w:t>
      </w:r>
      <w:r w:rsidRPr="00CB38AA">
        <w:rPr>
          <w:rFonts w:ascii="Times New Roman" w:eastAsia="Arial" w:hAnsi="Times New Roman" w:cs="Times New Roman"/>
          <w:sz w:val="24"/>
          <w:szCs w:val="24"/>
        </w:rPr>
        <w:t>Las infracciones a esta Ley se clasificarán en leves, graves y muy graves.</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35. </w:t>
      </w:r>
      <w:r w:rsidRPr="00CB38AA">
        <w:rPr>
          <w:rFonts w:ascii="Times New Roman" w:eastAsia="Arial" w:hAnsi="Times New Roman" w:cs="Times New Roman"/>
          <w:sz w:val="24"/>
          <w:szCs w:val="24"/>
        </w:rPr>
        <w:t>Las sanciones podrán consistir en multas, suspensión o cancelación del registro y responsabilidades ambientales.</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center"/>
        <w:rPr>
          <w:rFonts w:ascii="Times New Roman" w:eastAsia="Arial" w:hAnsi="Times New Roman" w:cs="Times New Roman"/>
          <w:b/>
          <w:sz w:val="24"/>
          <w:szCs w:val="24"/>
        </w:rPr>
      </w:pPr>
      <w:r w:rsidRPr="00CB38AA">
        <w:rPr>
          <w:rFonts w:ascii="Times New Roman" w:eastAsia="Arial" w:hAnsi="Times New Roman" w:cs="Times New Roman"/>
          <w:b/>
          <w:sz w:val="24"/>
          <w:szCs w:val="24"/>
        </w:rPr>
        <w:t>TRANSITORIOS</w:t>
      </w:r>
    </w:p>
    <w:p w:rsidR="00CA0107" w:rsidRPr="00CB38AA" w:rsidRDefault="00CA0107" w:rsidP="00DF6EEA">
      <w:pPr>
        <w:spacing w:after="0" w:line="240" w:lineRule="auto"/>
        <w:jc w:val="center"/>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PRIMERO.</w:t>
      </w:r>
      <w:r w:rsidRPr="00CB38AA">
        <w:rPr>
          <w:rFonts w:ascii="Times New Roman" w:eastAsia="Arial" w:hAnsi="Times New Roman" w:cs="Times New Roman"/>
          <w:sz w:val="24"/>
          <w:szCs w:val="24"/>
        </w:rPr>
        <w:t xml:space="preserve"> La presente Ley entrará en vigor al día siguiente de su publicación en el Periódico Oficial del Estado de México.</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rPr>
          <w:rFonts w:ascii="Times New Roman" w:eastAsia="Calibri" w:hAnsi="Times New Roman" w:cs="Times New Roman"/>
          <w:sz w:val="24"/>
          <w:szCs w:val="24"/>
        </w:rPr>
      </w:pPr>
      <w:r w:rsidRPr="00CB38AA">
        <w:rPr>
          <w:rFonts w:ascii="Times New Roman" w:eastAsia="Arial" w:hAnsi="Times New Roman" w:cs="Times New Roman"/>
          <w:b/>
          <w:sz w:val="24"/>
          <w:szCs w:val="24"/>
        </w:rPr>
        <w:t xml:space="preserve">SEGUNDO. </w:t>
      </w:r>
      <w:r w:rsidRPr="00CB38AA">
        <w:rPr>
          <w:rFonts w:ascii="Times New Roman" w:eastAsia="Arial" w:hAnsi="Times New Roman" w:cs="Times New Roman"/>
          <w:sz w:val="24"/>
          <w:szCs w:val="24"/>
        </w:rPr>
        <w:t>Se derogan todas las disposiciones que se opongan a la presente.</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TERCERO. </w:t>
      </w:r>
      <w:r w:rsidRPr="00CB38AA">
        <w:rPr>
          <w:rFonts w:ascii="Times New Roman" w:eastAsia="Arial" w:hAnsi="Times New Roman" w:cs="Times New Roman"/>
          <w:sz w:val="24"/>
          <w:szCs w:val="24"/>
        </w:rPr>
        <w:t>Dentro de los ciento veinte días hábiles posteriores a la entrada en vigor de la presente, el Estado, conforme a su diseño institucional y en el ámbito de su competencia, deberá expedir el reglamento de la presente Ley.</w:t>
      </w:r>
    </w:p>
    <w:p w:rsidR="00CA0107" w:rsidRPr="00CB38AA" w:rsidRDefault="00CA0107" w:rsidP="00DF6EEA">
      <w:pPr>
        <w:spacing w:after="0" w:line="240" w:lineRule="auto"/>
        <w:rPr>
          <w:rFonts w:ascii="Times New Roman" w:eastAsia="Times New Roman" w:hAnsi="Times New Roman" w:cs="Times New Roman"/>
          <w:sz w:val="24"/>
          <w:szCs w:val="24"/>
        </w:rPr>
      </w:pPr>
    </w:p>
    <w:p w:rsidR="00CA0107" w:rsidRPr="00CB38AA" w:rsidRDefault="00CA010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 GOBERNADORA CONSTITUCIONAL DEL ESTADO LIBRE Y SOBERANO DE MÉXICO, MAESTRA DELFINA GÓMEZ ÁLVAREZ, hará publicar y cumplir la presente disposición.</w:t>
      </w:r>
    </w:p>
    <w:p w:rsidR="004B36A7" w:rsidRPr="00CB38AA" w:rsidRDefault="004B36A7" w:rsidP="00DF6EEA">
      <w:pPr>
        <w:spacing w:after="0" w:line="240" w:lineRule="auto"/>
        <w:jc w:val="center"/>
        <w:rPr>
          <w:rFonts w:ascii="Times New Roman" w:hAnsi="Times New Roman" w:cs="Times New Roman"/>
          <w:sz w:val="24"/>
          <w:szCs w:val="24"/>
        </w:rPr>
      </w:pPr>
    </w:p>
    <w:p w:rsidR="004B36A7" w:rsidRPr="00CB38AA" w:rsidRDefault="004B36A7" w:rsidP="00DF6EEA">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(Fin del documento)</w:t>
      </w:r>
    </w:p>
    <w:p w:rsidR="004B36A7" w:rsidRPr="00CB38AA" w:rsidRDefault="004B36A7" w:rsidP="00DF6EEA">
      <w:pPr>
        <w:spacing w:after="0" w:line="240" w:lineRule="auto"/>
        <w:jc w:val="center"/>
        <w:rPr>
          <w:rFonts w:ascii="Times New Roman" w:hAnsi="Times New Roman" w:cs="Times New Roman"/>
          <w:sz w:val="24"/>
          <w:szCs w:val="24"/>
        </w:rPr>
      </w:pP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PRESIDENTA DIP. MARTHA AZUCENA CAMACHO REYNOSO. Gracias diputado Israel Espíndola López.</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Se registra la iniciativa y se remite a las Comisiones Legislativas de Desarrollo Económico, Industrial, Comercial y Minero y de Desarrollo Agropecuario Forestal para su estudio y dictamen.</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En términos del punto número 11, la diputada Zaira Cedillo Silva, presenta en nombre del Grupo Parlamentario del Partido morena, Iniciativa con Proyecto de Decreto por el que se reforma y adicionan diversos artículos del Código Penal del Estado de México a fin de equiparar el delito de estupro con el delito de violación.</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 xml:space="preserve">DIP. ZAIRA CEDILLO SILVA. Con su venia Presidenta.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Compañeras, compañeros, compañere diputados; hoy subo a esta tribuna para hablar de una realidad que durante mucho tiempo se ha querido suavizar con palabras como seducción, cuando en realidad estamos frente a relaciones profundamente desiguales, marcadas con el abuso de poder, con la manipulación y la violencia estructural contra nuestras adolescentes.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En México el delito de estupro ha sido históricamente una figura ambigua, una figura que, bajo interpretaciones restrictivas del consentimiento, ha invisibilizado la violencia ejercida contra </w:t>
      </w:r>
      <w:r w:rsidRPr="00CB38AA">
        <w:rPr>
          <w:rFonts w:ascii="Times New Roman" w:hAnsi="Times New Roman" w:cs="Times New Roman"/>
          <w:sz w:val="24"/>
          <w:szCs w:val="24"/>
        </w:rPr>
        <w:lastRenderedPageBreak/>
        <w:t>niñas y adolescentes, especialmente contra las mujeres; no podemos seguir llamando seducción a lo que en realidad es aprovechamiento, no podemos seguir llamando consentimiento a lo que nace del engaño, a lo que nace de la manipulación emocional o de una relación desigual de poder, los datos son contundentes; en el Estado de México más del 47% de las víctimas de delitos sexuales tienen entre 12 y 17 años, tan solo en el año 2023 se registraron 587 casos de estupro y el 92% de las víctimas eran mujeres adolescentes, detrás de cada uno de estos números hay una historia, hay una adolescente que confió, hay una familia que fue vulnerada, hay un proyecto de vida de una niña o de una joven que fue interrumpido.</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Hoy sabemos por estudios jurídicos y por la experiencia de quienes acompañan a las víctimas que el consentimiento obtenido bajo manipulación emocional no es un consentimiento libre, que cuando existe diferencia significativa de edad, de jerarquía, de autoridad, de situación económica o vulnerabilidad en contextos escolares, religiosos o laborales, no estamos frente a una relación de iguales, estamos frente a una situación de abuso.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Nuestro Código Penal establece actualmente que el estupro se sanciona cuando hay una cópula con una persona mayor de 15 años y menor de 18, obtenida mediante seducción con penas de 1 a 5 años de prisión, pero esta regulación es insuficiente cuando la conducta implica dominio emocional, engaño o abuso del poder.</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Por ello, esta iniciativa que hoy presento lo que propone es adicionar un artículo 273 Ter, que tipifique de manera autónoma el delito de estupro equiparado a violación cuando existe aprovechamiento de relaciones asimétricas entre personas adultas y adolescentes; establecer con claridad sus elementos típicos y las penas específicas, diferenciando del estupro simple; incluir como agravante también en el artículo 274 cuando la conducta se realice mediante la seducción abusiva, aprovechando una diferencia de edad significativa, o una posición de poder, confianza o una situación de autoridad.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Con esta reforma cerraríamos una brecha de impunidad, pero también enviaríamos un mensaje muy claro y contundente, en el Estado de México no normalizamos el abuso disfrazado de consentimiento, esta iniciativa es congruente con los tratados internacionales que obligan al Estado mexicano a proteger a las niñas y adolescentes contra toda forma de violencia, como la CEDAW y la Convención sobre los Derechos del Niño, y también congruente con la reforma constitucional en materia de igualdad sustantiva que en este Congreso ya aprobamos contra las reformas de perspectiva de género y Derechos de las Mujeres a una Vida Libre de Violencia, impulsadas por la Presidenta de la República, la Doctora Claudia Sheinbaum Pardo y también por nuestra Gobernadora, la maestra Delfina Gómez, porque si hablamos de igualdad sustantiva debemos de hablar entonces de protección real, si hablamos de transformación, debemos de hablar de justicia, si hablamos de derechos, debemos hablar de garantizar que ningún adolescente vuelva a ser manipulada bajo el disfraz de una relación consentida.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Esta iniciativa nace del compromiso de proteger a quienes históricamente han sido silenciadas, de reconocer que la violencia no siempre deja moretones o golpes visibles, pero sí deja huellas muy profundas en la vida emocional, en la vida psicológica y social de nuestras adolescentes.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Hoy, compañeras y compañeros diputados, diputade, les invito a acompañar esta propuesta, a decir con claridad que en el Estado de México no seremos cómplices de la desigualdad, que el poder no será una excusa, que la edad no será una ventaja y que la justicia no se relativiza, porque proteger a nuestras niñas y adolescentes no es una opción política, es una obligación ética y moral que tenemos todos los días.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Solicito Presidenta, que se inserte la presente iniciativa de manera íntegra al Diario de los Debates y a la Gaceta Parlamentaria.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Es cu</w:t>
      </w:r>
      <w:r w:rsidR="00C01C03" w:rsidRPr="00CB38AA">
        <w:rPr>
          <w:rFonts w:ascii="Times New Roman" w:hAnsi="Times New Roman" w:cs="Times New Roman"/>
          <w:sz w:val="24"/>
          <w:szCs w:val="24"/>
        </w:rPr>
        <w:t>a</w:t>
      </w:r>
      <w:r w:rsidRPr="00CB38AA">
        <w:rPr>
          <w:rFonts w:ascii="Times New Roman" w:hAnsi="Times New Roman" w:cs="Times New Roman"/>
          <w:sz w:val="24"/>
          <w:szCs w:val="24"/>
        </w:rPr>
        <w:t xml:space="preserve">nto, muchas gracias. </w:t>
      </w:r>
    </w:p>
    <w:p w:rsidR="000A32C7" w:rsidRPr="00CB38AA" w:rsidRDefault="000A32C7" w:rsidP="00DF6EEA">
      <w:pPr>
        <w:pStyle w:val="Sinespaciado"/>
        <w:jc w:val="both"/>
        <w:rPr>
          <w:rFonts w:ascii="Times New Roman" w:hAnsi="Times New Roman" w:cs="Times New Roman"/>
          <w:sz w:val="24"/>
          <w:szCs w:val="24"/>
        </w:rPr>
      </w:pPr>
    </w:p>
    <w:p w:rsidR="000A32C7" w:rsidRPr="00CB38AA" w:rsidRDefault="000A32C7" w:rsidP="00DF6EEA">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lastRenderedPageBreak/>
        <w:t>(Se inserta documento)</w:t>
      </w:r>
    </w:p>
    <w:p w:rsidR="000A32C7" w:rsidRPr="00CB38AA" w:rsidRDefault="000A32C7" w:rsidP="00DF6EEA">
      <w:pPr>
        <w:spacing w:after="0" w:line="240" w:lineRule="auto"/>
        <w:jc w:val="center"/>
        <w:rPr>
          <w:rFonts w:ascii="Times New Roman" w:hAnsi="Times New Roman" w:cs="Times New Roman"/>
          <w:sz w:val="24"/>
          <w:szCs w:val="24"/>
        </w:rPr>
      </w:pPr>
    </w:p>
    <w:p w:rsidR="0038351E" w:rsidRPr="00CB38AA" w:rsidRDefault="0038351E" w:rsidP="00DF6EEA">
      <w:pPr>
        <w:spacing w:after="0" w:line="240" w:lineRule="auto"/>
        <w:jc w:val="center"/>
        <w:rPr>
          <w:rFonts w:ascii="Times New Roman" w:hAnsi="Times New Roman" w:cs="Times New Roman"/>
          <w:b/>
          <w:sz w:val="24"/>
          <w:szCs w:val="24"/>
        </w:rPr>
      </w:pPr>
      <w:r w:rsidRPr="00CB38AA">
        <w:rPr>
          <w:rFonts w:ascii="Times New Roman" w:hAnsi="Times New Roman" w:cs="Times New Roman"/>
          <w:b/>
          <w:sz w:val="24"/>
          <w:szCs w:val="24"/>
        </w:rPr>
        <w:t>DIPUTADA ZAIRA CEDILLO SILVA</w:t>
      </w:r>
    </w:p>
    <w:p w:rsidR="0038351E" w:rsidRPr="00CB38AA" w:rsidRDefault="0038351E" w:rsidP="00DF6EEA">
      <w:pPr>
        <w:spacing w:after="0" w:line="240" w:lineRule="auto"/>
        <w:jc w:val="center"/>
        <w:rPr>
          <w:rFonts w:ascii="Times New Roman" w:hAnsi="Times New Roman" w:cs="Times New Roman"/>
          <w:sz w:val="24"/>
          <w:szCs w:val="24"/>
        </w:rPr>
      </w:pPr>
      <w:r w:rsidRPr="00CB38AA">
        <w:rPr>
          <w:rFonts w:ascii="Times New Roman" w:hAnsi="Times New Roman" w:cs="Times New Roman"/>
          <w:sz w:val="24"/>
          <w:szCs w:val="24"/>
        </w:rPr>
        <w:t>Dto. Local XLII</w:t>
      </w:r>
    </w:p>
    <w:p w:rsidR="0038351E" w:rsidRPr="00CB38AA" w:rsidRDefault="0038351E" w:rsidP="00DF6EEA">
      <w:pPr>
        <w:spacing w:after="0" w:line="240" w:lineRule="auto"/>
        <w:jc w:val="center"/>
        <w:rPr>
          <w:rFonts w:ascii="Times New Roman" w:hAnsi="Times New Roman" w:cs="Times New Roman"/>
          <w:b/>
          <w:sz w:val="24"/>
          <w:szCs w:val="24"/>
        </w:rPr>
      </w:pPr>
      <w:r w:rsidRPr="00CB38AA">
        <w:rPr>
          <w:rFonts w:ascii="Times New Roman" w:hAnsi="Times New Roman" w:cs="Times New Roman"/>
          <w:b/>
          <w:sz w:val="24"/>
          <w:szCs w:val="24"/>
        </w:rPr>
        <w:t>Ecatepec de Morelos</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jc w:val="right"/>
        <w:rPr>
          <w:rFonts w:ascii="Times New Roman" w:hAnsi="Times New Roman" w:cs="Times New Roman"/>
          <w:sz w:val="24"/>
          <w:szCs w:val="24"/>
        </w:rPr>
      </w:pPr>
      <w:r w:rsidRPr="00CB38AA">
        <w:rPr>
          <w:rFonts w:ascii="Times New Roman" w:eastAsia="Arial" w:hAnsi="Times New Roman" w:cs="Times New Roman"/>
          <w:sz w:val="24"/>
          <w:szCs w:val="24"/>
        </w:rPr>
        <w:t>Toluca de Lerdo, México; a 11 de Febrero de 2026</w:t>
      </w:r>
      <w:r w:rsidRPr="00CB38AA">
        <w:rPr>
          <w:rFonts w:ascii="Times New Roman" w:hAnsi="Times New Roman" w:cs="Times New Roman"/>
          <w:sz w:val="24"/>
          <w:szCs w:val="24"/>
        </w:rPr>
        <w:t>.</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rPr>
          <w:rFonts w:ascii="Times New Roman" w:hAnsi="Times New Roman" w:cs="Times New Roman"/>
          <w:b/>
          <w:sz w:val="24"/>
          <w:szCs w:val="24"/>
        </w:rPr>
      </w:pPr>
      <w:r w:rsidRPr="00CB38AA">
        <w:rPr>
          <w:rFonts w:ascii="Times New Roman" w:hAnsi="Times New Roman" w:cs="Times New Roman"/>
          <w:b/>
          <w:sz w:val="24"/>
          <w:szCs w:val="24"/>
        </w:rPr>
        <w:t>DIPUTADA MARTHA AZUCENA CAMACHO REYNOSO</w:t>
      </w:r>
    </w:p>
    <w:p w:rsidR="0038351E" w:rsidRPr="00CB38AA" w:rsidRDefault="0038351E" w:rsidP="00DF6EEA">
      <w:pPr>
        <w:spacing w:after="0" w:line="240" w:lineRule="auto"/>
        <w:rPr>
          <w:rFonts w:ascii="Times New Roman" w:hAnsi="Times New Roman" w:cs="Times New Roman"/>
          <w:sz w:val="24"/>
          <w:szCs w:val="24"/>
        </w:rPr>
      </w:pPr>
      <w:r w:rsidRPr="00CB38AA">
        <w:rPr>
          <w:rFonts w:ascii="Times New Roman" w:hAnsi="Times New Roman" w:cs="Times New Roman"/>
          <w:b/>
          <w:sz w:val="24"/>
          <w:szCs w:val="24"/>
        </w:rPr>
        <w:t>PRESIDENTA DE LA DIRECTIVA DE LA</w:t>
      </w:r>
    </w:p>
    <w:p w:rsidR="0038351E" w:rsidRPr="00CB38AA" w:rsidRDefault="0038351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b/>
          <w:sz w:val="24"/>
          <w:szCs w:val="24"/>
        </w:rPr>
        <w:t>H. “LXII” LEGISLATURA DEL ESTADO LIBRE Y</w:t>
      </w:r>
    </w:p>
    <w:p w:rsidR="0038351E" w:rsidRPr="00CB38AA" w:rsidRDefault="0038351E" w:rsidP="00DF6EEA">
      <w:pPr>
        <w:spacing w:after="0" w:line="240" w:lineRule="auto"/>
        <w:rPr>
          <w:rFonts w:ascii="Times New Roman" w:hAnsi="Times New Roman" w:cs="Times New Roman"/>
          <w:b/>
          <w:sz w:val="24"/>
          <w:szCs w:val="24"/>
        </w:rPr>
      </w:pPr>
      <w:r w:rsidRPr="00CB38AA">
        <w:rPr>
          <w:rFonts w:ascii="Times New Roman" w:hAnsi="Times New Roman" w:cs="Times New Roman"/>
          <w:b/>
          <w:sz w:val="24"/>
          <w:szCs w:val="24"/>
        </w:rPr>
        <w:t>SOBERANO DE MÉXICO</w:t>
      </w:r>
    </w:p>
    <w:p w:rsidR="0038351E" w:rsidRPr="00CB38AA" w:rsidRDefault="0038351E" w:rsidP="00DF6EEA">
      <w:pPr>
        <w:spacing w:after="0" w:line="240" w:lineRule="auto"/>
        <w:rPr>
          <w:rFonts w:ascii="Times New Roman" w:hAnsi="Times New Roman" w:cs="Times New Roman"/>
          <w:sz w:val="24"/>
          <w:szCs w:val="24"/>
        </w:rPr>
      </w:pPr>
      <w:r w:rsidRPr="00CB38AA">
        <w:rPr>
          <w:rFonts w:ascii="Times New Roman" w:hAnsi="Times New Roman" w:cs="Times New Roman"/>
          <w:b/>
          <w:sz w:val="24"/>
          <w:szCs w:val="24"/>
        </w:rPr>
        <w:t>PRESENTE</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Quien suscribe, </w:t>
      </w:r>
      <w:r w:rsidRPr="00CB38AA">
        <w:rPr>
          <w:rFonts w:ascii="Times New Roman" w:eastAsia="Arial" w:hAnsi="Times New Roman" w:cs="Times New Roman"/>
          <w:b/>
          <w:sz w:val="24"/>
          <w:szCs w:val="24"/>
        </w:rPr>
        <w:t>Diputada Zaira Cedillo Silva</w:t>
      </w:r>
      <w:r w:rsidRPr="00CB38AA">
        <w:rPr>
          <w:rFonts w:ascii="Times New Roman" w:eastAsia="Arial" w:hAnsi="Times New Roman" w:cs="Times New Roman"/>
          <w:sz w:val="24"/>
          <w:szCs w:val="24"/>
        </w:rPr>
        <w:t xml:space="preserve">, integrante del grupo parlamentario de morena en la H. LXII Legislatura del Estado Libre y Soberano de México; con fundamento en los artículos 116 de la Constitución Política del Estado Libre y Soberano de México; 38 fracción IV, 78 de la Ley Orgánica del Poder Legislativo del Estado Libre y Soberano de México; así como 72 de su reglamento; someto a consideración de esta Honorable Legislatura el siguiente </w:t>
      </w:r>
      <w:r w:rsidRPr="00CB38AA">
        <w:rPr>
          <w:rFonts w:ascii="Times New Roman" w:eastAsia="Arial" w:hAnsi="Times New Roman" w:cs="Times New Roman"/>
          <w:b/>
          <w:sz w:val="24"/>
          <w:szCs w:val="24"/>
        </w:rPr>
        <w:t xml:space="preserve">Iniciativa con proyecto de decreto por el que se reforma y adicionan diversos artículos del Código Penal del Estado de México a fin de equiparar el delito de estupro con el delito de violación </w:t>
      </w:r>
      <w:r w:rsidRPr="00CB38AA">
        <w:rPr>
          <w:rFonts w:ascii="Times New Roman" w:eastAsia="Arial" w:hAnsi="Times New Roman" w:cs="Times New Roman"/>
          <w:sz w:val="24"/>
          <w:szCs w:val="24"/>
        </w:rPr>
        <w:t>conforme a la siguiente:</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EXPOSICIÓN DE MOTIVOS</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En México, el delito de estupro ha sido históricamente una figura penal ambigua, cuyo tratamiento muchas veces ha invisibilizado la violencia estructural ejercida contra adolescentes, especialmente mujeres, al encubrir como “seducción” lo que en realidad son relaciones desiguales de poder, coerción o manipulación.</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Mientras que en el contexto actual de transformación y justicia social que vive el Estado de México, resulta indispensable avanzar hacia un marco penal más justo y protector de los derechos de la niñez y adolescencia. Las niñas y adolescentes, especialmente, han sido históricamente víctimas de formas sutiles, pero profundamente dañinas de violencia sexual que se amparan en vacíos legales o en interpretaciones restrictivas del consentimiento.</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Diversos estudios jurídicos, como los de Hernández y García (2021) en la </w:t>
      </w:r>
      <w:r w:rsidRPr="00CB38AA">
        <w:rPr>
          <w:rFonts w:ascii="Times New Roman" w:eastAsia="Arial" w:hAnsi="Times New Roman" w:cs="Times New Roman"/>
          <w:i/>
          <w:sz w:val="24"/>
          <w:szCs w:val="24"/>
        </w:rPr>
        <w:t>Revista de Estudios de Género de la UNAM</w:t>
      </w:r>
      <w:r w:rsidRPr="00CB38AA">
        <w:rPr>
          <w:rFonts w:ascii="Times New Roman" w:eastAsia="Arial" w:hAnsi="Times New Roman" w:cs="Times New Roman"/>
          <w:sz w:val="24"/>
          <w:szCs w:val="24"/>
        </w:rPr>
        <w:t xml:space="preserve">, han propuesto una interpretación de la figura del estupro como una forma “institucionalizada” de impunidad frente a delitos sexuales. Por su parte, Morales y López (2020), en un estudio publicado en </w:t>
      </w:r>
      <w:r w:rsidRPr="00CB38AA">
        <w:rPr>
          <w:rFonts w:ascii="Times New Roman" w:eastAsia="Arial" w:hAnsi="Times New Roman" w:cs="Times New Roman"/>
          <w:i/>
          <w:sz w:val="24"/>
          <w:szCs w:val="24"/>
        </w:rPr>
        <w:t>Redalyc</w:t>
      </w:r>
      <w:r w:rsidRPr="00CB38AA">
        <w:rPr>
          <w:rFonts w:ascii="Times New Roman" w:eastAsia="Arial" w:hAnsi="Times New Roman" w:cs="Times New Roman"/>
          <w:sz w:val="24"/>
          <w:szCs w:val="24"/>
        </w:rPr>
        <w:t>, advierten que el consentimiento obtenido bajo manipulación emocional no puede considerarse libre ni legítimo.</w:t>
      </w:r>
      <w:r w:rsidRPr="00CB38AA">
        <w:rPr>
          <w:rFonts w:ascii="Times New Roman" w:eastAsia="Arial" w:hAnsi="Times New Roman" w:cs="Times New Roman"/>
          <w:sz w:val="24"/>
          <w:szCs w:val="24"/>
          <w:vertAlign w:val="superscript"/>
        </w:rPr>
        <w:t>1</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En términos de política criminal, se propone que la ley tipifique de forma expresa los casos en que la “seducción” implica un abuso de poder, ya sea por diferencia de edad, jerarquía, autoridad o situación de vulnerabilidad, como ocurre en contextos escolares, religiosos o laborales.</w:t>
      </w:r>
      <w:r w:rsidRPr="00CB38AA">
        <w:rPr>
          <w:rFonts w:ascii="Times New Roman" w:eastAsia="Arial" w:hAnsi="Times New Roman" w:cs="Times New Roman"/>
          <w:sz w:val="24"/>
          <w:szCs w:val="24"/>
          <w:vertAlign w:val="superscript"/>
        </w:rPr>
        <w:t>2</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Según el </w:t>
      </w:r>
      <w:r w:rsidRPr="00CB38AA">
        <w:rPr>
          <w:rFonts w:ascii="Times New Roman" w:eastAsia="Arial" w:hAnsi="Times New Roman" w:cs="Times New Roman"/>
          <w:b/>
          <w:sz w:val="24"/>
          <w:szCs w:val="24"/>
        </w:rPr>
        <w:t>INEGI (2022)</w:t>
      </w:r>
      <w:r w:rsidRPr="00CB38AA">
        <w:rPr>
          <w:rFonts w:ascii="Times New Roman" w:eastAsia="Arial" w:hAnsi="Times New Roman" w:cs="Times New Roman"/>
          <w:sz w:val="24"/>
          <w:szCs w:val="24"/>
        </w:rPr>
        <w:t>, más del 47% de las víctimas de delitos sexuales en el Estado de México tienen entre 12 y 17 años.</w:t>
      </w:r>
      <w:r w:rsidRPr="00CB38AA">
        <w:rPr>
          <w:rFonts w:ascii="Times New Roman" w:eastAsia="Arial" w:hAnsi="Times New Roman" w:cs="Times New Roman"/>
          <w:sz w:val="24"/>
          <w:szCs w:val="24"/>
          <w:vertAlign w:val="superscript"/>
        </w:rPr>
        <w:t>3</w:t>
      </w:r>
      <w:r w:rsidRPr="00CB38AA">
        <w:rPr>
          <w:rFonts w:ascii="Times New Roman" w:eastAsia="Arial" w:hAnsi="Times New Roman" w:cs="Times New Roman"/>
          <w:sz w:val="24"/>
          <w:szCs w:val="24"/>
        </w:rPr>
        <w:t xml:space="preserve"> El </w:t>
      </w:r>
      <w:r w:rsidRPr="00CB38AA">
        <w:rPr>
          <w:rFonts w:ascii="Times New Roman" w:eastAsia="Arial" w:hAnsi="Times New Roman" w:cs="Times New Roman"/>
          <w:b/>
          <w:sz w:val="24"/>
          <w:szCs w:val="24"/>
        </w:rPr>
        <w:t xml:space="preserve">Banco Nacional de Datos sobre Violencia contra las Mujeres (BANAVIM) </w:t>
      </w:r>
      <w:r w:rsidRPr="00CB38AA">
        <w:rPr>
          <w:rFonts w:ascii="Times New Roman" w:eastAsia="Arial" w:hAnsi="Times New Roman" w:cs="Times New Roman"/>
          <w:sz w:val="24"/>
          <w:szCs w:val="24"/>
        </w:rPr>
        <w:t xml:space="preserve">documentó que tan solo en 2023, se registraron 587 casos de estupro, de los cuales </w:t>
      </w:r>
      <w:r w:rsidRPr="00CB38AA">
        <w:rPr>
          <w:rFonts w:ascii="Times New Roman" w:eastAsia="Arial" w:hAnsi="Times New Roman" w:cs="Times New Roman"/>
          <w:sz w:val="24"/>
          <w:szCs w:val="24"/>
        </w:rPr>
        <w:lastRenderedPageBreak/>
        <w:t>el 92% tuvo como víctima a una mujer adolescente. Estos datos demuestran que el contexto de las relaciones afectivas con adolescentes puede ser explotado por personas adultas, aprovechando su autoridad o posición de ventaja.</w:t>
      </w:r>
      <w:r w:rsidRPr="00CB38AA">
        <w:rPr>
          <w:rFonts w:ascii="Times New Roman" w:eastAsia="Arial" w:hAnsi="Times New Roman" w:cs="Times New Roman"/>
          <w:sz w:val="24"/>
          <w:szCs w:val="24"/>
          <w:vertAlign w:val="superscript"/>
        </w:rPr>
        <w:t>4</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El </w:t>
      </w:r>
      <w:r w:rsidRPr="00CB38AA">
        <w:rPr>
          <w:rFonts w:ascii="Times New Roman" w:eastAsia="Arial" w:hAnsi="Times New Roman" w:cs="Times New Roman"/>
          <w:b/>
          <w:sz w:val="24"/>
          <w:szCs w:val="24"/>
        </w:rPr>
        <w:t xml:space="preserve">Observatorio de Feminicidios del Estado de México </w:t>
      </w:r>
      <w:r w:rsidRPr="00CB38AA">
        <w:rPr>
          <w:rFonts w:ascii="Times New Roman" w:eastAsia="Arial" w:hAnsi="Times New Roman" w:cs="Times New Roman"/>
          <w:sz w:val="24"/>
          <w:szCs w:val="24"/>
        </w:rPr>
        <w:t>ha advertido que en muchos casos las víctimas de estupro desarrollan vínculos de dependencia emocional que inhiben la denuncia, configurando una forma velada de coerción.</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jc w:val="both"/>
        <w:rPr>
          <w:rFonts w:ascii="Times New Roman" w:eastAsia="Calibri" w:hAnsi="Times New Roman" w:cs="Times New Roman"/>
          <w:sz w:val="24"/>
          <w:szCs w:val="24"/>
        </w:rPr>
      </w:pPr>
      <w:r w:rsidRPr="00CB38AA">
        <w:rPr>
          <w:rFonts w:ascii="Times New Roman" w:eastAsia="Calibri" w:hAnsi="Times New Roman" w:cs="Times New Roman"/>
          <w:sz w:val="24"/>
          <w:szCs w:val="24"/>
          <w:vertAlign w:val="superscript"/>
        </w:rPr>
        <w:t>1</w:t>
      </w:r>
      <w:r w:rsidRPr="00CB38AA">
        <w:rPr>
          <w:rFonts w:ascii="Times New Roman" w:eastAsia="Calibri" w:hAnsi="Times New Roman" w:cs="Times New Roman"/>
          <w:sz w:val="24"/>
          <w:szCs w:val="24"/>
        </w:rPr>
        <w:t xml:space="preserve"> Hernández, M., &amp; García, L. (2021). El consentimiento sexual y su dimensión jurídica en adolescentes. Revista de Estudios de Género de la UNAM, 17(2), 45-62.</w:t>
      </w:r>
    </w:p>
    <w:p w:rsidR="0038351E" w:rsidRPr="00CB38AA" w:rsidRDefault="0038351E" w:rsidP="00DF6EEA">
      <w:pPr>
        <w:spacing w:after="0" w:line="240" w:lineRule="auto"/>
        <w:jc w:val="both"/>
        <w:rPr>
          <w:rFonts w:ascii="Times New Roman" w:eastAsia="Calibri" w:hAnsi="Times New Roman" w:cs="Times New Roman"/>
          <w:sz w:val="24"/>
          <w:szCs w:val="24"/>
        </w:rPr>
      </w:pPr>
      <w:r w:rsidRPr="00CB38AA">
        <w:rPr>
          <w:rFonts w:ascii="Times New Roman" w:eastAsia="Calibri" w:hAnsi="Times New Roman" w:cs="Times New Roman"/>
          <w:sz w:val="24"/>
          <w:szCs w:val="24"/>
          <w:vertAlign w:val="superscript"/>
        </w:rPr>
        <w:t>2</w:t>
      </w:r>
      <w:r w:rsidRPr="00CB38AA">
        <w:rPr>
          <w:rFonts w:ascii="Times New Roman" w:eastAsia="Calibri" w:hAnsi="Times New Roman" w:cs="Times New Roman"/>
          <w:sz w:val="24"/>
          <w:szCs w:val="24"/>
        </w:rPr>
        <w:t xml:space="preserve"> Morales, J., &amp; López, R. (2020). El estupro como forma de violencia sexual normalizada. Revista Iberoamericana de Justicia y Género, 12(3), 91-107.</w:t>
      </w:r>
    </w:p>
    <w:p w:rsidR="0038351E" w:rsidRPr="00CB38AA" w:rsidRDefault="0038351E" w:rsidP="00DF6EEA">
      <w:pPr>
        <w:spacing w:after="0" w:line="240" w:lineRule="auto"/>
        <w:jc w:val="both"/>
        <w:rPr>
          <w:rFonts w:ascii="Times New Roman" w:eastAsia="Calibri" w:hAnsi="Times New Roman" w:cs="Times New Roman"/>
          <w:sz w:val="24"/>
          <w:szCs w:val="24"/>
        </w:rPr>
      </w:pPr>
      <w:r w:rsidRPr="00CB38AA">
        <w:rPr>
          <w:rFonts w:ascii="Times New Roman" w:eastAsia="Calibri" w:hAnsi="Times New Roman" w:cs="Times New Roman"/>
          <w:sz w:val="24"/>
          <w:szCs w:val="24"/>
          <w:vertAlign w:val="superscript"/>
        </w:rPr>
        <w:t>3</w:t>
      </w:r>
      <w:r w:rsidRPr="00CB38AA">
        <w:rPr>
          <w:rFonts w:ascii="Times New Roman" w:eastAsia="Calibri" w:hAnsi="Times New Roman" w:cs="Times New Roman"/>
          <w:sz w:val="24"/>
          <w:szCs w:val="24"/>
        </w:rPr>
        <w:t xml:space="preserve"> INEGI. (2022). Estadísticas sobre violencia sexual. Instituto Nacional de Estadística y Geografía. https:/</w:t>
      </w:r>
      <w:hyperlink r:id="rId15">
        <w:r w:rsidRPr="00CB38AA">
          <w:rPr>
            <w:rFonts w:ascii="Times New Roman" w:eastAsia="Calibri" w:hAnsi="Times New Roman" w:cs="Times New Roman"/>
            <w:sz w:val="24"/>
            <w:szCs w:val="24"/>
          </w:rPr>
          <w:t>/www.inegi.org.mx</w:t>
        </w:r>
      </w:hyperlink>
    </w:p>
    <w:p w:rsidR="0038351E" w:rsidRPr="00CB38AA" w:rsidRDefault="0038351E" w:rsidP="00DF6EEA">
      <w:pPr>
        <w:spacing w:after="0" w:line="240" w:lineRule="auto"/>
        <w:rPr>
          <w:rFonts w:ascii="Times New Roman" w:hAnsi="Times New Roman" w:cs="Times New Roman"/>
          <w:sz w:val="24"/>
          <w:szCs w:val="24"/>
        </w:rPr>
      </w:pPr>
      <w:r w:rsidRPr="00CB38AA">
        <w:rPr>
          <w:rFonts w:ascii="Times New Roman" w:eastAsia="Calibri" w:hAnsi="Times New Roman" w:cs="Times New Roman"/>
          <w:sz w:val="24"/>
          <w:szCs w:val="24"/>
          <w:vertAlign w:val="superscript"/>
        </w:rPr>
        <w:t>4</w:t>
      </w:r>
      <w:r w:rsidRPr="00CB38AA">
        <w:rPr>
          <w:rFonts w:ascii="Times New Roman" w:eastAsia="Calibri" w:hAnsi="Times New Roman" w:cs="Times New Roman"/>
          <w:sz w:val="24"/>
          <w:szCs w:val="24"/>
        </w:rPr>
        <w:t xml:space="preserve"> Observatorio de Feminicidios del Estado de México. (2023). Informe anual sobre violencia sexual.</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Estas prácticas, en ocasiones disfrazadas de “usos y costumbres” o justificaciones culturales, implican la vulneración de la libertad personal, sexual, y del derecho a vivir una vida libre de violencia. Se trata de formas de unión no voluntarias que pueden constituir la antesala de abusos sexuales, violencia familiar, trata de personas o explotación infantil.</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De acuerdo con el artículo 271 del Código Penal del Estado de México, el estupro se sanciona cuando hay cópula con una persona mayor de 15 años y menor de 18 años, obtenida mediante seducción, con penas de uno a cinco años de prisión. Sin embargo, esta regulación resulta insuficiente cuando la conducta implica un abuso de poder, engaño, manipulación o dominio emocional, elementos que configuran una afectación grave a la libertad sexual.</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Por su parte, el artículo 273 del código en mención se contemplan supuestos de violación equiparada, sin incluir el aprovechamiento de relaciones asimétricas entre adultos y adolescentes en edad de consentimiento sexual. Aunado a lo anterior se pretende adicionar un articulo 273 Ter como un artículo autónomo que tipifique de forma clara el delito de “estupro equiparado a violación”, estableciendo sus elementos típicos, penas específicas y diferenciación con el estupro simple. De igual manera se busca Incluir en el artículo 274 una fracción adicional que indique como agravante </w:t>
      </w:r>
      <w:r w:rsidRPr="00CB38AA">
        <w:rPr>
          <w:rFonts w:ascii="Times New Roman" w:eastAsia="Arial" w:hAnsi="Times New Roman" w:cs="Times New Roman"/>
          <w:i/>
          <w:sz w:val="24"/>
          <w:szCs w:val="24"/>
        </w:rPr>
        <w:t>“cuando la conducta se realice mediante seducción abusiva hacia personas adolescentes, aprovechando una diferencia de edad significativa o una posición de poder, confianza o autoridad”</w:t>
      </w:r>
      <w:r w:rsidRPr="00CB38AA">
        <w:rPr>
          <w:rFonts w:ascii="Times New Roman" w:eastAsia="Arial" w:hAnsi="Times New Roman" w:cs="Times New Roman"/>
          <w:sz w:val="24"/>
          <w:szCs w:val="24"/>
        </w:rPr>
        <w:t>.</w:t>
      </w:r>
      <w:r w:rsidRPr="00CB38AA">
        <w:rPr>
          <w:rFonts w:ascii="Times New Roman" w:eastAsia="Arial" w:hAnsi="Times New Roman" w:cs="Times New Roman"/>
          <w:sz w:val="24"/>
          <w:szCs w:val="24"/>
          <w:vertAlign w:val="superscript"/>
        </w:rPr>
        <w:t>5</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Diversos tratados internacionales como la Convención sobre la Eliminación de Todas las Formas de Discriminación contra la Mujer (CEDAW), así como la Convención sobre los Derechos del Niño, exigen al Estado mexicano garantizar la protección contra toda forma de violencia y prácticas nocivas, incluyendo las uniones tempranas o forzadas.</w:t>
      </w:r>
    </w:p>
    <w:p w:rsidR="0038351E" w:rsidRPr="00CB38AA" w:rsidRDefault="0038351E" w:rsidP="00DF6EEA">
      <w:pPr>
        <w:spacing w:after="0" w:line="240" w:lineRule="auto"/>
        <w:jc w:val="both"/>
        <w:rPr>
          <w:rFonts w:ascii="Times New Roman" w:eastAsia="Arial" w:hAnsi="Times New Roman" w:cs="Times New Roman"/>
          <w:sz w:val="24"/>
          <w:szCs w:val="24"/>
        </w:rPr>
      </w:pPr>
    </w:p>
    <w:p w:rsidR="0038351E" w:rsidRPr="00CB38AA" w:rsidRDefault="0038351E" w:rsidP="00DF6EEA">
      <w:pPr>
        <w:spacing w:after="0" w:line="240" w:lineRule="auto"/>
        <w:jc w:val="both"/>
        <w:rPr>
          <w:rFonts w:ascii="Times New Roman" w:hAnsi="Times New Roman" w:cs="Times New Roman"/>
          <w:sz w:val="24"/>
          <w:szCs w:val="24"/>
        </w:rPr>
      </w:pPr>
      <w:r w:rsidRPr="00CB38AA">
        <w:rPr>
          <w:rFonts w:ascii="Times New Roman" w:eastAsia="Calibri" w:hAnsi="Times New Roman" w:cs="Times New Roman"/>
          <w:sz w:val="24"/>
          <w:szCs w:val="24"/>
          <w:vertAlign w:val="superscript"/>
        </w:rPr>
        <w:t>5</w:t>
      </w:r>
      <w:r w:rsidRPr="00CB38AA">
        <w:rPr>
          <w:rFonts w:ascii="Times New Roman" w:eastAsia="Calibri" w:hAnsi="Times New Roman" w:cs="Times New Roman"/>
          <w:sz w:val="24"/>
          <w:szCs w:val="24"/>
        </w:rPr>
        <w:t xml:space="preserve"> Hernández, M., &amp; García, L. (2021). El consentimiento sexual y su dimensión jurídica en adolescentes. Revista de Estudios de Género de la UNAM, 17(2), 45-62.</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En ese sentido desde este congreso del Estado de México hemos acompañado la Reforma Constitucional en materia de igualdad sustantiva, perspectiva de género, derecho de las mujeres a una vida libre de violencia y erradicación de la brecha salarial por razones de género impulsada </w:t>
      </w:r>
      <w:r w:rsidRPr="00CB38AA">
        <w:rPr>
          <w:rFonts w:ascii="Times New Roman" w:eastAsia="Arial" w:hAnsi="Times New Roman" w:cs="Times New Roman"/>
          <w:sz w:val="24"/>
          <w:szCs w:val="24"/>
        </w:rPr>
        <w:lastRenderedPageBreak/>
        <w:t>por nuestra Presidenta de México la Dra. Claudia Sheinbaum Pardo, la cual que enmarca un compromiso histórico e integral que garantiza la igualdad sustantiva y el derecho a que las mujeres vivamos una vida libre de violencias; en donde el Estado tiene los deberes reforzados de protección hacia las mujeres, niñas, niños y adolescentes.</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Por lo que en una armonía legislativa en la agenda del cuidado y protección hacia las mujeres, la presenta iniciativa nace del compromiso inquebrantable de esta legisladora por avanzar hacia una legislación que proteja eficazmente a quienes han sido históricamente silenciadas: las niñas y adolescentes que han visto vulnerada su libertad sexual por adultos que, sin ejercer violencia física, se aprovechan de su juventud, su confianza o su subordinación.</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Al tipificar el delito de “estupro equiparado a violación”, proponemos cerrar una brecha de impunidad y al mismo tiempo enviar un mensaje claro: en el Estado de México, la justicia no se relativiza ante el abuso disfrazado de consentimiento.</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Es por lo anterior que someto a esta H. LXII Legislatura la presente iniciativa con proyecto de decreto, para en su caso de considerarlo pertinente se apruebe en sus términos.</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jc w:val="center"/>
        <w:rPr>
          <w:rFonts w:ascii="Times New Roman" w:hAnsi="Times New Roman" w:cs="Times New Roman"/>
          <w:sz w:val="24"/>
          <w:szCs w:val="24"/>
        </w:rPr>
      </w:pPr>
      <w:r w:rsidRPr="00CB38AA">
        <w:rPr>
          <w:rFonts w:ascii="Times New Roman" w:eastAsia="Arial" w:hAnsi="Times New Roman" w:cs="Times New Roman"/>
          <w:b/>
          <w:sz w:val="24"/>
          <w:szCs w:val="24"/>
        </w:rPr>
        <w:t>PROYECTO DE DECRETO</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Único. - </w:t>
      </w:r>
      <w:r w:rsidRPr="00CB38AA">
        <w:rPr>
          <w:rFonts w:ascii="Times New Roman" w:eastAsia="Arial" w:hAnsi="Times New Roman" w:cs="Times New Roman"/>
          <w:sz w:val="24"/>
          <w:szCs w:val="24"/>
        </w:rPr>
        <w:t xml:space="preserve">Por el que se reforma el artículo 209, se adiciona un segundo párrafo al artículo 271, un quinto párrafo al artículo 273, el </w:t>
      </w:r>
      <w:r w:rsidR="00BC30A7" w:rsidRPr="00CB38AA">
        <w:rPr>
          <w:rFonts w:ascii="Times New Roman" w:eastAsia="Arial" w:hAnsi="Times New Roman" w:cs="Times New Roman"/>
          <w:sz w:val="24"/>
          <w:szCs w:val="24"/>
        </w:rPr>
        <w:t>artículo</w:t>
      </w:r>
      <w:r w:rsidRPr="00CB38AA">
        <w:rPr>
          <w:rFonts w:ascii="Times New Roman" w:eastAsia="Arial" w:hAnsi="Times New Roman" w:cs="Times New Roman"/>
          <w:sz w:val="24"/>
          <w:szCs w:val="24"/>
        </w:rPr>
        <w:t xml:space="preserve"> 273 Ter y se adiciona la Fracción IX al artículo 274, y se deroga el artículo 272 del Código Penal del Estado de México.</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Artículo 9</w:t>
      </w:r>
      <w:r w:rsidRPr="00CB38AA">
        <w:rPr>
          <w:rFonts w:ascii="Times New Roman" w:eastAsia="Arial" w:hAnsi="Times New Roman" w:cs="Times New Roman"/>
          <w:sz w:val="24"/>
          <w:szCs w:val="24"/>
        </w:rPr>
        <w:t xml:space="preserve">.- Se califican como delitos graves para todos los efectos legales: el cometido por conductores de vehículos de motor, indicado en el artículo 61 segundo párrafo, fracciones I, II, III y V, el de rebelión, previsto en los artículos 107 último párrafo, 108 primer y tercer párrafos y 110, el de sedición, señalado en el artículo 113 segundo párrafo; el de cohecho, previsto en los artículos 129 y 130 en términos del párrafo segundo del artículo 131, si es cometido por elementos de cuerpos policíacos o servidores de seguridad pública; el de abuso de autoridad, contenido en los artículos 136 fracciones V y X y 137 fracción II; el de peculado, señalado en el artículo 140 fracción II; el de prestación ilícita del servicio público de transporte de pasajeros, señalado en el artículo 148 párrafo segundo; el de encubrimiento, previsto en el artículo 152 párrafo segundo; el de falso testimonio, contenido en las fracciones III y IV del artículo 156, el de evasión a que se refiere el artículo 160, el delito de falsificación de documentos, previsto en el artículo 170 fracción II, el que se refiere a la falsificación y utilización indebida de títulos al portador, documentos de crédito público y documentos relativos al crédito señalado en el artículo 174, el delito de usurpación de funciones públicas o de profesiones, previsto en el artículo 176 penúltimo párrafo, el de uso indebido de uniformes, insignias, distinciones o condecoraciones previsto en el artículo 177, el de delincuencia organizada; previsto en el artículo 178, los delitos en contra del desarrollo urbano, señalados en el primer y segundo párrafos del artículo 189, el de ataques a las vías de comunicación y transporte, contenido en los artículos 193 tercer párrafo y 195, el que se comete en contra de las personas menores de edad y quienes no tienen la capacidad para comprender el significado del hecho, establecidos en el artículo 204 y 205, los contemplados con la utilización de imágenes y/o voz de personas menores de edad o personas que no tienen la capacidad para comprender el significado del hecho para la pornografía, establecidos en el artículo 206, el de lenocinio, previsto en los artículos 209 y 209 bis, el tráfico de menores, contemplado en el artículo 219, el de cremación de cadáver señalado en el artículo 225, el cometido en contra de los productos de los montes o bosques, señalado en los párrafos segundo, tercero, cuarto y quinto fracciones I, II y III </w:t>
      </w:r>
      <w:r w:rsidRPr="00CB38AA">
        <w:rPr>
          <w:rFonts w:ascii="Times New Roman" w:eastAsia="Arial" w:hAnsi="Times New Roman" w:cs="Times New Roman"/>
          <w:sz w:val="24"/>
          <w:szCs w:val="24"/>
        </w:rPr>
        <w:lastRenderedPageBreak/>
        <w:t>del artículo 229; el deterioro de área natural protegida, previsto en el artículo 230, el de lesiones, que señala el artículo 238, fracción V, el de homicidio, contenido en el artículo 241, el de feminicidio, previsto en el artículo 242 bis, el transfeminicidio, contenido en el artículo 281 Bis, el de privación de la libertad de menor de edad, previsto en el artículo 262 primer párrafo, el de extorsión contenido en los párrafos tercero y cuarto del artículo 266; el asalto a una población a que se refiere el artículo 267, el de trata de personas, contemplado en el artículo 268 bis, el de abuso sexual, señalado en el artículo 270,</w:t>
      </w:r>
      <w:r w:rsidRPr="00CB38AA">
        <w:rPr>
          <w:rFonts w:ascii="Times New Roman" w:eastAsia="Arial" w:hAnsi="Times New Roman" w:cs="Times New Roman"/>
          <w:b/>
          <w:sz w:val="24"/>
          <w:szCs w:val="24"/>
        </w:rPr>
        <w:t>el de estupro, señalado en el artículo 271</w:t>
      </w:r>
      <w:r w:rsidRPr="00CB38AA">
        <w:rPr>
          <w:rFonts w:ascii="Times New Roman" w:eastAsia="Arial" w:hAnsi="Times New Roman" w:cs="Times New Roman"/>
          <w:sz w:val="24"/>
          <w:szCs w:val="24"/>
        </w:rPr>
        <w:t>, el de violación, señalado por los artículos 273 y 274, el de robo, contenido en los artículos 290, fracción I en su primer y quinto párrafos, II, III, IV, V, XVI, XVII y XVIII y 292, el de abigeato, señalado en los artículos 297 fracciones II y III, 298 fracción II, y 299 fracciones I y IV, el de despojo, a que se refieren los artículos 308 y 308 Bis, y el de daño en los bienes, señalado en el artículo 311 y; en su caso, su comisión en grado de tentativa como lo establece este código, 314 bis, segundo párrafo, y los previstos en las leyes especiales cuando la pena máxima exceda de diez años de prisión.</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BC30A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Artículo</w:t>
      </w:r>
      <w:r w:rsidR="0038351E" w:rsidRPr="00CB38AA">
        <w:rPr>
          <w:rFonts w:ascii="Times New Roman" w:eastAsia="Arial" w:hAnsi="Times New Roman" w:cs="Times New Roman"/>
          <w:sz w:val="24"/>
          <w:szCs w:val="24"/>
        </w:rPr>
        <w:t xml:space="preserve"> 271.- …</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jc w:val="both"/>
        <w:rPr>
          <w:rFonts w:ascii="Times New Roman" w:eastAsia="Calibri" w:hAnsi="Times New Roman" w:cs="Times New Roman"/>
          <w:sz w:val="24"/>
          <w:szCs w:val="24"/>
        </w:rPr>
      </w:pPr>
      <w:r w:rsidRPr="00CB38AA">
        <w:rPr>
          <w:rFonts w:ascii="Times New Roman" w:eastAsia="Arial" w:hAnsi="Times New Roman" w:cs="Times New Roman"/>
          <w:b/>
          <w:sz w:val="24"/>
          <w:szCs w:val="24"/>
        </w:rPr>
        <w:t>Cuando dicha conducta se realice mediante abuso de autoridad, poder, confianza, dependencia, influencia emocional o cualquier circunstancia que implique un menoscabo grave a la libertad sexual de la víctima, se sancionará conforme a lo previsto en los artículos 273 y 273 TER de este Código</w:t>
      </w:r>
      <w:r w:rsidRPr="00CB38AA">
        <w:rPr>
          <w:rFonts w:ascii="Times New Roman" w:eastAsia="Calibri" w:hAnsi="Times New Roman" w:cs="Times New Roman"/>
          <w:b/>
          <w:sz w:val="24"/>
          <w:szCs w:val="24"/>
        </w:rPr>
        <w:t>.</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Artículo 273.- …</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Se equiparará a la violación y se sancionará como tal, la cópula con persona mayor de quince años y menor de dieciocho, cuando el consentimiento haya sido obtenido mediante manipulación emocional, abuso de confianza, seducción abusiva o aprovechamiento de una posición de autoridad, jerarquía, poder o dependencia.</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BC30A7"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Artículo</w:t>
      </w:r>
      <w:r w:rsidR="0038351E" w:rsidRPr="00CB38AA">
        <w:rPr>
          <w:rFonts w:ascii="Times New Roman" w:eastAsia="Arial" w:hAnsi="Times New Roman" w:cs="Times New Roman"/>
          <w:sz w:val="24"/>
          <w:szCs w:val="24"/>
        </w:rPr>
        <w:t xml:space="preserve"> 272.- </w:t>
      </w:r>
      <w:r w:rsidR="0038351E" w:rsidRPr="00CB38AA">
        <w:rPr>
          <w:rFonts w:ascii="Times New Roman" w:eastAsia="Arial" w:hAnsi="Times New Roman" w:cs="Times New Roman"/>
          <w:b/>
          <w:sz w:val="24"/>
          <w:szCs w:val="24"/>
        </w:rPr>
        <w:t>Derogado</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Artículo 273 Ter .- Se impondrá pena de diez a dieciséis años de prisión y de quinientos a mil días multa a quien, sin ejercer violencia física, tenga cópula con persona mayor de quince años y menor de dieciocho, mediante seducción con abuso de poder, ascendencia moral, influencia, engaño o manipulación, cuando ello implique un menoscabo grave a su libre desarrollo de la personalidad o a su libertad sexual.</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274.- </w:t>
      </w:r>
      <w:r w:rsidRPr="00CB38AA">
        <w:rPr>
          <w:rFonts w:ascii="Times New Roman" w:eastAsia="Arial" w:hAnsi="Times New Roman" w:cs="Times New Roman"/>
          <w:sz w:val="24"/>
          <w:szCs w:val="24"/>
        </w:rPr>
        <w:t>…</w:t>
      </w:r>
    </w:p>
    <w:p w:rsidR="0038351E" w:rsidRPr="00CB38AA" w:rsidRDefault="0038351E" w:rsidP="00DF6EEA">
      <w:pPr>
        <w:spacing w:after="0" w:line="240" w:lineRule="auto"/>
        <w:rPr>
          <w:rFonts w:ascii="Times New Roman" w:eastAsia="Arial" w:hAnsi="Times New Roman" w:cs="Times New Roman"/>
          <w:sz w:val="24"/>
          <w:szCs w:val="24"/>
        </w:rPr>
      </w:pPr>
    </w:p>
    <w:p w:rsidR="0038351E" w:rsidRPr="00CB38AA" w:rsidRDefault="0038351E"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I. a VIII. …</w:t>
      </w:r>
    </w:p>
    <w:p w:rsidR="0038351E" w:rsidRPr="00CB38AA" w:rsidRDefault="0038351E" w:rsidP="00DF6EEA">
      <w:pPr>
        <w:spacing w:after="0" w:line="240" w:lineRule="auto"/>
        <w:jc w:val="both"/>
        <w:rPr>
          <w:rFonts w:ascii="Times New Roman" w:eastAsia="Arial" w:hAnsi="Times New Roman" w:cs="Times New Roman"/>
          <w:b/>
          <w:sz w:val="24"/>
          <w:szCs w:val="24"/>
        </w:rPr>
      </w:pPr>
    </w:p>
    <w:p w:rsidR="0038351E" w:rsidRPr="00CB38AA" w:rsidRDefault="0038351E"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lastRenderedPageBreak/>
        <w:t>IX.- Cuando el delito sea cometido mediante seducción manipulativa hacia personas adolescentes, aprovechando una diferencia de edad significativa, posición jerárquica, relación de autoridad o situación de vulnerabilidad.</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TRANSITORIOS</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ARTÍCULO PRIMERO</w:t>
      </w:r>
      <w:r w:rsidRPr="00CB38AA">
        <w:rPr>
          <w:rFonts w:ascii="Times New Roman" w:eastAsia="Arial" w:hAnsi="Times New Roman" w:cs="Times New Roman"/>
          <w:sz w:val="24"/>
          <w:szCs w:val="24"/>
        </w:rPr>
        <w:t>. - Publíquese el presente acuerdo en el Periódico Oficial “Gaceta del Gobierno”</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ARTÍCULO SEGUNDO</w:t>
      </w:r>
      <w:r w:rsidRPr="00CB38AA">
        <w:rPr>
          <w:rFonts w:ascii="Times New Roman" w:eastAsia="Arial" w:hAnsi="Times New Roman" w:cs="Times New Roman"/>
          <w:sz w:val="24"/>
          <w:szCs w:val="24"/>
        </w:rPr>
        <w:t>- El presente acuerdo entrara en vigor al día siguiente de su publicación en el Periódico Oficial “Gaceta del Gobierno”</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Dado en el Palacio del Poder Legislativo de Toluca de Lerdo a los 11 días del mes de Febrero del año 2025</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jc w:val="center"/>
        <w:rPr>
          <w:rFonts w:ascii="Times New Roman" w:hAnsi="Times New Roman" w:cs="Times New Roman"/>
          <w:b/>
          <w:sz w:val="24"/>
          <w:szCs w:val="24"/>
        </w:rPr>
      </w:pPr>
      <w:r w:rsidRPr="00CB38AA">
        <w:rPr>
          <w:rFonts w:ascii="Times New Roman" w:hAnsi="Times New Roman" w:cs="Times New Roman"/>
          <w:b/>
          <w:sz w:val="24"/>
          <w:szCs w:val="24"/>
        </w:rPr>
        <w:t>ATENTAMENTE</w:t>
      </w:r>
    </w:p>
    <w:p w:rsidR="0038351E" w:rsidRPr="00CB38AA" w:rsidRDefault="0038351E" w:rsidP="00DF6EEA">
      <w:pPr>
        <w:spacing w:after="0" w:line="240" w:lineRule="auto"/>
        <w:jc w:val="center"/>
        <w:rPr>
          <w:rFonts w:ascii="Times New Roman" w:hAnsi="Times New Roman" w:cs="Times New Roman"/>
          <w:sz w:val="24"/>
          <w:szCs w:val="24"/>
        </w:rPr>
      </w:pPr>
      <w:r w:rsidRPr="00CB38AA">
        <w:rPr>
          <w:rFonts w:ascii="Times New Roman" w:hAnsi="Times New Roman" w:cs="Times New Roman"/>
          <w:b/>
          <w:sz w:val="24"/>
          <w:szCs w:val="24"/>
        </w:rPr>
        <w:t>DIPUTADA ZAIRA CEDILLO SILVA</w:t>
      </w:r>
    </w:p>
    <w:p w:rsidR="0038351E" w:rsidRPr="00CB38AA" w:rsidRDefault="0038351E" w:rsidP="00DF6EEA">
      <w:pPr>
        <w:spacing w:after="0" w:line="240" w:lineRule="auto"/>
        <w:jc w:val="center"/>
        <w:rPr>
          <w:rFonts w:ascii="Times New Roman" w:hAnsi="Times New Roman" w:cs="Times New Roman"/>
          <w:sz w:val="24"/>
          <w:szCs w:val="24"/>
        </w:rPr>
      </w:pPr>
      <w:r w:rsidRPr="00CB38AA">
        <w:rPr>
          <w:rFonts w:ascii="Times New Roman" w:hAnsi="Times New Roman" w:cs="Times New Roman"/>
          <w:b/>
          <w:sz w:val="24"/>
          <w:szCs w:val="24"/>
        </w:rPr>
        <w:t>GRUPO PARLAMENTARIO morena</w:t>
      </w:r>
    </w:p>
    <w:p w:rsidR="0038351E" w:rsidRPr="00CB38AA" w:rsidRDefault="0038351E" w:rsidP="00DF6EEA">
      <w:pPr>
        <w:spacing w:after="0" w:line="240" w:lineRule="auto"/>
        <w:rPr>
          <w:rFonts w:ascii="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4414"/>
        <w:gridCol w:w="4415"/>
      </w:tblGrid>
      <w:tr w:rsidR="0038351E" w:rsidRPr="00CB38AA" w:rsidTr="007E5BC1">
        <w:trPr>
          <w:trHeight w:val="20"/>
          <w:jc w:val="center"/>
        </w:trPr>
        <w:tc>
          <w:tcPr>
            <w:tcW w:w="4414" w:type="dxa"/>
            <w:tcBorders>
              <w:top w:val="single" w:sz="5" w:space="0" w:color="000000"/>
              <w:left w:val="single" w:sz="5" w:space="0" w:color="000000"/>
              <w:bottom w:val="single" w:sz="5" w:space="0" w:color="000000"/>
              <w:right w:val="single" w:sz="5" w:space="0" w:color="000000"/>
            </w:tcBorders>
            <w:shd w:val="clear" w:color="auto" w:fill="660033"/>
          </w:tcPr>
          <w:p w:rsidR="0038351E" w:rsidRPr="00CB38AA" w:rsidRDefault="0038351E"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TEXTO VIGENTE</w:t>
            </w:r>
          </w:p>
        </w:tc>
        <w:tc>
          <w:tcPr>
            <w:tcW w:w="4415" w:type="dxa"/>
            <w:tcBorders>
              <w:top w:val="single" w:sz="5" w:space="0" w:color="000000"/>
              <w:left w:val="single" w:sz="5" w:space="0" w:color="000000"/>
              <w:bottom w:val="single" w:sz="5" w:space="0" w:color="000000"/>
              <w:right w:val="single" w:sz="5" w:space="0" w:color="000000"/>
            </w:tcBorders>
            <w:shd w:val="clear" w:color="auto" w:fill="660033"/>
          </w:tcPr>
          <w:p w:rsidR="0038351E" w:rsidRPr="00CB38AA" w:rsidRDefault="0038351E"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TEXTO PROPUESTO</w:t>
            </w:r>
          </w:p>
        </w:tc>
      </w:tr>
      <w:tr w:rsidR="0038351E" w:rsidRPr="00CB38AA" w:rsidTr="007E5BC1">
        <w:trPr>
          <w:trHeight w:val="20"/>
          <w:jc w:val="center"/>
        </w:trPr>
        <w:tc>
          <w:tcPr>
            <w:tcW w:w="8829" w:type="dxa"/>
            <w:gridSpan w:val="2"/>
            <w:tcBorders>
              <w:top w:val="single" w:sz="5" w:space="0" w:color="000000"/>
              <w:left w:val="single" w:sz="5" w:space="0" w:color="000000"/>
              <w:bottom w:val="single" w:sz="5" w:space="0" w:color="000000"/>
              <w:right w:val="single" w:sz="5" w:space="0" w:color="000000"/>
            </w:tcBorders>
          </w:tcPr>
          <w:p w:rsidR="0038351E" w:rsidRPr="00CB38AA" w:rsidRDefault="0038351E" w:rsidP="00DF6EEA">
            <w:pPr>
              <w:spacing w:after="0" w:line="240" w:lineRule="auto"/>
              <w:jc w:val="center"/>
              <w:rPr>
                <w:rFonts w:ascii="Times New Roman" w:eastAsia="Calibri" w:hAnsi="Times New Roman" w:cs="Times New Roman"/>
                <w:sz w:val="24"/>
                <w:szCs w:val="24"/>
              </w:rPr>
            </w:pPr>
            <w:r w:rsidRPr="00CB38AA">
              <w:rPr>
                <w:rFonts w:ascii="Times New Roman" w:eastAsia="Calibri" w:hAnsi="Times New Roman" w:cs="Times New Roman"/>
                <w:b/>
                <w:sz w:val="24"/>
                <w:szCs w:val="24"/>
              </w:rPr>
              <w:t>Código Penal del Estado de México</w:t>
            </w:r>
          </w:p>
        </w:tc>
      </w:tr>
      <w:tr w:rsidR="0038351E" w:rsidRPr="00CB38AA" w:rsidTr="007E5BC1">
        <w:trPr>
          <w:trHeight w:val="20"/>
          <w:jc w:val="center"/>
        </w:trPr>
        <w:tc>
          <w:tcPr>
            <w:tcW w:w="4414" w:type="dxa"/>
            <w:tcBorders>
              <w:top w:val="single" w:sz="5" w:space="0" w:color="000000"/>
              <w:left w:val="single" w:sz="5" w:space="0" w:color="000000"/>
              <w:bottom w:val="single" w:sz="5" w:space="0" w:color="000000"/>
              <w:right w:val="single" w:sz="5" w:space="0" w:color="000000"/>
            </w:tcBorders>
          </w:tcPr>
          <w:p w:rsidR="0038351E" w:rsidRPr="00CB38AA" w:rsidRDefault="0038351E"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TEXTO VIGENTE</w:t>
            </w:r>
          </w:p>
        </w:tc>
        <w:tc>
          <w:tcPr>
            <w:tcW w:w="4415" w:type="dxa"/>
            <w:tcBorders>
              <w:top w:val="single" w:sz="5" w:space="0" w:color="000000"/>
              <w:left w:val="single" w:sz="5" w:space="0" w:color="000000"/>
              <w:bottom w:val="single" w:sz="5" w:space="0" w:color="000000"/>
              <w:right w:val="single" w:sz="5" w:space="0" w:color="000000"/>
            </w:tcBorders>
          </w:tcPr>
          <w:p w:rsidR="0038351E" w:rsidRPr="00CB38AA" w:rsidRDefault="0038351E"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TEXTO PROPUESTO</w:t>
            </w:r>
          </w:p>
        </w:tc>
      </w:tr>
      <w:tr w:rsidR="00873C2E" w:rsidRPr="00CB38AA" w:rsidTr="007E5BC1">
        <w:trPr>
          <w:trHeight w:val="20"/>
          <w:jc w:val="center"/>
        </w:trPr>
        <w:tc>
          <w:tcPr>
            <w:tcW w:w="4414" w:type="dxa"/>
            <w:tcBorders>
              <w:top w:val="single" w:sz="5" w:space="0" w:color="000000"/>
              <w:left w:val="single" w:sz="5" w:space="0" w:color="000000"/>
              <w:right w:val="single" w:sz="5" w:space="0" w:color="000000"/>
            </w:tcBorders>
          </w:tcPr>
          <w:p w:rsidR="00873C2E" w:rsidRPr="00CB38AA" w:rsidRDefault="00873C2E" w:rsidP="00DF6EEA">
            <w:pPr>
              <w:spacing w:after="0" w:line="240" w:lineRule="auto"/>
              <w:jc w:val="both"/>
              <w:rPr>
                <w:rFonts w:ascii="Times New Roman" w:eastAsia="Arial" w:hAnsi="Times New Roman" w:cs="Times New Roman"/>
                <w:sz w:val="24"/>
                <w:szCs w:val="24"/>
              </w:rPr>
            </w:pPr>
            <w:r w:rsidRPr="00CB38AA">
              <w:rPr>
                <w:rFonts w:ascii="Times New Roman" w:eastAsia="Calibri" w:hAnsi="Times New Roman" w:cs="Times New Roman"/>
                <w:b/>
                <w:sz w:val="24"/>
                <w:szCs w:val="24"/>
              </w:rPr>
              <w:t>Artículo 9</w:t>
            </w:r>
            <w:r w:rsidRPr="00CB38AA">
              <w:rPr>
                <w:rFonts w:ascii="Times New Roman" w:eastAsia="Calibri" w:hAnsi="Times New Roman" w:cs="Times New Roman"/>
                <w:sz w:val="24"/>
                <w:szCs w:val="24"/>
              </w:rPr>
              <w:t xml:space="preserve">.- Se califican como delitos graves para todos los efectos legales: el cometido por conductores de vehículos de motor, indicado en el artículo 61 segundo párrafo, fracciones I, II, III y V, el de rebelión, previsto en los artículos 107 último párrafo, 108 primer y tercer párrafos y 110, el de sedición, señalado en el artículo 113 segundo párrafo; el de cohecho, previsto en los artículos 129 y 130 en términos del párrafo segundo del artículo 131, si es cometido por elementos de cuerpos policíacos o servidores de seguridad pública; el de abuso de autoridad, contenido en los artículos 136 fracciones V y X y 137 fracción II; el de peculado, señalado en el artículo 140 fracción II; el de prestación ilícita del servicio público de transporte de pasajeros, señalado en el artículo 148 párrafo segundo; el de encubrimiento, previsto en el artículo 152 párrafo segundo; el de falso testimonio, contenido en las fracciones III y IV del artículo 156, el de evasión a que se refiere el artículo 160, el delito de falsificación de documentos, previsto en el artículo 170 fracción II, el que se refiere a la falsificación </w:t>
            </w:r>
            <w:r w:rsidRPr="00CB38AA">
              <w:rPr>
                <w:rFonts w:ascii="Times New Roman" w:eastAsia="Calibri" w:hAnsi="Times New Roman" w:cs="Times New Roman"/>
                <w:sz w:val="24"/>
                <w:szCs w:val="24"/>
              </w:rPr>
              <w:lastRenderedPageBreak/>
              <w:t xml:space="preserve">y utilización indebida de títulos al portador, documentos de crédito público y documentos relativos al crédito señalado en el artículo 174, el delito de usurpación de funciones públicas o de profesiones, previsto en el artículo 176 penúltimo párrafo, el de uso indebido de uniformes, insignias, distinciones o condecoraciones previsto en el artículo 177, el de delincuencia organizada; previsto en el artículo 178, los delitos en contra del desarrollo urbano, señalados en el primer y segundo párrafos del artículo 189, el de ataques a las vías de comunicación y transporte, contenido en los artículos 193 tercer párrafo y 195, el que se comete en contra de las personas menores de edad y quienes no tienen la capacidad para comprender el significado del hecho, establecidos en el artículo 204 y 205, los contemplados con la utilización de imágenes y/o voz de personas menores de edad o personas que no tienen la capacidad para comprender el significado del hecho para la pornografía, establecidos en el artículo 206, el de lenocinio, previsto en los artículos 209 y 209 bis, el tráfico de menores, contemplado en el artículo 219, el de cremación de cadáver señalado en el artículo 225, el cometido en contra de los productos de los montes o bosques, señalado en los párrafos segundo, tercero, cuarto y quinto fracciones I, II y III del artículo 229; el deterioro de área natural protegida, previsto en el artículo 230, el de lesiones, que señala el artículo 238, fracción V, el de homicidio, contenido en el artículo 241, el de feminicidio, previsto en el artículo 242 bis, el transfeminicidio, contenido en el artículo 281 Bis, el de privación de la libertad de menor de edad, previsto en el artículo 262 primer párrafo, el de extorsión contenido en los párrafos tercero y cuarto del artículo 266; el asalto a una población a que se refiere el artículo 267, el de trata de personas, contemplado en el artículo 268 bis, el de abuso sexual, señalado en el artículo 270, el de estupro, señalado en el artículo 271, el de violación, señalado por los artículos 273 y 274, el de robo, contenido en los artículos 290, fracción I en su primer y quinto párrafos, II, </w:t>
            </w:r>
            <w:r w:rsidRPr="00CB38AA">
              <w:rPr>
                <w:rFonts w:ascii="Times New Roman" w:eastAsia="Calibri" w:hAnsi="Times New Roman" w:cs="Times New Roman"/>
                <w:sz w:val="24"/>
                <w:szCs w:val="24"/>
              </w:rPr>
              <w:lastRenderedPageBreak/>
              <w:t>III, IV, V, XVI, XVII y XVIII y 292, el de abigeato, señalado en los artículos 297 fracciones II y III, 298 fracción II, y 299 fracciones I y IV, el de despojo, a que se refieren los artículos 308 y</w:t>
            </w:r>
            <w:r w:rsidR="003E729D" w:rsidRPr="00CB38AA">
              <w:rPr>
                <w:rFonts w:ascii="Times New Roman" w:eastAsia="Calibri" w:hAnsi="Times New Roman" w:cs="Times New Roman"/>
                <w:sz w:val="24"/>
                <w:szCs w:val="24"/>
              </w:rPr>
              <w:t xml:space="preserve"> </w:t>
            </w:r>
            <w:r w:rsidRPr="00CB38AA">
              <w:rPr>
                <w:rFonts w:ascii="Times New Roman" w:eastAsia="Calibri" w:hAnsi="Times New Roman" w:cs="Times New Roman"/>
                <w:sz w:val="24"/>
                <w:szCs w:val="24"/>
              </w:rPr>
              <w:t>308 Bis, y el de daño en los bienes, señalado en el artículo 311 y; en su caso, su comisión en grado de tentativa como lo establece este código, 314 bis, segundo párrafo, y los previstos en las leyes especiales cuando la pena máxima exceda de diez años de prisión.</w:t>
            </w:r>
          </w:p>
        </w:tc>
        <w:tc>
          <w:tcPr>
            <w:tcW w:w="4415" w:type="dxa"/>
            <w:tcBorders>
              <w:top w:val="single" w:sz="5" w:space="0" w:color="000000"/>
              <w:left w:val="single" w:sz="5" w:space="0" w:color="000000"/>
              <w:right w:val="single" w:sz="5" w:space="0" w:color="000000"/>
            </w:tcBorders>
          </w:tcPr>
          <w:p w:rsidR="00873C2E" w:rsidRPr="00CB38AA" w:rsidRDefault="00873C2E" w:rsidP="00DF6EEA">
            <w:pPr>
              <w:spacing w:after="0" w:line="240" w:lineRule="auto"/>
              <w:jc w:val="both"/>
              <w:rPr>
                <w:rFonts w:ascii="Times New Roman" w:eastAsia="Arial" w:hAnsi="Times New Roman" w:cs="Times New Roman"/>
                <w:sz w:val="24"/>
                <w:szCs w:val="24"/>
              </w:rPr>
            </w:pPr>
            <w:r w:rsidRPr="00CB38AA">
              <w:rPr>
                <w:rFonts w:ascii="Times New Roman" w:eastAsia="Calibri" w:hAnsi="Times New Roman" w:cs="Times New Roman"/>
                <w:b/>
                <w:sz w:val="24"/>
                <w:szCs w:val="24"/>
              </w:rPr>
              <w:lastRenderedPageBreak/>
              <w:t>Artículo 9</w:t>
            </w:r>
            <w:r w:rsidRPr="00CB38AA">
              <w:rPr>
                <w:rFonts w:ascii="Times New Roman" w:eastAsia="Calibri" w:hAnsi="Times New Roman" w:cs="Times New Roman"/>
                <w:sz w:val="24"/>
                <w:szCs w:val="24"/>
              </w:rPr>
              <w:t xml:space="preserve">.- Se califican como delitos graves para todos los efectos legales: el cometido por conductores de vehículos de motor, indicado en el artículo 61 segundo párrafo, fracciones I, II, III y V, el de rebelión, previsto en los artículos 107 último párrafo, 108 primer y tercer párrafos y 110, el de sedición, señalado en el artículo 113 segundo párrafo; el de cohecho, previsto en los artículos 129 y 130 en términos del párrafo segundo del artículo 131, si es cometido por elementos de cuerpos policíacos o servidores de seguridad pública; el de abuso de autoridad, contenido en los artículos 136 fracciones V y X y 137 fracción II; el de peculado, señalado en el artículo 140 fracción II; el de prestación ilícita del servicio público de transporte de pasajeros, señalado en el artículo 148 párrafo segundo; el de encubrimiento, previsto en el artículo 152 párrafo segundo; el de falso testimonio, contenido en las fracciones III y IV del artículo 156, el de evasión a que se refiere el artículo 160, el delito de falsificación de documentos, previsto en el artículo 170 fracción II, el que se refiere a la falsificación </w:t>
            </w:r>
            <w:r w:rsidRPr="00CB38AA">
              <w:rPr>
                <w:rFonts w:ascii="Times New Roman" w:eastAsia="Calibri" w:hAnsi="Times New Roman" w:cs="Times New Roman"/>
                <w:sz w:val="24"/>
                <w:szCs w:val="24"/>
              </w:rPr>
              <w:lastRenderedPageBreak/>
              <w:t>y utilización indebida de títulos al portador, documentos de crédito público y documentos relativos al crédito señalado en el artículo 174, el delito de usurpación de funciones públicas o de profesiones, previsto en el artículo 176 penúltimo párrafo, el de uso indebido de uniformes, insignias, distinciones o condecoraciones previsto en el artículo 177, el de delincuencia organizada; previsto en el artículo 178, los delitos en contra del desarrollo urbano, señalados en el primer y segundo párrafos del artículo 189, el de ataques a las vías de comunicación y transporte, contenido en los artículos 193 tercer párrafo y 195, el que se comete en contra de las personas menores de edad y quienes no tienen la capacidad para comprender el significado del hecho, establecidos en el artículo 204 y 205, los contemplados con la utilización de imágenes y/o voz de personas menores de edad o personas que no tienen la capacidad para comprender el significado del hecho para la pornografía, establecidos en el artículo 206, el de lenocinio, previsto en los artículos 209 y 209 bis, el tráfico de menores, contemplado en el artículo 219, el de cremación de cadáver señalado en el artículo 225, el cometido en contra de los productos de los montes o bosques, señalado en los párrafos segundo, tercero, cuarto y quinto fracciones I, II y III del artículo 229; el deterioro de área natural protegida, previsto en el artículo 230, el de lesiones, que señala el artículo 238, fracción V, el de homicidio, contenido en el artículo 241, el de feminicidio, previsto en el artículo 242 bis, el transfeminicidio, contenido en el artículo 281 Bis, el de privación de la libertad de menor de edad, previsto en el artículo 262 primer párrafo, el de extorsión contenido en los párrafos tercero y cuarto del artículo 266; el asalto a una población a que se refiere el artículo 267, el de trata de personas, contemplado en el artículo 268 bis, el de abuso sexual, señalado en el artículo 270,</w:t>
            </w:r>
            <w:r w:rsidRPr="00CB38AA">
              <w:rPr>
                <w:rFonts w:ascii="Times New Roman" w:eastAsia="Calibri" w:hAnsi="Times New Roman" w:cs="Times New Roman"/>
                <w:b/>
                <w:sz w:val="24"/>
                <w:szCs w:val="24"/>
              </w:rPr>
              <w:t>el de estupro, señalado en el artículo 271</w:t>
            </w:r>
            <w:r w:rsidRPr="00CB38AA">
              <w:rPr>
                <w:rFonts w:ascii="Times New Roman" w:eastAsia="Calibri" w:hAnsi="Times New Roman" w:cs="Times New Roman"/>
                <w:sz w:val="24"/>
                <w:szCs w:val="24"/>
              </w:rPr>
              <w:t xml:space="preserve">, el de violación, señalado por los artículos 273 y 274, el de robo, contenido en los artículos 290, fracción I en su primer y quinto párrafos, II, </w:t>
            </w:r>
            <w:r w:rsidRPr="00CB38AA">
              <w:rPr>
                <w:rFonts w:ascii="Times New Roman" w:eastAsia="Calibri" w:hAnsi="Times New Roman" w:cs="Times New Roman"/>
                <w:sz w:val="24"/>
                <w:szCs w:val="24"/>
              </w:rPr>
              <w:lastRenderedPageBreak/>
              <w:t>III, IV, V, XVI, XVII y XVIII y 292, el de abigeato, señalado en los artículos 297 fracciones II y III, 298 fracción II, y 299 fracciones I y IV, el de despojo, a que se refieren los artículos 308 y 308 Bis, y el de daño en los bienes, señalado en</w:t>
            </w:r>
            <w:r w:rsidR="003E729D" w:rsidRPr="00CB38AA">
              <w:rPr>
                <w:rFonts w:ascii="Times New Roman" w:eastAsia="Calibri" w:hAnsi="Times New Roman" w:cs="Times New Roman"/>
                <w:sz w:val="24"/>
                <w:szCs w:val="24"/>
              </w:rPr>
              <w:t xml:space="preserve"> </w:t>
            </w:r>
            <w:r w:rsidRPr="00CB38AA">
              <w:rPr>
                <w:rFonts w:ascii="Times New Roman" w:eastAsia="Calibri" w:hAnsi="Times New Roman" w:cs="Times New Roman"/>
                <w:sz w:val="24"/>
                <w:szCs w:val="24"/>
              </w:rPr>
              <w:t>el artículo 311 y; en su caso, su comisión en grado de tentativa como lo establece este código, 314 bis, segundo párrafo, y los previstos en las leyes especiales cuando la pena máxima exceda de diez años de prisión.</w:t>
            </w:r>
          </w:p>
        </w:tc>
      </w:tr>
      <w:tr w:rsidR="0038351E" w:rsidRPr="00CB38AA" w:rsidTr="007E5BC1">
        <w:trPr>
          <w:trHeight w:val="473"/>
          <w:jc w:val="center"/>
        </w:trPr>
        <w:tc>
          <w:tcPr>
            <w:tcW w:w="4414" w:type="dxa"/>
            <w:vMerge w:val="restart"/>
            <w:tcBorders>
              <w:top w:val="single" w:sz="5" w:space="0" w:color="000000"/>
              <w:left w:val="single" w:sz="5" w:space="0" w:color="000000"/>
              <w:right w:val="single" w:sz="5" w:space="0" w:color="000000"/>
            </w:tcBorders>
          </w:tcPr>
          <w:p w:rsidR="0038351E" w:rsidRPr="00CB38AA" w:rsidRDefault="0038351E" w:rsidP="00DF6EEA">
            <w:pPr>
              <w:spacing w:after="0" w:line="240" w:lineRule="auto"/>
              <w:rPr>
                <w:rFonts w:ascii="Times New Roman" w:eastAsia="Calibri" w:hAnsi="Times New Roman" w:cs="Times New Roman"/>
                <w:sz w:val="24"/>
                <w:szCs w:val="24"/>
              </w:rPr>
            </w:pPr>
            <w:r w:rsidRPr="00CB38AA">
              <w:rPr>
                <w:rFonts w:ascii="Times New Roman" w:eastAsia="Calibri" w:hAnsi="Times New Roman" w:cs="Times New Roman"/>
                <w:sz w:val="24"/>
                <w:szCs w:val="24"/>
              </w:rPr>
              <w:lastRenderedPageBreak/>
              <w:t>Artículo 271.- …</w:t>
            </w:r>
          </w:p>
        </w:tc>
        <w:tc>
          <w:tcPr>
            <w:tcW w:w="4415" w:type="dxa"/>
            <w:vMerge w:val="restart"/>
            <w:tcBorders>
              <w:top w:val="single" w:sz="5" w:space="0" w:color="000000"/>
              <w:left w:val="single" w:sz="5" w:space="0" w:color="000000"/>
              <w:right w:val="single" w:sz="5" w:space="0" w:color="000000"/>
            </w:tcBorders>
          </w:tcPr>
          <w:p w:rsidR="0038351E" w:rsidRPr="00CB38AA" w:rsidRDefault="0038351E" w:rsidP="00DF6EEA">
            <w:pPr>
              <w:spacing w:after="0" w:line="240" w:lineRule="auto"/>
              <w:jc w:val="both"/>
              <w:rPr>
                <w:rFonts w:ascii="Times New Roman" w:eastAsia="Calibri" w:hAnsi="Times New Roman" w:cs="Times New Roman"/>
                <w:sz w:val="24"/>
                <w:szCs w:val="24"/>
              </w:rPr>
            </w:pPr>
            <w:r w:rsidRPr="00CB38AA">
              <w:rPr>
                <w:rFonts w:ascii="Times New Roman" w:eastAsia="Calibri" w:hAnsi="Times New Roman" w:cs="Times New Roman"/>
                <w:sz w:val="24"/>
                <w:szCs w:val="24"/>
              </w:rPr>
              <w:t>Artículo 271.- …</w:t>
            </w:r>
          </w:p>
          <w:p w:rsidR="0038351E" w:rsidRPr="00CB38AA" w:rsidRDefault="0038351E" w:rsidP="00DF6EEA">
            <w:pPr>
              <w:spacing w:after="0" w:line="240" w:lineRule="auto"/>
              <w:rPr>
                <w:rFonts w:ascii="Times New Roman" w:hAnsi="Times New Roman" w:cs="Times New Roman"/>
                <w:sz w:val="24"/>
                <w:szCs w:val="24"/>
              </w:rPr>
            </w:pPr>
          </w:p>
          <w:p w:rsidR="0038351E" w:rsidRPr="00CB38AA" w:rsidRDefault="0038351E" w:rsidP="00DF6EEA">
            <w:pPr>
              <w:spacing w:after="0" w:line="240" w:lineRule="auto"/>
              <w:jc w:val="both"/>
              <w:rPr>
                <w:rFonts w:ascii="Times New Roman" w:eastAsia="Calibri" w:hAnsi="Times New Roman" w:cs="Times New Roman"/>
                <w:sz w:val="24"/>
                <w:szCs w:val="24"/>
              </w:rPr>
            </w:pPr>
            <w:r w:rsidRPr="00CB38AA">
              <w:rPr>
                <w:rFonts w:ascii="Times New Roman" w:eastAsia="Calibri" w:hAnsi="Times New Roman" w:cs="Times New Roman"/>
                <w:b/>
                <w:sz w:val="24"/>
                <w:szCs w:val="24"/>
              </w:rPr>
              <w:t>Cuando dicha conducta se realice mediante abuso de autoridad, poder, confianza, dependencia, influencia emocional o cualquier circunstancia que implique un menoscabo grave a la libertad sexual de la víctima, se sancionará conforme a lo previsto en los artículos 273 y 273 TER de este Código.</w:t>
            </w:r>
          </w:p>
        </w:tc>
      </w:tr>
      <w:tr w:rsidR="0038351E" w:rsidRPr="00CB38AA" w:rsidTr="007E5BC1">
        <w:trPr>
          <w:trHeight w:val="473"/>
          <w:jc w:val="center"/>
        </w:trPr>
        <w:tc>
          <w:tcPr>
            <w:tcW w:w="4414" w:type="dxa"/>
            <w:vMerge/>
            <w:tcBorders>
              <w:left w:val="single" w:sz="5" w:space="0" w:color="000000"/>
              <w:right w:val="single" w:sz="5" w:space="0" w:color="000000"/>
            </w:tcBorders>
          </w:tcPr>
          <w:p w:rsidR="0038351E" w:rsidRPr="00CB38AA" w:rsidRDefault="0038351E" w:rsidP="00DF6EEA">
            <w:pPr>
              <w:spacing w:after="0" w:line="240" w:lineRule="auto"/>
              <w:rPr>
                <w:rFonts w:ascii="Times New Roman" w:hAnsi="Times New Roman" w:cs="Times New Roman"/>
                <w:sz w:val="24"/>
                <w:szCs w:val="24"/>
              </w:rPr>
            </w:pPr>
          </w:p>
        </w:tc>
        <w:tc>
          <w:tcPr>
            <w:tcW w:w="4415" w:type="dxa"/>
            <w:vMerge/>
            <w:tcBorders>
              <w:left w:val="single" w:sz="5" w:space="0" w:color="000000"/>
              <w:right w:val="single" w:sz="5" w:space="0" w:color="000000"/>
            </w:tcBorders>
          </w:tcPr>
          <w:p w:rsidR="0038351E" w:rsidRPr="00CB38AA" w:rsidRDefault="0038351E" w:rsidP="00DF6EEA">
            <w:pPr>
              <w:spacing w:after="0" w:line="240" w:lineRule="auto"/>
              <w:rPr>
                <w:rFonts w:ascii="Times New Roman" w:hAnsi="Times New Roman" w:cs="Times New Roman"/>
                <w:sz w:val="24"/>
                <w:szCs w:val="24"/>
              </w:rPr>
            </w:pPr>
          </w:p>
        </w:tc>
      </w:tr>
      <w:tr w:rsidR="0038351E" w:rsidRPr="00CB38AA" w:rsidTr="007E5BC1">
        <w:trPr>
          <w:trHeight w:val="473"/>
          <w:jc w:val="center"/>
        </w:trPr>
        <w:tc>
          <w:tcPr>
            <w:tcW w:w="4414" w:type="dxa"/>
            <w:vMerge/>
            <w:tcBorders>
              <w:left w:val="single" w:sz="5" w:space="0" w:color="000000"/>
              <w:right w:val="single" w:sz="5" w:space="0" w:color="000000"/>
            </w:tcBorders>
          </w:tcPr>
          <w:p w:rsidR="0038351E" w:rsidRPr="00CB38AA" w:rsidRDefault="0038351E" w:rsidP="00DF6EEA">
            <w:pPr>
              <w:spacing w:after="0" w:line="240" w:lineRule="auto"/>
              <w:rPr>
                <w:rFonts w:ascii="Times New Roman" w:hAnsi="Times New Roman" w:cs="Times New Roman"/>
                <w:sz w:val="24"/>
                <w:szCs w:val="24"/>
              </w:rPr>
            </w:pPr>
          </w:p>
        </w:tc>
        <w:tc>
          <w:tcPr>
            <w:tcW w:w="4415" w:type="dxa"/>
            <w:vMerge/>
            <w:tcBorders>
              <w:left w:val="single" w:sz="5" w:space="0" w:color="000000"/>
              <w:right w:val="single" w:sz="5" w:space="0" w:color="000000"/>
            </w:tcBorders>
          </w:tcPr>
          <w:p w:rsidR="0038351E" w:rsidRPr="00CB38AA" w:rsidRDefault="0038351E" w:rsidP="00DF6EEA">
            <w:pPr>
              <w:spacing w:after="0" w:line="240" w:lineRule="auto"/>
              <w:rPr>
                <w:rFonts w:ascii="Times New Roman" w:hAnsi="Times New Roman" w:cs="Times New Roman"/>
                <w:sz w:val="24"/>
                <w:szCs w:val="24"/>
              </w:rPr>
            </w:pPr>
          </w:p>
        </w:tc>
      </w:tr>
      <w:tr w:rsidR="0038351E" w:rsidRPr="00CB38AA" w:rsidTr="007E5BC1">
        <w:trPr>
          <w:trHeight w:val="473"/>
          <w:jc w:val="center"/>
        </w:trPr>
        <w:tc>
          <w:tcPr>
            <w:tcW w:w="4414" w:type="dxa"/>
            <w:vMerge/>
            <w:tcBorders>
              <w:left w:val="single" w:sz="5" w:space="0" w:color="000000"/>
              <w:right w:val="single" w:sz="5" w:space="0" w:color="000000"/>
            </w:tcBorders>
          </w:tcPr>
          <w:p w:rsidR="0038351E" w:rsidRPr="00CB38AA" w:rsidRDefault="0038351E" w:rsidP="00DF6EEA">
            <w:pPr>
              <w:spacing w:after="0" w:line="240" w:lineRule="auto"/>
              <w:rPr>
                <w:rFonts w:ascii="Times New Roman" w:hAnsi="Times New Roman" w:cs="Times New Roman"/>
                <w:sz w:val="24"/>
                <w:szCs w:val="24"/>
              </w:rPr>
            </w:pPr>
          </w:p>
        </w:tc>
        <w:tc>
          <w:tcPr>
            <w:tcW w:w="4415" w:type="dxa"/>
            <w:vMerge/>
            <w:tcBorders>
              <w:left w:val="single" w:sz="5" w:space="0" w:color="000000"/>
              <w:right w:val="single" w:sz="5" w:space="0" w:color="000000"/>
            </w:tcBorders>
          </w:tcPr>
          <w:p w:rsidR="0038351E" w:rsidRPr="00CB38AA" w:rsidRDefault="0038351E" w:rsidP="00DF6EEA">
            <w:pPr>
              <w:spacing w:after="0" w:line="240" w:lineRule="auto"/>
              <w:rPr>
                <w:rFonts w:ascii="Times New Roman" w:hAnsi="Times New Roman" w:cs="Times New Roman"/>
                <w:sz w:val="24"/>
                <w:szCs w:val="24"/>
              </w:rPr>
            </w:pPr>
          </w:p>
        </w:tc>
      </w:tr>
      <w:tr w:rsidR="0038351E" w:rsidRPr="00CB38AA" w:rsidTr="007E5BC1">
        <w:trPr>
          <w:trHeight w:val="473"/>
          <w:jc w:val="center"/>
        </w:trPr>
        <w:tc>
          <w:tcPr>
            <w:tcW w:w="4414" w:type="dxa"/>
            <w:vMerge/>
            <w:tcBorders>
              <w:left w:val="single" w:sz="5" w:space="0" w:color="000000"/>
              <w:bottom w:val="single" w:sz="5" w:space="0" w:color="000000"/>
              <w:right w:val="single" w:sz="5" w:space="0" w:color="000000"/>
            </w:tcBorders>
          </w:tcPr>
          <w:p w:rsidR="0038351E" w:rsidRPr="00CB38AA" w:rsidRDefault="0038351E" w:rsidP="00DF6EEA">
            <w:pPr>
              <w:spacing w:after="0" w:line="240" w:lineRule="auto"/>
              <w:rPr>
                <w:rFonts w:ascii="Times New Roman" w:hAnsi="Times New Roman" w:cs="Times New Roman"/>
                <w:sz w:val="24"/>
                <w:szCs w:val="24"/>
              </w:rPr>
            </w:pPr>
          </w:p>
        </w:tc>
        <w:tc>
          <w:tcPr>
            <w:tcW w:w="4415" w:type="dxa"/>
            <w:vMerge/>
            <w:tcBorders>
              <w:left w:val="single" w:sz="5" w:space="0" w:color="000000"/>
              <w:bottom w:val="single" w:sz="5" w:space="0" w:color="000000"/>
              <w:right w:val="single" w:sz="5" w:space="0" w:color="000000"/>
            </w:tcBorders>
          </w:tcPr>
          <w:p w:rsidR="0038351E" w:rsidRPr="00CB38AA" w:rsidRDefault="0038351E" w:rsidP="00DF6EEA">
            <w:pPr>
              <w:spacing w:after="0" w:line="240" w:lineRule="auto"/>
              <w:rPr>
                <w:rFonts w:ascii="Times New Roman" w:hAnsi="Times New Roman" w:cs="Times New Roman"/>
                <w:sz w:val="24"/>
                <w:szCs w:val="24"/>
              </w:rPr>
            </w:pPr>
          </w:p>
        </w:tc>
      </w:tr>
      <w:tr w:rsidR="0038351E" w:rsidRPr="00CB38AA" w:rsidTr="007E5BC1">
        <w:trPr>
          <w:trHeight w:val="20"/>
          <w:jc w:val="center"/>
        </w:trPr>
        <w:tc>
          <w:tcPr>
            <w:tcW w:w="4414" w:type="dxa"/>
            <w:tcBorders>
              <w:top w:val="single" w:sz="5" w:space="0" w:color="000000"/>
              <w:left w:val="single" w:sz="5" w:space="0" w:color="000000"/>
              <w:right w:val="single" w:sz="5" w:space="0" w:color="000000"/>
            </w:tcBorders>
          </w:tcPr>
          <w:p w:rsidR="0038351E" w:rsidRPr="00CB38AA" w:rsidRDefault="0038351E" w:rsidP="00DF6EEA">
            <w:pPr>
              <w:spacing w:after="0" w:line="240" w:lineRule="auto"/>
              <w:jc w:val="both"/>
              <w:rPr>
                <w:rFonts w:ascii="Times New Roman" w:eastAsia="Calibri" w:hAnsi="Times New Roman" w:cs="Times New Roman"/>
                <w:sz w:val="24"/>
                <w:szCs w:val="24"/>
              </w:rPr>
            </w:pPr>
            <w:r w:rsidRPr="00CB38AA">
              <w:rPr>
                <w:rFonts w:ascii="Times New Roman" w:eastAsia="Calibri" w:hAnsi="Times New Roman" w:cs="Times New Roman"/>
                <w:sz w:val="24"/>
                <w:szCs w:val="24"/>
              </w:rPr>
              <w:t>Artículo 272.- No se procederá contra el inculpado del estupro, si no es por querella de</w:t>
            </w:r>
          </w:p>
          <w:p w:rsidR="0038351E" w:rsidRPr="00CB38AA" w:rsidRDefault="0038351E" w:rsidP="00DF6EEA">
            <w:pPr>
              <w:spacing w:after="0" w:line="240" w:lineRule="auto"/>
              <w:jc w:val="both"/>
              <w:rPr>
                <w:rFonts w:ascii="Times New Roman" w:eastAsia="Calibri" w:hAnsi="Times New Roman" w:cs="Times New Roman"/>
                <w:sz w:val="24"/>
                <w:szCs w:val="24"/>
              </w:rPr>
            </w:pPr>
            <w:r w:rsidRPr="00CB38AA">
              <w:rPr>
                <w:rFonts w:ascii="Times New Roman" w:eastAsia="Calibri" w:hAnsi="Times New Roman" w:cs="Times New Roman"/>
                <w:sz w:val="24"/>
                <w:szCs w:val="24"/>
              </w:rPr>
              <w:t>la parte ofendida, de sus padres o, a falta de éstos, de sus representantes legítimos.</w:t>
            </w:r>
          </w:p>
        </w:tc>
        <w:tc>
          <w:tcPr>
            <w:tcW w:w="4415" w:type="dxa"/>
            <w:tcBorders>
              <w:top w:val="single" w:sz="5" w:space="0" w:color="000000"/>
              <w:left w:val="single" w:sz="5" w:space="0" w:color="000000"/>
              <w:right w:val="single" w:sz="5" w:space="0" w:color="000000"/>
            </w:tcBorders>
          </w:tcPr>
          <w:p w:rsidR="0038351E" w:rsidRPr="00CB38AA" w:rsidRDefault="0038351E" w:rsidP="00DF6EEA">
            <w:pPr>
              <w:spacing w:after="0" w:line="240" w:lineRule="auto"/>
              <w:rPr>
                <w:rFonts w:ascii="Times New Roman" w:eastAsia="Calibri" w:hAnsi="Times New Roman" w:cs="Times New Roman"/>
                <w:sz w:val="24"/>
                <w:szCs w:val="24"/>
              </w:rPr>
            </w:pPr>
            <w:r w:rsidRPr="00CB38AA">
              <w:rPr>
                <w:rFonts w:ascii="Times New Roman" w:eastAsia="Calibri" w:hAnsi="Times New Roman" w:cs="Times New Roman"/>
                <w:sz w:val="24"/>
                <w:szCs w:val="24"/>
              </w:rPr>
              <w:t xml:space="preserve">Artículo 272.- </w:t>
            </w:r>
            <w:r w:rsidRPr="00CB38AA">
              <w:rPr>
                <w:rFonts w:ascii="Times New Roman" w:eastAsia="Calibri" w:hAnsi="Times New Roman" w:cs="Times New Roman"/>
                <w:b/>
                <w:sz w:val="24"/>
                <w:szCs w:val="24"/>
              </w:rPr>
              <w:t>Derogado</w:t>
            </w:r>
          </w:p>
        </w:tc>
      </w:tr>
      <w:tr w:rsidR="00AC3749" w:rsidRPr="00CB38AA" w:rsidTr="007E5BC1">
        <w:trPr>
          <w:trHeight w:val="20"/>
          <w:jc w:val="center"/>
        </w:trPr>
        <w:tc>
          <w:tcPr>
            <w:tcW w:w="4414" w:type="dxa"/>
            <w:tcBorders>
              <w:top w:val="single" w:sz="5" w:space="0" w:color="000000"/>
              <w:left w:val="single" w:sz="5" w:space="0" w:color="000000"/>
              <w:right w:val="single" w:sz="5" w:space="0" w:color="000000"/>
            </w:tcBorders>
          </w:tcPr>
          <w:p w:rsidR="00AC3749" w:rsidRPr="00CB38AA" w:rsidRDefault="00AC3749" w:rsidP="00DF6EEA">
            <w:pPr>
              <w:spacing w:after="0" w:line="240" w:lineRule="auto"/>
              <w:rPr>
                <w:rFonts w:ascii="Times New Roman" w:eastAsia="Calibri" w:hAnsi="Times New Roman" w:cs="Times New Roman"/>
                <w:sz w:val="24"/>
                <w:szCs w:val="24"/>
              </w:rPr>
            </w:pPr>
            <w:r w:rsidRPr="00CB38AA">
              <w:rPr>
                <w:rFonts w:ascii="Times New Roman" w:eastAsia="Calibri" w:hAnsi="Times New Roman" w:cs="Times New Roman"/>
                <w:sz w:val="24"/>
                <w:szCs w:val="24"/>
              </w:rPr>
              <w:t>Artículo 273.-…</w:t>
            </w:r>
          </w:p>
          <w:p w:rsidR="00AC3749" w:rsidRPr="00CB38AA" w:rsidRDefault="00AC3749" w:rsidP="00DF6EEA">
            <w:pPr>
              <w:spacing w:after="0" w:line="240" w:lineRule="auto"/>
              <w:rPr>
                <w:rFonts w:ascii="Times New Roman" w:hAnsi="Times New Roman" w:cs="Times New Roman"/>
                <w:sz w:val="24"/>
                <w:szCs w:val="24"/>
              </w:rPr>
            </w:pPr>
          </w:p>
          <w:p w:rsidR="00AC3749" w:rsidRPr="00CB38AA" w:rsidRDefault="00AC3749" w:rsidP="00DF6EEA">
            <w:pPr>
              <w:spacing w:after="0" w:line="240" w:lineRule="auto"/>
              <w:rPr>
                <w:rFonts w:ascii="Times New Roman" w:eastAsia="Calibri" w:hAnsi="Times New Roman" w:cs="Times New Roman"/>
                <w:sz w:val="24"/>
                <w:szCs w:val="24"/>
              </w:rPr>
            </w:pPr>
            <w:r w:rsidRPr="00CB38AA">
              <w:rPr>
                <w:rFonts w:ascii="Times New Roman" w:eastAsia="Calibri" w:hAnsi="Times New Roman" w:cs="Times New Roman"/>
                <w:b/>
                <w:sz w:val="24"/>
                <w:szCs w:val="24"/>
              </w:rPr>
              <w:t>…</w:t>
            </w:r>
          </w:p>
          <w:p w:rsidR="00AC3749" w:rsidRPr="00CB38AA" w:rsidRDefault="00AC3749" w:rsidP="00DF6EEA">
            <w:pPr>
              <w:spacing w:after="0" w:line="240" w:lineRule="auto"/>
              <w:rPr>
                <w:rFonts w:ascii="Times New Roman" w:eastAsia="Calibri" w:hAnsi="Times New Roman" w:cs="Times New Roman"/>
                <w:sz w:val="24"/>
                <w:szCs w:val="24"/>
              </w:rPr>
            </w:pPr>
            <w:r w:rsidRPr="00CB38AA">
              <w:rPr>
                <w:rFonts w:ascii="Times New Roman" w:eastAsia="Calibri" w:hAnsi="Times New Roman" w:cs="Times New Roman"/>
                <w:b/>
                <w:sz w:val="24"/>
                <w:szCs w:val="24"/>
              </w:rPr>
              <w:t>…</w:t>
            </w:r>
          </w:p>
          <w:p w:rsidR="00AC3749" w:rsidRPr="00CB38AA" w:rsidRDefault="00AC3749" w:rsidP="00DF6EEA">
            <w:pPr>
              <w:spacing w:after="0" w:line="240" w:lineRule="auto"/>
              <w:rPr>
                <w:rFonts w:ascii="Times New Roman" w:eastAsia="Calibri" w:hAnsi="Times New Roman" w:cs="Times New Roman"/>
                <w:sz w:val="24"/>
                <w:szCs w:val="24"/>
              </w:rPr>
            </w:pPr>
            <w:r w:rsidRPr="00CB38AA">
              <w:rPr>
                <w:rFonts w:ascii="Times New Roman" w:eastAsia="Calibri" w:hAnsi="Times New Roman" w:cs="Times New Roman"/>
                <w:b/>
                <w:sz w:val="24"/>
                <w:szCs w:val="24"/>
              </w:rPr>
              <w:t>…</w:t>
            </w:r>
          </w:p>
          <w:p w:rsidR="00AC3749" w:rsidRPr="00CB38AA" w:rsidRDefault="00AC3749" w:rsidP="00DF6EEA">
            <w:pPr>
              <w:spacing w:after="0" w:line="240" w:lineRule="auto"/>
              <w:rPr>
                <w:rFonts w:ascii="Times New Roman" w:eastAsia="Calibri" w:hAnsi="Times New Roman" w:cs="Times New Roman"/>
                <w:sz w:val="24"/>
                <w:szCs w:val="24"/>
              </w:rPr>
            </w:pPr>
            <w:r w:rsidRPr="00CB38AA">
              <w:rPr>
                <w:rFonts w:ascii="Times New Roman" w:eastAsia="Calibri" w:hAnsi="Times New Roman" w:cs="Times New Roman"/>
                <w:b/>
                <w:sz w:val="24"/>
                <w:szCs w:val="24"/>
              </w:rPr>
              <w:t>…</w:t>
            </w:r>
          </w:p>
        </w:tc>
        <w:tc>
          <w:tcPr>
            <w:tcW w:w="4415" w:type="dxa"/>
            <w:tcBorders>
              <w:top w:val="single" w:sz="5" w:space="0" w:color="000000"/>
              <w:left w:val="single" w:sz="5" w:space="0" w:color="000000"/>
              <w:right w:val="single" w:sz="5" w:space="0" w:color="000000"/>
            </w:tcBorders>
          </w:tcPr>
          <w:p w:rsidR="00AC3749" w:rsidRPr="00CB38AA" w:rsidRDefault="00AC3749" w:rsidP="00DF6EEA">
            <w:pPr>
              <w:spacing w:after="0" w:line="240" w:lineRule="auto"/>
              <w:jc w:val="both"/>
              <w:rPr>
                <w:rFonts w:ascii="Times New Roman" w:eastAsia="Calibri" w:hAnsi="Times New Roman" w:cs="Times New Roman"/>
                <w:sz w:val="24"/>
                <w:szCs w:val="24"/>
              </w:rPr>
            </w:pPr>
            <w:r w:rsidRPr="00CB38AA">
              <w:rPr>
                <w:rFonts w:ascii="Times New Roman" w:eastAsia="Calibri" w:hAnsi="Times New Roman" w:cs="Times New Roman"/>
                <w:sz w:val="24"/>
                <w:szCs w:val="24"/>
              </w:rPr>
              <w:t>Artículo 273.- …</w:t>
            </w:r>
          </w:p>
          <w:p w:rsidR="00AC3749" w:rsidRPr="00CB38AA" w:rsidRDefault="00AC3749" w:rsidP="00DF6EEA">
            <w:pPr>
              <w:spacing w:after="0" w:line="240" w:lineRule="auto"/>
              <w:jc w:val="both"/>
              <w:rPr>
                <w:rFonts w:ascii="Times New Roman" w:eastAsia="Calibri" w:hAnsi="Times New Roman" w:cs="Times New Roman"/>
                <w:sz w:val="24"/>
                <w:szCs w:val="24"/>
              </w:rPr>
            </w:pPr>
          </w:p>
          <w:p w:rsidR="00AC3749" w:rsidRPr="00CB38AA" w:rsidRDefault="00AC3749" w:rsidP="00DF6EEA">
            <w:pPr>
              <w:spacing w:after="0" w:line="240" w:lineRule="auto"/>
              <w:jc w:val="both"/>
              <w:rPr>
                <w:rFonts w:ascii="Times New Roman" w:eastAsia="Calibri" w:hAnsi="Times New Roman" w:cs="Times New Roman"/>
                <w:sz w:val="24"/>
                <w:szCs w:val="24"/>
              </w:rPr>
            </w:pPr>
            <w:r w:rsidRPr="00CB38AA">
              <w:rPr>
                <w:rFonts w:ascii="Times New Roman" w:eastAsia="Calibri" w:hAnsi="Times New Roman" w:cs="Times New Roman"/>
                <w:b/>
                <w:sz w:val="24"/>
                <w:szCs w:val="24"/>
              </w:rPr>
              <w:t>…</w:t>
            </w:r>
          </w:p>
          <w:p w:rsidR="00AC3749" w:rsidRPr="00CB38AA" w:rsidRDefault="00AC3749" w:rsidP="00DF6EEA">
            <w:pPr>
              <w:spacing w:after="0" w:line="240" w:lineRule="auto"/>
              <w:jc w:val="both"/>
              <w:rPr>
                <w:rFonts w:ascii="Times New Roman" w:eastAsia="Calibri" w:hAnsi="Times New Roman" w:cs="Times New Roman"/>
                <w:sz w:val="24"/>
                <w:szCs w:val="24"/>
              </w:rPr>
            </w:pPr>
            <w:r w:rsidRPr="00CB38AA">
              <w:rPr>
                <w:rFonts w:ascii="Times New Roman" w:eastAsia="Calibri" w:hAnsi="Times New Roman" w:cs="Times New Roman"/>
                <w:b/>
                <w:sz w:val="24"/>
                <w:szCs w:val="24"/>
              </w:rPr>
              <w:t>…</w:t>
            </w:r>
          </w:p>
          <w:p w:rsidR="00AC3749" w:rsidRPr="00CB38AA" w:rsidRDefault="00AC3749" w:rsidP="00DF6EEA">
            <w:pPr>
              <w:spacing w:after="0" w:line="240" w:lineRule="auto"/>
              <w:jc w:val="both"/>
              <w:rPr>
                <w:rFonts w:ascii="Times New Roman" w:eastAsia="Calibri" w:hAnsi="Times New Roman" w:cs="Times New Roman"/>
                <w:sz w:val="24"/>
                <w:szCs w:val="24"/>
              </w:rPr>
            </w:pPr>
            <w:r w:rsidRPr="00CB38AA">
              <w:rPr>
                <w:rFonts w:ascii="Times New Roman" w:eastAsia="Calibri" w:hAnsi="Times New Roman" w:cs="Times New Roman"/>
                <w:b/>
                <w:sz w:val="24"/>
                <w:szCs w:val="24"/>
              </w:rPr>
              <w:t>…</w:t>
            </w:r>
          </w:p>
          <w:p w:rsidR="00AC3749" w:rsidRPr="00CB38AA" w:rsidRDefault="00AC3749" w:rsidP="00DF6EEA">
            <w:pPr>
              <w:spacing w:after="0" w:line="240" w:lineRule="auto"/>
              <w:jc w:val="both"/>
              <w:rPr>
                <w:rFonts w:ascii="Times New Roman" w:eastAsia="Calibri" w:hAnsi="Times New Roman" w:cs="Times New Roman"/>
                <w:sz w:val="24"/>
                <w:szCs w:val="24"/>
              </w:rPr>
            </w:pPr>
            <w:r w:rsidRPr="00CB38AA">
              <w:rPr>
                <w:rFonts w:ascii="Times New Roman" w:eastAsia="Calibri" w:hAnsi="Times New Roman" w:cs="Times New Roman"/>
                <w:b/>
                <w:sz w:val="24"/>
                <w:szCs w:val="24"/>
              </w:rPr>
              <w:t>…</w:t>
            </w:r>
          </w:p>
          <w:p w:rsidR="007E5BC1" w:rsidRPr="00CB38AA" w:rsidRDefault="007E5BC1" w:rsidP="00DF6EEA">
            <w:pPr>
              <w:spacing w:after="0" w:line="240" w:lineRule="auto"/>
              <w:jc w:val="both"/>
              <w:rPr>
                <w:rFonts w:ascii="Times New Roman" w:eastAsia="Calibri" w:hAnsi="Times New Roman" w:cs="Times New Roman"/>
                <w:b/>
                <w:sz w:val="24"/>
                <w:szCs w:val="24"/>
              </w:rPr>
            </w:pPr>
          </w:p>
          <w:p w:rsidR="00AC3749" w:rsidRPr="00CB38AA" w:rsidRDefault="00AC3749" w:rsidP="00DF6EEA">
            <w:pPr>
              <w:spacing w:after="0" w:line="240" w:lineRule="auto"/>
              <w:jc w:val="both"/>
              <w:rPr>
                <w:rFonts w:ascii="Times New Roman" w:eastAsia="Calibri" w:hAnsi="Times New Roman" w:cs="Times New Roman"/>
                <w:sz w:val="24"/>
                <w:szCs w:val="24"/>
              </w:rPr>
            </w:pPr>
            <w:r w:rsidRPr="00CB38AA">
              <w:rPr>
                <w:rFonts w:ascii="Times New Roman" w:eastAsia="Calibri" w:hAnsi="Times New Roman" w:cs="Times New Roman"/>
                <w:b/>
                <w:sz w:val="24"/>
                <w:szCs w:val="24"/>
              </w:rPr>
              <w:t>Se equiparará a la violación y se sancionará como tal, la cópula con persona mayor de quince años y menor de dieciocho, cuando el consentimiento haya sido obtenido mediante manipulación emocional, abuso de confianza, seducción abusiva o aprovechamiento de una posición de autoridad, jerarquía, poder o dependencia.</w:t>
            </w:r>
          </w:p>
        </w:tc>
      </w:tr>
      <w:tr w:rsidR="00AC3749" w:rsidRPr="00CB38AA" w:rsidTr="007E5BC1">
        <w:trPr>
          <w:trHeight w:val="20"/>
          <w:jc w:val="center"/>
        </w:trPr>
        <w:tc>
          <w:tcPr>
            <w:tcW w:w="4414" w:type="dxa"/>
            <w:tcBorders>
              <w:top w:val="single" w:sz="5" w:space="0" w:color="000000"/>
              <w:left w:val="single" w:sz="5" w:space="0" w:color="000000"/>
              <w:right w:val="single" w:sz="5" w:space="0" w:color="000000"/>
            </w:tcBorders>
          </w:tcPr>
          <w:p w:rsidR="00AC3749" w:rsidRPr="00CB38AA" w:rsidRDefault="00AC3749" w:rsidP="00DF6EEA">
            <w:pPr>
              <w:spacing w:after="0" w:line="240" w:lineRule="auto"/>
              <w:jc w:val="both"/>
              <w:rPr>
                <w:rFonts w:ascii="Times New Roman" w:hAnsi="Times New Roman" w:cs="Times New Roman"/>
                <w:sz w:val="24"/>
                <w:szCs w:val="24"/>
              </w:rPr>
            </w:pPr>
          </w:p>
        </w:tc>
        <w:tc>
          <w:tcPr>
            <w:tcW w:w="4415" w:type="dxa"/>
            <w:tcBorders>
              <w:top w:val="single" w:sz="5" w:space="0" w:color="000000"/>
              <w:left w:val="single" w:sz="5" w:space="0" w:color="000000"/>
              <w:right w:val="single" w:sz="5" w:space="0" w:color="000000"/>
            </w:tcBorders>
          </w:tcPr>
          <w:p w:rsidR="00AC3749" w:rsidRPr="00CB38AA" w:rsidRDefault="00AC3749" w:rsidP="00DF6EEA">
            <w:pPr>
              <w:spacing w:after="0" w:line="240" w:lineRule="auto"/>
              <w:jc w:val="both"/>
              <w:rPr>
                <w:rFonts w:ascii="Times New Roman" w:eastAsia="Calibri" w:hAnsi="Times New Roman" w:cs="Times New Roman"/>
                <w:sz w:val="24"/>
                <w:szCs w:val="24"/>
              </w:rPr>
            </w:pPr>
            <w:r w:rsidRPr="00CB38AA">
              <w:rPr>
                <w:rFonts w:ascii="Times New Roman" w:eastAsia="Calibri" w:hAnsi="Times New Roman" w:cs="Times New Roman"/>
                <w:b/>
                <w:sz w:val="24"/>
                <w:szCs w:val="24"/>
              </w:rPr>
              <w:t xml:space="preserve">Artículo 273 Ter.- Se impondrá pena de diez a dieciséis años de prisión y de quinientos a mil días multa a quien, sin ejercer violencia física, tenga cópula con persona mayor de quince años y menor de dieciocho, mediante seducción con abuso de poder, ascendencia moral, influencia, engaño o manipulación, cuando ello </w:t>
            </w:r>
            <w:r w:rsidRPr="00CB38AA">
              <w:rPr>
                <w:rFonts w:ascii="Times New Roman" w:eastAsia="Calibri" w:hAnsi="Times New Roman" w:cs="Times New Roman"/>
                <w:b/>
                <w:sz w:val="24"/>
                <w:szCs w:val="24"/>
              </w:rPr>
              <w:lastRenderedPageBreak/>
              <w:t>implique un menoscabo grave a su libre desarrollo de la personalidad o a su libertad sexual.</w:t>
            </w:r>
          </w:p>
        </w:tc>
      </w:tr>
      <w:tr w:rsidR="00AC3749" w:rsidRPr="00CB38AA" w:rsidTr="007E5BC1">
        <w:trPr>
          <w:trHeight w:val="20"/>
          <w:jc w:val="center"/>
        </w:trPr>
        <w:tc>
          <w:tcPr>
            <w:tcW w:w="4414" w:type="dxa"/>
            <w:tcBorders>
              <w:top w:val="single" w:sz="5" w:space="0" w:color="000000"/>
              <w:left w:val="single" w:sz="5" w:space="0" w:color="000000"/>
              <w:right w:val="single" w:sz="5" w:space="0" w:color="000000"/>
            </w:tcBorders>
          </w:tcPr>
          <w:p w:rsidR="00AC3749" w:rsidRPr="00CB38AA" w:rsidRDefault="00AC3749" w:rsidP="00DF6EEA">
            <w:pPr>
              <w:spacing w:after="0" w:line="240" w:lineRule="auto"/>
              <w:rPr>
                <w:rFonts w:ascii="Times New Roman" w:eastAsia="Calibri" w:hAnsi="Times New Roman" w:cs="Times New Roman"/>
                <w:sz w:val="24"/>
                <w:szCs w:val="24"/>
              </w:rPr>
            </w:pPr>
            <w:r w:rsidRPr="00CB38AA">
              <w:rPr>
                <w:rFonts w:ascii="Times New Roman" w:eastAsia="Calibri" w:hAnsi="Times New Roman" w:cs="Times New Roman"/>
                <w:sz w:val="24"/>
                <w:szCs w:val="24"/>
              </w:rPr>
              <w:lastRenderedPageBreak/>
              <w:t>Artículo 274.- …</w:t>
            </w:r>
          </w:p>
          <w:p w:rsidR="007E5BC1" w:rsidRPr="00CB38AA" w:rsidRDefault="007E5BC1" w:rsidP="00DF6EEA">
            <w:pPr>
              <w:spacing w:after="0" w:line="240" w:lineRule="auto"/>
              <w:rPr>
                <w:rFonts w:ascii="Times New Roman" w:eastAsia="Calibri" w:hAnsi="Times New Roman" w:cs="Times New Roman"/>
                <w:sz w:val="24"/>
                <w:szCs w:val="24"/>
              </w:rPr>
            </w:pPr>
          </w:p>
          <w:p w:rsidR="00AC3749" w:rsidRPr="00CB38AA" w:rsidRDefault="00AC3749" w:rsidP="00DF6EEA">
            <w:pPr>
              <w:spacing w:after="0" w:line="240" w:lineRule="auto"/>
              <w:rPr>
                <w:rFonts w:ascii="Times New Roman" w:eastAsia="Calibri" w:hAnsi="Times New Roman" w:cs="Times New Roman"/>
                <w:sz w:val="24"/>
                <w:szCs w:val="24"/>
              </w:rPr>
            </w:pPr>
            <w:r w:rsidRPr="00CB38AA">
              <w:rPr>
                <w:rFonts w:ascii="Times New Roman" w:eastAsia="Calibri" w:hAnsi="Times New Roman" w:cs="Times New Roman"/>
                <w:sz w:val="24"/>
                <w:szCs w:val="24"/>
              </w:rPr>
              <w:t>I. a VIII. …</w:t>
            </w:r>
          </w:p>
        </w:tc>
        <w:tc>
          <w:tcPr>
            <w:tcW w:w="4415" w:type="dxa"/>
            <w:tcBorders>
              <w:top w:val="single" w:sz="5" w:space="0" w:color="000000"/>
              <w:left w:val="single" w:sz="5" w:space="0" w:color="000000"/>
              <w:right w:val="single" w:sz="5" w:space="0" w:color="000000"/>
            </w:tcBorders>
          </w:tcPr>
          <w:p w:rsidR="00AC3749" w:rsidRPr="00CB38AA" w:rsidRDefault="00AC3749" w:rsidP="00DF6EEA">
            <w:pPr>
              <w:spacing w:after="0" w:line="240" w:lineRule="auto"/>
              <w:rPr>
                <w:rFonts w:ascii="Times New Roman" w:eastAsia="Calibri" w:hAnsi="Times New Roman" w:cs="Times New Roman"/>
                <w:sz w:val="24"/>
                <w:szCs w:val="24"/>
              </w:rPr>
            </w:pPr>
            <w:r w:rsidRPr="00CB38AA">
              <w:rPr>
                <w:rFonts w:ascii="Times New Roman" w:eastAsia="Calibri" w:hAnsi="Times New Roman" w:cs="Times New Roman"/>
                <w:sz w:val="24"/>
                <w:szCs w:val="24"/>
              </w:rPr>
              <w:t>Artículo 274.- …</w:t>
            </w:r>
          </w:p>
          <w:p w:rsidR="007E5BC1" w:rsidRPr="00CB38AA" w:rsidRDefault="007E5BC1" w:rsidP="00DF6EEA">
            <w:pPr>
              <w:spacing w:after="0" w:line="240" w:lineRule="auto"/>
              <w:rPr>
                <w:rFonts w:ascii="Times New Roman" w:eastAsia="Calibri" w:hAnsi="Times New Roman" w:cs="Times New Roman"/>
                <w:sz w:val="24"/>
                <w:szCs w:val="24"/>
              </w:rPr>
            </w:pPr>
          </w:p>
          <w:p w:rsidR="00AC3749" w:rsidRPr="00CB38AA" w:rsidRDefault="00AC3749" w:rsidP="00DF6EEA">
            <w:pPr>
              <w:spacing w:after="0" w:line="240" w:lineRule="auto"/>
              <w:rPr>
                <w:rFonts w:ascii="Times New Roman" w:eastAsia="Calibri" w:hAnsi="Times New Roman" w:cs="Times New Roman"/>
                <w:sz w:val="24"/>
                <w:szCs w:val="24"/>
              </w:rPr>
            </w:pPr>
            <w:r w:rsidRPr="00CB38AA">
              <w:rPr>
                <w:rFonts w:ascii="Times New Roman" w:eastAsia="Calibri" w:hAnsi="Times New Roman" w:cs="Times New Roman"/>
                <w:sz w:val="24"/>
                <w:szCs w:val="24"/>
              </w:rPr>
              <w:t>I. a VIII. …</w:t>
            </w:r>
          </w:p>
          <w:p w:rsidR="007E5BC1" w:rsidRPr="00CB38AA" w:rsidRDefault="007E5BC1" w:rsidP="00DF6EEA">
            <w:pPr>
              <w:spacing w:after="0" w:line="240" w:lineRule="auto"/>
              <w:jc w:val="both"/>
              <w:rPr>
                <w:rFonts w:ascii="Times New Roman" w:eastAsia="Calibri" w:hAnsi="Times New Roman" w:cs="Times New Roman"/>
                <w:b/>
                <w:sz w:val="24"/>
                <w:szCs w:val="24"/>
              </w:rPr>
            </w:pPr>
          </w:p>
          <w:p w:rsidR="00AC3749" w:rsidRPr="00CB38AA" w:rsidRDefault="00AC3749" w:rsidP="00DF6EEA">
            <w:pPr>
              <w:spacing w:after="0" w:line="240" w:lineRule="auto"/>
              <w:jc w:val="both"/>
              <w:rPr>
                <w:rFonts w:ascii="Times New Roman" w:eastAsia="Calibri" w:hAnsi="Times New Roman" w:cs="Times New Roman"/>
                <w:sz w:val="24"/>
                <w:szCs w:val="24"/>
              </w:rPr>
            </w:pPr>
            <w:r w:rsidRPr="00CB38AA">
              <w:rPr>
                <w:rFonts w:ascii="Times New Roman" w:eastAsia="Calibri" w:hAnsi="Times New Roman" w:cs="Times New Roman"/>
                <w:b/>
                <w:sz w:val="24"/>
                <w:szCs w:val="24"/>
              </w:rPr>
              <w:t>IX.- Cuando el delito sea cometido mediante seducción manipulativa hacia personas adolescentes, aprovechando una diferencia de edad significativa, posición jerárquica, relación de autoridad o situación de vulnerabilidad.</w:t>
            </w:r>
          </w:p>
        </w:tc>
      </w:tr>
    </w:tbl>
    <w:p w:rsidR="000A32C7" w:rsidRPr="00CB38AA" w:rsidRDefault="000A32C7" w:rsidP="00DF6EEA">
      <w:pPr>
        <w:spacing w:after="0" w:line="240" w:lineRule="auto"/>
        <w:jc w:val="center"/>
        <w:rPr>
          <w:rFonts w:ascii="Times New Roman" w:hAnsi="Times New Roman" w:cs="Times New Roman"/>
          <w:sz w:val="24"/>
          <w:szCs w:val="24"/>
        </w:rPr>
      </w:pPr>
    </w:p>
    <w:p w:rsidR="000A32C7" w:rsidRPr="00CB38AA" w:rsidRDefault="000A32C7" w:rsidP="00DF6EEA">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(Fin del documento)</w:t>
      </w:r>
    </w:p>
    <w:p w:rsidR="000A32C7" w:rsidRPr="00CB38AA" w:rsidRDefault="000A32C7" w:rsidP="00DF6EEA">
      <w:pPr>
        <w:spacing w:after="0" w:line="240" w:lineRule="auto"/>
        <w:jc w:val="center"/>
        <w:rPr>
          <w:rFonts w:ascii="Times New Roman" w:hAnsi="Times New Roman" w:cs="Times New Roman"/>
          <w:sz w:val="24"/>
          <w:szCs w:val="24"/>
        </w:rPr>
      </w:pP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PRESIDENTA DIP. MARTHA AZUCENA CAMACHO REYNOSO. Gracias, diputada Zaira Cedillo Silva.</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Se registra la iniciativa y se remite a la Comisión Legislativa de Procuración y Administración de Justicia para su estudio y dictamen.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En cuanto al punto número 12, la diputada Paola Jiménez Hernández presenta el nombre del Grupo Parlamentario morena, Iniciativa con Proyecto de Decreto por el que se adiciona un párrafo vigésimo sexto al artículo 5 de la Constitución Política del Estado Libre y Soberano de México, se adiciona el artículo 4 Bis de la Ley Orgánica de la Administración Pública del Estado de México y se adiciona la fracción XXXIII al artículo 31 de la Ley Orgánica Municipal del Estado de México, en materia de reusó de materiales, la utilización del papel reciclado y la digitalización progresiva de documentos y trámites.</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 xml:space="preserve">DIP. PAOLA JIMÉNEZ HERNÁNDEZ. Muchísimas gracias, Presidenta.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Muy buenas tardes a todas y todos a quienes integran la Mesa, a quien la preside, mis compañeras y compañeros diputados, a mi compañere, a medios de comunicación y a quienes nos acompañan en este recinto y a través de las redes sociales.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Hoy vengo a esta tribuna a presentar una iniciativa que, aunque puede parecer sencilla en su planteamiento, tiene un profundo impacto en la forma en que concebimos el ejercicio del poder público, la responsabilidad administrativa y cómo ésta se puede correlacionar con el medio ambiente; hablar de sustentabilidad no es una moda ni un discurso accesorio, es una obligación ética, jurídica y política de nuestro tiempo, porque el Estado no solo regula, el Estado, también predica con el ejemplo, porque no podemos exigir a la ciudadanía práctica responsables si desde el gobierno seguimos operando con inercias que generan desperdicio, contaminación y gasto innecesario de los recursos públicos, uno de esos ejemplos es el uso del papel en la administración pública, para dar un ejemplo, a nivel mundial, la producción de papel implica la tala de millones de árboles cada año, en México, al menos un millón, un alto consumo de agua y energía y la generación de grandes cantidades de residuos, en oficinas públicas, una parte considerable de los documentos impresos tiene un uso efímero, se imprime, se revisa, se usa una vez y es desechado, es decir, el tiempo de uso puede durar a veces ni 40 minutos, este fenómeno no solo tiene consecuencias ambientales, también impacta directamente en el gasto público, en la eficiencia administrativa y en la modernización del Estado y es que nuestra Gobernadora, la maestra Delfina Gómez Álvarez, ha hecho un llamado a que tengamos condiciones de responsabilidad en cuanto al uso de los recursos públicos y a la austeridad que debe de representar, y esto habla también de austeridad.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lastRenderedPageBreak/>
        <w:tab/>
        <w:t xml:space="preserve">De acuerdo con organismos internacionales, se estima que el 20% del papel utilizado en oficinas se desecha el mismo día que se imprime; es decir, y como lo mencionaba, esto es un dato a nivel mundial, también estamos hablando de que, aunque puede parecer un detalle menor, multiplicado por miles de dependencias y miles de servidores públicos, el impacto es enorme; por ello, se propone incorporar en la Constitución Política del Estado Libre y Soberano de México el deber del Estado y de los municipios de promover políticas administrativas ecológicas, que fomenten el uso racional de materiales, el empleo de papel reciclado y la transición gradual hacia medios digitales, no olvidemos que hoy las administraciones públicas han hablado de gobiernos digitales, tenemos que actuar en coherencia y si hablamos de coherencia, los gobiernos digitales tendrían que estar con trámites también digitalizados. </w:t>
      </w:r>
    </w:p>
    <w:p w:rsidR="00A35DFE" w:rsidRPr="00CB38AA" w:rsidRDefault="00A35DFE" w:rsidP="00DF6EEA">
      <w:pPr>
        <w:pStyle w:val="Sinespaciado"/>
        <w:ind w:firstLine="709"/>
        <w:jc w:val="both"/>
        <w:rPr>
          <w:rFonts w:ascii="Times New Roman" w:hAnsi="Times New Roman" w:cs="Times New Roman"/>
          <w:sz w:val="24"/>
          <w:szCs w:val="24"/>
        </w:rPr>
      </w:pPr>
      <w:r w:rsidRPr="00CB38AA">
        <w:rPr>
          <w:rFonts w:ascii="Times New Roman" w:hAnsi="Times New Roman" w:cs="Times New Roman"/>
          <w:sz w:val="24"/>
          <w:szCs w:val="24"/>
        </w:rPr>
        <w:t>Este enfoque tiene múltiples beneficios:</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 xml:space="preserve"> </w:t>
      </w:r>
      <w:r w:rsidRPr="00CB38AA">
        <w:rPr>
          <w:rFonts w:ascii="Times New Roman" w:hAnsi="Times New Roman" w:cs="Times New Roman"/>
          <w:sz w:val="24"/>
          <w:szCs w:val="24"/>
        </w:rPr>
        <w:tab/>
        <w:t xml:space="preserve">Número Uno. Reduce el impacto ambiental de la actividad gubernamental también y; </w:t>
      </w:r>
    </w:p>
    <w:p w:rsidR="00A35DFE" w:rsidRPr="00CB38AA" w:rsidRDefault="00A35DFE" w:rsidP="00DF6EEA">
      <w:pPr>
        <w:pStyle w:val="Sinespaciado"/>
        <w:ind w:firstLine="709"/>
        <w:jc w:val="both"/>
        <w:rPr>
          <w:rFonts w:ascii="Times New Roman" w:hAnsi="Times New Roman" w:cs="Times New Roman"/>
          <w:sz w:val="24"/>
          <w:szCs w:val="24"/>
        </w:rPr>
      </w:pPr>
      <w:r w:rsidRPr="00CB38AA">
        <w:rPr>
          <w:rFonts w:ascii="Times New Roman" w:hAnsi="Times New Roman" w:cs="Times New Roman"/>
          <w:sz w:val="24"/>
          <w:szCs w:val="24"/>
        </w:rPr>
        <w:t>En segundo lugar, genera ahorros económicos que pueden destinarse a otras prioridades sociales eso sería también muy importante y;</w:t>
      </w:r>
    </w:p>
    <w:p w:rsidR="00A35DFE" w:rsidRPr="00CB38AA" w:rsidRDefault="00A35DFE" w:rsidP="00DF6EEA">
      <w:pPr>
        <w:pStyle w:val="Sinespaciado"/>
        <w:ind w:firstLine="709"/>
        <w:jc w:val="both"/>
        <w:rPr>
          <w:rFonts w:ascii="Times New Roman" w:hAnsi="Times New Roman" w:cs="Times New Roman"/>
          <w:sz w:val="24"/>
          <w:szCs w:val="24"/>
        </w:rPr>
      </w:pPr>
      <w:r w:rsidRPr="00CB38AA">
        <w:rPr>
          <w:rFonts w:ascii="Times New Roman" w:hAnsi="Times New Roman" w:cs="Times New Roman"/>
          <w:sz w:val="24"/>
          <w:szCs w:val="24"/>
        </w:rPr>
        <w:t xml:space="preserve">En tercer lugar, impulsa una cultura administrativa más moderna, eficiente y alineada con los retos del siglo XXI, sin omitir que también esto implicaría llevar a cabo una política pública que tiene que ver con las nuevas generaciones, las cuales están en un mundo mucho más digitalizado. Si queremos acercar a las y los jóvenes al gobierno, tendremos que empezar también por digitalizar todos los procedimientos de las administraciones. Cuando el Estado adopte estas prácticas responsables, fortalece la confianza pública y demuestra que el discurso ambiental no es solo retórico, sino una política pública de acciones concretas.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Compañeras, compañeros y compañere legislar para que el Estado reduzca su consumo innecesario de papel, promueve el reúso de materiales y apuesta por la digitalización teniendo una visión hacia el futuro, es legislar pensando en la eficiencia del gobierno, con el cuidado del medio ambiente y la responsabilidad que asumimos con próximas generaciones. Estoy convencida de que un Estado que cuida sus recursos es un Estado más fuerte, más coherente y además mucho más empático con los problemas de la ciudadanía, imaginen ustedes que nosotros le decimos a la ciudadanía que como administradoras y administradores públicos no estamos pensando en ahorrar y estamos mal utilizando el papel, desechando el 20% diario cuando hay colonias en todos nuestros municipios a los cuales ni siquiera llega el agua todos los días, ese también es un problema real y que tenderíamos desde esta perspectiva que se vuelve a integrar. Por ello, someto a la consideración de esta Honorable Legislatura la presente iniciativa, con la confianza de que tenemos un compromiso compartido con el medio ambiente y con la construcción de un Estado de México sustentable, eficiente, responsable y visionario hacia lo que viene y los retos que hoy nos enfrentamos.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Es cuanto y muchísimas gracias, muy amables.</w:t>
      </w:r>
    </w:p>
    <w:p w:rsidR="00E642CD" w:rsidRPr="00CB38AA" w:rsidRDefault="00E642CD" w:rsidP="00DF6EEA">
      <w:pPr>
        <w:pStyle w:val="Sinespaciado"/>
        <w:jc w:val="both"/>
        <w:rPr>
          <w:rFonts w:ascii="Times New Roman" w:hAnsi="Times New Roman" w:cs="Times New Roman"/>
          <w:sz w:val="24"/>
          <w:szCs w:val="24"/>
        </w:rPr>
      </w:pPr>
    </w:p>
    <w:p w:rsidR="00E642CD" w:rsidRPr="00CB38AA" w:rsidRDefault="00E642CD" w:rsidP="00DF6EEA">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(Se inserta documento)</w:t>
      </w:r>
    </w:p>
    <w:p w:rsidR="00E642CD" w:rsidRPr="00CB38AA" w:rsidRDefault="00E642CD" w:rsidP="00DF6EEA">
      <w:pPr>
        <w:spacing w:after="0" w:line="240" w:lineRule="auto"/>
        <w:jc w:val="center"/>
        <w:rPr>
          <w:rFonts w:ascii="Times New Roman" w:hAnsi="Times New Roman" w:cs="Times New Roman"/>
          <w:sz w:val="24"/>
          <w:szCs w:val="24"/>
        </w:rPr>
      </w:pPr>
    </w:p>
    <w:p w:rsidR="00F84785" w:rsidRPr="00CB38AA" w:rsidRDefault="00F84785" w:rsidP="00DF6EEA">
      <w:pPr>
        <w:spacing w:after="0" w:line="240" w:lineRule="auto"/>
        <w:jc w:val="center"/>
        <w:rPr>
          <w:rFonts w:ascii="Times New Roman" w:eastAsia="Times New Roman" w:hAnsi="Times New Roman" w:cs="Times New Roman"/>
          <w:b/>
          <w:sz w:val="24"/>
          <w:szCs w:val="24"/>
        </w:rPr>
      </w:pPr>
      <w:r w:rsidRPr="00CB38AA">
        <w:rPr>
          <w:rFonts w:ascii="Times New Roman" w:eastAsia="Times New Roman" w:hAnsi="Times New Roman" w:cs="Times New Roman"/>
          <w:b/>
          <w:sz w:val="24"/>
          <w:szCs w:val="24"/>
        </w:rPr>
        <w:t>Dip. Paola Jiménez Hernández</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i/>
          <w:sz w:val="24"/>
          <w:szCs w:val="24"/>
        </w:rPr>
        <w:t>“2026. Año del Humanismo Mexicano en el Estado de México”</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right"/>
        <w:rPr>
          <w:rFonts w:ascii="Times New Roman" w:eastAsia="Arial" w:hAnsi="Times New Roman" w:cs="Times New Roman"/>
          <w:sz w:val="24"/>
          <w:szCs w:val="24"/>
        </w:rPr>
      </w:pPr>
      <w:r w:rsidRPr="00CB38AA">
        <w:rPr>
          <w:rFonts w:ascii="Times New Roman" w:eastAsia="Arial" w:hAnsi="Times New Roman" w:cs="Times New Roman"/>
          <w:sz w:val="24"/>
          <w:szCs w:val="24"/>
        </w:rPr>
        <w:t>Toluca de Lerdo, Estado de México noviembre de 2025.</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DIPUTADO</w:t>
      </w:r>
    </w:p>
    <w:p w:rsidR="00F84785" w:rsidRPr="00CB38AA" w:rsidRDefault="00F84785" w:rsidP="00DF6EEA">
      <w:pPr>
        <w:spacing w:after="0" w:line="240" w:lineRule="auto"/>
        <w:rPr>
          <w:rFonts w:ascii="Times New Roman" w:eastAsia="Arial" w:hAnsi="Times New Roman" w:cs="Times New Roman"/>
          <w:b/>
          <w:sz w:val="24"/>
          <w:szCs w:val="24"/>
        </w:rPr>
      </w:pPr>
      <w:r w:rsidRPr="00CB38AA">
        <w:rPr>
          <w:rFonts w:ascii="Times New Roman" w:eastAsia="Arial" w:hAnsi="Times New Roman" w:cs="Times New Roman"/>
          <w:b/>
          <w:sz w:val="24"/>
          <w:szCs w:val="24"/>
        </w:rPr>
        <w:t>JOSÉ FRANCISCO VÁZQUEZ RODRÍGUEZ</w:t>
      </w:r>
    </w:p>
    <w:p w:rsidR="00F84785" w:rsidRPr="00CB38AA" w:rsidRDefault="00F84785" w:rsidP="00DF6EEA">
      <w:pPr>
        <w:spacing w:after="0" w:line="240" w:lineRule="auto"/>
        <w:rPr>
          <w:rFonts w:ascii="Times New Roman" w:eastAsia="Arial" w:hAnsi="Times New Roman" w:cs="Times New Roman"/>
          <w:b/>
          <w:sz w:val="24"/>
          <w:szCs w:val="24"/>
        </w:rPr>
      </w:pPr>
      <w:r w:rsidRPr="00CB38AA">
        <w:rPr>
          <w:rFonts w:ascii="Times New Roman" w:eastAsia="Arial" w:hAnsi="Times New Roman" w:cs="Times New Roman"/>
          <w:b/>
          <w:sz w:val="24"/>
          <w:szCs w:val="24"/>
        </w:rPr>
        <w:t>PRESIDENTE DE LA H. “LXII” LEGISLATURA</w:t>
      </w: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DEL ESTADO DE MÉXICO</w:t>
      </w: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lastRenderedPageBreak/>
        <w:t>P R E S E N T E</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Con fundamento en lo dispuesto en los artículos 51 fracción II, 57 y 61 fracción I de la Constitución Política del Estado Libre y Soberano de México, y 28, fracción I, 79 y 81 de la Ley Orgánica del Poder Legislativo del Estado Libre y Soberano de México; quien suscribe Diputada </w:t>
      </w:r>
      <w:r w:rsidRPr="00CB38AA">
        <w:rPr>
          <w:rFonts w:ascii="Times New Roman" w:eastAsia="Arial" w:hAnsi="Times New Roman" w:cs="Times New Roman"/>
          <w:b/>
          <w:sz w:val="24"/>
          <w:szCs w:val="24"/>
        </w:rPr>
        <w:t>Paola Jiménez Hernández</w:t>
      </w:r>
      <w:r w:rsidRPr="00CB38AA">
        <w:rPr>
          <w:rFonts w:ascii="Times New Roman" w:eastAsia="Arial" w:hAnsi="Times New Roman" w:cs="Times New Roman"/>
          <w:sz w:val="24"/>
          <w:szCs w:val="24"/>
        </w:rPr>
        <w:t xml:space="preserve">, integrante del grupo parlamentario </w:t>
      </w:r>
      <w:r w:rsidRPr="00CB38AA">
        <w:rPr>
          <w:rFonts w:ascii="Times New Roman" w:eastAsia="Arial" w:hAnsi="Times New Roman" w:cs="Times New Roman"/>
          <w:b/>
          <w:sz w:val="24"/>
          <w:szCs w:val="24"/>
        </w:rPr>
        <w:t>morena</w:t>
      </w:r>
      <w:r w:rsidRPr="00CB38AA">
        <w:rPr>
          <w:rFonts w:ascii="Times New Roman" w:eastAsia="Arial" w:hAnsi="Times New Roman" w:cs="Times New Roman"/>
          <w:sz w:val="24"/>
          <w:szCs w:val="24"/>
        </w:rPr>
        <w:t xml:space="preserve">, me permito someter a la consideración de esta Honorable Legislatura la </w:t>
      </w:r>
      <w:r w:rsidRPr="00CB38AA">
        <w:rPr>
          <w:rFonts w:ascii="Times New Roman" w:eastAsia="Arial" w:hAnsi="Times New Roman" w:cs="Times New Roman"/>
          <w:b/>
          <w:sz w:val="24"/>
          <w:szCs w:val="24"/>
        </w:rPr>
        <w:t>Iniciativa con Proyecto de Decreto por el que se adiciona un párrafo vigésimo sexto al artículo quinto de la Constitución Política del Estado Libre y Soberano de México; se adiciona el artículo 4 Bis de la Ley Orgánica de la Administración Pública del Estado de México y se adiciona la fracción XXXIII Bis al artículo 31 de la Ley Orgánica Municipal del Estado de México, en materia de rehúso de materiales, la utilización de papel reciclado y la digitalización progresiva de documentos y trámites</w:t>
      </w:r>
      <w:r w:rsidRPr="00CB38AA">
        <w:rPr>
          <w:rFonts w:ascii="Times New Roman" w:eastAsia="Arial" w:hAnsi="Times New Roman" w:cs="Times New Roman"/>
          <w:sz w:val="24"/>
          <w:szCs w:val="24"/>
        </w:rPr>
        <w:t>, de conformidad con la siguiente:</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EXPOSICIÓN DE MOTIVOS</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A nivel global, el consumo de papel continúa siendo una de las principales fuentes de presión ambiental derivada de la actividad humana. Según datos del portal </w:t>
      </w:r>
      <w:r w:rsidRPr="00CB38AA">
        <w:rPr>
          <w:rFonts w:ascii="Times New Roman" w:eastAsia="Arial" w:hAnsi="Times New Roman" w:cs="Times New Roman"/>
          <w:i/>
          <w:sz w:val="24"/>
          <w:szCs w:val="24"/>
        </w:rPr>
        <w:t xml:space="preserve">Waste Direct </w:t>
      </w:r>
      <w:r w:rsidRPr="00CB38AA">
        <w:rPr>
          <w:rFonts w:ascii="Times New Roman" w:eastAsia="Arial" w:hAnsi="Times New Roman" w:cs="Times New Roman"/>
          <w:sz w:val="24"/>
          <w:szCs w:val="24"/>
        </w:rPr>
        <w:t>(2024)</w:t>
      </w:r>
      <w:r w:rsidRPr="00CB38AA">
        <w:rPr>
          <w:rFonts w:ascii="Times New Roman" w:eastAsia="Arial" w:hAnsi="Times New Roman" w:cs="Times New Roman"/>
          <w:sz w:val="24"/>
          <w:szCs w:val="24"/>
          <w:vertAlign w:val="superscript"/>
        </w:rPr>
        <w:t>1</w:t>
      </w:r>
      <w:r w:rsidRPr="00CB38AA">
        <w:rPr>
          <w:rFonts w:ascii="Times New Roman" w:eastAsia="Arial" w:hAnsi="Times New Roman" w:cs="Times New Roman"/>
          <w:sz w:val="24"/>
          <w:szCs w:val="24"/>
        </w:rPr>
        <w:t>, cada año se producen más de 400 millones de toneladas de papel y cartón, cifra que sigue en aumento debido al uso masivo en oficinas, educación y envases. Se estima que diariamente se utilizan alrededor de 65 mil millones de hojas de papel en el mundo</w:t>
      </w:r>
      <w:r w:rsidRPr="00CB38AA">
        <w:rPr>
          <w:rFonts w:ascii="Times New Roman" w:eastAsia="Arial" w:hAnsi="Times New Roman" w:cs="Times New Roman"/>
          <w:b/>
          <w:sz w:val="24"/>
          <w:szCs w:val="24"/>
          <w:vertAlign w:val="superscript"/>
        </w:rPr>
        <w:t>2</w:t>
      </w:r>
      <w:r w:rsidRPr="00CB38AA">
        <w:rPr>
          <w:rFonts w:ascii="Times New Roman" w:eastAsia="Arial" w:hAnsi="Times New Roman" w:cs="Times New Roman"/>
          <w:sz w:val="24"/>
          <w:szCs w:val="24"/>
        </w:rPr>
        <w:t>, gran parte de ellas con un ciclo de vida extremadamente corto: desde su impresión hasta su desecho transcurren, en promedio, menos de 24 horas (</w:t>
      </w:r>
      <w:r w:rsidRPr="00CB38AA">
        <w:rPr>
          <w:rFonts w:ascii="Times New Roman" w:eastAsia="Arial" w:hAnsi="Times New Roman" w:cs="Times New Roman"/>
          <w:i/>
          <w:sz w:val="24"/>
          <w:szCs w:val="24"/>
        </w:rPr>
        <w:t>Record Nations</w:t>
      </w:r>
      <w:r w:rsidRPr="00CB38AA">
        <w:rPr>
          <w:rFonts w:ascii="Times New Roman" w:eastAsia="Arial" w:hAnsi="Times New Roman" w:cs="Times New Roman"/>
          <w:sz w:val="24"/>
          <w:szCs w:val="24"/>
        </w:rPr>
        <w:t>, 2024).</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El tema se encuentra respaldado en los principales instrumentos internacionales en materia ambiental y de sostenibilidad. La Agenda 2030 para el Desarrollo Sostenible de las Naciones Unidas establece, en su Objetivo de Desarrollo Sostenible número 12</w:t>
      </w:r>
      <w:r w:rsidRPr="00CB38AA">
        <w:rPr>
          <w:rFonts w:ascii="Times New Roman" w:eastAsia="Arial" w:hAnsi="Times New Roman" w:cs="Times New Roman"/>
          <w:b/>
          <w:sz w:val="24"/>
          <w:szCs w:val="24"/>
          <w:vertAlign w:val="superscript"/>
        </w:rPr>
        <w:t>3</w:t>
      </w:r>
      <w:r w:rsidRPr="00CB38AA">
        <w:rPr>
          <w:rFonts w:ascii="Times New Roman" w:eastAsia="Arial" w:hAnsi="Times New Roman" w:cs="Times New Roman"/>
          <w:sz w:val="24"/>
          <w:szCs w:val="24"/>
        </w:rPr>
        <w:t>, la meta de garantizar modalidades de consumo y producción sostenibles, incluyendo el uso eficiente de los recursos naturales y la reducción de desechos mediante la prevención, reducción, reciclaje y reutilización (ONU, 2015)</w:t>
      </w:r>
      <w:r w:rsidRPr="00CB38AA">
        <w:rPr>
          <w:rFonts w:ascii="Times New Roman" w:eastAsia="Arial" w:hAnsi="Times New Roman" w:cs="Times New Roman"/>
          <w:sz w:val="24"/>
          <w:szCs w:val="24"/>
          <w:vertAlign w:val="superscript"/>
        </w:rPr>
        <w:t>4</w:t>
      </w: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De igual manera, la norma ISO 20400 sobre Compras Sostenibles</w:t>
      </w:r>
      <w:r w:rsidRPr="00CB38AA">
        <w:rPr>
          <w:rFonts w:ascii="Times New Roman" w:eastAsia="Arial" w:hAnsi="Times New Roman" w:cs="Times New Roman"/>
          <w:b/>
          <w:sz w:val="24"/>
          <w:szCs w:val="24"/>
          <w:vertAlign w:val="superscript"/>
        </w:rPr>
        <w:t>5</w:t>
      </w:r>
      <w:r w:rsidRPr="00CB38AA">
        <w:rPr>
          <w:rFonts w:ascii="Times New Roman" w:eastAsia="Arial" w:hAnsi="Times New Roman" w:cs="Times New Roman"/>
          <w:b/>
          <w:sz w:val="24"/>
          <w:szCs w:val="24"/>
        </w:rPr>
        <w:t xml:space="preserve"> </w:t>
      </w:r>
      <w:r w:rsidRPr="00CB38AA">
        <w:rPr>
          <w:rFonts w:ascii="Times New Roman" w:eastAsia="Arial" w:hAnsi="Times New Roman" w:cs="Times New Roman"/>
          <w:sz w:val="24"/>
          <w:szCs w:val="24"/>
        </w:rPr>
        <w:t>insta a las administraciones públicas a priorizar productos con menor impacto ecológico a lo largo de su ciclo de vida, lo cual coincide plenamente con el propósito de la presente iniciativa.</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Calibri" w:hAnsi="Times New Roman" w:cs="Times New Roman"/>
          <w:sz w:val="24"/>
          <w:szCs w:val="24"/>
          <w:vertAlign w:val="superscript"/>
        </w:rPr>
        <w:t>1</w:t>
      </w:r>
      <w:r w:rsidRPr="00CB38AA">
        <w:rPr>
          <w:rFonts w:ascii="Times New Roman" w:eastAsia="Calibri" w:hAnsi="Times New Roman" w:cs="Times New Roman"/>
          <w:sz w:val="24"/>
          <w:szCs w:val="24"/>
        </w:rPr>
        <w:t xml:space="preserve"> </w:t>
      </w:r>
      <w:r w:rsidRPr="00CB38AA">
        <w:rPr>
          <w:rFonts w:ascii="Times New Roman" w:eastAsia="Arial" w:hAnsi="Times New Roman" w:cs="Times New Roman"/>
          <w:sz w:val="24"/>
          <w:szCs w:val="24"/>
        </w:rPr>
        <w:t xml:space="preserve">Graham, E. (2025, May 6). </w:t>
      </w:r>
      <w:r w:rsidRPr="00CB38AA">
        <w:rPr>
          <w:rFonts w:ascii="Times New Roman" w:eastAsia="Arial" w:hAnsi="Times New Roman" w:cs="Times New Roman"/>
          <w:i/>
          <w:sz w:val="24"/>
          <w:szCs w:val="24"/>
        </w:rPr>
        <w:t>Paper waste statistics &amp; trends</w:t>
      </w:r>
      <w:r w:rsidRPr="00CB38AA">
        <w:rPr>
          <w:rFonts w:ascii="Times New Roman" w:eastAsia="Arial" w:hAnsi="Times New Roman" w:cs="Times New Roman"/>
          <w:sz w:val="24"/>
          <w:szCs w:val="24"/>
        </w:rPr>
        <w:t xml:space="preserve">. Waste Direct. Disponible para consulta en: </w:t>
      </w:r>
      <w:r w:rsidRPr="00CB38AA">
        <w:rPr>
          <w:rFonts w:ascii="Times New Roman" w:eastAsia="Arial" w:hAnsi="Times New Roman" w:cs="Times New Roman"/>
          <w:sz w:val="24"/>
          <w:szCs w:val="24"/>
          <w:u w:val="single" w:color="000000"/>
        </w:rPr>
        <w:t>https://wastedirect.co.uk/guides/paper-waste-statistics/</w:t>
      </w: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Calibri" w:hAnsi="Times New Roman" w:cs="Times New Roman"/>
          <w:sz w:val="24"/>
          <w:szCs w:val="24"/>
          <w:vertAlign w:val="superscript"/>
        </w:rPr>
        <w:t>2</w:t>
      </w:r>
      <w:r w:rsidRPr="00CB38AA">
        <w:rPr>
          <w:rFonts w:ascii="Times New Roman" w:eastAsia="Calibri" w:hAnsi="Times New Roman" w:cs="Times New Roman"/>
          <w:sz w:val="24"/>
          <w:szCs w:val="24"/>
        </w:rPr>
        <w:t xml:space="preserve"> </w:t>
      </w:r>
      <w:r w:rsidRPr="00CB38AA">
        <w:rPr>
          <w:rFonts w:ascii="Times New Roman" w:eastAsia="Arial" w:hAnsi="Times New Roman" w:cs="Times New Roman"/>
          <w:sz w:val="24"/>
          <w:szCs w:val="24"/>
        </w:rPr>
        <w:t xml:space="preserve">Starkey, M. (2024, octubre 30). </w:t>
      </w:r>
      <w:r w:rsidRPr="00CB38AA">
        <w:rPr>
          <w:rFonts w:ascii="Times New Roman" w:eastAsia="Arial" w:hAnsi="Times New Roman" w:cs="Times New Roman"/>
          <w:i/>
          <w:sz w:val="24"/>
          <w:szCs w:val="24"/>
        </w:rPr>
        <w:t>Paper usage: We use more than you think</w:t>
      </w:r>
      <w:r w:rsidRPr="00CB38AA">
        <w:rPr>
          <w:rFonts w:ascii="Times New Roman" w:eastAsia="Arial" w:hAnsi="Times New Roman" w:cs="Times New Roman"/>
          <w:sz w:val="24"/>
          <w:szCs w:val="24"/>
        </w:rPr>
        <w:t>. Record Nations.</w:t>
      </w: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Calibri" w:hAnsi="Times New Roman" w:cs="Times New Roman"/>
          <w:sz w:val="24"/>
          <w:szCs w:val="24"/>
          <w:vertAlign w:val="superscript"/>
        </w:rPr>
        <w:t>3</w:t>
      </w:r>
      <w:r w:rsidRPr="00CB38AA">
        <w:rPr>
          <w:rFonts w:ascii="Times New Roman" w:eastAsia="Calibri" w:hAnsi="Times New Roman" w:cs="Times New Roman"/>
          <w:sz w:val="24"/>
          <w:szCs w:val="24"/>
        </w:rPr>
        <w:t xml:space="preserve"> </w:t>
      </w:r>
      <w:r w:rsidRPr="00CB38AA">
        <w:rPr>
          <w:rFonts w:ascii="Times New Roman" w:eastAsia="Arial" w:hAnsi="Times New Roman" w:cs="Times New Roman"/>
          <w:sz w:val="24"/>
          <w:szCs w:val="24"/>
        </w:rPr>
        <w:t xml:space="preserve">Gobierno de México. (s. f.). </w:t>
      </w:r>
      <w:r w:rsidRPr="00CB38AA">
        <w:rPr>
          <w:rFonts w:ascii="Times New Roman" w:eastAsia="Arial" w:hAnsi="Times New Roman" w:cs="Times New Roman"/>
          <w:i/>
          <w:sz w:val="24"/>
          <w:szCs w:val="24"/>
        </w:rPr>
        <w:t>ODS 12.2 | Sistema de Información de los Objetivos de Desarrollo Sostenible (SIODS)</w:t>
      </w:r>
      <w:r w:rsidRPr="00CB38AA">
        <w:rPr>
          <w:rFonts w:ascii="Times New Roman" w:eastAsia="Arial" w:hAnsi="Times New Roman" w:cs="Times New Roman"/>
          <w:sz w:val="24"/>
          <w:szCs w:val="24"/>
        </w:rPr>
        <w:t xml:space="preserve">. Agenda 2030 México. Disponible para consulta en: </w:t>
      </w:r>
      <w:r w:rsidRPr="00CB38AA">
        <w:rPr>
          <w:rFonts w:ascii="Times New Roman" w:eastAsia="Arial" w:hAnsi="Times New Roman" w:cs="Times New Roman"/>
          <w:sz w:val="24"/>
          <w:szCs w:val="24"/>
          <w:u w:val="single" w:color="000000"/>
        </w:rPr>
        <w:t>https://agenda2030.mx/ODSGoalSelected.html?ti=T&amp;cveArb=ODS0120&amp;goal=0&amp;lang=es#/ind</w:t>
      </w: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Calibri" w:hAnsi="Times New Roman" w:cs="Times New Roman"/>
          <w:sz w:val="24"/>
          <w:szCs w:val="24"/>
          <w:vertAlign w:val="superscript"/>
        </w:rPr>
        <w:t>4</w:t>
      </w:r>
      <w:r w:rsidRPr="00CB38AA">
        <w:rPr>
          <w:rFonts w:ascii="Times New Roman" w:eastAsia="Calibri" w:hAnsi="Times New Roman" w:cs="Times New Roman"/>
          <w:sz w:val="24"/>
          <w:szCs w:val="24"/>
        </w:rPr>
        <w:t xml:space="preserve"> </w:t>
      </w:r>
      <w:r w:rsidRPr="00CB38AA">
        <w:rPr>
          <w:rFonts w:ascii="Times New Roman" w:eastAsia="Arial" w:hAnsi="Times New Roman" w:cs="Times New Roman"/>
          <w:sz w:val="24"/>
          <w:szCs w:val="24"/>
        </w:rPr>
        <w:t xml:space="preserve">United Nations. (s. f.). </w:t>
      </w:r>
      <w:r w:rsidRPr="00CB38AA">
        <w:rPr>
          <w:rFonts w:ascii="Times New Roman" w:eastAsia="Arial" w:hAnsi="Times New Roman" w:cs="Times New Roman"/>
          <w:i/>
          <w:sz w:val="24"/>
          <w:szCs w:val="24"/>
        </w:rPr>
        <w:t xml:space="preserve">Ensure sustainable consumption and production patterns </w:t>
      </w:r>
      <w:r w:rsidRPr="00CB38AA">
        <w:rPr>
          <w:rFonts w:ascii="Times New Roman" w:eastAsia="Arial" w:hAnsi="Times New Roman" w:cs="Times New Roman"/>
          <w:sz w:val="24"/>
          <w:szCs w:val="24"/>
        </w:rPr>
        <w:t xml:space="preserve">[Objetivo 12 de la Agenda 2030]. Disponible para consulta en: </w:t>
      </w:r>
      <w:r w:rsidRPr="00CB38AA">
        <w:rPr>
          <w:rFonts w:ascii="Times New Roman" w:eastAsia="Arial" w:hAnsi="Times New Roman" w:cs="Times New Roman"/>
          <w:sz w:val="24"/>
          <w:szCs w:val="24"/>
          <w:u w:val="single" w:color="000000"/>
        </w:rPr>
        <w:t>https:/</w:t>
      </w:r>
      <w:hyperlink r:id="rId16">
        <w:r w:rsidRPr="00CB38AA">
          <w:rPr>
            <w:rFonts w:ascii="Times New Roman" w:eastAsia="Arial" w:hAnsi="Times New Roman" w:cs="Times New Roman"/>
            <w:sz w:val="24"/>
            <w:szCs w:val="24"/>
            <w:u w:val="single" w:color="000000"/>
          </w:rPr>
          <w:t>/www.un.org/sustainabledevelopment/sustainable-consumption-production/</w:t>
        </w:r>
      </w:hyperlink>
    </w:p>
    <w:p w:rsidR="00F84785" w:rsidRPr="00CB38AA" w:rsidRDefault="00F84785" w:rsidP="00DF6EEA">
      <w:pPr>
        <w:spacing w:after="0" w:line="240" w:lineRule="auto"/>
        <w:rPr>
          <w:rFonts w:ascii="Times New Roman" w:eastAsia="Times New Roman" w:hAnsi="Times New Roman" w:cs="Times New Roman"/>
          <w:sz w:val="24"/>
          <w:szCs w:val="24"/>
        </w:rPr>
      </w:pPr>
      <w:r w:rsidRPr="00CB38AA">
        <w:rPr>
          <w:rFonts w:ascii="Times New Roman" w:eastAsia="Calibri" w:hAnsi="Times New Roman" w:cs="Times New Roman"/>
          <w:sz w:val="24"/>
          <w:szCs w:val="24"/>
          <w:vertAlign w:val="superscript"/>
        </w:rPr>
        <w:t>5</w:t>
      </w:r>
      <w:r w:rsidRPr="00CB38AA">
        <w:rPr>
          <w:rFonts w:ascii="Times New Roman" w:eastAsia="Calibri" w:hAnsi="Times New Roman" w:cs="Times New Roman"/>
          <w:sz w:val="24"/>
          <w:szCs w:val="24"/>
        </w:rPr>
        <w:t xml:space="preserve"> </w:t>
      </w:r>
      <w:r w:rsidRPr="00CB38AA">
        <w:rPr>
          <w:rFonts w:ascii="Times New Roman" w:eastAsia="Arial" w:hAnsi="Times New Roman" w:cs="Times New Roman"/>
          <w:sz w:val="24"/>
          <w:szCs w:val="24"/>
        </w:rPr>
        <w:t xml:space="preserve">Organización Internacional de Normalización. (2017). </w:t>
      </w:r>
      <w:r w:rsidRPr="00CB38AA">
        <w:rPr>
          <w:rFonts w:ascii="Times New Roman" w:eastAsia="Arial" w:hAnsi="Times New Roman" w:cs="Times New Roman"/>
          <w:i/>
          <w:sz w:val="24"/>
          <w:szCs w:val="24"/>
        </w:rPr>
        <w:t xml:space="preserve">ISO 20400:2017 – Compras sostenibles. </w:t>
      </w:r>
      <w:r w:rsidRPr="00CB38AA">
        <w:rPr>
          <w:rFonts w:ascii="Times New Roman" w:eastAsia="Arial" w:hAnsi="Times New Roman" w:cs="Times New Roman"/>
          <w:sz w:val="24"/>
          <w:szCs w:val="24"/>
        </w:rPr>
        <w:t xml:space="preserve">Disponible para consulta en: </w:t>
      </w:r>
      <w:r w:rsidRPr="00CB38AA">
        <w:rPr>
          <w:rFonts w:ascii="Times New Roman" w:eastAsia="Arial" w:hAnsi="Times New Roman" w:cs="Times New Roman"/>
          <w:sz w:val="24"/>
          <w:szCs w:val="24"/>
          <w:u w:val="single" w:color="000000"/>
        </w:rPr>
        <w:t>https:/</w:t>
      </w:r>
      <w:hyperlink r:id="rId17" w:anchor="iso:std:iso:20400:ed-1:v1:en">
        <w:r w:rsidRPr="00CB38AA">
          <w:rPr>
            <w:rFonts w:ascii="Times New Roman" w:eastAsia="Arial" w:hAnsi="Times New Roman" w:cs="Times New Roman"/>
            <w:sz w:val="24"/>
            <w:szCs w:val="24"/>
            <w:u w:val="single" w:color="000000"/>
          </w:rPr>
          <w:t>/www.iso.org/obp/ui/en/#iso:std:iso:20400:ed-1:v1:en</w:t>
        </w:r>
      </w:hyperlink>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lastRenderedPageBreak/>
        <w:t>En suma, el marco internacional impulsa a los Estados a actuar con responsabilidad ecológica en sus estructuras administrativas, no solo como usuarios, sino como modelos de buenas prácticas ambientales</w:t>
      </w:r>
      <w:r w:rsidRPr="00CB38AA">
        <w:rPr>
          <w:rFonts w:ascii="Times New Roman" w:eastAsia="Arial" w:hAnsi="Times New Roman" w:cs="Times New Roman"/>
          <w:b/>
          <w:sz w:val="24"/>
          <w:szCs w:val="24"/>
          <w:vertAlign w:val="superscript"/>
        </w:rPr>
        <w:t>6</w:t>
      </w:r>
      <w:r w:rsidRPr="00CB38AA">
        <w:rPr>
          <w:rFonts w:ascii="Times New Roman" w:eastAsia="Arial" w:hAnsi="Times New Roman" w:cs="Times New Roman"/>
          <w:b/>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En México, el marco jurídico nacional también sustenta la necesidad de promover el reúso y reciclaje de papel dentro de las instituciones públicas. La Constitución Política de los Estados Unidos Mexicanos, en su artículo 4º, reconoce el derecho de toda persona a un medio ambiente sano para su desarrollo y bienestar, y establece la obligación del Estado de garantizar su respeto y protección. A su vez, el artículo 134 mandata que el gasto público debe realizarse con criterios de eficiencia, eficacia y honradez, lo cual permite incorporar criterios ambientales en las políticas de adquisición y gestión gubernamental.</w:t>
      </w:r>
      <w:r w:rsidRPr="00CB38AA">
        <w:rPr>
          <w:rFonts w:ascii="Times New Roman" w:eastAsia="Arial" w:hAnsi="Times New Roman" w:cs="Times New Roman"/>
          <w:sz w:val="24"/>
          <w:szCs w:val="24"/>
          <w:vertAlign w:val="superscript"/>
        </w:rPr>
        <w:t>7</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En este contexto, la Ley General del Equilibrio Ecológico y la Protección al Ambiente (LGEEPA)</w:t>
      </w:r>
      <w:r w:rsidRPr="00CB38AA">
        <w:rPr>
          <w:rFonts w:ascii="Times New Roman" w:eastAsia="Arial" w:hAnsi="Times New Roman" w:cs="Times New Roman"/>
          <w:b/>
          <w:sz w:val="24"/>
          <w:szCs w:val="24"/>
          <w:vertAlign w:val="superscript"/>
        </w:rPr>
        <w:t>8</w:t>
      </w:r>
      <w:r w:rsidRPr="00CB38AA">
        <w:rPr>
          <w:rFonts w:ascii="Times New Roman" w:eastAsia="Arial" w:hAnsi="Times New Roman" w:cs="Times New Roman"/>
          <w:b/>
          <w:sz w:val="24"/>
          <w:szCs w:val="24"/>
        </w:rPr>
        <w:t xml:space="preserve"> </w:t>
      </w:r>
      <w:r w:rsidRPr="00CB38AA">
        <w:rPr>
          <w:rFonts w:ascii="Times New Roman" w:eastAsia="Arial" w:hAnsi="Times New Roman" w:cs="Times New Roman"/>
          <w:sz w:val="24"/>
          <w:szCs w:val="24"/>
        </w:rPr>
        <w:t>establece que los tres órdenes de gobierno deben implementar medidas de prevención, reducción y reciclaje de residuos. De forma complementaria, la Ley General para la Prevención y Gestión Integral de los Residuos (LGPGIR)</w:t>
      </w:r>
      <w:r w:rsidRPr="00CB38AA">
        <w:rPr>
          <w:rFonts w:ascii="Times New Roman" w:eastAsia="Arial" w:hAnsi="Times New Roman" w:cs="Times New Roman"/>
          <w:b/>
          <w:sz w:val="24"/>
          <w:szCs w:val="24"/>
          <w:vertAlign w:val="superscript"/>
        </w:rPr>
        <w:t>9</w:t>
      </w:r>
      <w:r w:rsidRPr="00CB38AA">
        <w:rPr>
          <w:rFonts w:ascii="Times New Roman" w:eastAsia="Arial" w:hAnsi="Times New Roman" w:cs="Times New Roman"/>
          <w:b/>
          <w:sz w:val="24"/>
          <w:szCs w:val="24"/>
        </w:rPr>
        <w:t xml:space="preserve"> </w:t>
      </w:r>
      <w:r w:rsidRPr="00CB38AA">
        <w:rPr>
          <w:rFonts w:ascii="Times New Roman" w:eastAsia="Arial" w:hAnsi="Times New Roman" w:cs="Times New Roman"/>
          <w:sz w:val="24"/>
          <w:szCs w:val="24"/>
        </w:rPr>
        <w:t>introduce los principios de economía circular y valorización de materiales, los cuales aplican plenamente al ciclo de consumo del papel dentro de las oficinas públicas.</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Aunque México no cuenta con una cifra oficial consolidada sobre el volumen de papel desechado en instituciones gubernamentales, estudios internacionales permiten dimensionar la magnitud del problema. Por ejemplo, la Agencia de Protección Ambiental de Estados Unidos (EPA) reportó que en 2018 se generaron 67,4 millones de toneladas de residuos de papel y cartón (EPA, 2022)</w:t>
      </w:r>
      <w:r w:rsidRPr="00CB38AA">
        <w:rPr>
          <w:rFonts w:ascii="Times New Roman" w:eastAsia="Arial" w:hAnsi="Times New Roman" w:cs="Times New Roman"/>
          <w:sz w:val="24"/>
          <w:szCs w:val="24"/>
          <w:vertAlign w:val="superscript"/>
        </w:rPr>
        <w:t>10</w:t>
      </w:r>
      <w:r w:rsidRPr="00CB38AA">
        <w:rPr>
          <w:rFonts w:ascii="Times New Roman" w:eastAsia="Arial" w:hAnsi="Times New Roman" w:cs="Times New Roman"/>
          <w:sz w:val="24"/>
          <w:szCs w:val="24"/>
        </w:rPr>
        <w:t>, mientras que el trabajador de oficina promedio utiliza cerca de 10 000 hojas de papel al año (</w:t>
      </w:r>
      <w:r w:rsidRPr="00CB38AA">
        <w:rPr>
          <w:rFonts w:ascii="Times New Roman" w:eastAsia="Arial" w:hAnsi="Times New Roman" w:cs="Times New Roman"/>
          <w:i/>
          <w:sz w:val="24"/>
          <w:szCs w:val="24"/>
        </w:rPr>
        <w:t>Record Nations</w:t>
      </w:r>
      <w:r w:rsidRPr="00CB38AA">
        <w:rPr>
          <w:rFonts w:ascii="Times New Roman" w:eastAsia="Arial" w:hAnsi="Times New Roman" w:cs="Times New Roman"/>
          <w:sz w:val="24"/>
          <w:szCs w:val="24"/>
        </w:rPr>
        <w:t>, 2024)</w:t>
      </w:r>
      <w:r w:rsidRPr="00CB38AA">
        <w:rPr>
          <w:rFonts w:ascii="Times New Roman" w:eastAsia="Arial" w:hAnsi="Times New Roman" w:cs="Times New Roman"/>
          <w:sz w:val="24"/>
          <w:szCs w:val="24"/>
          <w:vertAlign w:val="superscript"/>
        </w:rPr>
        <w:t>11</w:t>
      </w:r>
      <w:r w:rsidRPr="00CB38AA">
        <w:rPr>
          <w:rFonts w:ascii="Times New Roman" w:eastAsia="Arial" w:hAnsi="Times New Roman" w:cs="Times New Roman"/>
          <w:sz w:val="24"/>
          <w:szCs w:val="24"/>
        </w:rPr>
        <w:t>. Además, se estima que hasta el 17% de todo lo impreso en oficinas se descarta de inmediato, sin cumplir una función útil (</w:t>
      </w:r>
      <w:r w:rsidRPr="00CB38AA">
        <w:rPr>
          <w:rFonts w:ascii="Times New Roman" w:eastAsia="Arial" w:hAnsi="Times New Roman" w:cs="Times New Roman"/>
          <w:i/>
          <w:sz w:val="24"/>
          <w:szCs w:val="24"/>
        </w:rPr>
        <w:t>StopWaste</w:t>
      </w:r>
      <w:r w:rsidRPr="00CB38AA">
        <w:rPr>
          <w:rFonts w:ascii="Times New Roman" w:eastAsia="Arial" w:hAnsi="Times New Roman" w:cs="Times New Roman"/>
          <w:sz w:val="24"/>
          <w:szCs w:val="24"/>
        </w:rPr>
        <w:t>, 2023)</w:t>
      </w:r>
      <w:r w:rsidRPr="00CB38AA">
        <w:rPr>
          <w:rFonts w:ascii="Times New Roman" w:eastAsia="Arial" w:hAnsi="Times New Roman" w:cs="Times New Roman"/>
          <w:sz w:val="24"/>
          <w:szCs w:val="24"/>
          <w:vertAlign w:val="superscript"/>
        </w:rPr>
        <w:t>12</w:t>
      </w: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Calibri" w:hAnsi="Times New Roman" w:cs="Times New Roman"/>
          <w:sz w:val="24"/>
          <w:szCs w:val="24"/>
          <w:vertAlign w:val="superscript"/>
        </w:rPr>
        <w:t>6</w:t>
      </w:r>
      <w:r w:rsidRPr="00CB38AA">
        <w:rPr>
          <w:rFonts w:ascii="Times New Roman" w:eastAsia="Calibri" w:hAnsi="Times New Roman" w:cs="Times New Roman"/>
          <w:sz w:val="24"/>
          <w:szCs w:val="24"/>
        </w:rPr>
        <w:t xml:space="preserve"> </w:t>
      </w:r>
      <w:r w:rsidRPr="00CB38AA">
        <w:rPr>
          <w:rFonts w:ascii="Times New Roman" w:eastAsia="Arial" w:hAnsi="Times New Roman" w:cs="Times New Roman"/>
          <w:sz w:val="24"/>
          <w:szCs w:val="24"/>
        </w:rPr>
        <w:t xml:space="preserve">Programa de las Naciones Unidas para el Medio Ambiente. (2021). </w:t>
      </w:r>
      <w:r w:rsidRPr="00CB38AA">
        <w:rPr>
          <w:rFonts w:ascii="Times New Roman" w:eastAsia="Arial" w:hAnsi="Times New Roman" w:cs="Times New Roman"/>
          <w:i/>
          <w:sz w:val="24"/>
          <w:szCs w:val="24"/>
        </w:rPr>
        <w:t>Sustainable public procurement: Global review 2021</w:t>
      </w:r>
      <w:r w:rsidRPr="00CB38AA">
        <w:rPr>
          <w:rFonts w:ascii="Times New Roman" w:eastAsia="Arial" w:hAnsi="Times New Roman" w:cs="Times New Roman"/>
          <w:sz w:val="24"/>
          <w:szCs w:val="24"/>
        </w:rPr>
        <w:t xml:space="preserve">. United Nations Environment Programme. Disponible para consulta en: </w:t>
      </w:r>
      <w:r w:rsidRPr="00CB38AA">
        <w:rPr>
          <w:rFonts w:ascii="Times New Roman" w:eastAsia="Arial" w:hAnsi="Times New Roman" w:cs="Times New Roman"/>
          <w:sz w:val="24"/>
          <w:szCs w:val="24"/>
          <w:u w:val="single" w:color="000000"/>
        </w:rPr>
        <w:t>https:/</w:t>
      </w:r>
      <w:hyperlink r:id="rId18">
        <w:r w:rsidRPr="00CB38AA">
          <w:rPr>
            <w:rFonts w:ascii="Times New Roman" w:eastAsia="Arial" w:hAnsi="Times New Roman" w:cs="Times New Roman"/>
            <w:sz w:val="24"/>
            <w:szCs w:val="24"/>
            <w:u w:val="single" w:color="000000"/>
          </w:rPr>
          <w:t>/www.oneplanetnetwork.org/sites/default/files/fromcrm/UNEP_2022_%2520SPP_Global_Review_Part_1_0.pdf</w:t>
        </w:r>
      </w:hyperlink>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Calibri" w:hAnsi="Times New Roman" w:cs="Times New Roman"/>
          <w:sz w:val="24"/>
          <w:szCs w:val="24"/>
          <w:vertAlign w:val="superscript"/>
        </w:rPr>
        <w:t>7</w:t>
      </w:r>
      <w:r w:rsidRPr="00CB38AA">
        <w:rPr>
          <w:rFonts w:ascii="Times New Roman" w:eastAsia="Calibri" w:hAnsi="Times New Roman" w:cs="Times New Roman"/>
          <w:sz w:val="24"/>
          <w:szCs w:val="24"/>
        </w:rPr>
        <w:t xml:space="preserve"> </w:t>
      </w:r>
      <w:r w:rsidRPr="00CB38AA">
        <w:rPr>
          <w:rFonts w:ascii="Times New Roman" w:eastAsia="Arial" w:hAnsi="Times New Roman" w:cs="Times New Roman"/>
          <w:sz w:val="24"/>
          <w:szCs w:val="24"/>
        </w:rPr>
        <w:t xml:space="preserve">Cámara de Diputados del H. Congreso de la Unión. (2024). </w:t>
      </w:r>
      <w:r w:rsidRPr="00CB38AA">
        <w:rPr>
          <w:rFonts w:ascii="Times New Roman" w:eastAsia="Arial" w:hAnsi="Times New Roman" w:cs="Times New Roman"/>
          <w:i/>
          <w:sz w:val="24"/>
          <w:szCs w:val="24"/>
        </w:rPr>
        <w:t xml:space="preserve">Constitución Política de los Estados Unidos Mexicanos. </w:t>
      </w:r>
      <w:r w:rsidRPr="00CB38AA">
        <w:rPr>
          <w:rFonts w:ascii="Times New Roman" w:eastAsia="Arial" w:hAnsi="Times New Roman" w:cs="Times New Roman"/>
          <w:sz w:val="24"/>
          <w:szCs w:val="24"/>
        </w:rPr>
        <w:t xml:space="preserve">Diario Oficial de la Federación. Disponible para consulta en: </w:t>
      </w:r>
      <w:r w:rsidRPr="00CB38AA">
        <w:rPr>
          <w:rFonts w:ascii="Times New Roman" w:eastAsia="Arial" w:hAnsi="Times New Roman" w:cs="Times New Roman"/>
          <w:sz w:val="24"/>
          <w:szCs w:val="24"/>
          <w:u w:val="single" w:color="000000"/>
        </w:rPr>
        <w:t>https:/</w:t>
      </w:r>
      <w:hyperlink r:id="rId19">
        <w:r w:rsidRPr="00CB38AA">
          <w:rPr>
            <w:rFonts w:ascii="Times New Roman" w:eastAsia="Arial" w:hAnsi="Times New Roman" w:cs="Times New Roman"/>
            <w:sz w:val="24"/>
            <w:szCs w:val="24"/>
            <w:u w:val="single" w:color="000000"/>
          </w:rPr>
          <w:t>/www.diputados.gob.mx/LeyesBiblio/pdf/CPEUM.pdf</w:t>
        </w:r>
      </w:hyperlink>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Calibri" w:hAnsi="Times New Roman" w:cs="Times New Roman"/>
          <w:sz w:val="24"/>
          <w:szCs w:val="24"/>
          <w:vertAlign w:val="superscript"/>
        </w:rPr>
        <w:t>8</w:t>
      </w:r>
      <w:r w:rsidRPr="00CB38AA">
        <w:rPr>
          <w:rFonts w:ascii="Times New Roman" w:eastAsia="Calibri" w:hAnsi="Times New Roman" w:cs="Times New Roman"/>
          <w:sz w:val="24"/>
          <w:szCs w:val="24"/>
        </w:rPr>
        <w:t xml:space="preserve"> </w:t>
      </w:r>
      <w:r w:rsidRPr="00CB38AA">
        <w:rPr>
          <w:rFonts w:ascii="Times New Roman" w:eastAsia="Arial" w:hAnsi="Times New Roman" w:cs="Times New Roman"/>
          <w:sz w:val="24"/>
          <w:szCs w:val="24"/>
        </w:rPr>
        <w:t xml:space="preserve">Cámara de Diputados del H. Congreso de la Unión. (2024). </w:t>
      </w:r>
      <w:r w:rsidRPr="00CB38AA">
        <w:rPr>
          <w:rFonts w:ascii="Times New Roman" w:eastAsia="Arial" w:hAnsi="Times New Roman" w:cs="Times New Roman"/>
          <w:i/>
          <w:sz w:val="24"/>
          <w:szCs w:val="24"/>
        </w:rPr>
        <w:t xml:space="preserve">Ley General del Equilibrio Ecológico y la Protección al Ambiente. </w:t>
      </w:r>
      <w:r w:rsidRPr="00CB38AA">
        <w:rPr>
          <w:rFonts w:ascii="Times New Roman" w:eastAsia="Arial" w:hAnsi="Times New Roman" w:cs="Times New Roman"/>
          <w:sz w:val="24"/>
          <w:szCs w:val="24"/>
        </w:rPr>
        <w:t xml:space="preserve">Diario Oficial de la Federación. Disponible para consulta en: </w:t>
      </w:r>
      <w:r w:rsidRPr="00CB38AA">
        <w:rPr>
          <w:rFonts w:ascii="Times New Roman" w:eastAsia="Arial" w:hAnsi="Times New Roman" w:cs="Times New Roman"/>
          <w:sz w:val="24"/>
          <w:szCs w:val="24"/>
          <w:u w:val="single" w:color="000000"/>
        </w:rPr>
        <w:t>https:/</w:t>
      </w:r>
      <w:hyperlink r:id="rId20">
        <w:r w:rsidRPr="00CB38AA">
          <w:rPr>
            <w:rFonts w:ascii="Times New Roman" w:eastAsia="Arial" w:hAnsi="Times New Roman" w:cs="Times New Roman"/>
            <w:sz w:val="24"/>
            <w:szCs w:val="24"/>
            <w:u w:val="single" w:color="000000"/>
          </w:rPr>
          <w:t>/www.diputados.gob.mx/LeyesBiblio/pdf/LGEEPA.pdf</w:t>
        </w:r>
      </w:hyperlink>
    </w:p>
    <w:p w:rsidR="00F84785" w:rsidRPr="00CB38AA" w:rsidRDefault="00F84785" w:rsidP="00DF6EEA">
      <w:pPr>
        <w:spacing w:after="0" w:line="240" w:lineRule="auto"/>
        <w:jc w:val="both"/>
        <w:rPr>
          <w:rFonts w:ascii="Times New Roman" w:eastAsia="Times New Roman" w:hAnsi="Times New Roman" w:cs="Times New Roman"/>
          <w:sz w:val="24"/>
          <w:szCs w:val="24"/>
        </w:rPr>
      </w:pPr>
      <w:r w:rsidRPr="00CB38AA">
        <w:rPr>
          <w:rFonts w:ascii="Times New Roman" w:eastAsia="Calibri" w:hAnsi="Times New Roman" w:cs="Times New Roman"/>
          <w:sz w:val="24"/>
          <w:szCs w:val="24"/>
          <w:vertAlign w:val="superscript"/>
        </w:rPr>
        <w:t>9</w:t>
      </w:r>
      <w:r w:rsidRPr="00CB38AA">
        <w:rPr>
          <w:rFonts w:ascii="Times New Roman" w:eastAsia="Calibri" w:hAnsi="Times New Roman" w:cs="Times New Roman"/>
          <w:sz w:val="24"/>
          <w:szCs w:val="24"/>
        </w:rPr>
        <w:t xml:space="preserve"> </w:t>
      </w:r>
      <w:r w:rsidRPr="00CB38AA">
        <w:rPr>
          <w:rFonts w:ascii="Times New Roman" w:eastAsia="Arial" w:hAnsi="Times New Roman" w:cs="Times New Roman"/>
          <w:sz w:val="24"/>
          <w:szCs w:val="24"/>
        </w:rPr>
        <w:t xml:space="preserve">Cámara de Diputados del H. Congreso de la Unión. (2023). </w:t>
      </w:r>
      <w:r w:rsidRPr="00CB38AA">
        <w:rPr>
          <w:rFonts w:ascii="Times New Roman" w:eastAsia="Arial" w:hAnsi="Times New Roman" w:cs="Times New Roman"/>
          <w:i/>
          <w:sz w:val="24"/>
          <w:szCs w:val="24"/>
        </w:rPr>
        <w:t>Ley General para la Prevención y Gestión Integral de los Residuos</w:t>
      </w:r>
      <w:r w:rsidRPr="00CB38AA">
        <w:rPr>
          <w:rFonts w:ascii="Times New Roman" w:eastAsia="Arial" w:hAnsi="Times New Roman" w:cs="Times New Roman"/>
          <w:sz w:val="24"/>
          <w:szCs w:val="24"/>
        </w:rPr>
        <w:t xml:space="preserve">. Diario Oficial de la Federación. Disponible para consulta en: </w:t>
      </w:r>
      <w:r w:rsidRPr="00CB38AA">
        <w:rPr>
          <w:rFonts w:ascii="Times New Roman" w:eastAsia="Arial" w:hAnsi="Times New Roman" w:cs="Times New Roman"/>
          <w:sz w:val="24"/>
          <w:szCs w:val="24"/>
          <w:u w:val="single" w:color="000000"/>
        </w:rPr>
        <w:t>https:/</w:t>
      </w:r>
      <w:hyperlink r:id="rId21">
        <w:r w:rsidRPr="00CB38AA">
          <w:rPr>
            <w:rFonts w:ascii="Times New Roman" w:eastAsia="Arial" w:hAnsi="Times New Roman" w:cs="Times New Roman"/>
            <w:sz w:val="24"/>
            <w:szCs w:val="24"/>
            <w:u w:val="single" w:color="000000"/>
          </w:rPr>
          <w:t>/www.diputados.gob.mx/LeyesBiblio/pdf/LGPGIR.pdf</w:t>
        </w:r>
      </w:hyperlink>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Estas cifras, aunque referenciales, ilustran la urgencia de transformar la cultura administrativa en México hacia un enfoque de consumo responsable y digitalización progresiva. En consonancia, programas federales como la Estrategia Nacional de Educación Ambiental para la Sustentabilidad (SEMARNAT, 2020)</w:t>
      </w:r>
      <w:r w:rsidRPr="00CB38AA">
        <w:rPr>
          <w:rFonts w:ascii="Times New Roman" w:eastAsia="Arial" w:hAnsi="Times New Roman" w:cs="Times New Roman"/>
          <w:sz w:val="24"/>
          <w:szCs w:val="24"/>
          <w:vertAlign w:val="superscript"/>
        </w:rPr>
        <w:t>13</w:t>
      </w:r>
      <w:r w:rsidRPr="00CB38AA">
        <w:rPr>
          <w:rFonts w:ascii="Times New Roman" w:eastAsia="Arial" w:hAnsi="Times New Roman" w:cs="Times New Roman"/>
          <w:sz w:val="24"/>
          <w:szCs w:val="24"/>
        </w:rPr>
        <w:t xml:space="preserve"> y las políticas de Gobierno Digital del Instituto Nacional de Transparencia, Acceso a la Información y Protección de Datos Personales (INAI)</w:t>
      </w:r>
      <w:r w:rsidRPr="00CB38AA">
        <w:rPr>
          <w:rFonts w:ascii="Times New Roman" w:eastAsia="Arial" w:hAnsi="Times New Roman" w:cs="Times New Roman"/>
          <w:sz w:val="24"/>
          <w:szCs w:val="24"/>
          <w:vertAlign w:val="superscript"/>
        </w:rPr>
        <w:t>14</w:t>
      </w:r>
      <w:r w:rsidRPr="00CB38AA">
        <w:rPr>
          <w:rFonts w:ascii="Times New Roman" w:eastAsia="Arial" w:hAnsi="Times New Roman" w:cs="Times New Roman"/>
          <w:sz w:val="24"/>
          <w:szCs w:val="24"/>
        </w:rPr>
        <w:t xml:space="preserve"> promueven la reducción de materiales impresos mediante la gestión electrónica de documentos.</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Calibri" w:hAnsi="Times New Roman" w:cs="Times New Roman"/>
          <w:sz w:val="24"/>
          <w:szCs w:val="24"/>
          <w:vertAlign w:val="superscript"/>
        </w:rPr>
        <w:lastRenderedPageBreak/>
        <w:t>10</w:t>
      </w:r>
      <w:r w:rsidRPr="00CB38AA">
        <w:rPr>
          <w:rFonts w:ascii="Times New Roman" w:eastAsia="Calibri" w:hAnsi="Times New Roman" w:cs="Times New Roman"/>
          <w:sz w:val="24"/>
          <w:szCs w:val="24"/>
        </w:rPr>
        <w:t xml:space="preserve"> </w:t>
      </w:r>
      <w:r w:rsidRPr="00CB38AA">
        <w:rPr>
          <w:rFonts w:ascii="Times New Roman" w:eastAsia="Arial" w:hAnsi="Times New Roman" w:cs="Times New Roman"/>
          <w:sz w:val="24"/>
          <w:szCs w:val="24"/>
        </w:rPr>
        <w:t xml:space="preserve">U.S. Environmental Protection Agency. (2022). </w:t>
      </w:r>
      <w:r w:rsidRPr="00CB38AA">
        <w:rPr>
          <w:rFonts w:ascii="Times New Roman" w:eastAsia="Arial" w:hAnsi="Times New Roman" w:cs="Times New Roman"/>
          <w:i/>
          <w:sz w:val="24"/>
          <w:szCs w:val="24"/>
        </w:rPr>
        <w:t>National overview: Facts and figures on materials, wastes and recycling</w:t>
      </w:r>
      <w:r w:rsidRPr="00CB38AA">
        <w:rPr>
          <w:rFonts w:ascii="Times New Roman" w:eastAsia="Arial" w:hAnsi="Times New Roman" w:cs="Times New Roman"/>
          <w:sz w:val="24"/>
          <w:szCs w:val="24"/>
        </w:rPr>
        <w:t xml:space="preserve">. EPA. Disponible para consulta en: </w:t>
      </w:r>
      <w:r w:rsidRPr="00CB38AA">
        <w:rPr>
          <w:rFonts w:ascii="Times New Roman" w:eastAsia="Arial" w:hAnsi="Times New Roman" w:cs="Times New Roman"/>
          <w:sz w:val="24"/>
          <w:szCs w:val="24"/>
          <w:u w:val="single" w:color="000000"/>
        </w:rPr>
        <w:t>https:/</w:t>
      </w:r>
      <w:hyperlink r:id="rId22">
        <w:r w:rsidRPr="00CB38AA">
          <w:rPr>
            <w:rFonts w:ascii="Times New Roman" w:eastAsia="Arial" w:hAnsi="Times New Roman" w:cs="Times New Roman"/>
            <w:sz w:val="24"/>
            <w:szCs w:val="24"/>
            <w:u w:val="single" w:color="000000"/>
          </w:rPr>
          <w:t>/www.epa.gov/facts-and-figures-about-materials-waste-and-recycling/national-overview-facts-</w:t>
        </w:r>
      </w:hyperlink>
      <w:r w:rsidRPr="00CB38AA">
        <w:rPr>
          <w:rFonts w:ascii="Times New Roman" w:eastAsia="Arial" w:hAnsi="Times New Roman" w:cs="Times New Roman"/>
          <w:sz w:val="24"/>
          <w:szCs w:val="24"/>
        </w:rPr>
        <w:t xml:space="preserve"> </w:t>
      </w:r>
      <w:r w:rsidRPr="00CB38AA">
        <w:rPr>
          <w:rFonts w:ascii="Times New Roman" w:eastAsia="Arial" w:hAnsi="Times New Roman" w:cs="Times New Roman"/>
          <w:sz w:val="24"/>
          <w:szCs w:val="24"/>
          <w:u w:val="single" w:color="000000"/>
        </w:rPr>
        <w:t>and-figures-materials</w:t>
      </w: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Calibri" w:hAnsi="Times New Roman" w:cs="Times New Roman"/>
          <w:sz w:val="24"/>
          <w:szCs w:val="24"/>
          <w:vertAlign w:val="superscript"/>
        </w:rPr>
        <w:t>11</w:t>
      </w:r>
      <w:r w:rsidRPr="00CB38AA">
        <w:rPr>
          <w:rFonts w:ascii="Times New Roman" w:eastAsia="Calibri" w:hAnsi="Times New Roman" w:cs="Times New Roman"/>
          <w:sz w:val="24"/>
          <w:szCs w:val="24"/>
        </w:rPr>
        <w:t xml:space="preserve"> </w:t>
      </w:r>
      <w:r w:rsidRPr="00CB38AA">
        <w:rPr>
          <w:rFonts w:ascii="Times New Roman" w:eastAsia="Arial" w:hAnsi="Times New Roman" w:cs="Times New Roman"/>
          <w:sz w:val="24"/>
          <w:szCs w:val="24"/>
        </w:rPr>
        <w:t xml:space="preserve">Record Nations. (2024). </w:t>
      </w:r>
      <w:r w:rsidRPr="00CB38AA">
        <w:rPr>
          <w:rFonts w:ascii="Times New Roman" w:eastAsia="Arial" w:hAnsi="Times New Roman" w:cs="Times New Roman"/>
          <w:i/>
          <w:sz w:val="24"/>
          <w:szCs w:val="24"/>
        </w:rPr>
        <w:t xml:space="preserve">How much paper does the average office worker use? </w:t>
      </w:r>
      <w:r w:rsidRPr="00CB38AA">
        <w:rPr>
          <w:rFonts w:ascii="Times New Roman" w:eastAsia="Arial" w:hAnsi="Times New Roman" w:cs="Times New Roman"/>
          <w:sz w:val="24"/>
          <w:szCs w:val="24"/>
        </w:rPr>
        <w:t xml:space="preserve">Record Nations. Disponible para consulta en: </w:t>
      </w:r>
      <w:r w:rsidRPr="00CB38AA">
        <w:rPr>
          <w:rFonts w:ascii="Times New Roman" w:eastAsia="Arial" w:hAnsi="Times New Roman" w:cs="Times New Roman"/>
          <w:sz w:val="24"/>
          <w:szCs w:val="24"/>
          <w:u w:val="single" w:color="000000"/>
        </w:rPr>
        <w:t>https:/</w:t>
      </w:r>
      <w:hyperlink r:id="rId23">
        <w:r w:rsidRPr="00CB38AA">
          <w:rPr>
            <w:rFonts w:ascii="Times New Roman" w:eastAsia="Arial" w:hAnsi="Times New Roman" w:cs="Times New Roman"/>
            <w:sz w:val="24"/>
            <w:szCs w:val="24"/>
            <w:u w:val="single" w:color="000000"/>
          </w:rPr>
          <w:t>/www.recordnations.com/articles/average-office-worker-paper-use/</w:t>
        </w:r>
      </w:hyperlink>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Calibri" w:hAnsi="Times New Roman" w:cs="Times New Roman"/>
          <w:sz w:val="24"/>
          <w:szCs w:val="24"/>
          <w:vertAlign w:val="superscript"/>
        </w:rPr>
        <w:t>12</w:t>
      </w:r>
      <w:r w:rsidRPr="00CB38AA">
        <w:rPr>
          <w:rFonts w:ascii="Times New Roman" w:eastAsia="Calibri" w:hAnsi="Times New Roman" w:cs="Times New Roman"/>
          <w:sz w:val="24"/>
          <w:szCs w:val="24"/>
        </w:rPr>
        <w:t xml:space="preserve"> </w:t>
      </w:r>
      <w:r w:rsidRPr="00CB38AA">
        <w:rPr>
          <w:rFonts w:ascii="Times New Roman" w:eastAsia="Arial" w:hAnsi="Times New Roman" w:cs="Times New Roman"/>
          <w:sz w:val="24"/>
          <w:szCs w:val="24"/>
        </w:rPr>
        <w:t xml:space="preserve">StopWaste. (2023). </w:t>
      </w:r>
      <w:r w:rsidRPr="00CB38AA">
        <w:rPr>
          <w:rFonts w:ascii="Times New Roman" w:eastAsia="Arial" w:hAnsi="Times New Roman" w:cs="Times New Roman"/>
          <w:i/>
          <w:sz w:val="24"/>
          <w:szCs w:val="24"/>
        </w:rPr>
        <w:t>Paper waste prevention tips</w:t>
      </w:r>
      <w:r w:rsidRPr="00CB38AA">
        <w:rPr>
          <w:rFonts w:ascii="Times New Roman" w:eastAsia="Arial" w:hAnsi="Times New Roman" w:cs="Times New Roman"/>
          <w:sz w:val="24"/>
          <w:szCs w:val="24"/>
        </w:rPr>
        <w:t xml:space="preserve">. StopWaste. Disponible para consulta en: </w:t>
      </w:r>
      <w:r w:rsidRPr="00CB38AA">
        <w:rPr>
          <w:rFonts w:ascii="Times New Roman" w:eastAsia="Arial" w:hAnsi="Times New Roman" w:cs="Times New Roman"/>
          <w:sz w:val="24"/>
          <w:szCs w:val="24"/>
          <w:u w:val="single" w:color="000000"/>
        </w:rPr>
        <w:t>https:/</w:t>
      </w:r>
      <w:hyperlink r:id="rId24">
        <w:r w:rsidRPr="00CB38AA">
          <w:rPr>
            <w:rFonts w:ascii="Times New Roman" w:eastAsia="Arial" w:hAnsi="Times New Roman" w:cs="Times New Roman"/>
            <w:sz w:val="24"/>
            <w:szCs w:val="24"/>
            <w:u w:val="single" w:color="000000"/>
          </w:rPr>
          <w:t>/www.stopwaste.org/at-</w:t>
        </w:r>
      </w:hyperlink>
      <w:r w:rsidRPr="00CB38AA">
        <w:rPr>
          <w:rFonts w:ascii="Times New Roman" w:eastAsia="Arial" w:hAnsi="Times New Roman" w:cs="Times New Roman"/>
          <w:sz w:val="24"/>
          <w:szCs w:val="24"/>
        </w:rPr>
        <w:t xml:space="preserve"> </w:t>
      </w:r>
      <w:r w:rsidRPr="00CB38AA">
        <w:rPr>
          <w:rFonts w:ascii="Times New Roman" w:eastAsia="Arial" w:hAnsi="Times New Roman" w:cs="Times New Roman"/>
          <w:sz w:val="24"/>
          <w:szCs w:val="24"/>
          <w:u w:val="single" w:color="000000"/>
        </w:rPr>
        <w:t>work/reduce-and-reuse/paper-waste-prevention</w:t>
      </w: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Calibri" w:hAnsi="Times New Roman" w:cs="Times New Roman"/>
          <w:sz w:val="24"/>
          <w:szCs w:val="24"/>
          <w:vertAlign w:val="superscript"/>
        </w:rPr>
        <w:t>13</w:t>
      </w:r>
      <w:r w:rsidRPr="00CB38AA">
        <w:rPr>
          <w:rFonts w:ascii="Times New Roman" w:eastAsia="Calibri" w:hAnsi="Times New Roman" w:cs="Times New Roman"/>
          <w:sz w:val="24"/>
          <w:szCs w:val="24"/>
        </w:rPr>
        <w:t xml:space="preserve"> </w:t>
      </w:r>
      <w:r w:rsidRPr="00CB38AA">
        <w:rPr>
          <w:rFonts w:ascii="Times New Roman" w:eastAsia="Arial" w:hAnsi="Times New Roman" w:cs="Times New Roman"/>
          <w:sz w:val="24"/>
          <w:szCs w:val="24"/>
        </w:rPr>
        <w:t xml:space="preserve">Secretaría de Medio Ambiente y Recursos Naturales. (2020). </w:t>
      </w:r>
      <w:r w:rsidRPr="00CB38AA">
        <w:rPr>
          <w:rFonts w:ascii="Times New Roman" w:eastAsia="Arial" w:hAnsi="Times New Roman" w:cs="Times New Roman"/>
          <w:i/>
          <w:sz w:val="24"/>
          <w:szCs w:val="24"/>
        </w:rPr>
        <w:t>Estrategia Nacional de Educación Ambiental para la Sustentabilidad 2020–2024</w:t>
      </w:r>
      <w:r w:rsidRPr="00CB38AA">
        <w:rPr>
          <w:rFonts w:ascii="Times New Roman" w:eastAsia="Arial" w:hAnsi="Times New Roman" w:cs="Times New Roman"/>
          <w:sz w:val="24"/>
          <w:szCs w:val="24"/>
        </w:rPr>
        <w:t xml:space="preserve">. SEMARNAT. Disponible para consulta en: </w:t>
      </w:r>
      <w:r w:rsidRPr="00CB38AA">
        <w:rPr>
          <w:rFonts w:ascii="Times New Roman" w:eastAsia="Arial" w:hAnsi="Times New Roman" w:cs="Times New Roman"/>
          <w:sz w:val="24"/>
          <w:szCs w:val="24"/>
          <w:u w:val="single" w:color="000000"/>
        </w:rPr>
        <w:t>https:/</w:t>
      </w:r>
      <w:hyperlink r:id="rId25">
        <w:r w:rsidRPr="00CB38AA">
          <w:rPr>
            <w:rFonts w:ascii="Times New Roman" w:eastAsia="Arial" w:hAnsi="Times New Roman" w:cs="Times New Roman"/>
            <w:sz w:val="24"/>
            <w:szCs w:val="24"/>
            <w:u w:val="single" w:color="000000"/>
          </w:rPr>
          <w:t>/www.gob.mx/cms/uploads/attachment/file/610430/ENEAS_2020-</w:t>
        </w:r>
      </w:hyperlink>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u w:val="single" w:color="000000"/>
        </w:rPr>
        <w:t>2024.pdf</w:t>
      </w:r>
    </w:p>
    <w:p w:rsidR="00F84785" w:rsidRPr="00CB38AA" w:rsidRDefault="00F84785" w:rsidP="00DF6EEA">
      <w:pPr>
        <w:spacing w:after="0" w:line="240" w:lineRule="auto"/>
        <w:jc w:val="both"/>
        <w:rPr>
          <w:rFonts w:ascii="Times New Roman" w:eastAsia="Times New Roman" w:hAnsi="Times New Roman" w:cs="Times New Roman"/>
          <w:sz w:val="24"/>
          <w:szCs w:val="24"/>
        </w:rPr>
      </w:pPr>
      <w:r w:rsidRPr="00CB38AA">
        <w:rPr>
          <w:rFonts w:ascii="Times New Roman" w:eastAsia="Calibri" w:hAnsi="Times New Roman" w:cs="Times New Roman"/>
          <w:sz w:val="24"/>
          <w:szCs w:val="24"/>
          <w:vertAlign w:val="superscript"/>
        </w:rPr>
        <w:t>14</w:t>
      </w:r>
      <w:r w:rsidRPr="00CB38AA">
        <w:rPr>
          <w:rFonts w:ascii="Times New Roman" w:eastAsia="Calibri" w:hAnsi="Times New Roman" w:cs="Times New Roman"/>
          <w:sz w:val="24"/>
          <w:szCs w:val="24"/>
        </w:rPr>
        <w:t xml:space="preserve"> </w:t>
      </w:r>
      <w:r w:rsidRPr="00CB38AA">
        <w:rPr>
          <w:rFonts w:ascii="Times New Roman" w:eastAsia="Arial" w:hAnsi="Times New Roman" w:cs="Times New Roman"/>
          <w:sz w:val="24"/>
          <w:szCs w:val="24"/>
        </w:rPr>
        <w:t xml:space="preserve">Instituto Nacional de Transparencia, Acceso a la Información y Protección de Datos Personales. (2021). </w:t>
      </w:r>
      <w:r w:rsidRPr="00CB38AA">
        <w:rPr>
          <w:rFonts w:ascii="Times New Roman" w:eastAsia="Arial" w:hAnsi="Times New Roman" w:cs="Times New Roman"/>
          <w:i/>
          <w:sz w:val="24"/>
          <w:szCs w:val="24"/>
        </w:rPr>
        <w:t>Política de Gobierno Abierto y Transparencia Proactiva</w:t>
      </w:r>
      <w:r w:rsidRPr="00CB38AA">
        <w:rPr>
          <w:rFonts w:ascii="Times New Roman" w:eastAsia="Arial" w:hAnsi="Times New Roman" w:cs="Times New Roman"/>
          <w:sz w:val="24"/>
          <w:szCs w:val="24"/>
        </w:rPr>
        <w:t xml:space="preserve">. INAI. Disponible para consulta en: </w:t>
      </w:r>
      <w:r w:rsidRPr="00CB38AA">
        <w:rPr>
          <w:rFonts w:ascii="Times New Roman" w:eastAsia="Arial" w:hAnsi="Times New Roman" w:cs="Times New Roman"/>
          <w:sz w:val="24"/>
          <w:szCs w:val="24"/>
          <w:u w:val="single" w:color="000000"/>
        </w:rPr>
        <w:t>https://home.inai.org.mx/wp-</w:t>
      </w:r>
      <w:r w:rsidRPr="00CB38AA">
        <w:rPr>
          <w:rFonts w:ascii="Times New Roman" w:eastAsia="Arial" w:hAnsi="Times New Roman" w:cs="Times New Roman"/>
          <w:sz w:val="24"/>
          <w:szCs w:val="24"/>
        </w:rPr>
        <w:t xml:space="preserve"> </w:t>
      </w:r>
      <w:r w:rsidRPr="00CB38AA">
        <w:rPr>
          <w:rFonts w:ascii="Times New Roman" w:eastAsia="Arial" w:hAnsi="Times New Roman" w:cs="Times New Roman"/>
          <w:sz w:val="24"/>
          <w:szCs w:val="24"/>
          <w:u w:val="single" w:color="000000"/>
        </w:rPr>
        <w:t>content/documentos_iaip/politica_gob_abierto_transparencia_proactiva.pdf</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De esta manera, la presente iniciativa encuentra respaldo en la normativa nacional y se articula con los esfuerzos federales por construir un Estado moderno, transparente y ambientalmente responsable.</w:t>
      </w:r>
      <w:r w:rsidRPr="00CB38AA">
        <w:rPr>
          <w:rFonts w:ascii="Times New Roman" w:eastAsia="Arial" w:hAnsi="Times New Roman" w:cs="Times New Roman"/>
          <w:sz w:val="24"/>
          <w:szCs w:val="24"/>
          <w:vertAlign w:val="superscript"/>
        </w:rPr>
        <w:t>15</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En el ámbito del Estado de México, el artículo 5º de la Constitución Política local</w:t>
      </w:r>
      <w:r w:rsidRPr="00CB38AA">
        <w:rPr>
          <w:rFonts w:ascii="Times New Roman" w:eastAsia="Arial" w:hAnsi="Times New Roman" w:cs="Times New Roman"/>
          <w:b/>
          <w:sz w:val="24"/>
          <w:szCs w:val="24"/>
          <w:vertAlign w:val="superscript"/>
        </w:rPr>
        <w:t>16</w:t>
      </w:r>
      <w:r w:rsidRPr="00CB38AA">
        <w:rPr>
          <w:rFonts w:ascii="Times New Roman" w:eastAsia="Arial" w:hAnsi="Times New Roman" w:cs="Times New Roman"/>
          <w:b/>
          <w:sz w:val="24"/>
          <w:szCs w:val="24"/>
        </w:rPr>
        <w:t xml:space="preserve"> </w:t>
      </w:r>
      <w:r w:rsidRPr="00CB38AA">
        <w:rPr>
          <w:rFonts w:ascii="Times New Roman" w:eastAsia="Arial" w:hAnsi="Times New Roman" w:cs="Times New Roman"/>
          <w:sz w:val="24"/>
          <w:szCs w:val="24"/>
        </w:rPr>
        <w:t>reconoce expresamente el derecho a un medio ambiente sano y establece el deber del Estado de proteger y restaurar los ecosistemas. No obstante, el texto vigente no incorpora un mandato específico que vincule la gestión administrativa con la sustentabilidad ambiental. Por ello, se propone adicionar un párrafo que obligue al Estado y a los municipios a adoptar políticas administrativas ecológicas, priorizando el reúso de materiales, la utilización de papel reciclado y la digitalización progresiva de trámites.</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Asimismo, la Ley Orgánica de la Administración Pública del Estado de México</w:t>
      </w:r>
      <w:r w:rsidRPr="00CB38AA">
        <w:rPr>
          <w:rFonts w:ascii="Times New Roman" w:eastAsia="Arial" w:hAnsi="Times New Roman" w:cs="Times New Roman"/>
          <w:b/>
          <w:sz w:val="24"/>
          <w:szCs w:val="24"/>
          <w:vertAlign w:val="superscript"/>
        </w:rPr>
        <w:t>17</w:t>
      </w:r>
      <w:r w:rsidRPr="00CB38AA">
        <w:rPr>
          <w:rFonts w:ascii="Times New Roman" w:eastAsia="Arial" w:hAnsi="Times New Roman" w:cs="Times New Roman"/>
          <w:sz w:val="24"/>
          <w:szCs w:val="24"/>
        </w:rPr>
        <w:t>, que regula las obligaciones de las dependencias del Poder Ejecutivo, y la Ley Orgánica Municipal del Estado de México</w:t>
      </w:r>
      <w:r w:rsidRPr="00CB38AA">
        <w:rPr>
          <w:rFonts w:ascii="Times New Roman" w:eastAsia="Arial" w:hAnsi="Times New Roman" w:cs="Times New Roman"/>
          <w:b/>
          <w:sz w:val="24"/>
          <w:szCs w:val="24"/>
          <w:vertAlign w:val="superscript"/>
        </w:rPr>
        <w:t>18</w:t>
      </w:r>
      <w:r w:rsidRPr="00CB38AA">
        <w:rPr>
          <w:rFonts w:ascii="Times New Roman" w:eastAsia="Arial" w:hAnsi="Times New Roman" w:cs="Times New Roman"/>
          <w:sz w:val="24"/>
          <w:szCs w:val="24"/>
        </w:rPr>
        <w:t>, que define las atribuciones de los ayuntamientos, carecen actualmente de disposiciones que impulsen de manera explícita el uso responsable del papel. La adición de las fracciones propuestas permitirá que tanto el gobierno estatal como los gobiernos municipales incorporen, dentro de su gestión cotidiana, criterios de consumo sostenible</w:t>
      </w:r>
      <w:r w:rsidRPr="00CB38AA">
        <w:rPr>
          <w:rFonts w:ascii="Times New Roman" w:eastAsia="Arial" w:hAnsi="Times New Roman" w:cs="Times New Roman"/>
          <w:b/>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Calibri" w:hAnsi="Times New Roman" w:cs="Times New Roman"/>
          <w:sz w:val="24"/>
          <w:szCs w:val="24"/>
          <w:vertAlign w:val="superscript"/>
        </w:rPr>
        <w:t>15</w:t>
      </w:r>
      <w:r w:rsidRPr="00CB38AA">
        <w:rPr>
          <w:rFonts w:ascii="Times New Roman" w:eastAsia="Calibri" w:hAnsi="Times New Roman" w:cs="Times New Roman"/>
          <w:sz w:val="24"/>
          <w:szCs w:val="24"/>
        </w:rPr>
        <w:t xml:space="preserve"> </w:t>
      </w:r>
      <w:r w:rsidRPr="00CB38AA">
        <w:rPr>
          <w:rFonts w:ascii="Times New Roman" w:eastAsia="Arial" w:hAnsi="Times New Roman" w:cs="Times New Roman"/>
          <w:sz w:val="24"/>
          <w:szCs w:val="24"/>
        </w:rPr>
        <w:t xml:space="preserve">Gobierno de México. (2021). </w:t>
      </w:r>
      <w:r w:rsidRPr="00CB38AA">
        <w:rPr>
          <w:rFonts w:ascii="Times New Roman" w:eastAsia="Arial" w:hAnsi="Times New Roman" w:cs="Times New Roman"/>
          <w:i/>
          <w:sz w:val="24"/>
          <w:szCs w:val="24"/>
        </w:rPr>
        <w:t xml:space="preserve">Estrategia Digital Nacional. </w:t>
      </w:r>
      <w:r w:rsidRPr="00CB38AA">
        <w:rPr>
          <w:rFonts w:ascii="Times New Roman" w:eastAsia="Arial" w:hAnsi="Times New Roman" w:cs="Times New Roman"/>
          <w:sz w:val="24"/>
          <w:szCs w:val="24"/>
        </w:rPr>
        <w:t xml:space="preserve">Diario Oficial de la Federación. Disponible para consulta en: </w:t>
      </w:r>
      <w:r w:rsidRPr="00CB38AA">
        <w:rPr>
          <w:rFonts w:ascii="Times New Roman" w:eastAsia="Arial" w:hAnsi="Times New Roman" w:cs="Times New Roman"/>
          <w:sz w:val="24"/>
          <w:szCs w:val="24"/>
          <w:u w:val="single" w:color="000000"/>
        </w:rPr>
        <w:t>https:/</w:t>
      </w:r>
      <w:hyperlink r:id="rId26">
        <w:r w:rsidRPr="00CB38AA">
          <w:rPr>
            <w:rFonts w:ascii="Times New Roman" w:eastAsia="Arial" w:hAnsi="Times New Roman" w:cs="Times New Roman"/>
            <w:sz w:val="24"/>
            <w:szCs w:val="24"/>
            <w:u w:val="single" w:color="000000"/>
          </w:rPr>
          <w:t>/www.gob.mx/conamer/documentos/estrategia-digital-naciona</w:t>
        </w:r>
        <w:r w:rsidRPr="00CB38AA">
          <w:rPr>
            <w:rFonts w:ascii="Times New Roman" w:eastAsia="Arial" w:hAnsi="Times New Roman" w:cs="Times New Roman"/>
            <w:sz w:val="24"/>
            <w:szCs w:val="24"/>
          </w:rPr>
          <w:t>l</w:t>
        </w:r>
      </w:hyperlink>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Calibri" w:hAnsi="Times New Roman" w:cs="Times New Roman"/>
          <w:sz w:val="24"/>
          <w:szCs w:val="24"/>
          <w:vertAlign w:val="superscript"/>
        </w:rPr>
        <w:t>16</w:t>
      </w:r>
      <w:r w:rsidRPr="00CB38AA">
        <w:rPr>
          <w:rFonts w:ascii="Times New Roman" w:eastAsia="Calibri" w:hAnsi="Times New Roman" w:cs="Times New Roman"/>
          <w:sz w:val="24"/>
          <w:szCs w:val="24"/>
        </w:rPr>
        <w:t xml:space="preserve"> </w:t>
      </w:r>
      <w:r w:rsidRPr="00CB38AA">
        <w:rPr>
          <w:rFonts w:ascii="Times New Roman" w:eastAsia="Arial" w:hAnsi="Times New Roman" w:cs="Times New Roman"/>
          <w:sz w:val="24"/>
          <w:szCs w:val="24"/>
        </w:rPr>
        <w:t xml:space="preserve">Legislatura del Estado de México. (2025). </w:t>
      </w:r>
      <w:r w:rsidRPr="00CB38AA">
        <w:rPr>
          <w:rFonts w:ascii="Times New Roman" w:eastAsia="Arial" w:hAnsi="Times New Roman" w:cs="Times New Roman"/>
          <w:i/>
          <w:sz w:val="24"/>
          <w:szCs w:val="24"/>
        </w:rPr>
        <w:t>Constitución Política del Estado Libre y Soberano de México</w:t>
      </w:r>
      <w:r w:rsidRPr="00CB38AA">
        <w:rPr>
          <w:rFonts w:ascii="Times New Roman" w:eastAsia="Arial" w:hAnsi="Times New Roman" w:cs="Times New Roman"/>
          <w:sz w:val="24"/>
          <w:szCs w:val="24"/>
        </w:rPr>
        <w:t xml:space="preserve">. Gaceta del Gobierno del Estado de México. Disponible para consulta en: </w:t>
      </w:r>
      <w:r w:rsidRPr="00CB38AA">
        <w:rPr>
          <w:rFonts w:ascii="Times New Roman" w:eastAsia="Arial" w:hAnsi="Times New Roman" w:cs="Times New Roman"/>
          <w:sz w:val="24"/>
          <w:szCs w:val="24"/>
          <w:u w:val="single" w:color="000000"/>
        </w:rPr>
        <w:t>https://legislacion.edomex.gob.mx/sites/legislacion.edomex.gob.mx/files/files/pdf/ley/vig/leyvig001.pdf</w:t>
      </w: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Calibri" w:hAnsi="Times New Roman" w:cs="Times New Roman"/>
          <w:sz w:val="24"/>
          <w:szCs w:val="24"/>
          <w:vertAlign w:val="superscript"/>
        </w:rPr>
        <w:t>17</w:t>
      </w:r>
      <w:r w:rsidRPr="00CB38AA">
        <w:rPr>
          <w:rFonts w:ascii="Times New Roman" w:eastAsia="Calibri" w:hAnsi="Times New Roman" w:cs="Times New Roman"/>
          <w:sz w:val="24"/>
          <w:szCs w:val="24"/>
        </w:rPr>
        <w:t xml:space="preserve"> </w:t>
      </w:r>
      <w:r w:rsidRPr="00CB38AA">
        <w:rPr>
          <w:rFonts w:ascii="Times New Roman" w:eastAsia="Arial" w:hAnsi="Times New Roman" w:cs="Times New Roman"/>
          <w:sz w:val="24"/>
          <w:szCs w:val="24"/>
        </w:rPr>
        <w:t xml:space="preserve">Legislatura del Estado de México. (2025). </w:t>
      </w:r>
      <w:r w:rsidRPr="00CB38AA">
        <w:rPr>
          <w:rFonts w:ascii="Times New Roman" w:eastAsia="Arial" w:hAnsi="Times New Roman" w:cs="Times New Roman"/>
          <w:i/>
          <w:sz w:val="24"/>
          <w:szCs w:val="24"/>
        </w:rPr>
        <w:t>Ley Orgánica de la Administración Pública del Estado de México</w:t>
      </w:r>
      <w:r w:rsidRPr="00CB38AA">
        <w:rPr>
          <w:rFonts w:ascii="Times New Roman" w:eastAsia="Arial" w:hAnsi="Times New Roman" w:cs="Times New Roman"/>
          <w:sz w:val="24"/>
          <w:szCs w:val="24"/>
        </w:rPr>
        <w:t xml:space="preserve">. Gaceta del Gobierno del Estado de México. Disponible para consulta en: </w:t>
      </w:r>
      <w:r w:rsidRPr="00CB38AA">
        <w:rPr>
          <w:rFonts w:ascii="Times New Roman" w:eastAsia="Arial" w:hAnsi="Times New Roman" w:cs="Times New Roman"/>
          <w:sz w:val="24"/>
          <w:szCs w:val="24"/>
          <w:u w:val="single" w:color="000000"/>
        </w:rPr>
        <w:t>https://legislacion.edomex.gob.mx/docs/ley_org_admon_publica.pdf</w:t>
      </w:r>
    </w:p>
    <w:p w:rsidR="00F84785" w:rsidRPr="00CB38AA" w:rsidRDefault="00F84785" w:rsidP="00DF6EEA">
      <w:pPr>
        <w:spacing w:after="0" w:line="240" w:lineRule="auto"/>
        <w:jc w:val="both"/>
        <w:rPr>
          <w:rFonts w:ascii="Times New Roman" w:eastAsia="Times New Roman" w:hAnsi="Times New Roman" w:cs="Times New Roman"/>
          <w:sz w:val="24"/>
          <w:szCs w:val="24"/>
        </w:rPr>
      </w:pPr>
      <w:r w:rsidRPr="00CB38AA">
        <w:rPr>
          <w:rFonts w:ascii="Times New Roman" w:eastAsia="Calibri" w:hAnsi="Times New Roman" w:cs="Times New Roman"/>
          <w:sz w:val="24"/>
          <w:szCs w:val="24"/>
          <w:vertAlign w:val="superscript"/>
        </w:rPr>
        <w:t>18</w:t>
      </w:r>
      <w:r w:rsidRPr="00CB38AA">
        <w:rPr>
          <w:rFonts w:ascii="Times New Roman" w:eastAsia="Calibri" w:hAnsi="Times New Roman" w:cs="Times New Roman"/>
          <w:sz w:val="24"/>
          <w:szCs w:val="24"/>
        </w:rPr>
        <w:t xml:space="preserve"> </w:t>
      </w:r>
      <w:r w:rsidRPr="00CB38AA">
        <w:rPr>
          <w:rFonts w:ascii="Times New Roman" w:eastAsia="Arial" w:hAnsi="Times New Roman" w:cs="Times New Roman"/>
          <w:sz w:val="24"/>
          <w:szCs w:val="24"/>
        </w:rPr>
        <w:t xml:space="preserve">Legislatura del Estado de México. (2023). </w:t>
      </w:r>
      <w:r w:rsidRPr="00CB38AA">
        <w:rPr>
          <w:rFonts w:ascii="Times New Roman" w:eastAsia="Arial" w:hAnsi="Times New Roman" w:cs="Times New Roman"/>
          <w:i/>
          <w:sz w:val="24"/>
          <w:szCs w:val="24"/>
        </w:rPr>
        <w:t>Ley Orgánica Municipal del Estado de México</w:t>
      </w:r>
      <w:r w:rsidRPr="00CB38AA">
        <w:rPr>
          <w:rFonts w:ascii="Times New Roman" w:eastAsia="Arial" w:hAnsi="Times New Roman" w:cs="Times New Roman"/>
          <w:sz w:val="24"/>
          <w:szCs w:val="24"/>
        </w:rPr>
        <w:t xml:space="preserve">. Gaceta del Gobierno del Estado de México. Disponible para consulta en: </w:t>
      </w:r>
      <w:r w:rsidRPr="00CB38AA">
        <w:rPr>
          <w:rFonts w:ascii="Times New Roman" w:eastAsia="Arial" w:hAnsi="Times New Roman" w:cs="Times New Roman"/>
          <w:sz w:val="24"/>
          <w:szCs w:val="24"/>
          <w:u w:val="single" w:color="000000"/>
        </w:rPr>
        <w:t>https://legislacion.edomex.gob.mx/docs/ley_organica_municipal.pdf</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lastRenderedPageBreak/>
        <w:t>El impacto potencial de esta política es significativo. Según estimaciones derivadas de datos globales, el consumo promedio de papel en oficinas públicas podría representar entre 20 y 30 hojas diarias por servidor público</w:t>
      </w:r>
      <w:r w:rsidRPr="00CB38AA">
        <w:rPr>
          <w:rFonts w:ascii="Times New Roman" w:eastAsia="Arial" w:hAnsi="Times New Roman" w:cs="Times New Roman"/>
          <w:sz w:val="24"/>
          <w:szCs w:val="24"/>
          <w:vertAlign w:val="superscript"/>
        </w:rPr>
        <w:t>19</w:t>
      </w:r>
      <w:r w:rsidRPr="00CB38AA">
        <w:rPr>
          <w:rFonts w:ascii="Times New Roman" w:eastAsia="Arial" w:hAnsi="Times New Roman" w:cs="Times New Roman"/>
          <w:sz w:val="24"/>
          <w:szCs w:val="24"/>
        </w:rPr>
        <w:t>, muchas de las cuales terminan desechadas tras un solo uso. Si consideramos que el Estado de México cuenta con más de 300 000 servidores públicos</w:t>
      </w:r>
      <w:r w:rsidRPr="00CB38AA">
        <w:rPr>
          <w:rFonts w:ascii="Times New Roman" w:eastAsia="Arial" w:hAnsi="Times New Roman" w:cs="Times New Roman"/>
          <w:sz w:val="24"/>
          <w:szCs w:val="24"/>
          <w:vertAlign w:val="superscript"/>
        </w:rPr>
        <w:t>20</w:t>
      </w:r>
      <w:r w:rsidRPr="00CB38AA">
        <w:rPr>
          <w:rFonts w:ascii="Times New Roman" w:eastAsia="Arial" w:hAnsi="Times New Roman" w:cs="Times New Roman"/>
          <w:sz w:val="24"/>
          <w:szCs w:val="24"/>
        </w:rPr>
        <w:t xml:space="preserve"> en sus diferentes niveles administrativos, el volumen diario de papel utilizado podría superar los 6 millones de hojas, equivalentes a más de 30 toneladas de residuos diarios, lo que refuerza la pertinencia de establecer medidas de reúso y reciclaje.</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 implementación de estas reformas permitirá al Estado de México alinear su marco jurídico con los compromisos internacionales y nacionale</w:t>
      </w:r>
      <w:r w:rsidRPr="00CB38AA">
        <w:rPr>
          <w:rFonts w:ascii="Times New Roman" w:eastAsia="Arial" w:hAnsi="Times New Roman" w:cs="Times New Roman"/>
          <w:b/>
          <w:sz w:val="24"/>
          <w:szCs w:val="24"/>
        </w:rPr>
        <w:t xml:space="preserve">s </w:t>
      </w:r>
      <w:r w:rsidRPr="00CB38AA">
        <w:rPr>
          <w:rFonts w:ascii="Times New Roman" w:eastAsia="Arial" w:hAnsi="Times New Roman" w:cs="Times New Roman"/>
          <w:sz w:val="24"/>
          <w:szCs w:val="24"/>
        </w:rPr>
        <w:t>en materia ambiental, modernizar su administración pública y, al mismo tiempo, reducir costos operativos y minimizar la huella ecológica derivada del uso de papel. De este modo, la entidad avanzará hacia un modelo de gobierno sustentable, que predique con el ejemplo y contribuya a la preservación de los recursos naturales para las futuras generaciones.</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A T E N T A M E N T E</w:t>
      </w:r>
    </w:p>
    <w:p w:rsidR="00F84785" w:rsidRPr="00CB38AA" w:rsidRDefault="00F84785"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DIP. PAOLA JIMÉNEZ HERNÁNDEZ</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ind w:left="567" w:hanging="567"/>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C.c.p. Dr. Omar Salvador Olvera Herreros – Secretario Ejecutivo de la Junta de Coordinación Política del Estado de México.</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Calibri" w:hAnsi="Times New Roman" w:cs="Times New Roman"/>
          <w:sz w:val="24"/>
          <w:szCs w:val="24"/>
          <w:vertAlign w:val="superscript"/>
        </w:rPr>
        <w:t>19</w:t>
      </w:r>
      <w:r w:rsidRPr="00CB38AA">
        <w:rPr>
          <w:rFonts w:ascii="Times New Roman" w:eastAsia="Calibri" w:hAnsi="Times New Roman" w:cs="Times New Roman"/>
          <w:sz w:val="24"/>
          <w:szCs w:val="24"/>
        </w:rPr>
        <w:t xml:space="preserve"> </w:t>
      </w:r>
      <w:r w:rsidRPr="00CB38AA">
        <w:rPr>
          <w:rFonts w:ascii="Times New Roman" w:eastAsia="Arial" w:hAnsi="Times New Roman" w:cs="Times New Roman"/>
          <w:sz w:val="24"/>
          <w:szCs w:val="24"/>
        </w:rPr>
        <w:t xml:space="preserve">Eser, A. (2025, May 30). </w:t>
      </w:r>
      <w:r w:rsidRPr="00CB38AA">
        <w:rPr>
          <w:rFonts w:ascii="Times New Roman" w:eastAsia="Arial" w:hAnsi="Times New Roman" w:cs="Times New Roman"/>
          <w:i/>
          <w:sz w:val="24"/>
          <w:szCs w:val="24"/>
        </w:rPr>
        <w:t>Office paper consumption statistics</w:t>
      </w:r>
      <w:r w:rsidRPr="00CB38AA">
        <w:rPr>
          <w:rFonts w:ascii="Times New Roman" w:eastAsia="Arial" w:hAnsi="Times New Roman" w:cs="Times New Roman"/>
          <w:sz w:val="24"/>
          <w:szCs w:val="24"/>
        </w:rPr>
        <w:t xml:space="preserve">. ZipDo Education Reports. Disponible para consulta en: </w:t>
      </w:r>
      <w:r w:rsidRPr="00CB38AA">
        <w:rPr>
          <w:rFonts w:ascii="Times New Roman" w:eastAsia="Arial" w:hAnsi="Times New Roman" w:cs="Times New Roman"/>
          <w:sz w:val="24"/>
          <w:szCs w:val="24"/>
          <w:u w:val="single" w:color="000000"/>
        </w:rPr>
        <w:t>https://zipdo.co/office-paper-consumption-statistics/</w:t>
      </w:r>
    </w:p>
    <w:p w:rsidR="00F84785" w:rsidRPr="00CB38AA" w:rsidRDefault="00F84785" w:rsidP="00DF6EEA">
      <w:pPr>
        <w:spacing w:after="0" w:line="240" w:lineRule="auto"/>
        <w:jc w:val="both"/>
        <w:rPr>
          <w:rFonts w:ascii="Times New Roman" w:eastAsia="Times New Roman" w:hAnsi="Times New Roman" w:cs="Times New Roman"/>
          <w:sz w:val="24"/>
          <w:szCs w:val="24"/>
        </w:rPr>
      </w:pPr>
      <w:r w:rsidRPr="00CB38AA">
        <w:rPr>
          <w:rFonts w:ascii="Times New Roman" w:eastAsia="Calibri" w:hAnsi="Times New Roman" w:cs="Times New Roman"/>
          <w:sz w:val="24"/>
          <w:szCs w:val="24"/>
          <w:vertAlign w:val="superscript"/>
        </w:rPr>
        <w:t>20</w:t>
      </w:r>
      <w:r w:rsidRPr="00CB38AA">
        <w:rPr>
          <w:rFonts w:ascii="Times New Roman" w:eastAsia="Calibri" w:hAnsi="Times New Roman" w:cs="Times New Roman"/>
          <w:sz w:val="24"/>
          <w:szCs w:val="24"/>
        </w:rPr>
        <w:t xml:space="preserve"> </w:t>
      </w:r>
      <w:r w:rsidRPr="00CB38AA">
        <w:rPr>
          <w:rFonts w:ascii="Times New Roman" w:eastAsia="Arial" w:hAnsi="Times New Roman" w:cs="Times New Roman"/>
          <w:sz w:val="24"/>
          <w:szCs w:val="24"/>
        </w:rPr>
        <w:t xml:space="preserve">INEGI. (2023, 31 agosto). </w:t>
      </w:r>
      <w:r w:rsidRPr="00CB38AA">
        <w:rPr>
          <w:rFonts w:ascii="Times New Roman" w:eastAsia="Arial" w:hAnsi="Times New Roman" w:cs="Times New Roman"/>
          <w:i/>
          <w:sz w:val="24"/>
          <w:szCs w:val="24"/>
        </w:rPr>
        <w:t xml:space="preserve">Censo Nacional de Gobiernos Estatales (CNGE) 2023: Comunicación social </w:t>
      </w:r>
      <w:r w:rsidRPr="00CB38AA">
        <w:rPr>
          <w:rFonts w:ascii="Times New Roman" w:eastAsia="Arial" w:hAnsi="Times New Roman" w:cs="Times New Roman"/>
          <w:sz w:val="24"/>
          <w:szCs w:val="24"/>
        </w:rPr>
        <w:t xml:space="preserve">(Boletín núm. 526/23). Disponible para consulta en: </w:t>
      </w:r>
      <w:r w:rsidRPr="00CB38AA">
        <w:rPr>
          <w:rFonts w:ascii="Times New Roman" w:eastAsia="Arial" w:hAnsi="Times New Roman" w:cs="Times New Roman"/>
          <w:sz w:val="24"/>
          <w:szCs w:val="24"/>
          <w:u w:val="single" w:color="000000"/>
        </w:rPr>
        <w:t>https:/</w:t>
      </w:r>
      <w:hyperlink r:id="rId27">
        <w:r w:rsidRPr="00CB38AA">
          <w:rPr>
            <w:rFonts w:ascii="Times New Roman" w:eastAsia="Arial" w:hAnsi="Times New Roman" w:cs="Times New Roman"/>
            <w:sz w:val="24"/>
            <w:szCs w:val="24"/>
            <w:u w:val="single" w:color="000000"/>
          </w:rPr>
          <w:t>/www.inegi.org.mx/contenidos/saladeprensa/boletines/2023/CNGE/CNGE2023.pdf</w:t>
        </w:r>
      </w:hyperlink>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DECRETO NÚMERO:</w:t>
      </w:r>
    </w:p>
    <w:p w:rsidR="00F84785" w:rsidRPr="00CB38AA" w:rsidRDefault="00F84785" w:rsidP="00DF6EEA">
      <w:pPr>
        <w:spacing w:after="0" w:line="240" w:lineRule="auto"/>
        <w:rPr>
          <w:rFonts w:ascii="Times New Roman" w:eastAsia="Arial" w:hAnsi="Times New Roman" w:cs="Times New Roman"/>
          <w:b/>
          <w:sz w:val="24"/>
          <w:szCs w:val="24"/>
        </w:rPr>
      </w:pPr>
      <w:r w:rsidRPr="00CB38AA">
        <w:rPr>
          <w:rFonts w:ascii="Times New Roman" w:eastAsia="Arial" w:hAnsi="Times New Roman" w:cs="Times New Roman"/>
          <w:b/>
          <w:sz w:val="24"/>
          <w:szCs w:val="24"/>
        </w:rPr>
        <w:t>LA H. LXII LEGISLATURA DEL ESTADO DE MÉXICO</w:t>
      </w: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DECRETA</w:t>
      </w:r>
    </w:p>
    <w:p w:rsidR="00F84785" w:rsidRPr="00CB38AA" w:rsidRDefault="00F84785" w:rsidP="00DF6EEA">
      <w:pPr>
        <w:spacing w:after="0" w:line="240" w:lineRule="auto"/>
        <w:jc w:val="both"/>
        <w:rPr>
          <w:rFonts w:ascii="Times New Roman" w:eastAsia="Arial" w:hAnsi="Times New Roman" w:cs="Times New Roman"/>
          <w:b/>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PRIMERO. </w:t>
      </w:r>
      <w:r w:rsidRPr="00CB38AA">
        <w:rPr>
          <w:rFonts w:ascii="Times New Roman" w:eastAsia="Arial" w:hAnsi="Times New Roman" w:cs="Times New Roman"/>
          <w:sz w:val="24"/>
          <w:szCs w:val="24"/>
        </w:rPr>
        <w:t>Se adiciona un párrafo vigésimo sexto al artículo quinto de la Constitución Política del Estado Libre y Soberano de México, en materia de reúso de materiales, la utilización de papel reciclado y la digitalización progresiva de documentos y trámites, para quedar como sigue:</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5. </w:t>
      </w: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Times New Roman"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Times New Roman" w:hAnsi="Times New Roman" w:cs="Times New Roman"/>
          <w:sz w:val="24"/>
          <w:szCs w:val="24"/>
        </w:rPr>
      </w:pPr>
      <w:r w:rsidRPr="00CB38AA">
        <w:rPr>
          <w:rFonts w:ascii="Times New Roman" w:eastAsia="Arial" w:hAnsi="Times New Roman" w:cs="Times New Roman"/>
          <w:b/>
          <w:sz w:val="24"/>
          <w:szCs w:val="24"/>
        </w:rPr>
        <w:t>El Estado y los municipios deberán promover el desarrollo sustentable mediante políticas administrativas ecológicas que favorezcan el reúso de materiales, la utilización de papel reciclado y la digitalización progresiva de documentos y trámites, a fin de reducir el impacto ambiental derivado del ejercicio de la función pública.</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Times New Roman" w:hAnsi="Times New Roman" w:cs="Times New Roman"/>
          <w:sz w:val="24"/>
          <w:szCs w:val="24"/>
        </w:rPr>
      </w:pPr>
      <w:r w:rsidRPr="00CB38AA">
        <w:rPr>
          <w:rFonts w:ascii="Times New Roman" w:eastAsia="Arial" w:hAnsi="Times New Roman" w:cs="Times New Roman"/>
          <w:sz w:val="24"/>
          <w:szCs w:val="24"/>
        </w:rPr>
        <w:lastRenderedPageBreak/>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SEGUNDO. </w:t>
      </w:r>
      <w:r w:rsidRPr="00CB38AA">
        <w:rPr>
          <w:rFonts w:ascii="Times New Roman" w:eastAsia="Arial" w:hAnsi="Times New Roman" w:cs="Times New Roman"/>
          <w:sz w:val="24"/>
          <w:szCs w:val="24"/>
        </w:rPr>
        <w:t>Se adiciona el artículo 4 Bis de la Ley Orgánica de la Administración Pública del Estado de México, en materia de reúso de materiales, la utilización de papel reciclado y la digitalización progresiva de documentos y trámites, para quedar como sigue:</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4 Bis. Las dependencias, organismos auxiliares y entidades de la administración pública estatal deberán implementar acciones permanentes para el uso eficiente de recursos materiales, fomentando el reúso de papel, la adquisición preferente de papel reciclado o con certificación ambiental, y la digitalización de documentos y trámites en coordinación con la </w:t>
      </w:r>
      <w:r w:rsidRPr="00CB38AA">
        <w:rPr>
          <w:rFonts w:ascii="Times New Roman" w:eastAsia="Arial" w:hAnsi="Times New Roman" w:cs="Times New Roman"/>
          <w:b/>
          <w:sz w:val="24"/>
          <w:szCs w:val="24"/>
        </w:rPr>
        <w:lastRenderedPageBreak/>
        <w:t>Secretaría de Finanzas y la Secretaría del Medio Ambiente, con el propósito de reducir el impacto ambiental derivado de sus actividades administrativas.</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TERCERO. </w:t>
      </w:r>
      <w:r w:rsidRPr="00CB38AA">
        <w:rPr>
          <w:rFonts w:ascii="Times New Roman" w:eastAsia="Arial" w:hAnsi="Times New Roman" w:cs="Times New Roman"/>
          <w:sz w:val="24"/>
          <w:szCs w:val="24"/>
        </w:rPr>
        <w:t>Se adiciona la fracción XXIII Bis al artículo 31 de la Ley Orgánica Municipal del Estado de México en materia de rehúso de materiales, la utilización de papel reciclado y la digitalización progresiva de documentos y trámites, para quedar como sigue:</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31. </w:t>
      </w:r>
      <w:r w:rsidRPr="00CB38AA">
        <w:rPr>
          <w:rFonts w:ascii="Times New Roman" w:eastAsia="Arial" w:hAnsi="Times New Roman" w:cs="Times New Roman"/>
          <w:sz w:val="24"/>
          <w:szCs w:val="24"/>
        </w:rPr>
        <w:t>Son atribuciones de los Ayuntamientos:</w:t>
      </w:r>
    </w:p>
    <w:p w:rsidR="00F84785" w:rsidRPr="00CB38AA" w:rsidRDefault="00F84785" w:rsidP="00DF6EEA">
      <w:pPr>
        <w:spacing w:after="0" w:line="240" w:lineRule="auto"/>
        <w:rPr>
          <w:rFonts w:ascii="Times New Roman" w:eastAsia="Arial" w:hAnsi="Times New Roman" w:cs="Times New Roman"/>
          <w:sz w:val="24"/>
          <w:szCs w:val="24"/>
        </w:rPr>
      </w:pPr>
    </w:p>
    <w:p w:rsidR="00F84785" w:rsidRPr="00CB38AA" w:rsidRDefault="00F8478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I. a la XXIII.  …</w:t>
      </w:r>
    </w:p>
    <w:p w:rsidR="00F84785" w:rsidRPr="00CB38AA" w:rsidRDefault="00F84785" w:rsidP="00DF6EEA">
      <w:pPr>
        <w:spacing w:after="0" w:line="240" w:lineRule="auto"/>
        <w:jc w:val="both"/>
        <w:rPr>
          <w:rFonts w:ascii="Times New Roman" w:eastAsia="Arial" w:hAnsi="Times New Roman" w:cs="Times New Roman"/>
          <w:b/>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XXIII Bis. Promover políticas administrativas sustentables, garantizando el reúso de papel, la adquisición de papel reciclado y la digitalización de trámites y documentos, como medidas de gestión ambiental responsable dentro de la administración pública municipal.</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Times New Roman" w:hAnsi="Times New Roman" w:cs="Times New Roman"/>
          <w:sz w:val="24"/>
          <w:szCs w:val="24"/>
        </w:rPr>
      </w:pPr>
      <w:r w:rsidRPr="00CB38AA">
        <w:rPr>
          <w:rFonts w:ascii="Times New Roman" w:eastAsia="Arial" w:hAnsi="Times New Roman" w:cs="Times New Roman"/>
          <w:sz w:val="24"/>
          <w:szCs w:val="24"/>
        </w:rPr>
        <w:t>XXIV. a la . XLVIII. …</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TRANSITORIOS</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PRIMERO. </w:t>
      </w:r>
      <w:r w:rsidRPr="00CB38AA">
        <w:rPr>
          <w:rFonts w:ascii="Times New Roman" w:eastAsia="Arial" w:hAnsi="Times New Roman" w:cs="Times New Roman"/>
          <w:sz w:val="24"/>
          <w:szCs w:val="24"/>
        </w:rPr>
        <w:t>Publíquese el presente Decreto en el Periódico Oficial “Gaceta del Gobierno”.</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SEGUNDO. </w:t>
      </w:r>
      <w:r w:rsidRPr="00CB38AA">
        <w:rPr>
          <w:rFonts w:ascii="Times New Roman" w:eastAsia="Arial" w:hAnsi="Times New Roman" w:cs="Times New Roman"/>
          <w:sz w:val="24"/>
          <w:szCs w:val="24"/>
        </w:rPr>
        <w:t>El presente Decreto entrará en vigor al día siguiente de su publicación en el Periódico Oficial “Gaceta del Gobierno”.</w:t>
      </w:r>
    </w:p>
    <w:p w:rsidR="00F84785" w:rsidRPr="00CB38AA" w:rsidRDefault="00F84785" w:rsidP="00DF6EEA">
      <w:pPr>
        <w:spacing w:after="0" w:line="240" w:lineRule="auto"/>
        <w:rPr>
          <w:rFonts w:ascii="Times New Roman" w:eastAsia="Times New Roman" w:hAnsi="Times New Roman" w:cs="Times New Roman"/>
          <w:sz w:val="24"/>
          <w:szCs w:val="24"/>
        </w:rPr>
      </w:pPr>
    </w:p>
    <w:p w:rsidR="00F84785" w:rsidRPr="00CB38AA" w:rsidRDefault="00F8478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Dado en el Palacio del Poder Legislativo, en la ciudad de Toluca de Lerdo, capital del Estado de México, a los </w:t>
      </w:r>
      <w:r w:rsidRPr="00CB38AA">
        <w:rPr>
          <w:rFonts w:ascii="Times New Roman" w:eastAsia="Times New Roman" w:hAnsi="Times New Roman" w:cs="Times New Roman"/>
          <w:sz w:val="24"/>
          <w:szCs w:val="24"/>
          <w:u w:val="single" w:color="000000"/>
        </w:rPr>
        <w:t xml:space="preserve">                  </w:t>
      </w:r>
      <w:r w:rsidRPr="00CB38AA">
        <w:rPr>
          <w:rFonts w:ascii="Times New Roman" w:eastAsia="Times New Roman" w:hAnsi="Times New Roman" w:cs="Times New Roman"/>
          <w:sz w:val="24"/>
          <w:szCs w:val="24"/>
        </w:rPr>
        <w:t xml:space="preserve"> </w:t>
      </w:r>
      <w:r w:rsidRPr="00CB38AA">
        <w:rPr>
          <w:rFonts w:ascii="Times New Roman" w:eastAsia="Arial" w:hAnsi="Times New Roman" w:cs="Times New Roman"/>
          <w:sz w:val="24"/>
          <w:szCs w:val="24"/>
        </w:rPr>
        <w:t xml:space="preserve">días del mes de </w:t>
      </w:r>
      <w:r w:rsidRPr="00CB38AA">
        <w:rPr>
          <w:rFonts w:ascii="Times New Roman" w:eastAsia="Times New Roman" w:hAnsi="Times New Roman" w:cs="Times New Roman"/>
          <w:sz w:val="24"/>
          <w:szCs w:val="24"/>
          <w:u w:val="single" w:color="000000"/>
        </w:rPr>
        <w:t xml:space="preserve">                </w:t>
      </w:r>
      <w:r w:rsidRPr="00CB38AA">
        <w:rPr>
          <w:rFonts w:ascii="Times New Roman" w:eastAsia="Times New Roman" w:hAnsi="Times New Roman" w:cs="Times New Roman"/>
          <w:sz w:val="24"/>
          <w:szCs w:val="24"/>
        </w:rPr>
        <w:t xml:space="preserve"> </w:t>
      </w:r>
      <w:r w:rsidRPr="00CB38AA">
        <w:rPr>
          <w:rFonts w:ascii="Times New Roman" w:eastAsia="Arial" w:hAnsi="Times New Roman" w:cs="Times New Roman"/>
          <w:sz w:val="24"/>
          <w:szCs w:val="24"/>
        </w:rPr>
        <w:t>del año dos mil veintiséis.</w:t>
      </w:r>
    </w:p>
    <w:p w:rsidR="00E642CD" w:rsidRPr="00CB38AA" w:rsidRDefault="00E642CD" w:rsidP="00DF6EEA">
      <w:pPr>
        <w:spacing w:after="0" w:line="240" w:lineRule="auto"/>
        <w:jc w:val="center"/>
        <w:rPr>
          <w:rFonts w:ascii="Times New Roman" w:hAnsi="Times New Roman" w:cs="Times New Roman"/>
          <w:sz w:val="24"/>
          <w:szCs w:val="24"/>
        </w:rPr>
      </w:pPr>
    </w:p>
    <w:p w:rsidR="00E642CD" w:rsidRPr="00CB38AA" w:rsidRDefault="00E642CD" w:rsidP="00DF6EEA">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(Fin del documento)</w:t>
      </w:r>
    </w:p>
    <w:p w:rsidR="00E642CD" w:rsidRPr="00CB38AA" w:rsidRDefault="00E642CD" w:rsidP="00DF6EEA">
      <w:pPr>
        <w:spacing w:after="0" w:line="240" w:lineRule="auto"/>
        <w:jc w:val="center"/>
        <w:rPr>
          <w:rFonts w:ascii="Times New Roman" w:hAnsi="Times New Roman" w:cs="Times New Roman"/>
          <w:sz w:val="24"/>
          <w:szCs w:val="24"/>
        </w:rPr>
      </w:pP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PRESIDENTA DIP. MARTHA AZUCENA CAMACHO REYNOSO. Gracias diputada Paola Jiménez Hernández.</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Se registra la iniciativa y se remite a las Comisiones Legislativas de Gobernación y Puntos Constitucionales y de Legislación y Administración Municipal para su estudio y dictamen.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En cuanto al punto número 13, el Diputado Rigoberto Vargas Cervantes, presenta en nombre del Grupo Parlamentario Morena, Iniciativa con proyecto de decreto, mediante la cual se adiciona un artículo 138 Bis a la Ley del Trabajo de los Servidores Públicos del Estado y Municipios y se adiciona una fracción XIV al artículo 52; una Sección Décima Cuarta denominada De La Injerencia Sindical al Capítulo Segundo De Las Faltas Administrativas Graves de los Servidores Públicos; y un artículo 67 Bis, todos a la Ley de Responsabilidades Administrativas del Estado de México y Municipios.</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DIP. RIGOBERTO VARGAS CERVANTES. Con el permiso de la diputada Presidenta de la Mesa Directiva, Martha Azucena Camacho Reynoso. Compañeras, compañeros, compañere, diputados, diputade, a los medios de comunicación que siempre y de manera puntual dan cobertura al trabajo que se realiza en este Honorable Congreso, a las ciudadanas, ciudadanos que nos siguen desde las diferentes plataformas digitales a las y los trabajadores sindicalizados, compañeras y compañeros legisladores.</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En 2019, México vivió una reforma laboral histórica que colocó entre sus puntos centrales la democracia sindical y la libertad y la autonomía de las organizaciones, las cuales quedaron </w:t>
      </w:r>
      <w:r w:rsidRPr="00CB38AA">
        <w:rPr>
          <w:rFonts w:ascii="Times New Roman" w:hAnsi="Times New Roman" w:cs="Times New Roman"/>
          <w:sz w:val="24"/>
          <w:szCs w:val="24"/>
        </w:rPr>
        <w:lastRenderedPageBreak/>
        <w:t>plasmadas en el artículo 357 de la Ley Federal del Trabajo, que establece en su segundo párrafo las organizaciones de trabajadores y de patrones deberán gozar de adecuada protección contra todo acto de injerencia de una respecto de las otras, ya se realice directamente o por medio de sus representantes en su Constitución, funcionamiento o administración.</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Los actos de injerencia a los que se refiere este párrafo se entienden como las acciones o medidas tendientes a apoyar, intervenir o involucrarse de cualquier forma a las organizaciones de trabajadoras y trabajadores con el objeto de colocarlas bajo su control.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De esta manera, la ruta de modernización laboral que se inició en 2019, no sólo continúa, se está consolidando, se está consolidando gracias a que en el mes de noviembre, tanto la Cámara de Senadores como la Cámara de Diputados del Congreso de la Unión aprobaron de manera unánime la iniciativa presentada por el Maestro y Senador Alfonso Cepeda Salas, que defiende de manera clara y firme lo establecido en la reforma laboral en lo que se refiere a la libertad y autonomía sindical, garantizando que los sindicatos deberán gozar de adecuada protección contra todo acto de injerencia por parte de las personas servidoras públicas en su vida interna y responde a los compromisos internacionales asumidos por el Estado Mexicano, particularmente en los convenios 87 y 98 de la Organización Internacional del Trabajo, la OIT, los cuales establecieron un principio esencial, las autoridades públicas deberán abstenerse de toda intervención que tienda a limitar su derecho a estar sindicalizados o entorpecer su ejercicio legal; por lo que, las organizaciones de trabajadores deberán gozar de adecuada protección contra todo acto de injerencia.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La aprobación unánime de la iniciativa del Senador Cepeda Salas representó un avance de enorme relevancia para la vida sindical, porque garantizar la libertad y la autonomía sindical no son o no deben verse como una concesión; sino como un acto de justicia para las y los trabajadores, porque protege su derecho a organizarse sin presiones, elegir a sus representantes de manera libre, decidir su vida interna y defender colectivamente sus derechos laborales con dignidad y legalidad.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Por lo que, la libertad sindical no puede ni debe ser un discurso vacío, no puede ser una frase bonita en la ley, mientras en la práctica se sigan extendiendo y se sigan tolerando conductas como presiones, condicionamientos, amenazas, uso indebido del poder público y participación de autoridades y funcionarios públicos en procesos internos sindicales.</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Acciones todas que afectan directamente a los derechos de las y los trabajadores; debilita la confianza institucional y contamina el servicio público, por lo que, un pendiente que tenemos en el Estado de México, con todas y con todos los trabajadores sindicalizados, es garantizarles su libertad y su autonomía sindical, garantizarles que no padecerán actos de injerencia sindical. El Estado de México cuenta con un régimen jurídico propio en la materia de relaciones laborales de las personas servidoras públicas, contenido en la Ley del Trabajo de los Servidores Públicos del Estado y municipios; así como una legislación local en materia de responsabilidades administrativas; no obstante, dicha norma no contempla de manera expresa, clara y precisa las sanciones o la prohibición de la injerencia institucional en la vida interna de los sindicatos, esto genera vacíos normativos, riesgos de simulación democrática y prácticas contrarias a la libertad sindical, especialmente en contextos de elección de dirigencias y toma de decisiones colectivas.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La ausencia de reglas claras, permite que en los hechos subsistan formas indirectas de control, condicionamiento o presión política incompatibles con un Estado democrático de derecho y con la Reforma Laboral del 2019.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En consecuencia, se presenta la iniciativa que tiene por objeto armonizar nuestra legislación con el artículo 69 Bis de la Ley Federal de los Trabajadores al Servicio del Estado y el 64 Quater a la Ley General de Responsabilidades Administrativas, reconocer expresamente la autonomía sindical como principio rector del derecho colectivo del Trabajo en el servicio público estatal y municipal.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lastRenderedPageBreak/>
        <w:t>Prohibir de manera expresa y categórica cualquier forma de injerencia de autoridades o personas servidora públicas en la organización sindical, la elección de dirigencias, la administración de recursos y la toma de decisiones internas, establecer consecuencias jurídicas claras mediante la tipificación de la injerencia sindical como falta administrativa grave en el ámbito estatal y municipal.</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Para alcanzar los objetivos señalados, se propone adicionar un artículo 138 Bis a la Ley del Trabajo de los Servidores Públicos del Estado y Municipios del Estado de México, adicionar una fracción XIV al artículo 52, una sección XIV denominada de la injerencia sindical al Capítulo Segundo de las faltas administrativas graves de los servidores públicos y un artículo 67 Bis, todos a la Ley de Responsabilidades Administrativas del Estado de México y sus Municipios.</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Con esta iniciativa; además estaremos dando cumplimiento al decreto publicado en el Diario Oficial de la Federación del 15 de diciembre de 2025 que ordena que dentro de los 45 días siguientes a la entrada en vigor de ese decreto las legislaturas de las entidades federativas en el ámbito de sus competencias deberán realizar las adecuaciones normativas correspondientes.</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Compañeras y compañeros de este Honorable Congreso, esta iniciativa que hoy presento ante este Pleno, no sólo es necesaria, es una armonización que sin duda le hará justicia a las trabajadoras y a los trabajadores y es también un acto de responsabilidad legislativa de congruencia jurídica y de respeto a los derechos de las y los trabajadores.</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Esta reforma no es en contra de nadie, es a favor del Estado de Derecho, un estado democrático que no teme a sindicatos libres y autónomos, un estado democrático que los respeta, por ello, compañeras y compañeros les invito a analizar esta iniciativa con la que estoy seguro coincidiremos que es una gran oportunidad de enviar un mensaje claro que en el servicio público no habrá lugar para la presión, la intimidación, ni la intervención indebida en la vida sindical de las organizaciones.</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Por mi parte, es cuanto, muchas gracias.</w:t>
      </w:r>
    </w:p>
    <w:p w:rsidR="00BE3B53" w:rsidRPr="00CB38AA" w:rsidRDefault="00BE3B53" w:rsidP="00DF6EEA">
      <w:pPr>
        <w:pStyle w:val="Sinespaciado"/>
        <w:jc w:val="both"/>
        <w:rPr>
          <w:rFonts w:ascii="Times New Roman" w:hAnsi="Times New Roman" w:cs="Times New Roman"/>
          <w:sz w:val="24"/>
          <w:szCs w:val="24"/>
        </w:rPr>
      </w:pPr>
    </w:p>
    <w:p w:rsidR="00BE3B53" w:rsidRPr="00CB38AA" w:rsidRDefault="00BE3B53" w:rsidP="00DF6EEA">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(Se inserta documento)</w:t>
      </w:r>
    </w:p>
    <w:p w:rsidR="00BE3B53" w:rsidRPr="00CB38AA" w:rsidRDefault="00BE3B53" w:rsidP="00DF6EEA">
      <w:pPr>
        <w:spacing w:after="0" w:line="240" w:lineRule="auto"/>
        <w:jc w:val="center"/>
        <w:rPr>
          <w:rFonts w:ascii="Times New Roman" w:hAnsi="Times New Roman" w:cs="Times New Roman"/>
          <w:sz w:val="24"/>
          <w:szCs w:val="24"/>
        </w:rPr>
      </w:pPr>
    </w:p>
    <w:p w:rsidR="004007C0" w:rsidRPr="00CB38AA" w:rsidRDefault="004007C0" w:rsidP="00DF6EEA">
      <w:pPr>
        <w:autoSpaceDE w:val="0"/>
        <w:autoSpaceDN w:val="0"/>
        <w:adjustRightInd w:val="0"/>
        <w:spacing w:after="0" w:line="240" w:lineRule="auto"/>
        <w:jc w:val="both"/>
        <w:rPr>
          <w:rFonts w:ascii="Times New Roman" w:eastAsia="Calibri" w:hAnsi="Times New Roman" w:cs="Times New Roman"/>
          <w:b/>
          <w:bCs/>
          <w:sz w:val="24"/>
          <w:szCs w:val="24"/>
        </w:rPr>
      </w:pPr>
      <w:r w:rsidRPr="00CB38AA">
        <w:rPr>
          <w:rFonts w:ascii="Times New Roman" w:eastAsia="Calibri" w:hAnsi="Times New Roman" w:cs="Times New Roman"/>
          <w:b/>
          <w:bCs/>
          <w:sz w:val="24"/>
          <w:szCs w:val="24"/>
        </w:rPr>
        <w:t>CONGRESO</w:t>
      </w:r>
    </w:p>
    <w:p w:rsidR="004007C0" w:rsidRPr="00CB38AA" w:rsidRDefault="004007C0" w:rsidP="00DF6EEA">
      <w:pPr>
        <w:autoSpaceDE w:val="0"/>
        <w:autoSpaceDN w:val="0"/>
        <w:adjustRightInd w:val="0"/>
        <w:spacing w:after="0" w:line="240" w:lineRule="auto"/>
        <w:jc w:val="both"/>
        <w:rPr>
          <w:rFonts w:ascii="Times New Roman" w:eastAsia="Calibri" w:hAnsi="Times New Roman" w:cs="Times New Roman"/>
          <w:b/>
          <w:bCs/>
          <w:sz w:val="24"/>
          <w:szCs w:val="24"/>
        </w:rPr>
      </w:pPr>
      <w:r w:rsidRPr="00CB38AA">
        <w:rPr>
          <w:rFonts w:ascii="Times New Roman" w:eastAsia="Calibri" w:hAnsi="Times New Roman" w:cs="Times New Roman"/>
          <w:b/>
          <w:bCs/>
          <w:sz w:val="24"/>
          <w:szCs w:val="24"/>
        </w:rPr>
        <w:t>ESTADO DE MÉXICO</w:t>
      </w:r>
    </w:p>
    <w:p w:rsidR="004007C0" w:rsidRPr="00CB38AA" w:rsidRDefault="004007C0" w:rsidP="00DF6EEA">
      <w:pPr>
        <w:autoSpaceDE w:val="0"/>
        <w:autoSpaceDN w:val="0"/>
        <w:adjustRightInd w:val="0"/>
        <w:spacing w:after="0" w:line="240" w:lineRule="auto"/>
        <w:jc w:val="both"/>
        <w:rPr>
          <w:rFonts w:ascii="Times New Roman" w:eastAsia="Calibri" w:hAnsi="Times New Roman" w:cs="Times New Roman"/>
          <w:b/>
          <w:bCs/>
          <w:sz w:val="24"/>
          <w:szCs w:val="24"/>
        </w:rPr>
      </w:pPr>
    </w:p>
    <w:p w:rsidR="004007C0" w:rsidRPr="00CB38AA" w:rsidRDefault="004007C0" w:rsidP="00DF6EEA">
      <w:pPr>
        <w:autoSpaceDE w:val="0"/>
        <w:autoSpaceDN w:val="0"/>
        <w:adjustRightInd w:val="0"/>
        <w:spacing w:after="0" w:line="240" w:lineRule="auto"/>
        <w:jc w:val="both"/>
        <w:rPr>
          <w:rFonts w:ascii="Times New Roman" w:eastAsia="Calibri" w:hAnsi="Times New Roman" w:cs="Times New Roman"/>
          <w:b/>
          <w:bCs/>
          <w:sz w:val="24"/>
          <w:szCs w:val="24"/>
        </w:rPr>
      </w:pPr>
      <w:r w:rsidRPr="00CB38AA">
        <w:rPr>
          <w:rFonts w:ascii="Times New Roman" w:eastAsia="Calibri" w:hAnsi="Times New Roman" w:cs="Times New Roman"/>
          <w:b/>
          <w:bCs/>
          <w:sz w:val="24"/>
          <w:szCs w:val="24"/>
        </w:rPr>
        <w:t>Dip. Rigoberto Vargas Cervantes</w:t>
      </w:r>
    </w:p>
    <w:p w:rsidR="004007C0" w:rsidRPr="00CB38AA" w:rsidRDefault="004007C0" w:rsidP="00DF6EEA">
      <w:pPr>
        <w:autoSpaceDE w:val="0"/>
        <w:autoSpaceDN w:val="0"/>
        <w:adjustRightInd w:val="0"/>
        <w:spacing w:after="0" w:line="240" w:lineRule="auto"/>
        <w:jc w:val="both"/>
        <w:rPr>
          <w:rFonts w:ascii="Times New Roman" w:eastAsia="Calibri" w:hAnsi="Times New Roman" w:cs="Times New Roman"/>
          <w:b/>
          <w:bCs/>
          <w:sz w:val="24"/>
          <w:szCs w:val="24"/>
        </w:rPr>
      </w:pPr>
      <w:r w:rsidRPr="00CB38AA">
        <w:rPr>
          <w:rFonts w:ascii="Times New Roman" w:eastAsia="Calibri" w:hAnsi="Times New Roman" w:cs="Times New Roman"/>
          <w:b/>
          <w:bCs/>
          <w:sz w:val="24"/>
          <w:szCs w:val="24"/>
        </w:rPr>
        <w:t xml:space="preserve">Comisión de Educación, Cultura, Ciencia, </w:t>
      </w:r>
    </w:p>
    <w:p w:rsidR="004007C0" w:rsidRPr="00CB38AA" w:rsidRDefault="004007C0" w:rsidP="00DF6EEA">
      <w:pPr>
        <w:autoSpaceDE w:val="0"/>
        <w:autoSpaceDN w:val="0"/>
        <w:adjustRightInd w:val="0"/>
        <w:spacing w:after="0" w:line="240" w:lineRule="auto"/>
        <w:jc w:val="both"/>
        <w:rPr>
          <w:rFonts w:ascii="Times New Roman" w:eastAsia="Calibri" w:hAnsi="Times New Roman" w:cs="Times New Roman"/>
          <w:b/>
          <w:bCs/>
          <w:sz w:val="24"/>
          <w:szCs w:val="24"/>
        </w:rPr>
      </w:pPr>
      <w:r w:rsidRPr="00CB38AA">
        <w:rPr>
          <w:rFonts w:ascii="Times New Roman" w:eastAsia="Calibri" w:hAnsi="Times New Roman" w:cs="Times New Roman"/>
          <w:b/>
          <w:bCs/>
          <w:sz w:val="24"/>
          <w:szCs w:val="24"/>
        </w:rPr>
        <w:t>Tecnología e Innovación</w:t>
      </w:r>
    </w:p>
    <w:p w:rsidR="004007C0" w:rsidRPr="00CB38AA" w:rsidRDefault="004007C0" w:rsidP="00DF6EEA">
      <w:pPr>
        <w:autoSpaceDE w:val="0"/>
        <w:autoSpaceDN w:val="0"/>
        <w:adjustRightInd w:val="0"/>
        <w:spacing w:after="0" w:line="240" w:lineRule="auto"/>
        <w:jc w:val="both"/>
        <w:rPr>
          <w:rFonts w:ascii="Times New Roman" w:eastAsia="Calibri" w:hAnsi="Times New Roman" w:cs="Times New Roman"/>
          <w:b/>
          <w:bCs/>
          <w:sz w:val="24"/>
          <w:szCs w:val="24"/>
        </w:rPr>
      </w:pPr>
      <w:r w:rsidRPr="00CB38AA">
        <w:rPr>
          <w:rFonts w:ascii="Times New Roman" w:eastAsia="Calibri" w:hAnsi="Times New Roman" w:cs="Times New Roman"/>
          <w:b/>
          <w:bCs/>
          <w:sz w:val="24"/>
          <w:szCs w:val="24"/>
        </w:rPr>
        <w:t>Presidente</w:t>
      </w:r>
    </w:p>
    <w:p w:rsidR="004007C0" w:rsidRPr="00CB38AA" w:rsidRDefault="004007C0" w:rsidP="00DF6EEA">
      <w:pPr>
        <w:autoSpaceDE w:val="0"/>
        <w:autoSpaceDN w:val="0"/>
        <w:adjustRightInd w:val="0"/>
        <w:spacing w:after="0" w:line="240" w:lineRule="auto"/>
        <w:jc w:val="both"/>
        <w:rPr>
          <w:rFonts w:ascii="Times New Roman" w:eastAsia="Calibri" w:hAnsi="Times New Roman" w:cs="Times New Roman"/>
          <w:b/>
          <w:bCs/>
          <w:sz w:val="24"/>
          <w:szCs w:val="24"/>
        </w:rPr>
      </w:pPr>
    </w:p>
    <w:p w:rsidR="004007C0" w:rsidRPr="00CB38AA" w:rsidRDefault="004007C0" w:rsidP="00DF6EEA">
      <w:pPr>
        <w:widowControl w:val="0"/>
        <w:autoSpaceDE w:val="0"/>
        <w:autoSpaceDN w:val="0"/>
        <w:spacing w:after="0" w:line="240" w:lineRule="auto"/>
        <w:jc w:val="right"/>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Toluca de Lerdo, México, a </w:t>
      </w:r>
      <w:r w:rsidRPr="00CB38AA">
        <w:rPr>
          <w:rFonts w:ascii="Times New Roman" w:eastAsia="Arial MT" w:hAnsi="Times New Roman" w:cs="Times New Roman"/>
          <w:sz w:val="24"/>
          <w:szCs w:val="24"/>
          <w:u w:val="single"/>
          <w:lang w:val="es-ES"/>
        </w:rPr>
        <w:tab/>
      </w:r>
      <w:r w:rsidRPr="00CB38AA">
        <w:rPr>
          <w:rFonts w:ascii="Times New Roman" w:eastAsia="Arial MT" w:hAnsi="Times New Roman" w:cs="Times New Roman"/>
          <w:sz w:val="24"/>
          <w:szCs w:val="24"/>
          <w:lang w:val="es-ES"/>
        </w:rPr>
        <w:t xml:space="preserve"> de </w:t>
      </w:r>
      <w:r w:rsidRPr="00CB38AA">
        <w:rPr>
          <w:rFonts w:ascii="Times New Roman" w:eastAsia="Arial MT" w:hAnsi="Times New Roman" w:cs="Times New Roman"/>
          <w:sz w:val="24"/>
          <w:szCs w:val="24"/>
          <w:u w:val="single"/>
          <w:lang w:val="es-ES"/>
        </w:rPr>
        <w:tab/>
      </w:r>
      <w:r w:rsidRPr="00CB38AA">
        <w:rPr>
          <w:rFonts w:ascii="Times New Roman" w:eastAsia="Arial MT" w:hAnsi="Times New Roman" w:cs="Times New Roman"/>
          <w:sz w:val="24"/>
          <w:szCs w:val="24"/>
          <w:lang w:val="es-ES"/>
        </w:rPr>
        <w:t xml:space="preserve"> de 2026</w:t>
      </w:r>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p>
    <w:p w:rsidR="004007C0" w:rsidRPr="00CB38AA" w:rsidRDefault="004007C0" w:rsidP="00DF6EEA">
      <w:pPr>
        <w:widowControl w:val="0"/>
        <w:autoSpaceDE w:val="0"/>
        <w:autoSpaceDN w:val="0"/>
        <w:spacing w:after="0" w:line="240" w:lineRule="auto"/>
        <w:outlineLvl w:val="0"/>
        <w:rPr>
          <w:rFonts w:ascii="Times New Roman" w:eastAsia="Arial" w:hAnsi="Times New Roman" w:cs="Times New Roman"/>
          <w:b/>
          <w:bCs/>
          <w:sz w:val="24"/>
          <w:szCs w:val="24"/>
          <w:lang w:val="es-ES"/>
        </w:rPr>
      </w:pPr>
      <w:r w:rsidRPr="00CB38AA">
        <w:rPr>
          <w:rFonts w:ascii="Times New Roman" w:eastAsia="Arial" w:hAnsi="Times New Roman" w:cs="Times New Roman"/>
          <w:b/>
          <w:bCs/>
          <w:sz w:val="24"/>
          <w:szCs w:val="24"/>
          <w:lang w:val="es-ES"/>
        </w:rPr>
        <w:t>DIP. MARTHA AZUCENA CAMACHO REYNOSO</w:t>
      </w:r>
    </w:p>
    <w:p w:rsidR="004007C0" w:rsidRPr="00CB38AA" w:rsidRDefault="004007C0" w:rsidP="00DF6EEA">
      <w:pPr>
        <w:widowControl w:val="0"/>
        <w:autoSpaceDE w:val="0"/>
        <w:autoSpaceDN w:val="0"/>
        <w:spacing w:after="0" w:line="240" w:lineRule="auto"/>
        <w:outlineLvl w:val="0"/>
        <w:rPr>
          <w:rFonts w:ascii="Times New Roman" w:eastAsia="Arial" w:hAnsi="Times New Roman" w:cs="Times New Roman"/>
          <w:b/>
          <w:bCs/>
          <w:sz w:val="24"/>
          <w:szCs w:val="24"/>
          <w:lang w:val="es-ES"/>
        </w:rPr>
      </w:pPr>
      <w:r w:rsidRPr="00CB38AA">
        <w:rPr>
          <w:rFonts w:ascii="Times New Roman" w:eastAsia="Arial" w:hAnsi="Times New Roman" w:cs="Times New Roman"/>
          <w:b/>
          <w:bCs/>
          <w:sz w:val="24"/>
          <w:szCs w:val="24"/>
          <w:lang w:val="es-ES"/>
        </w:rPr>
        <w:t>PRESIDENTA DE LA MESA DIRECTIVA</w:t>
      </w:r>
    </w:p>
    <w:p w:rsidR="004007C0" w:rsidRPr="00CB38AA" w:rsidRDefault="004007C0" w:rsidP="00DF6EEA">
      <w:pPr>
        <w:widowControl w:val="0"/>
        <w:autoSpaceDE w:val="0"/>
        <w:autoSpaceDN w:val="0"/>
        <w:spacing w:after="0" w:line="240" w:lineRule="auto"/>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H. LXII LEGISLATURA DEL ESTADO DE MÉXICO.</w:t>
      </w:r>
    </w:p>
    <w:p w:rsidR="004007C0" w:rsidRPr="00CB38AA" w:rsidRDefault="004007C0" w:rsidP="00DF6EEA">
      <w:pPr>
        <w:widowControl w:val="0"/>
        <w:autoSpaceDE w:val="0"/>
        <w:autoSpaceDN w:val="0"/>
        <w:spacing w:after="0" w:line="240" w:lineRule="auto"/>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PRESENTE</w:t>
      </w:r>
    </w:p>
    <w:p w:rsidR="004007C0" w:rsidRPr="00CB38AA" w:rsidRDefault="004007C0" w:rsidP="00DF6EEA">
      <w:pPr>
        <w:widowControl w:val="0"/>
        <w:autoSpaceDE w:val="0"/>
        <w:autoSpaceDN w:val="0"/>
        <w:spacing w:after="0" w:line="240" w:lineRule="auto"/>
        <w:rPr>
          <w:rFonts w:ascii="Times New Roman" w:eastAsia="Arial MT" w:hAnsi="Times New Roman" w:cs="Times New Roman"/>
          <w:b/>
          <w:sz w:val="24"/>
          <w:szCs w:val="24"/>
          <w:lang w:val="es-ES"/>
        </w:rPr>
      </w:pPr>
    </w:p>
    <w:p w:rsidR="004007C0" w:rsidRPr="00CB38AA" w:rsidRDefault="004007C0" w:rsidP="00DF6EEA">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El que suscribe </w:t>
      </w:r>
      <w:r w:rsidRPr="00CB38AA">
        <w:rPr>
          <w:rFonts w:ascii="Times New Roman" w:eastAsia="Arial MT" w:hAnsi="Times New Roman" w:cs="Times New Roman"/>
          <w:b/>
          <w:sz w:val="24"/>
          <w:szCs w:val="24"/>
          <w:lang w:val="es-ES"/>
        </w:rPr>
        <w:t>Diputado Rigoberto Vargas Cervantes</w:t>
      </w:r>
      <w:r w:rsidRPr="00CB38AA">
        <w:rPr>
          <w:rFonts w:ascii="Times New Roman" w:eastAsia="Arial MT" w:hAnsi="Times New Roman" w:cs="Times New Roman"/>
          <w:sz w:val="24"/>
          <w:szCs w:val="24"/>
          <w:lang w:val="es-ES"/>
        </w:rPr>
        <w:t xml:space="preserve">, con fundamento en lo dispuesto por los artículos 51 fracción II, 57 y 61 fracción I de la Constitución Política del Estado Libre y Soberano de México; 28 fracción I, 30 primer párrafo, 38 fracción II, 79, 81 y 83 de la Ley Orgánica del Poder Legislativo del Estado de México, así como 68 del Reglamento del Poder Legislativo del Estado; tengo a bien someter a consideración de esta Honorable Soberanía, la presente </w:t>
      </w:r>
      <w:r w:rsidRPr="00CB38AA">
        <w:rPr>
          <w:rFonts w:ascii="Times New Roman" w:eastAsia="Arial MT" w:hAnsi="Times New Roman" w:cs="Times New Roman"/>
          <w:b/>
          <w:sz w:val="24"/>
          <w:szCs w:val="24"/>
          <w:lang w:val="es-ES"/>
        </w:rPr>
        <w:t xml:space="preserve">Iniciativa con proyecto de decreto, mediante la cual se </w:t>
      </w:r>
      <w:r w:rsidRPr="00CB38AA">
        <w:rPr>
          <w:rFonts w:ascii="Times New Roman" w:eastAsia="Arial MT" w:hAnsi="Times New Roman" w:cs="Times New Roman"/>
          <w:sz w:val="24"/>
          <w:szCs w:val="24"/>
          <w:lang w:val="es-ES"/>
        </w:rPr>
        <w:t xml:space="preserve">adiciona un artículo 138 Bis a la Ley del Trabajo </w:t>
      </w:r>
      <w:r w:rsidRPr="00CB38AA">
        <w:rPr>
          <w:rFonts w:ascii="Times New Roman" w:eastAsia="Arial MT" w:hAnsi="Times New Roman" w:cs="Times New Roman"/>
          <w:sz w:val="24"/>
          <w:szCs w:val="24"/>
          <w:lang w:val="es-ES"/>
        </w:rPr>
        <w:lastRenderedPageBreak/>
        <w:t>de los Servidores Públicos del Estado y Municipios y se adiciona una fracción XIV al artículo 52; una SECCIÓN DÉCIMA CUARTA denominada DE LA INJERENCIA SINDICAL al  CAPÍTULO  SEGUNDO  DE  LAS  FALTAS ADMINISTRATIVAS GRAVES DE LOS SERVIDORES PÚBLICOS; y un artículo 67 Bis, todos a la Ley de Responsabilidades Administrativas del Estado de México y Municipios de conformidad con la siguiente:</w:t>
      </w:r>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p>
    <w:p w:rsidR="004007C0" w:rsidRPr="00CB38AA" w:rsidRDefault="004007C0" w:rsidP="00DF6EEA">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CB38AA">
        <w:rPr>
          <w:rFonts w:ascii="Times New Roman" w:eastAsia="Arial" w:hAnsi="Times New Roman" w:cs="Times New Roman"/>
          <w:b/>
          <w:bCs/>
          <w:sz w:val="24"/>
          <w:szCs w:val="24"/>
          <w:lang w:val="es-ES"/>
        </w:rPr>
        <w:t>EXPOSICIÓN DE MOTIVOS</w:t>
      </w:r>
    </w:p>
    <w:p w:rsidR="004007C0" w:rsidRPr="00CB38AA" w:rsidRDefault="004007C0" w:rsidP="00DF6EEA">
      <w:pPr>
        <w:widowControl w:val="0"/>
        <w:autoSpaceDE w:val="0"/>
        <w:autoSpaceDN w:val="0"/>
        <w:spacing w:after="0" w:line="240" w:lineRule="auto"/>
        <w:rPr>
          <w:rFonts w:ascii="Times New Roman" w:eastAsia="Arial MT" w:hAnsi="Times New Roman" w:cs="Times New Roman"/>
          <w:b/>
          <w:sz w:val="24"/>
          <w:szCs w:val="24"/>
          <w:lang w:val="es-ES"/>
        </w:rPr>
      </w:pPr>
    </w:p>
    <w:p w:rsidR="004007C0" w:rsidRPr="00CB38AA" w:rsidRDefault="004007C0" w:rsidP="00DF6EEA">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La libertad sindical y la autonomía de las organizaciones de personas trabajadoras constituyen </w:t>
      </w:r>
      <w:r w:rsidRPr="00CB38AA">
        <w:rPr>
          <w:rFonts w:ascii="Times New Roman" w:eastAsia="Arial MT" w:hAnsi="Times New Roman" w:cs="Times New Roman"/>
          <w:b/>
          <w:sz w:val="24"/>
          <w:szCs w:val="24"/>
          <w:lang w:val="es-ES"/>
        </w:rPr>
        <w:t>derechos humanos de naturaleza colectiva</w:t>
      </w:r>
      <w:r w:rsidRPr="00CB38AA">
        <w:rPr>
          <w:rFonts w:ascii="Times New Roman" w:eastAsia="Arial MT" w:hAnsi="Times New Roman" w:cs="Times New Roman"/>
          <w:sz w:val="24"/>
          <w:szCs w:val="24"/>
          <w:lang w:val="es-ES"/>
        </w:rPr>
        <w:t xml:space="preserve">, reconocidos en el artículo 123 de la Constitución Política de los Estados Unidos Mexicanos, así como en los </w:t>
      </w:r>
      <w:r w:rsidRPr="00CB38AA">
        <w:rPr>
          <w:rFonts w:ascii="Times New Roman" w:eastAsia="Arial MT" w:hAnsi="Times New Roman" w:cs="Times New Roman"/>
          <w:b/>
          <w:sz w:val="24"/>
          <w:szCs w:val="24"/>
          <w:lang w:val="es-ES"/>
        </w:rPr>
        <w:t>Convenios 87</w:t>
      </w:r>
      <w:r w:rsidRPr="00CB38AA">
        <w:rPr>
          <w:rFonts w:ascii="Times New Roman" w:eastAsia="Arial MT" w:hAnsi="Times New Roman" w:cs="Times New Roman"/>
          <w:b/>
          <w:sz w:val="24"/>
          <w:szCs w:val="24"/>
          <w:vertAlign w:val="superscript"/>
          <w:lang w:val="es-ES"/>
        </w:rPr>
        <w:t>1</w:t>
      </w:r>
      <w:r w:rsidRPr="00CB38AA">
        <w:rPr>
          <w:rFonts w:ascii="Times New Roman" w:eastAsia="Arial MT" w:hAnsi="Times New Roman" w:cs="Times New Roman"/>
          <w:b/>
          <w:sz w:val="24"/>
          <w:szCs w:val="24"/>
          <w:lang w:val="es-ES"/>
        </w:rPr>
        <w:t xml:space="preserve"> y 98</w:t>
      </w:r>
      <w:r w:rsidRPr="00CB38AA">
        <w:rPr>
          <w:rFonts w:ascii="Times New Roman" w:eastAsia="Arial MT" w:hAnsi="Times New Roman" w:cs="Times New Roman"/>
          <w:b/>
          <w:sz w:val="24"/>
          <w:szCs w:val="24"/>
          <w:vertAlign w:val="superscript"/>
          <w:lang w:val="es-ES"/>
        </w:rPr>
        <w:t>2</w:t>
      </w:r>
      <w:r w:rsidRPr="00CB38AA">
        <w:rPr>
          <w:rFonts w:ascii="Times New Roman" w:eastAsia="Arial MT" w:hAnsi="Times New Roman" w:cs="Times New Roman"/>
          <w:b/>
          <w:sz w:val="24"/>
          <w:szCs w:val="24"/>
          <w:lang w:val="es-ES"/>
        </w:rPr>
        <w:t xml:space="preserve"> de la Organización Internacional del Trabajo</w:t>
      </w:r>
      <w:r w:rsidRPr="00CB38AA">
        <w:rPr>
          <w:rFonts w:ascii="Times New Roman" w:eastAsia="Arial MT" w:hAnsi="Times New Roman" w:cs="Times New Roman"/>
          <w:sz w:val="24"/>
          <w:szCs w:val="24"/>
          <w:lang w:val="es-ES"/>
        </w:rPr>
        <w:t>, ratificados por el Estado mexicano y, por tanto, de observancia obligatoria para los tres órdenes de gobierno.</w:t>
      </w:r>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p>
    <w:p w:rsidR="004007C0" w:rsidRPr="00CB38AA" w:rsidRDefault="004007C0" w:rsidP="00DF6EEA">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En congruencia con dichos estándares internacionales, el Senador Alfonso Cepeda Salas presentó la iniciativa de ley, que recientemente fue aprobado y publicada en el Diario Oficial de la Federación, 15 de diciembre de 2025, que reforma la </w:t>
      </w:r>
      <w:r w:rsidRPr="00CB38AA">
        <w:rPr>
          <w:rFonts w:ascii="Times New Roman" w:eastAsia="Arial MT" w:hAnsi="Times New Roman" w:cs="Times New Roman"/>
          <w:b/>
          <w:sz w:val="24"/>
          <w:szCs w:val="24"/>
          <w:lang w:val="es-ES"/>
        </w:rPr>
        <w:t>Ley Federal de los Trabajadores al Servicio del Estado</w:t>
      </w:r>
      <w:r w:rsidRPr="00CB38AA">
        <w:rPr>
          <w:rFonts w:ascii="Times New Roman" w:eastAsia="Arial MT" w:hAnsi="Times New Roman" w:cs="Times New Roman"/>
          <w:sz w:val="24"/>
          <w:szCs w:val="24"/>
          <w:lang w:val="es-ES"/>
        </w:rPr>
        <w:t xml:space="preserve">, adicionando el </w:t>
      </w:r>
      <w:r w:rsidRPr="00CB38AA">
        <w:rPr>
          <w:rFonts w:ascii="Times New Roman" w:eastAsia="Arial MT" w:hAnsi="Times New Roman" w:cs="Times New Roman"/>
          <w:b/>
          <w:sz w:val="24"/>
          <w:szCs w:val="24"/>
          <w:lang w:val="es-ES"/>
        </w:rPr>
        <w:t>artículo 69 Bis</w:t>
      </w:r>
      <w:r w:rsidRPr="00CB38AA">
        <w:rPr>
          <w:rFonts w:ascii="Times New Roman" w:eastAsia="Arial MT" w:hAnsi="Times New Roman" w:cs="Times New Roman"/>
          <w:b/>
          <w:sz w:val="24"/>
          <w:szCs w:val="24"/>
          <w:vertAlign w:val="superscript"/>
          <w:lang w:val="es-ES"/>
        </w:rPr>
        <w:t>3</w:t>
      </w:r>
      <w:r w:rsidRPr="00CB38AA">
        <w:rPr>
          <w:rFonts w:ascii="Times New Roman" w:eastAsia="Arial MT" w:hAnsi="Times New Roman" w:cs="Times New Roman"/>
          <w:sz w:val="24"/>
          <w:szCs w:val="24"/>
          <w:lang w:val="es-ES"/>
        </w:rPr>
        <w:t xml:space="preserve">, el cual establece de manera expresa la </w:t>
      </w:r>
      <w:r w:rsidRPr="00CB38AA">
        <w:rPr>
          <w:rFonts w:ascii="Times New Roman" w:eastAsia="Arial MT" w:hAnsi="Times New Roman" w:cs="Times New Roman"/>
          <w:b/>
          <w:sz w:val="24"/>
          <w:szCs w:val="24"/>
          <w:lang w:val="es-ES"/>
        </w:rPr>
        <w:t>prohibición absoluta de injerencia de autoridades y personas servidoras públicas en la vida interna de los sindicatos</w:t>
      </w:r>
      <w:r w:rsidRPr="00CB38AA">
        <w:rPr>
          <w:rFonts w:ascii="Times New Roman" w:eastAsia="Arial MT" w:hAnsi="Times New Roman" w:cs="Times New Roman"/>
          <w:sz w:val="24"/>
          <w:szCs w:val="24"/>
          <w:lang w:val="es-ES"/>
        </w:rPr>
        <w:t>, así como las consecuencias jurídicas derivadas de su incumplimiento.</w:t>
      </w:r>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p>
    <w:p w:rsidR="004007C0" w:rsidRPr="00CB38AA" w:rsidRDefault="004007C0" w:rsidP="00DF6EEA">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Dicha reforma se acompañó de la adición del </w:t>
      </w:r>
      <w:r w:rsidRPr="00CB38AA">
        <w:rPr>
          <w:rFonts w:ascii="Times New Roman" w:eastAsia="Arial MT" w:hAnsi="Times New Roman" w:cs="Times New Roman"/>
          <w:b/>
          <w:sz w:val="24"/>
          <w:szCs w:val="24"/>
          <w:lang w:val="es-ES"/>
        </w:rPr>
        <w:t>artículo 64 Quáter a la Ley General de Responsabilidades Administrativas</w:t>
      </w:r>
      <w:r w:rsidRPr="00CB38AA">
        <w:rPr>
          <w:rFonts w:ascii="Times New Roman" w:eastAsia="Arial MT" w:hAnsi="Times New Roman" w:cs="Times New Roman"/>
          <w:sz w:val="24"/>
          <w:szCs w:val="24"/>
          <w:lang w:val="es-ES"/>
        </w:rPr>
        <w:t xml:space="preserve">, con el propósito de </w:t>
      </w:r>
      <w:r w:rsidRPr="00CB38AA">
        <w:rPr>
          <w:rFonts w:ascii="Times New Roman" w:eastAsia="Arial MT" w:hAnsi="Times New Roman" w:cs="Times New Roman"/>
          <w:b/>
          <w:sz w:val="24"/>
          <w:szCs w:val="24"/>
          <w:lang w:val="es-ES"/>
        </w:rPr>
        <w:t xml:space="preserve">tipificar como falta administrativa grave </w:t>
      </w:r>
      <w:r w:rsidRPr="00CB38AA">
        <w:rPr>
          <w:rFonts w:ascii="Times New Roman" w:eastAsia="Arial MT" w:hAnsi="Times New Roman" w:cs="Times New Roman"/>
          <w:sz w:val="24"/>
          <w:szCs w:val="24"/>
          <w:lang w:val="es-ES"/>
        </w:rPr>
        <w:t>cualquier acto de intervención, presión o inducción en los procesos sindicales, fortaleciendo así la protección efectiva de la autonomía sindical.</w:t>
      </w:r>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p>
    <w:p w:rsidR="004007C0" w:rsidRPr="00CB38AA" w:rsidRDefault="004007C0" w:rsidP="00DF6EEA">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El Estado de México cuenta con un régimen jurídico propio en materia de relaciones laborales de las personas servidoras públicas, contenido en la </w:t>
      </w:r>
      <w:r w:rsidRPr="00CB38AA">
        <w:rPr>
          <w:rFonts w:ascii="Times New Roman" w:eastAsia="Arial MT" w:hAnsi="Times New Roman" w:cs="Times New Roman"/>
          <w:b/>
          <w:sz w:val="24"/>
          <w:szCs w:val="24"/>
          <w:lang w:val="es-ES"/>
        </w:rPr>
        <w:t>Ley del Trabajo de los Servidores Públicos del Estado y Municipios</w:t>
      </w:r>
      <w:r w:rsidRPr="00CB38AA">
        <w:rPr>
          <w:rFonts w:ascii="Times New Roman" w:eastAsia="Arial MT" w:hAnsi="Times New Roman" w:cs="Times New Roman"/>
          <w:sz w:val="24"/>
          <w:szCs w:val="24"/>
          <w:lang w:val="es-ES"/>
        </w:rPr>
        <w:t>, así como con una legislación local en materia de responsabilidades administrativas.</w:t>
      </w:r>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r w:rsidRPr="00CB38AA">
        <w:rPr>
          <w:rFonts w:ascii="Times New Roman" w:eastAsia="Arial MT" w:hAnsi="Times New Roman" w:cs="Times New Roman"/>
          <w:noProof/>
          <w:sz w:val="24"/>
          <w:szCs w:val="24"/>
          <w:lang w:val="es-ES"/>
        </w:rPr>
        <mc:AlternateContent>
          <mc:Choice Requires="wps">
            <w:drawing>
              <wp:anchor distT="0" distB="0" distL="0" distR="0" simplePos="0" relativeHeight="251659264" behindDoc="1" locked="0" layoutInCell="1" allowOverlap="1" wp14:anchorId="6C96C2C3" wp14:editId="6EBAB5E3">
                <wp:simplePos x="0" y="0"/>
                <wp:positionH relativeFrom="page">
                  <wp:posOffset>1078991</wp:posOffset>
                </wp:positionH>
                <wp:positionV relativeFrom="paragraph">
                  <wp:posOffset>244866</wp:posOffset>
                </wp:positionV>
                <wp:extent cx="1828800" cy="952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3"/>
                              </a:lnTo>
                              <a:lnTo>
                                <a:pt x="1828800" y="9143"/>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C08D650" id="Graphic 3" o:spid="_x0000_s1026" style="position:absolute;margin-left:84.95pt;margin-top:19.3pt;width:2in;height:.75pt;z-index:-251657216;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" path="m1828800,l,,,9143r1828800,l1828800,xe" fillcolor="black" stroked="f">
                <v:path arrowok="t"/>
                <w10:wrap type="topAndBottom" anchorx="page"/>
              </v:shape>
            </w:pict>
          </mc:Fallback>
        </mc:AlternateContent>
      </w:r>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1 Organización Internacional del Trabajo. (1948). </w:t>
      </w:r>
      <w:r w:rsidRPr="00CB38AA">
        <w:rPr>
          <w:rFonts w:ascii="Times New Roman" w:eastAsia="Arial MT" w:hAnsi="Times New Roman" w:cs="Times New Roman"/>
          <w:i/>
          <w:sz w:val="24"/>
          <w:szCs w:val="24"/>
          <w:lang w:val="es-ES"/>
        </w:rPr>
        <w:t>Convenio sobre la libertad sindical y la protección del derecho de sindicación (Convenio núm. 87)</w:t>
      </w:r>
      <w:r w:rsidRPr="00CB38AA">
        <w:rPr>
          <w:rFonts w:ascii="Times New Roman" w:eastAsia="Arial MT" w:hAnsi="Times New Roman" w:cs="Times New Roman"/>
          <w:sz w:val="24"/>
          <w:szCs w:val="24"/>
          <w:lang w:val="es-ES"/>
        </w:rPr>
        <w:t>. OIT. https://</w:t>
      </w:r>
      <w:hyperlink r:id="rId28">
        <w:r w:rsidRPr="00CB38AA">
          <w:rPr>
            <w:rFonts w:ascii="Times New Roman" w:eastAsia="Arial MT" w:hAnsi="Times New Roman" w:cs="Times New Roman"/>
            <w:sz w:val="24"/>
            <w:szCs w:val="24"/>
            <w:lang w:val="es-ES"/>
          </w:rPr>
          <w:t>www.ilo.org/dyn/normlex/es/f?p=NORMLEXPUB:12100:0::NO::P12100_ILO_CODE:C087</w:t>
        </w:r>
      </w:hyperlink>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2 Organización Internacional del Trabajo. (1949). </w:t>
      </w:r>
      <w:r w:rsidRPr="00CB38AA">
        <w:rPr>
          <w:rFonts w:ascii="Times New Roman" w:eastAsia="Arial MT" w:hAnsi="Times New Roman" w:cs="Times New Roman"/>
          <w:i/>
          <w:sz w:val="24"/>
          <w:szCs w:val="24"/>
          <w:lang w:val="es-ES"/>
        </w:rPr>
        <w:t>Convenio sobre el derecho de sindicación y de negociación colectiva (Convenio núm. 98)</w:t>
      </w:r>
      <w:r w:rsidRPr="00CB38AA">
        <w:rPr>
          <w:rFonts w:ascii="Times New Roman" w:eastAsia="Arial MT" w:hAnsi="Times New Roman" w:cs="Times New Roman"/>
          <w:sz w:val="24"/>
          <w:szCs w:val="24"/>
          <w:lang w:val="es-ES"/>
        </w:rPr>
        <w:t>. OIT. https://</w:t>
      </w:r>
      <w:hyperlink r:id="rId29">
        <w:r w:rsidRPr="00CB38AA">
          <w:rPr>
            <w:rFonts w:ascii="Times New Roman" w:eastAsia="Arial MT" w:hAnsi="Times New Roman" w:cs="Times New Roman"/>
            <w:sz w:val="24"/>
            <w:szCs w:val="24"/>
            <w:lang w:val="es-ES"/>
          </w:rPr>
          <w:t>www.ilo.org/dyn/normlex/es/f?p=NORMLEXPUB:12100:0::NO::P12100_ILO_CODE:C098</w:t>
        </w:r>
      </w:hyperlink>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3 https://</w:t>
      </w:r>
      <w:hyperlink r:id="rId30">
        <w:r w:rsidRPr="00CB38AA">
          <w:rPr>
            <w:rFonts w:ascii="Times New Roman" w:eastAsia="Arial MT" w:hAnsi="Times New Roman" w:cs="Times New Roman"/>
            <w:sz w:val="24"/>
            <w:szCs w:val="24"/>
            <w:lang w:val="es-ES"/>
          </w:rPr>
          <w:t>www.dof.gob.mx/nota_detalle.php?codigo=5776177&amp;fecha=15/12/2025#gsc.tab=0</w:t>
        </w:r>
      </w:hyperlink>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p>
    <w:p w:rsidR="004007C0" w:rsidRPr="00CB38AA" w:rsidRDefault="004007C0" w:rsidP="00DF6EEA">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No obstante, dichas normas no contemplan de manera expresa, clara y sancionable la prohibición de la injerencia institucional en la vida interna de los sindicatos, lo cual genera vacíos normativos, riesgos de simulación democrática, y prácticas contrarias a la libertad sindical, especialmente en contextos de elección de dirigencias y toma de decisiones colectivas.</w:t>
      </w:r>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p>
    <w:p w:rsidR="004007C0" w:rsidRPr="00CB38AA" w:rsidRDefault="004007C0" w:rsidP="00DF6EEA">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La ausencia de reglas claras permite que, en los hechos, subsistan formas indirectas de control, condicionamiento o presión política, incompatibles con un Estado democrático de derecho y con </w:t>
      </w:r>
      <w:r w:rsidRPr="00CB38AA">
        <w:rPr>
          <w:rFonts w:ascii="Times New Roman" w:eastAsia="Arial MT" w:hAnsi="Times New Roman" w:cs="Times New Roman"/>
          <w:sz w:val="24"/>
          <w:szCs w:val="24"/>
          <w:lang w:val="es-ES"/>
        </w:rPr>
        <w:lastRenderedPageBreak/>
        <w:t>la reforma laboral de 2019, que fortalece la libertad y la democracia sindical, al garantizar la libre afiliación, la autonomía de los sindicatos y la prohibición de toda injerencia en su vida interna, asegurando una representación legítima y una negociación colectiva auténtica. Asimismo, impulsa una justicia laboral más ágil, con conciliación obligatoria y juicios orales expeditos; promueve la transparencia sindical en el uso de las cuotas, y consolida un enfoque de inclusión y perspectiva de género en la participación y representación de las y los trabajadores.</w:t>
      </w:r>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p>
    <w:p w:rsidR="004007C0" w:rsidRPr="00CB38AA" w:rsidRDefault="004007C0" w:rsidP="00DF6EEA">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En consecuencia, la presente iniciativa tiene por objeto:</w:t>
      </w:r>
    </w:p>
    <w:p w:rsidR="004007C0" w:rsidRPr="00CB38AA" w:rsidRDefault="004007C0" w:rsidP="00DF6EEA">
      <w:pPr>
        <w:widowControl w:val="0"/>
        <w:autoSpaceDE w:val="0"/>
        <w:autoSpaceDN w:val="0"/>
        <w:spacing w:after="0" w:line="240" w:lineRule="auto"/>
        <w:jc w:val="both"/>
        <w:rPr>
          <w:rFonts w:ascii="Times New Roman" w:eastAsia="Arial MT" w:hAnsi="Times New Roman" w:cs="Times New Roman"/>
          <w:sz w:val="24"/>
          <w:szCs w:val="24"/>
          <w:lang w:val="es-ES"/>
        </w:rPr>
      </w:pPr>
    </w:p>
    <w:p w:rsidR="004007C0" w:rsidRPr="00CB38AA" w:rsidRDefault="004007C0" w:rsidP="00DF6EEA">
      <w:pPr>
        <w:widowControl w:val="0"/>
        <w:numPr>
          <w:ilvl w:val="0"/>
          <w:numId w:val="8"/>
        </w:numPr>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Armonizar la legislación del Estado de México con el artículo 69 Bis de la Ley Federal de los Trabajadores al Servicio del Estado.</w:t>
      </w:r>
    </w:p>
    <w:p w:rsidR="004007C0" w:rsidRPr="00CB38AA" w:rsidRDefault="004007C0" w:rsidP="00DF6EEA">
      <w:pPr>
        <w:widowControl w:val="0"/>
        <w:numPr>
          <w:ilvl w:val="0"/>
          <w:numId w:val="8"/>
        </w:numPr>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Reconocer expresamente la autonomía sindical como principio rector del derecho colectivo del trabajo en el servicio público estatal y municipal.</w:t>
      </w:r>
    </w:p>
    <w:p w:rsidR="004007C0" w:rsidRPr="00CB38AA" w:rsidRDefault="004007C0" w:rsidP="00DF6EEA">
      <w:pPr>
        <w:widowControl w:val="0"/>
        <w:numPr>
          <w:ilvl w:val="0"/>
          <w:numId w:val="8"/>
        </w:numPr>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Prohibir de manera expresa y categórica cualquier forma de injerencia de autoridades o personas servidoras públicas en la organización sindical, la elección de dirigencias, la administración de recursos, y la toma de decisiones internas.</w:t>
      </w:r>
    </w:p>
    <w:p w:rsidR="004007C0" w:rsidRPr="00CB38AA" w:rsidRDefault="004007C0" w:rsidP="00DF6EEA">
      <w:pPr>
        <w:widowControl w:val="0"/>
        <w:numPr>
          <w:ilvl w:val="0"/>
          <w:numId w:val="8"/>
        </w:numPr>
        <w:autoSpaceDE w:val="0"/>
        <w:autoSpaceDN w:val="0"/>
        <w:spacing w:after="0" w:line="240" w:lineRule="auto"/>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Establecer consecuencias jurídicas claras mediante la tipificación de la injerencia sindical como falta administrativa grave en el ámbito estatal.</w:t>
      </w:r>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p>
    <w:p w:rsidR="004007C0" w:rsidRPr="00CB38AA" w:rsidRDefault="004007C0" w:rsidP="00DF6EEA">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Para alcanzar los objetivos señalados, se propone adicionar un artículo 138 Bis a la Ley del Trabajo de los Servidores Públicos del Estado y Municipios y adicionar Se adiciona una fracción XIV al artículo 52; una SECCIÓN DÉCIMA CUARTA denominada DE LA INJERENCIA SINDICAL al CAPÍTULO SEGUNDO DE LAS FALTAS ADMINISTRATIVAS GRAVES DE LOS SERVIDORES PÚBLICOS; y un artículo 67 Bis, todos a la Ley de Responsabilidades Administrativas del Estado de México y Municipios.</w:t>
      </w:r>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Con el objetivo de proporcionar una mayor comprensión de las modificaciones propuestas en la presente iniciativa, se presenta un análisis comparativo entre el texto vigente y el que se propone modificar y/o adicionar.</w:t>
      </w:r>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51"/>
        <w:gridCol w:w="4646"/>
      </w:tblGrid>
      <w:tr w:rsidR="004007C0" w:rsidRPr="00CB38AA" w:rsidTr="004007C0">
        <w:trPr>
          <w:trHeight w:val="20"/>
        </w:trPr>
        <w:tc>
          <w:tcPr>
            <w:tcW w:w="9297" w:type="dxa"/>
            <w:gridSpan w:val="2"/>
          </w:tcPr>
          <w:p w:rsidR="004007C0" w:rsidRPr="00CB38AA" w:rsidRDefault="004007C0" w:rsidP="00DF6EEA">
            <w:pPr>
              <w:spacing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LEY DEL TRABAJO DE LOS SERVIDORES PÚBLICOS DEL ESTADO Y MUNICIPIOS</w:t>
            </w:r>
          </w:p>
        </w:tc>
      </w:tr>
      <w:tr w:rsidR="004007C0" w:rsidRPr="00CB38AA" w:rsidTr="004007C0">
        <w:trPr>
          <w:trHeight w:val="20"/>
        </w:trPr>
        <w:tc>
          <w:tcPr>
            <w:tcW w:w="4651" w:type="dxa"/>
          </w:tcPr>
          <w:p w:rsidR="004007C0" w:rsidRPr="00CB38AA" w:rsidRDefault="004007C0" w:rsidP="00DF6EEA">
            <w:pPr>
              <w:spacing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TEXTO VIGENTE</w:t>
            </w:r>
          </w:p>
        </w:tc>
        <w:tc>
          <w:tcPr>
            <w:tcW w:w="4646" w:type="dxa"/>
          </w:tcPr>
          <w:p w:rsidR="004007C0" w:rsidRPr="00CB38AA" w:rsidRDefault="004007C0" w:rsidP="00DF6EEA">
            <w:pPr>
              <w:spacing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TEXTO PROPUESTO</w:t>
            </w:r>
          </w:p>
        </w:tc>
      </w:tr>
      <w:tr w:rsidR="004007C0" w:rsidRPr="00CB38AA" w:rsidTr="004007C0">
        <w:trPr>
          <w:trHeight w:val="20"/>
        </w:trPr>
        <w:tc>
          <w:tcPr>
            <w:tcW w:w="4651" w:type="dxa"/>
          </w:tcPr>
          <w:p w:rsidR="004007C0" w:rsidRPr="00CB38AA" w:rsidRDefault="004007C0" w:rsidP="00DF6EEA">
            <w:pPr>
              <w:spacing w:line="240" w:lineRule="auto"/>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Sin Correlativo</w:t>
            </w:r>
          </w:p>
        </w:tc>
        <w:tc>
          <w:tcPr>
            <w:tcW w:w="4646" w:type="dxa"/>
          </w:tcPr>
          <w:p w:rsidR="004007C0" w:rsidRPr="00CB38AA" w:rsidRDefault="004007C0" w:rsidP="00DF6EEA">
            <w:pPr>
              <w:spacing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138 Bis.</w:t>
            </w:r>
          </w:p>
          <w:p w:rsidR="004007C0" w:rsidRPr="00CB38AA" w:rsidRDefault="004007C0" w:rsidP="00DF6EEA">
            <w:pPr>
              <w:spacing w:line="240" w:lineRule="auto"/>
              <w:jc w:val="both"/>
              <w:rPr>
                <w:rFonts w:ascii="Times New Roman" w:eastAsia="Arial MT" w:hAnsi="Times New Roman" w:cs="Times New Roman"/>
                <w:sz w:val="24"/>
                <w:szCs w:val="24"/>
                <w:lang w:val="es-ES"/>
              </w:rPr>
            </w:pPr>
          </w:p>
          <w:p w:rsidR="004007C0" w:rsidRPr="00CB38AA" w:rsidRDefault="004007C0" w:rsidP="00DF6EEA">
            <w:pPr>
              <w:spacing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Artículo 138 Bis. Los sindicatos deberán gozar de adecuada protección contra todo acto de injerencia por parte de las personas servidoras públicas en su constitución, funcionamiento, administración y libre desarrollo de las elecciones sindicales, las condiciones de elegibilidad, la reelección y/o la destitución de las directivas de los sindicatos. Cualquier contravención a estas disposiciones será considerada falta administrativa grave y sancionada en los términos de la Ley de Responsabilidades Administrativas del Estado de México y Municipios.</w:t>
            </w:r>
          </w:p>
          <w:p w:rsidR="004007C0" w:rsidRPr="00CB38AA" w:rsidRDefault="004007C0" w:rsidP="00DF6EEA">
            <w:pPr>
              <w:spacing w:line="240" w:lineRule="auto"/>
              <w:jc w:val="both"/>
              <w:rPr>
                <w:rFonts w:ascii="Times New Roman" w:eastAsia="Arial MT" w:hAnsi="Times New Roman" w:cs="Times New Roman"/>
                <w:sz w:val="24"/>
                <w:szCs w:val="24"/>
                <w:lang w:val="es-ES"/>
              </w:rPr>
            </w:pPr>
          </w:p>
          <w:p w:rsidR="004007C0" w:rsidRPr="00CB38AA" w:rsidRDefault="004007C0" w:rsidP="00DF6EEA">
            <w:pPr>
              <w:spacing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lastRenderedPageBreak/>
              <w:t>Se entenderán como actos de injerencia sindical, entre otras, las siguientes conductas:</w:t>
            </w:r>
          </w:p>
        </w:tc>
      </w:tr>
      <w:tr w:rsidR="004007C0" w:rsidRPr="00CB38AA" w:rsidTr="004007C0">
        <w:trPr>
          <w:trHeight w:val="20"/>
        </w:trPr>
        <w:tc>
          <w:tcPr>
            <w:tcW w:w="4651" w:type="dxa"/>
          </w:tcPr>
          <w:p w:rsidR="004007C0" w:rsidRPr="00CB38AA" w:rsidRDefault="004007C0" w:rsidP="00DF6EEA">
            <w:pPr>
              <w:spacing w:line="240" w:lineRule="auto"/>
              <w:rPr>
                <w:rFonts w:ascii="Times New Roman" w:eastAsia="Arial MT" w:hAnsi="Times New Roman" w:cs="Times New Roman"/>
                <w:sz w:val="24"/>
                <w:szCs w:val="24"/>
                <w:lang w:val="es-ES"/>
              </w:rPr>
            </w:pPr>
          </w:p>
        </w:tc>
        <w:tc>
          <w:tcPr>
            <w:tcW w:w="4646" w:type="dxa"/>
          </w:tcPr>
          <w:p w:rsidR="004007C0" w:rsidRPr="00CB38AA" w:rsidRDefault="004007C0" w:rsidP="00DF6EEA">
            <w:pPr>
              <w:numPr>
                <w:ilvl w:val="0"/>
                <w:numId w:val="7"/>
              </w:numPr>
              <w:spacing w:line="240" w:lineRule="auto"/>
              <w:ind w:hanging="64"/>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Coaccionar, inducir o amenazar a personas trabajadoras o agremiadas para participar o abstenerse de participar en eventos de campaña sindical, o para votar por una planilla, dirigente o sindicato determinado.</w:t>
            </w:r>
          </w:p>
          <w:p w:rsidR="004007C0" w:rsidRPr="00CB38AA" w:rsidRDefault="004007C0" w:rsidP="00DF6EEA">
            <w:pPr>
              <w:spacing w:line="240" w:lineRule="auto"/>
              <w:ind w:hanging="64"/>
              <w:rPr>
                <w:rFonts w:ascii="Times New Roman" w:eastAsia="Arial MT" w:hAnsi="Times New Roman" w:cs="Times New Roman"/>
                <w:sz w:val="24"/>
                <w:szCs w:val="24"/>
                <w:lang w:val="es-ES"/>
              </w:rPr>
            </w:pPr>
          </w:p>
          <w:p w:rsidR="004007C0" w:rsidRPr="00CB38AA" w:rsidRDefault="004007C0" w:rsidP="00DF6EEA">
            <w:pPr>
              <w:numPr>
                <w:ilvl w:val="0"/>
                <w:numId w:val="7"/>
              </w:numPr>
              <w:spacing w:line="240" w:lineRule="auto"/>
              <w:ind w:hanging="64"/>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Ejercer presión o intimidación jerárquica sobre subordinados para que expresen públicamente su apoyo o rechazo a determinada candidatura sindical.</w:t>
            </w:r>
          </w:p>
          <w:p w:rsidR="004007C0" w:rsidRPr="00CB38AA" w:rsidRDefault="004007C0" w:rsidP="00DF6EEA">
            <w:pPr>
              <w:spacing w:line="240" w:lineRule="auto"/>
              <w:ind w:hanging="64"/>
              <w:rPr>
                <w:rFonts w:ascii="Times New Roman" w:eastAsia="Arial MT" w:hAnsi="Times New Roman" w:cs="Times New Roman"/>
                <w:sz w:val="24"/>
                <w:szCs w:val="24"/>
                <w:lang w:val="es-ES"/>
              </w:rPr>
            </w:pPr>
          </w:p>
          <w:p w:rsidR="004007C0" w:rsidRPr="00CB38AA" w:rsidRDefault="004007C0" w:rsidP="00DF6EEA">
            <w:pPr>
              <w:numPr>
                <w:ilvl w:val="0"/>
                <w:numId w:val="7"/>
              </w:numPr>
              <w:spacing w:line="240" w:lineRule="auto"/>
              <w:ind w:hanging="64"/>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Obligar o condicionar la asistencia a actos, mítines o reuniones sindicales con fines de proselitismo.</w:t>
            </w:r>
          </w:p>
          <w:p w:rsidR="004007C0" w:rsidRPr="00CB38AA" w:rsidRDefault="004007C0" w:rsidP="00DF6EEA">
            <w:pPr>
              <w:spacing w:line="240" w:lineRule="auto"/>
              <w:ind w:hanging="64"/>
              <w:rPr>
                <w:rFonts w:ascii="Times New Roman" w:eastAsia="Arial MT" w:hAnsi="Times New Roman" w:cs="Times New Roman"/>
                <w:sz w:val="24"/>
                <w:szCs w:val="24"/>
                <w:lang w:val="es-ES"/>
              </w:rPr>
            </w:pPr>
          </w:p>
          <w:p w:rsidR="004007C0" w:rsidRPr="00CB38AA" w:rsidRDefault="004007C0" w:rsidP="00DF6EEA">
            <w:pPr>
              <w:numPr>
                <w:ilvl w:val="0"/>
                <w:numId w:val="7"/>
              </w:numPr>
              <w:spacing w:line="240" w:lineRule="auto"/>
              <w:ind w:hanging="64"/>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Condicionar la prestación de servicios institucionales, apoyos, licencias o permisos laborales a la emisión del voto o apoyo hacia una planilla sindical.</w:t>
            </w:r>
          </w:p>
          <w:p w:rsidR="004007C0" w:rsidRPr="00CB38AA" w:rsidRDefault="004007C0" w:rsidP="00DF6EEA">
            <w:pPr>
              <w:spacing w:line="240" w:lineRule="auto"/>
              <w:ind w:hanging="64"/>
              <w:rPr>
                <w:rFonts w:ascii="Times New Roman" w:eastAsia="Arial MT" w:hAnsi="Times New Roman" w:cs="Times New Roman"/>
                <w:sz w:val="24"/>
                <w:szCs w:val="24"/>
                <w:lang w:val="es-ES"/>
              </w:rPr>
            </w:pPr>
          </w:p>
          <w:p w:rsidR="004007C0" w:rsidRPr="00CB38AA" w:rsidRDefault="004007C0" w:rsidP="00DF6EEA">
            <w:pPr>
              <w:numPr>
                <w:ilvl w:val="0"/>
                <w:numId w:val="7"/>
              </w:numPr>
              <w:spacing w:line="240" w:lineRule="auto"/>
              <w:ind w:hanging="64"/>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Ofrecer beneficios laborales, ascensos, estímulos o promociones a cambio de apoyo o voto sindical.</w:t>
            </w:r>
          </w:p>
          <w:p w:rsidR="004007C0" w:rsidRPr="00CB38AA" w:rsidRDefault="004007C0" w:rsidP="00DF6EEA">
            <w:pPr>
              <w:numPr>
                <w:ilvl w:val="0"/>
                <w:numId w:val="7"/>
              </w:numPr>
              <w:spacing w:line="240" w:lineRule="auto"/>
              <w:ind w:hanging="64"/>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Negar, suspender o limitar derechos o programas internos, capacitaciones, bonos o reconocimientos como represalia por no apoyar determinada opción sindical.</w:t>
            </w:r>
          </w:p>
          <w:p w:rsidR="008A073B" w:rsidRPr="00CB38AA" w:rsidRDefault="008A073B" w:rsidP="00DF6EEA">
            <w:pPr>
              <w:spacing w:line="240" w:lineRule="auto"/>
              <w:jc w:val="both"/>
              <w:rPr>
                <w:rFonts w:ascii="Times New Roman" w:eastAsia="Arial MT" w:hAnsi="Times New Roman" w:cs="Times New Roman"/>
                <w:sz w:val="24"/>
                <w:szCs w:val="24"/>
                <w:lang w:val="es-ES"/>
              </w:rPr>
            </w:pPr>
          </w:p>
          <w:p w:rsidR="004007C0" w:rsidRPr="00CB38AA" w:rsidRDefault="004007C0" w:rsidP="00DF6EEA">
            <w:pPr>
              <w:numPr>
                <w:ilvl w:val="0"/>
                <w:numId w:val="7"/>
              </w:numPr>
              <w:spacing w:line="240" w:lineRule="auto"/>
              <w:ind w:hanging="64"/>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Utilizar programas institucionales o apoyos sociales para inducir o coaccionar el voto sindical.</w:t>
            </w:r>
          </w:p>
          <w:p w:rsidR="004007C0" w:rsidRPr="00CB38AA" w:rsidRDefault="004007C0" w:rsidP="00DF6EEA">
            <w:pPr>
              <w:spacing w:line="240" w:lineRule="auto"/>
              <w:ind w:left="105" w:hanging="64"/>
              <w:rPr>
                <w:rFonts w:ascii="Times New Roman" w:eastAsia="Arial MT" w:hAnsi="Times New Roman" w:cs="Times New Roman"/>
                <w:sz w:val="24"/>
                <w:szCs w:val="24"/>
                <w:lang w:val="es-ES"/>
              </w:rPr>
            </w:pPr>
          </w:p>
          <w:p w:rsidR="004007C0" w:rsidRPr="00CB38AA" w:rsidRDefault="004007C0" w:rsidP="00DF6EEA">
            <w:pPr>
              <w:numPr>
                <w:ilvl w:val="0"/>
                <w:numId w:val="7"/>
              </w:numPr>
              <w:spacing w:line="240" w:lineRule="auto"/>
              <w:ind w:hanging="64"/>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Destinar, utilizar o permitir el uso de fondos, bienes, servicios o personal institucional para favorecer o perjudicar a determinada planilla, corriente o dirigencia sindical.</w:t>
            </w:r>
          </w:p>
          <w:p w:rsidR="004007C0" w:rsidRPr="00CB38AA" w:rsidRDefault="004007C0" w:rsidP="00DF6EEA">
            <w:pPr>
              <w:spacing w:line="240" w:lineRule="auto"/>
              <w:ind w:left="105" w:hanging="64"/>
              <w:rPr>
                <w:rFonts w:ascii="Times New Roman" w:eastAsia="Arial MT" w:hAnsi="Times New Roman" w:cs="Times New Roman"/>
                <w:sz w:val="24"/>
                <w:szCs w:val="24"/>
                <w:lang w:val="es-ES"/>
              </w:rPr>
            </w:pPr>
          </w:p>
          <w:p w:rsidR="004007C0" w:rsidRPr="00CB38AA" w:rsidRDefault="004007C0" w:rsidP="00DF6EEA">
            <w:pPr>
              <w:numPr>
                <w:ilvl w:val="0"/>
                <w:numId w:val="7"/>
              </w:numPr>
              <w:spacing w:line="240" w:lineRule="auto"/>
              <w:ind w:hanging="64"/>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Difundir propaganda, mensajes o material institucional que promueva o desacredite a una candidatura o grupo sindical.</w:t>
            </w:r>
          </w:p>
          <w:p w:rsidR="004007C0" w:rsidRPr="00CB38AA" w:rsidRDefault="004007C0" w:rsidP="00DF6EEA">
            <w:pPr>
              <w:spacing w:line="240" w:lineRule="auto"/>
              <w:ind w:left="105" w:hanging="64"/>
              <w:rPr>
                <w:rFonts w:ascii="Times New Roman" w:eastAsia="Arial MT" w:hAnsi="Times New Roman" w:cs="Times New Roman"/>
                <w:sz w:val="24"/>
                <w:szCs w:val="24"/>
                <w:lang w:val="es-ES"/>
              </w:rPr>
            </w:pPr>
          </w:p>
          <w:p w:rsidR="004007C0" w:rsidRPr="00CB38AA" w:rsidRDefault="004007C0" w:rsidP="00DF6EEA">
            <w:pPr>
              <w:numPr>
                <w:ilvl w:val="0"/>
                <w:numId w:val="7"/>
              </w:numPr>
              <w:spacing w:line="240" w:lineRule="auto"/>
              <w:ind w:hanging="64"/>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Permitir el uso de instalaciones, vehículos, redes o infraestructura pública para actos de campaña o propaganda sindical.</w:t>
            </w:r>
          </w:p>
          <w:p w:rsidR="004007C0" w:rsidRPr="00CB38AA" w:rsidRDefault="004007C0" w:rsidP="00DF6EEA">
            <w:pPr>
              <w:spacing w:line="240" w:lineRule="auto"/>
              <w:ind w:left="105" w:hanging="64"/>
              <w:rPr>
                <w:rFonts w:ascii="Times New Roman" w:eastAsia="Arial MT" w:hAnsi="Times New Roman" w:cs="Times New Roman"/>
                <w:sz w:val="24"/>
                <w:szCs w:val="24"/>
                <w:lang w:val="es-ES"/>
              </w:rPr>
            </w:pPr>
          </w:p>
          <w:p w:rsidR="004007C0" w:rsidRPr="00CB38AA" w:rsidRDefault="004007C0" w:rsidP="00DF6EEA">
            <w:pPr>
              <w:numPr>
                <w:ilvl w:val="0"/>
                <w:numId w:val="7"/>
              </w:numPr>
              <w:spacing w:line="240" w:lineRule="auto"/>
              <w:ind w:hanging="64"/>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Proporcionar apoyo o servicios </w:t>
            </w:r>
            <w:r w:rsidRPr="00CB38AA">
              <w:rPr>
                <w:rFonts w:ascii="Times New Roman" w:eastAsia="Arial MT" w:hAnsi="Times New Roman" w:cs="Times New Roman"/>
                <w:sz w:val="24"/>
                <w:szCs w:val="24"/>
                <w:lang w:val="es-ES"/>
              </w:rPr>
              <w:lastRenderedPageBreak/>
              <w:t>institucionales para actividades de campaña sindical.</w:t>
            </w:r>
          </w:p>
        </w:tc>
      </w:tr>
      <w:tr w:rsidR="004007C0" w:rsidRPr="00CB38AA" w:rsidTr="004007C0">
        <w:trPr>
          <w:trHeight w:val="20"/>
        </w:trPr>
        <w:tc>
          <w:tcPr>
            <w:tcW w:w="4651" w:type="dxa"/>
          </w:tcPr>
          <w:p w:rsidR="004007C0" w:rsidRPr="00CB38AA" w:rsidRDefault="004007C0" w:rsidP="00DF6EEA">
            <w:pPr>
              <w:spacing w:line="240" w:lineRule="auto"/>
              <w:rPr>
                <w:rFonts w:ascii="Times New Roman" w:eastAsia="Arial MT" w:hAnsi="Times New Roman" w:cs="Times New Roman"/>
                <w:sz w:val="24"/>
                <w:szCs w:val="24"/>
                <w:lang w:val="es-ES"/>
              </w:rPr>
            </w:pPr>
          </w:p>
        </w:tc>
        <w:tc>
          <w:tcPr>
            <w:tcW w:w="4646" w:type="dxa"/>
          </w:tcPr>
          <w:p w:rsidR="004007C0" w:rsidRPr="00CB38AA" w:rsidRDefault="004007C0" w:rsidP="00DF6EEA">
            <w:pPr>
              <w:numPr>
                <w:ilvl w:val="0"/>
                <w:numId w:val="6"/>
              </w:numPr>
              <w:spacing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Realizar aportaciones o solicitar contribuciones a subordinados para financiar campañas o actividades sindicales.</w:t>
            </w:r>
          </w:p>
          <w:p w:rsidR="004007C0" w:rsidRPr="00CB38AA" w:rsidRDefault="004007C0" w:rsidP="00DF6EEA">
            <w:pPr>
              <w:spacing w:line="240" w:lineRule="auto"/>
              <w:rPr>
                <w:rFonts w:ascii="Times New Roman" w:eastAsia="Arial MT" w:hAnsi="Times New Roman" w:cs="Times New Roman"/>
                <w:sz w:val="24"/>
                <w:szCs w:val="24"/>
                <w:lang w:val="es-ES"/>
              </w:rPr>
            </w:pPr>
          </w:p>
          <w:p w:rsidR="004007C0" w:rsidRPr="00CB38AA" w:rsidRDefault="004007C0" w:rsidP="00DF6EEA">
            <w:pPr>
              <w:numPr>
                <w:ilvl w:val="0"/>
                <w:numId w:val="6"/>
              </w:numPr>
              <w:spacing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Usar recursos o programas institucionales con la finalidad de posicionar o promover ante la base trabajadora a una persona servidora pública o dirigente sindical.</w:t>
            </w:r>
          </w:p>
          <w:p w:rsidR="004007C0" w:rsidRPr="00CB38AA" w:rsidRDefault="004007C0" w:rsidP="00DF6EEA">
            <w:pPr>
              <w:spacing w:line="240" w:lineRule="auto"/>
              <w:rPr>
                <w:rFonts w:ascii="Times New Roman" w:eastAsia="Arial MT" w:hAnsi="Times New Roman" w:cs="Times New Roman"/>
                <w:sz w:val="24"/>
                <w:szCs w:val="24"/>
                <w:lang w:val="es-ES"/>
              </w:rPr>
            </w:pPr>
          </w:p>
          <w:p w:rsidR="004007C0" w:rsidRPr="00CB38AA" w:rsidRDefault="004007C0" w:rsidP="00DF6EEA">
            <w:pPr>
              <w:numPr>
                <w:ilvl w:val="0"/>
                <w:numId w:val="6"/>
              </w:numPr>
              <w:spacing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Negarse sin causa justificada a entregar información solicitada por la autoridad sindical o laboral competente, relacionada con el desarrollo de elecciones o procesos democráticos sindicales.</w:t>
            </w:r>
          </w:p>
          <w:p w:rsidR="004007C0" w:rsidRPr="00CB38AA" w:rsidRDefault="004007C0" w:rsidP="00DF6EEA">
            <w:pPr>
              <w:numPr>
                <w:ilvl w:val="0"/>
                <w:numId w:val="6"/>
              </w:numPr>
              <w:spacing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Omitir colaborar o prestar auxilio en los procesos de verificación, vigilancia o supervisión sindical cuando la autoridad lo requiera.</w:t>
            </w:r>
          </w:p>
          <w:p w:rsidR="004007C0" w:rsidRPr="00CB38AA" w:rsidRDefault="004007C0" w:rsidP="00DF6EEA">
            <w:pPr>
              <w:spacing w:line="240" w:lineRule="auto"/>
              <w:rPr>
                <w:rFonts w:ascii="Times New Roman" w:eastAsia="Arial MT" w:hAnsi="Times New Roman" w:cs="Times New Roman"/>
                <w:sz w:val="24"/>
                <w:szCs w:val="24"/>
                <w:lang w:val="es-ES"/>
              </w:rPr>
            </w:pPr>
          </w:p>
          <w:p w:rsidR="004007C0" w:rsidRPr="00CB38AA" w:rsidRDefault="004007C0" w:rsidP="00DF6EEA">
            <w:pPr>
              <w:numPr>
                <w:ilvl w:val="0"/>
                <w:numId w:val="6"/>
              </w:numPr>
              <w:spacing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Omitir actuar con imparcialidad durante los procesos electorales sindicales, afectando la equidad entre candidaturas.</w:t>
            </w:r>
          </w:p>
          <w:p w:rsidR="004007C0" w:rsidRPr="00CB38AA" w:rsidRDefault="004007C0" w:rsidP="00DF6EEA">
            <w:pPr>
              <w:spacing w:line="240" w:lineRule="auto"/>
              <w:rPr>
                <w:rFonts w:ascii="Times New Roman" w:eastAsia="Arial MT" w:hAnsi="Times New Roman" w:cs="Times New Roman"/>
                <w:sz w:val="24"/>
                <w:szCs w:val="24"/>
                <w:lang w:val="es-ES"/>
              </w:rPr>
            </w:pPr>
          </w:p>
          <w:p w:rsidR="004007C0" w:rsidRPr="00CB38AA" w:rsidRDefault="004007C0" w:rsidP="00DF6EEA">
            <w:pPr>
              <w:numPr>
                <w:ilvl w:val="0"/>
                <w:numId w:val="6"/>
              </w:numPr>
              <w:spacing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Actuar con parcialidad o favorecer públicamente a determinada candidatura.</w:t>
            </w:r>
          </w:p>
          <w:p w:rsidR="004007C0" w:rsidRPr="00CB38AA" w:rsidRDefault="004007C0" w:rsidP="00DF6EEA">
            <w:pPr>
              <w:spacing w:line="240" w:lineRule="auto"/>
              <w:rPr>
                <w:rFonts w:ascii="Times New Roman" w:eastAsia="Arial MT" w:hAnsi="Times New Roman" w:cs="Times New Roman"/>
                <w:sz w:val="24"/>
                <w:szCs w:val="24"/>
                <w:lang w:val="es-ES"/>
              </w:rPr>
            </w:pPr>
          </w:p>
          <w:p w:rsidR="004007C0" w:rsidRPr="00CB38AA" w:rsidRDefault="004007C0" w:rsidP="00DF6EEA">
            <w:pPr>
              <w:numPr>
                <w:ilvl w:val="0"/>
                <w:numId w:val="6"/>
              </w:numPr>
              <w:spacing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Intervenir indebidamente en la equidad del proceso sindical, alterando la neutralidad institucional.</w:t>
            </w:r>
          </w:p>
          <w:p w:rsidR="004007C0" w:rsidRPr="00CB38AA" w:rsidRDefault="004007C0" w:rsidP="00DF6EEA">
            <w:pPr>
              <w:spacing w:line="240" w:lineRule="auto"/>
              <w:rPr>
                <w:rFonts w:ascii="Times New Roman" w:eastAsia="Arial MT" w:hAnsi="Times New Roman" w:cs="Times New Roman"/>
                <w:sz w:val="24"/>
                <w:szCs w:val="24"/>
                <w:lang w:val="es-ES"/>
              </w:rPr>
            </w:pPr>
          </w:p>
          <w:p w:rsidR="004007C0" w:rsidRPr="00CB38AA" w:rsidRDefault="004007C0" w:rsidP="00DF6EEA">
            <w:pPr>
              <w:numPr>
                <w:ilvl w:val="0"/>
                <w:numId w:val="6"/>
              </w:numPr>
              <w:spacing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Utilizar su cargo para influir en la opinión de las personas trabajadoras, afectando la libertad del voto sindical.</w:t>
            </w:r>
          </w:p>
        </w:tc>
      </w:tr>
    </w:tbl>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p>
    <w:tbl>
      <w:tblPr>
        <w:tblStyle w:val="TableNormal"/>
        <w:tblW w:w="9366" w:type="dxa"/>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85"/>
        <w:gridCol w:w="4681"/>
      </w:tblGrid>
      <w:tr w:rsidR="004007C0" w:rsidRPr="00CB38AA" w:rsidTr="004007C0">
        <w:trPr>
          <w:trHeight w:val="557"/>
        </w:trPr>
        <w:tc>
          <w:tcPr>
            <w:tcW w:w="9366" w:type="dxa"/>
            <w:gridSpan w:val="2"/>
          </w:tcPr>
          <w:p w:rsidR="004007C0" w:rsidRPr="00CB38AA" w:rsidRDefault="004007C0" w:rsidP="00DF6EEA">
            <w:pPr>
              <w:spacing w:line="240" w:lineRule="auto"/>
              <w:ind w:firstLine="11"/>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LEY DE RESPONSABILIDADES ADMINISTRATIVAS DEL ESTADO DE MÉXICO Y MUNICIPIOS</w:t>
            </w:r>
          </w:p>
        </w:tc>
      </w:tr>
      <w:tr w:rsidR="004007C0" w:rsidRPr="00CB38AA" w:rsidTr="004007C0">
        <w:trPr>
          <w:trHeight w:val="276"/>
        </w:trPr>
        <w:tc>
          <w:tcPr>
            <w:tcW w:w="4685" w:type="dxa"/>
          </w:tcPr>
          <w:p w:rsidR="004007C0" w:rsidRPr="00CB38AA" w:rsidRDefault="004007C0" w:rsidP="00DF6EEA">
            <w:pPr>
              <w:spacing w:line="240" w:lineRule="auto"/>
              <w:ind w:firstLine="11"/>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TEXTO VIGENTE</w:t>
            </w:r>
          </w:p>
        </w:tc>
        <w:tc>
          <w:tcPr>
            <w:tcW w:w="4680" w:type="dxa"/>
          </w:tcPr>
          <w:p w:rsidR="004007C0" w:rsidRPr="00CB38AA" w:rsidRDefault="004007C0" w:rsidP="00DF6EEA">
            <w:pPr>
              <w:spacing w:line="240" w:lineRule="auto"/>
              <w:ind w:firstLine="11"/>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TEXTO PROPUESTO</w:t>
            </w:r>
          </w:p>
        </w:tc>
      </w:tr>
      <w:tr w:rsidR="004007C0" w:rsidRPr="00CB38AA" w:rsidTr="004007C0">
        <w:trPr>
          <w:trHeight w:val="1865"/>
        </w:trPr>
        <w:tc>
          <w:tcPr>
            <w:tcW w:w="4685" w:type="dxa"/>
          </w:tcPr>
          <w:p w:rsidR="004007C0" w:rsidRPr="00CB38AA" w:rsidRDefault="004007C0" w:rsidP="00DF6EEA">
            <w:pPr>
              <w:spacing w:line="240" w:lineRule="auto"/>
              <w:ind w:firstLine="11"/>
              <w:jc w:val="both"/>
              <w:rPr>
                <w:rFonts w:ascii="Times New Roman" w:eastAsia="Arial MT" w:hAnsi="Times New Roman" w:cs="Times New Roman"/>
                <w:sz w:val="24"/>
                <w:szCs w:val="24"/>
                <w:lang w:val="es-ES"/>
              </w:rPr>
            </w:pPr>
            <w:r w:rsidRPr="00CB38AA">
              <w:rPr>
                <w:rFonts w:ascii="Times New Roman" w:eastAsia="Arial MT" w:hAnsi="Times New Roman" w:cs="Times New Roman"/>
                <w:b/>
                <w:sz w:val="24"/>
                <w:szCs w:val="24"/>
                <w:lang w:val="es-ES"/>
              </w:rPr>
              <w:t xml:space="preserve">Artículo 52. </w:t>
            </w:r>
            <w:r w:rsidRPr="00CB38AA">
              <w:rPr>
                <w:rFonts w:ascii="Times New Roman" w:eastAsia="Arial MT" w:hAnsi="Times New Roman" w:cs="Times New Roman"/>
                <w:sz w:val="24"/>
                <w:szCs w:val="24"/>
                <w:lang w:val="es-ES"/>
              </w:rPr>
              <w:t>Para efectos de la presente Ley, se consideran faltas administrativas graves de los servidores públicos, mediante cualquier acto u omisión, las siguientes:</w:t>
            </w:r>
          </w:p>
          <w:p w:rsidR="004007C0" w:rsidRPr="00CB38AA" w:rsidRDefault="004007C0" w:rsidP="00DF6EEA">
            <w:pPr>
              <w:spacing w:line="240" w:lineRule="auto"/>
              <w:ind w:firstLine="11"/>
              <w:rPr>
                <w:rFonts w:ascii="Times New Roman" w:eastAsia="Arial MT" w:hAnsi="Times New Roman" w:cs="Times New Roman"/>
                <w:sz w:val="24"/>
                <w:szCs w:val="24"/>
                <w:lang w:val="es-ES"/>
              </w:rPr>
            </w:pPr>
          </w:p>
          <w:p w:rsidR="004007C0" w:rsidRPr="00CB38AA" w:rsidRDefault="004007C0" w:rsidP="00DF6EEA">
            <w:pPr>
              <w:spacing w:line="240" w:lineRule="auto"/>
              <w:ind w:firstLine="11"/>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 – XIII…</w:t>
            </w:r>
          </w:p>
          <w:p w:rsidR="004007C0" w:rsidRPr="00CB38AA" w:rsidRDefault="004007C0" w:rsidP="00DF6EEA">
            <w:pPr>
              <w:spacing w:line="240" w:lineRule="auto"/>
              <w:ind w:firstLine="11"/>
              <w:rPr>
                <w:rFonts w:ascii="Times New Roman" w:eastAsia="Arial MT" w:hAnsi="Times New Roman" w:cs="Times New Roman"/>
                <w:sz w:val="24"/>
                <w:szCs w:val="24"/>
                <w:lang w:val="es-ES"/>
              </w:rPr>
            </w:pPr>
          </w:p>
          <w:p w:rsidR="004007C0" w:rsidRPr="00CB38AA" w:rsidRDefault="004007C0" w:rsidP="00DF6EEA">
            <w:pPr>
              <w:spacing w:line="240" w:lineRule="auto"/>
              <w:ind w:firstLine="11"/>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Sin correlativo</w:t>
            </w:r>
          </w:p>
        </w:tc>
        <w:tc>
          <w:tcPr>
            <w:tcW w:w="4680" w:type="dxa"/>
          </w:tcPr>
          <w:p w:rsidR="004007C0" w:rsidRPr="00CB38AA" w:rsidRDefault="004007C0" w:rsidP="00DF6EEA">
            <w:pPr>
              <w:spacing w:line="240" w:lineRule="auto"/>
              <w:ind w:firstLine="11"/>
              <w:jc w:val="both"/>
              <w:rPr>
                <w:rFonts w:ascii="Times New Roman" w:eastAsia="Arial MT" w:hAnsi="Times New Roman" w:cs="Times New Roman"/>
                <w:sz w:val="24"/>
                <w:szCs w:val="24"/>
                <w:lang w:val="es-ES"/>
              </w:rPr>
            </w:pPr>
            <w:r w:rsidRPr="00CB38AA">
              <w:rPr>
                <w:rFonts w:ascii="Times New Roman" w:eastAsia="Arial MT" w:hAnsi="Times New Roman" w:cs="Times New Roman"/>
                <w:b/>
                <w:sz w:val="24"/>
                <w:szCs w:val="24"/>
                <w:lang w:val="es-ES"/>
              </w:rPr>
              <w:t xml:space="preserve">Artículo 52. </w:t>
            </w:r>
            <w:r w:rsidRPr="00CB38AA">
              <w:rPr>
                <w:rFonts w:ascii="Times New Roman" w:eastAsia="Arial MT" w:hAnsi="Times New Roman" w:cs="Times New Roman"/>
                <w:sz w:val="24"/>
                <w:szCs w:val="24"/>
                <w:lang w:val="es-ES"/>
              </w:rPr>
              <w:t>Para efectos de la presente Ley, se consideran faltas administrativas graves de los servidores públicos, mediante cualquier acto u omisión, las siguientes:</w:t>
            </w:r>
          </w:p>
          <w:p w:rsidR="004007C0" w:rsidRPr="00CB38AA" w:rsidRDefault="004007C0" w:rsidP="00DF6EEA">
            <w:pPr>
              <w:spacing w:line="240" w:lineRule="auto"/>
              <w:ind w:firstLine="11"/>
              <w:rPr>
                <w:rFonts w:ascii="Times New Roman" w:eastAsia="Arial MT" w:hAnsi="Times New Roman" w:cs="Times New Roman"/>
                <w:sz w:val="24"/>
                <w:szCs w:val="24"/>
                <w:lang w:val="es-ES"/>
              </w:rPr>
            </w:pPr>
          </w:p>
          <w:p w:rsidR="004007C0" w:rsidRPr="00CB38AA" w:rsidRDefault="004007C0" w:rsidP="00DF6EEA">
            <w:pPr>
              <w:spacing w:line="240" w:lineRule="auto"/>
              <w:ind w:firstLine="11"/>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 – XIII…</w:t>
            </w:r>
          </w:p>
        </w:tc>
      </w:tr>
      <w:tr w:rsidR="004007C0" w:rsidRPr="00CB38AA" w:rsidTr="004007C0">
        <w:trPr>
          <w:trHeight w:val="504"/>
        </w:trPr>
        <w:tc>
          <w:tcPr>
            <w:tcW w:w="4685" w:type="dxa"/>
          </w:tcPr>
          <w:p w:rsidR="004007C0" w:rsidRPr="00CB38AA" w:rsidRDefault="004007C0" w:rsidP="00DF6EEA">
            <w:pPr>
              <w:spacing w:line="240" w:lineRule="auto"/>
              <w:rPr>
                <w:rFonts w:ascii="Times New Roman" w:eastAsia="Arial MT" w:hAnsi="Times New Roman" w:cs="Times New Roman"/>
                <w:sz w:val="24"/>
                <w:szCs w:val="24"/>
                <w:lang w:val="es-ES"/>
              </w:rPr>
            </w:pPr>
          </w:p>
        </w:tc>
        <w:tc>
          <w:tcPr>
            <w:tcW w:w="4680" w:type="dxa"/>
          </w:tcPr>
          <w:p w:rsidR="004007C0" w:rsidRPr="00CB38AA" w:rsidRDefault="004007C0" w:rsidP="00DF6EEA">
            <w:pPr>
              <w:spacing w:line="240" w:lineRule="auto"/>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XIV. La Injerencia Sindical.</w:t>
            </w:r>
          </w:p>
        </w:tc>
      </w:tr>
      <w:tr w:rsidR="004007C0" w:rsidRPr="00CB38AA" w:rsidTr="004007C0">
        <w:trPr>
          <w:trHeight w:val="533"/>
        </w:trPr>
        <w:tc>
          <w:tcPr>
            <w:tcW w:w="4685" w:type="dxa"/>
          </w:tcPr>
          <w:p w:rsidR="004007C0" w:rsidRPr="00CB38AA" w:rsidRDefault="004007C0" w:rsidP="00DF6EEA">
            <w:pPr>
              <w:spacing w:line="240" w:lineRule="auto"/>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Sin correlativo</w:t>
            </w:r>
          </w:p>
        </w:tc>
        <w:tc>
          <w:tcPr>
            <w:tcW w:w="4680" w:type="dxa"/>
          </w:tcPr>
          <w:p w:rsidR="004007C0" w:rsidRPr="00CB38AA" w:rsidRDefault="004007C0" w:rsidP="00DF6EEA">
            <w:pPr>
              <w:spacing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SECCIÓN DÉCIMA CUARTA</w:t>
            </w:r>
          </w:p>
          <w:p w:rsidR="004007C0" w:rsidRPr="00CB38AA" w:rsidRDefault="004007C0" w:rsidP="00DF6EEA">
            <w:pPr>
              <w:spacing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DE LA INJERENCIA SINDICAL</w:t>
            </w:r>
          </w:p>
        </w:tc>
      </w:tr>
      <w:tr w:rsidR="004007C0" w:rsidRPr="00CB38AA" w:rsidTr="004007C0">
        <w:trPr>
          <w:trHeight w:val="1573"/>
        </w:trPr>
        <w:tc>
          <w:tcPr>
            <w:tcW w:w="4685" w:type="dxa"/>
          </w:tcPr>
          <w:p w:rsidR="004007C0" w:rsidRPr="00CB38AA" w:rsidRDefault="004007C0" w:rsidP="00DF6EEA">
            <w:pPr>
              <w:spacing w:line="240" w:lineRule="auto"/>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Sin correlativo</w:t>
            </w:r>
          </w:p>
        </w:tc>
        <w:tc>
          <w:tcPr>
            <w:tcW w:w="4680" w:type="dxa"/>
          </w:tcPr>
          <w:p w:rsidR="004007C0" w:rsidRPr="00CB38AA" w:rsidRDefault="004007C0" w:rsidP="00DF6EEA">
            <w:pPr>
              <w:spacing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b/>
                <w:sz w:val="24"/>
                <w:szCs w:val="24"/>
                <w:lang w:val="es-ES"/>
              </w:rPr>
              <w:t xml:space="preserve">Artículo 67 Bis. </w:t>
            </w:r>
            <w:r w:rsidRPr="00CB38AA">
              <w:rPr>
                <w:rFonts w:ascii="Times New Roman" w:eastAsia="Arial MT" w:hAnsi="Times New Roman" w:cs="Times New Roman"/>
                <w:sz w:val="24"/>
                <w:szCs w:val="24"/>
                <w:lang w:val="es-ES"/>
              </w:rPr>
              <w:t>Será responsable de injerencia sindical la persona servidora pública que, por sí o por terceros, incurra en las conductas previstas en la Ley del Trabajo de los Servidores Públicos del Estado y Municipios.</w:t>
            </w:r>
          </w:p>
        </w:tc>
      </w:tr>
    </w:tbl>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La aprobación de esta iniciativa permitirá:</w:t>
      </w:r>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p>
    <w:p w:rsidR="004007C0" w:rsidRPr="00CB38AA" w:rsidRDefault="004007C0" w:rsidP="00DF6EEA">
      <w:pPr>
        <w:widowControl w:val="0"/>
        <w:numPr>
          <w:ilvl w:val="1"/>
          <w:numId w:val="8"/>
        </w:numPr>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Fortalecer la </w:t>
      </w:r>
      <w:r w:rsidRPr="00CB38AA">
        <w:rPr>
          <w:rFonts w:ascii="Times New Roman" w:eastAsia="Arial MT" w:hAnsi="Times New Roman" w:cs="Times New Roman"/>
          <w:b/>
          <w:sz w:val="24"/>
          <w:szCs w:val="24"/>
          <w:lang w:val="es-ES"/>
        </w:rPr>
        <w:t>democracia sindical real</w:t>
      </w:r>
      <w:r w:rsidRPr="00CB38AA">
        <w:rPr>
          <w:rFonts w:ascii="Times New Roman" w:eastAsia="Arial MT" w:hAnsi="Times New Roman" w:cs="Times New Roman"/>
          <w:sz w:val="24"/>
          <w:szCs w:val="24"/>
          <w:lang w:val="es-ES"/>
        </w:rPr>
        <w:t>, no solo formal.</w:t>
      </w:r>
    </w:p>
    <w:p w:rsidR="004007C0" w:rsidRPr="00CB38AA" w:rsidRDefault="004007C0" w:rsidP="00DF6EEA">
      <w:pPr>
        <w:widowControl w:val="0"/>
        <w:numPr>
          <w:ilvl w:val="1"/>
          <w:numId w:val="8"/>
        </w:numPr>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Garantizar el ejercicio efectivo de los derechos colectivos de las personas servidoras públicas.</w:t>
      </w:r>
    </w:p>
    <w:p w:rsidR="004007C0" w:rsidRPr="00CB38AA" w:rsidRDefault="004007C0" w:rsidP="00DF6EEA">
      <w:pPr>
        <w:widowControl w:val="0"/>
        <w:numPr>
          <w:ilvl w:val="1"/>
          <w:numId w:val="8"/>
        </w:numPr>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Prevenir el uso político o administrativo de las organizaciones sindicales.</w:t>
      </w:r>
    </w:p>
    <w:p w:rsidR="004007C0" w:rsidRPr="00CB38AA" w:rsidRDefault="004007C0" w:rsidP="00DF6EEA">
      <w:pPr>
        <w:widowControl w:val="0"/>
        <w:numPr>
          <w:ilvl w:val="1"/>
          <w:numId w:val="8"/>
        </w:numPr>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Dar cumplimiento a los compromisos constitucionales e internacionales del Estado mexicano.</w:t>
      </w:r>
    </w:p>
    <w:p w:rsidR="004007C0" w:rsidRPr="00CB38AA" w:rsidRDefault="004007C0" w:rsidP="00DF6EEA">
      <w:pPr>
        <w:widowControl w:val="0"/>
        <w:numPr>
          <w:ilvl w:val="1"/>
          <w:numId w:val="8"/>
        </w:numPr>
        <w:autoSpaceDE w:val="0"/>
        <w:autoSpaceDN w:val="0"/>
        <w:spacing w:after="0" w:line="240" w:lineRule="auto"/>
        <w:ind w:firstLine="142"/>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Contribuir a la paz laboral, la gobernabilidad democrática y el respeto al Estado de derecho.</w:t>
      </w:r>
    </w:p>
    <w:p w:rsidR="004007C0" w:rsidRPr="00CB38AA" w:rsidRDefault="004007C0" w:rsidP="00DF6EEA">
      <w:pPr>
        <w:widowControl w:val="0"/>
        <w:autoSpaceDE w:val="0"/>
        <w:autoSpaceDN w:val="0"/>
        <w:spacing w:after="0" w:line="240" w:lineRule="auto"/>
        <w:jc w:val="both"/>
        <w:rPr>
          <w:rFonts w:ascii="Times New Roman" w:eastAsia="Arial MT" w:hAnsi="Times New Roman" w:cs="Times New Roman"/>
          <w:sz w:val="24"/>
          <w:szCs w:val="24"/>
          <w:lang w:val="es-ES"/>
        </w:rPr>
      </w:pPr>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Por lo anteriormente expuesto, se somete a la consideración de esta Soberanía el siguiente:</w:t>
      </w:r>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p>
    <w:p w:rsidR="004007C0" w:rsidRPr="00CB38AA" w:rsidRDefault="004007C0" w:rsidP="00DF6EEA">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CB38AA">
        <w:rPr>
          <w:rFonts w:ascii="Times New Roman" w:eastAsia="Arial" w:hAnsi="Times New Roman" w:cs="Times New Roman"/>
          <w:b/>
          <w:bCs/>
          <w:sz w:val="24"/>
          <w:szCs w:val="24"/>
          <w:lang w:val="es-ES"/>
        </w:rPr>
        <w:t>PROYECTO DE DECRETO</w:t>
      </w:r>
    </w:p>
    <w:p w:rsidR="004007C0" w:rsidRPr="00CB38AA" w:rsidRDefault="004007C0" w:rsidP="00DF6EEA">
      <w:pPr>
        <w:widowControl w:val="0"/>
        <w:autoSpaceDE w:val="0"/>
        <w:autoSpaceDN w:val="0"/>
        <w:spacing w:after="0" w:line="240" w:lineRule="auto"/>
        <w:rPr>
          <w:rFonts w:ascii="Times New Roman" w:eastAsia="Arial MT" w:hAnsi="Times New Roman" w:cs="Times New Roman"/>
          <w:b/>
          <w:sz w:val="24"/>
          <w:szCs w:val="24"/>
          <w:lang w:val="es-ES"/>
        </w:rPr>
      </w:pPr>
    </w:p>
    <w:p w:rsidR="004007C0" w:rsidRPr="00CB38AA" w:rsidRDefault="004007C0" w:rsidP="00DF6EEA">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b/>
          <w:sz w:val="24"/>
          <w:szCs w:val="24"/>
          <w:lang w:val="es-ES"/>
        </w:rPr>
        <w:t xml:space="preserve">ARTÍCULO PRIMERO. </w:t>
      </w:r>
      <w:r w:rsidRPr="00CB38AA">
        <w:rPr>
          <w:rFonts w:ascii="Times New Roman" w:eastAsia="Arial MT" w:hAnsi="Times New Roman" w:cs="Times New Roman"/>
          <w:sz w:val="24"/>
          <w:szCs w:val="24"/>
          <w:lang w:val="es-ES"/>
        </w:rPr>
        <w:t>Se adiciona un artículo 138 Bis a la Ley del Trabajo de los Servidores Públicos del Estado y Municipios, para quedar como sigue:</w:t>
      </w:r>
    </w:p>
    <w:p w:rsidR="004007C0" w:rsidRPr="00CB38AA" w:rsidRDefault="004007C0" w:rsidP="00DF6EEA">
      <w:pPr>
        <w:widowControl w:val="0"/>
        <w:autoSpaceDE w:val="0"/>
        <w:autoSpaceDN w:val="0"/>
        <w:spacing w:after="0" w:line="240" w:lineRule="auto"/>
        <w:jc w:val="both"/>
        <w:rPr>
          <w:rFonts w:ascii="Times New Roman" w:eastAsia="Arial MT" w:hAnsi="Times New Roman" w:cs="Times New Roman"/>
          <w:sz w:val="24"/>
          <w:szCs w:val="24"/>
          <w:lang w:val="es-ES"/>
        </w:rPr>
      </w:pPr>
    </w:p>
    <w:p w:rsidR="004007C0" w:rsidRPr="00CB38AA" w:rsidRDefault="004007C0" w:rsidP="00DF6EEA">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b/>
          <w:sz w:val="24"/>
          <w:szCs w:val="24"/>
          <w:lang w:val="es-ES"/>
        </w:rPr>
        <w:t xml:space="preserve">Artículo 138 Bis. </w:t>
      </w:r>
      <w:r w:rsidRPr="00CB38AA">
        <w:rPr>
          <w:rFonts w:ascii="Times New Roman" w:eastAsia="Arial MT" w:hAnsi="Times New Roman" w:cs="Times New Roman"/>
          <w:sz w:val="24"/>
          <w:szCs w:val="24"/>
          <w:lang w:val="es-ES"/>
        </w:rPr>
        <w:t>Los sindicatos deberán gozar de adecuada protección contra todo acto de injerencia por parte de las personas servidoras públicas en su constitución, funcionamiento, administración y libre desarrollo de las elecciones sindicales, las condiciones de elegibilidad, la reelección y/o la destitución de las directivas de los sindicatos. Cualquier contravención a estas disposiciones será considerada falta administrativa grave y sancionada en los términos de la Ley de Responsabilidades Administrativas del Estado de México y Municipios.</w:t>
      </w:r>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p>
    <w:p w:rsidR="004007C0" w:rsidRPr="00CB38AA" w:rsidRDefault="004007C0" w:rsidP="00DF6EEA">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Se entenderán como actos de injerencia sindical, entre otras, las siguientes conductas:</w:t>
      </w:r>
    </w:p>
    <w:p w:rsidR="004007C0" w:rsidRPr="00CB38AA" w:rsidRDefault="004007C0" w:rsidP="00DF6EEA">
      <w:pPr>
        <w:widowControl w:val="0"/>
        <w:autoSpaceDE w:val="0"/>
        <w:autoSpaceDN w:val="0"/>
        <w:spacing w:after="0" w:line="240" w:lineRule="auto"/>
        <w:jc w:val="both"/>
        <w:rPr>
          <w:rFonts w:ascii="Times New Roman" w:eastAsia="Arial MT" w:hAnsi="Times New Roman" w:cs="Times New Roman"/>
          <w:sz w:val="24"/>
          <w:szCs w:val="24"/>
          <w:lang w:val="es-ES"/>
        </w:rPr>
      </w:pPr>
    </w:p>
    <w:p w:rsidR="004007C0" w:rsidRPr="00CB38AA" w:rsidRDefault="004007C0" w:rsidP="00DF6EEA">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 Coaccionar, inducir o amenazar a personas trabajadoras o agremiadas para participar o abstenerse de participar en eventos de campaña sindical, o para votar por una planilla, dirigente o sindicato determinado.</w:t>
      </w:r>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p>
    <w:p w:rsidR="004007C0" w:rsidRPr="00CB38AA" w:rsidRDefault="004007C0" w:rsidP="00DF6EEA">
      <w:pPr>
        <w:widowControl w:val="0"/>
        <w:numPr>
          <w:ilvl w:val="0"/>
          <w:numId w:val="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Ejercer presión o intimidación jerárquica sobre subordinados para que expresen públicamente su apoyo o rechazo a determinada candidatura sindical.</w:t>
      </w:r>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p>
    <w:p w:rsidR="004007C0" w:rsidRPr="00CB38AA" w:rsidRDefault="004007C0" w:rsidP="00DF6EEA">
      <w:pPr>
        <w:widowControl w:val="0"/>
        <w:numPr>
          <w:ilvl w:val="0"/>
          <w:numId w:val="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Obligar o condicionar la asistencia a actos, mítines o reuniones sindicales con fines de proselitismo.</w:t>
      </w:r>
    </w:p>
    <w:p w:rsidR="004007C0" w:rsidRPr="00CB38AA" w:rsidRDefault="004007C0" w:rsidP="00DF6EEA">
      <w:pPr>
        <w:widowControl w:val="0"/>
        <w:numPr>
          <w:ilvl w:val="0"/>
          <w:numId w:val="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Condicionar la prestación de servicios institucionales, apoyos, licencias o permisos laborales a la emisión del voto o apoyo hacia una planilla sindical.</w:t>
      </w:r>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p>
    <w:p w:rsidR="004007C0" w:rsidRPr="00CB38AA" w:rsidRDefault="004007C0" w:rsidP="00DF6EEA">
      <w:pPr>
        <w:widowControl w:val="0"/>
        <w:numPr>
          <w:ilvl w:val="0"/>
          <w:numId w:val="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Ofrecer beneficios laborales, ascensos, estímulos o promociones a cambio de apoyo o voto sindical.</w:t>
      </w:r>
    </w:p>
    <w:p w:rsidR="004007C0" w:rsidRPr="00CB38AA" w:rsidRDefault="004007C0" w:rsidP="00DF6EEA">
      <w:pPr>
        <w:widowControl w:val="0"/>
        <w:numPr>
          <w:ilvl w:val="0"/>
          <w:numId w:val="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Negar, suspender o limitar derechos o programas internos, capacitaciones, bonos o reconocimientos como represalia por no apoyar determinada opción sindical.</w:t>
      </w:r>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p>
    <w:p w:rsidR="004007C0" w:rsidRPr="00CB38AA" w:rsidRDefault="004007C0" w:rsidP="00DF6EEA">
      <w:pPr>
        <w:widowControl w:val="0"/>
        <w:numPr>
          <w:ilvl w:val="0"/>
          <w:numId w:val="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Utilizar programas institucionales o apoyos sociales para inducir o coaccionar el voto sindical.</w:t>
      </w:r>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p>
    <w:p w:rsidR="004007C0" w:rsidRPr="00CB38AA" w:rsidRDefault="004007C0" w:rsidP="00DF6EEA">
      <w:pPr>
        <w:widowControl w:val="0"/>
        <w:numPr>
          <w:ilvl w:val="0"/>
          <w:numId w:val="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Destinar, utilizar o permitir el uso de fondos, bienes, servicios o personal institucional para favorecer o perjudicar a determinada planilla, corriente o dirigencia sindical.</w:t>
      </w:r>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p>
    <w:p w:rsidR="004007C0" w:rsidRPr="00CB38AA" w:rsidRDefault="004007C0" w:rsidP="00DF6EEA">
      <w:pPr>
        <w:widowControl w:val="0"/>
        <w:numPr>
          <w:ilvl w:val="0"/>
          <w:numId w:val="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Difundir propaganda, mensajes o material institucional que promueva o desacredite a una candidatura o grupo sindical.</w:t>
      </w:r>
    </w:p>
    <w:p w:rsidR="004007C0" w:rsidRPr="00CB38AA" w:rsidRDefault="004007C0" w:rsidP="00DF6EEA">
      <w:pPr>
        <w:widowControl w:val="0"/>
        <w:numPr>
          <w:ilvl w:val="0"/>
          <w:numId w:val="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Permitir el uso de instalaciones, vehículos, redes o infraestructura pública para actos de campaña o propaganda sindical.</w:t>
      </w:r>
    </w:p>
    <w:p w:rsidR="004007C0" w:rsidRPr="00CB38AA" w:rsidRDefault="004007C0" w:rsidP="00DF6EEA">
      <w:pPr>
        <w:widowControl w:val="0"/>
        <w:autoSpaceDE w:val="0"/>
        <w:autoSpaceDN w:val="0"/>
        <w:spacing w:after="0" w:line="240" w:lineRule="auto"/>
        <w:jc w:val="both"/>
        <w:rPr>
          <w:rFonts w:ascii="Times New Roman" w:eastAsia="Arial MT" w:hAnsi="Times New Roman" w:cs="Times New Roman"/>
          <w:sz w:val="24"/>
          <w:szCs w:val="24"/>
          <w:lang w:val="es-ES"/>
        </w:rPr>
      </w:pPr>
    </w:p>
    <w:p w:rsidR="004007C0" w:rsidRPr="00CB38AA" w:rsidRDefault="004007C0" w:rsidP="00DF6EEA">
      <w:pPr>
        <w:widowControl w:val="0"/>
        <w:numPr>
          <w:ilvl w:val="0"/>
          <w:numId w:val="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Proporcionar apoyo o servicios institucionales para actividades de campaña sindical.</w:t>
      </w:r>
    </w:p>
    <w:p w:rsidR="004007C0" w:rsidRPr="00CB38AA" w:rsidRDefault="004007C0" w:rsidP="00DF6EEA">
      <w:pPr>
        <w:widowControl w:val="0"/>
        <w:autoSpaceDE w:val="0"/>
        <w:autoSpaceDN w:val="0"/>
        <w:spacing w:after="0" w:line="240" w:lineRule="auto"/>
        <w:jc w:val="both"/>
        <w:rPr>
          <w:rFonts w:ascii="Times New Roman" w:eastAsia="Arial MT" w:hAnsi="Times New Roman" w:cs="Times New Roman"/>
          <w:sz w:val="24"/>
          <w:szCs w:val="24"/>
          <w:lang w:val="es-ES"/>
        </w:rPr>
      </w:pPr>
    </w:p>
    <w:p w:rsidR="004007C0" w:rsidRPr="00CB38AA" w:rsidRDefault="004007C0" w:rsidP="00DF6EEA">
      <w:pPr>
        <w:widowControl w:val="0"/>
        <w:numPr>
          <w:ilvl w:val="0"/>
          <w:numId w:val="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Realizar aportaciones o solicitar contribuciones a subordinados para financiar campañas o actividades sindicales.</w:t>
      </w:r>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p>
    <w:p w:rsidR="004007C0" w:rsidRPr="00CB38AA" w:rsidRDefault="004007C0" w:rsidP="00DF6EEA">
      <w:pPr>
        <w:widowControl w:val="0"/>
        <w:numPr>
          <w:ilvl w:val="0"/>
          <w:numId w:val="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Usar recursos o programas institucionales con la finalidad de posicionar o promover ante la base trabajadora a una persona servidora pública o dirigente sindical.</w:t>
      </w:r>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p>
    <w:p w:rsidR="004007C0" w:rsidRPr="00CB38AA" w:rsidRDefault="004007C0" w:rsidP="00DF6EEA">
      <w:pPr>
        <w:widowControl w:val="0"/>
        <w:numPr>
          <w:ilvl w:val="0"/>
          <w:numId w:val="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Negarse sin causa justificada a entregar información solicitada por la autoridad sindical o laboral competente, relacionada con el desarrollo de elecciones o procesos democráticos sindicales.</w:t>
      </w:r>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p>
    <w:p w:rsidR="004007C0" w:rsidRPr="00CB38AA" w:rsidRDefault="004007C0" w:rsidP="00DF6EEA">
      <w:pPr>
        <w:widowControl w:val="0"/>
        <w:numPr>
          <w:ilvl w:val="0"/>
          <w:numId w:val="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Omitir colaborar o prestar auxilio en los procesos de verificación, vigilancia o supervisión sindical cuando la autoridad lo requiera.</w:t>
      </w:r>
    </w:p>
    <w:p w:rsidR="004007C0" w:rsidRPr="00CB38AA" w:rsidRDefault="004007C0" w:rsidP="00DF6EEA">
      <w:pPr>
        <w:widowControl w:val="0"/>
        <w:autoSpaceDE w:val="0"/>
        <w:autoSpaceDN w:val="0"/>
        <w:spacing w:after="0" w:line="240" w:lineRule="auto"/>
        <w:jc w:val="both"/>
        <w:rPr>
          <w:rFonts w:ascii="Times New Roman" w:eastAsia="Arial MT" w:hAnsi="Times New Roman" w:cs="Times New Roman"/>
          <w:sz w:val="24"/>
          <w:szCs w:val="24"/>
          <w:lang w:val="es-ES"/>
        </w:rPr>
      </w:pPr>
    </w:p>
    <w:p w:rsidR="004007C0" w:rsidRPr="00CB38AA" w:rsidRDefault="004007C0" w:rsidP="00DF6EEA">
      <w:pPr>
        <w:widowControl w:val="0"/>
        <w:numPr>
          <w:ilvl w:val="0"/>
          <w:numId w:val="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Omitir actuar con imparcialidad durante los procesos electorales sindicales, afectando la equidad entre candidaturas.</w:t>
      </w:r>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p>
    <w:p w:rsidR="004007C0" w:rsidRPr="00CB38AA" w:rsidRDefault="004007C0" w:rsidP="00DF6EEA">
      <w:pPr>
        <w:widowControl w:val="0"/>
        <w:numPr>
          <w:ilvl w:val="0"/>
          <w:numId w:val="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Actuar con parcialidad o favorecer públicamente a determinada candidatura.</w:t>
      </w:r>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p>
    <w:p w:rsidR="004007C0" w:rsidRPr="00CB38AA" w:rsidRDefault="004007C0" w:rsidP="00DF6EEA">
      <w:pPr>
        <w:widowControl w:val="0"/>
        <w:numPr>
          <w:ilvl w:val="0"/>
          <w:numId w:val="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Intervenir indebidamente en la equidad del proceso sindical, alterando la neutralidad institucional.</w:t>
      </w:r>
    </w:p>
    <w:p w:rsidR="004007C0" w:rsidRPr="00CB38AA" w:rsidRDefault="004007C0" w:rsidP="00DF6EEA">
      <w:pPr>
        <w:widowControl w:val="0"/>
        <w:numPr>
          <w:ilvl w:val="0"/>
          <w:numId w:val="5"/>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Utilizar su cargo para influir en la opinión de las personas trabajadoras, afectando la libertad del voto sindical.</w:t>
      </w:r>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p>
    <w:p w:rsidR="004007C0" w:rsidRPr="00CB38AA" w:rsidRDefault="004007C0" w:rsidP="00DF6EEA">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b/>
          <w:sz w:val="24"/>
          <w:szCs w:val="24"/>
          <w:lang w:val="es-ES"/>
        </w:rPr>
        <w:t xml:space="preserve">ARTÍCULO SEGUNDO. </w:t>
      </w:r>
      <w:r w:rsidRPr="00CB38AA">
        <w:rPr>
          <w:rFonts w:ascii="Times New Roman" w:eastAsia="Arial MT" w:hAnsi="Times New Roman" w:cs="Times New Roman"/>
          <w:sz w:val="24"/>
          <w:szCs w:val="24"/>
          <w:lang w:val="es-ES"/>
        </w:rPr>
        <w:t>Se adiciona una fracción XIV al artículo 52; una SECCIÓN DÉCIMA CUARTA denominada DE LA INJERENCIA SINDICAL al CAPÍTULO SEGUNDO DE LAS FALTAS ADMINISTRATIVAS GRAVES DE LOS SERVIDORES</w:t>
      </w:r>
    </w:p>
    <w:p w:rsidR="004007C0" w:rsidRPr="00CB38AA" w:rsidRDefault="004007C0" w:rsidP="00DF6EEA">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PÚBLICOS; y un artículo 67 Bis, todos a la Ley de Responsabilidades Administrativas del Estado de México y Municipios, para quedar como sigue:</w:t>
      </w:r>
    </w:p>
    <w:p w:rsidR="004007C0" w:rsidRPr="00CB38AA" w:rsidRDefault="004007C0" w:rsidP="00DF6EEA">
      <w:pPr>
        <w:widowControl w:val="0"/>
        <w:autoSpaceDE w:val="0"/>
        <w:autoSpaceDN w:val="0"/>
        <w:spacing w:after="0" w:line="240" w:lineRule="auto"/>
        <w:jc w:val="both"/>
        <w:rPr>
          <w:rFonts w:ascii="Times New Roman" w:eastAsia="Arial MT" w:hAnsi="Times New Roman" w:cs="Times New Roman"/>
          <w:b/>
          <w:sz w:val="24"/>
          <w:szCs w:val="24"/>
          <w:lang w:val="es-ES"/>
        </w:rPr>
      </w:pPr>
    </w:p>
    <w:p w:rsidR="004007C0" w:rsidRPr="00CB38AA" w:rsidRDefault="004007C0" w:rsidP="00DF6EEA">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b/>
          <w:sz w:val="24"/>
          <w:szCs w:val="24"/>
          <w:lang w:val="es-ES"/>
        </w:rPr>
        <w:t xml:space="preserve">Artículo 52. </w:t>
      </w:r>
      <w:r w:rsidRPr="00CB38AA">
        <w:rPr>
          <w:rFonts w:ascii="Times New Roman" w:eastAsia="Arial MT" w:hAnsi="Times New Roman" w:cs="Times New Roman"/>
          <w:sz w:val="24"/>
          <w:szCs w:val="24"/>
          <w:lang w:val="es-ES"/>
        </w:rPr>
        <w:t>Para efectos de la presente Ley, se consideran faltas administrativas graves de los servidores públicos, mediante cualquier acto u omisión, las siguientes:</w:t>
      </w:r>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p>
    <w:p w:rsidR="004007C0" w:rsidRPr="00CB38AA" w:rsidRDefault="004007C0" w:rsidP="00DF6EEA">
      <w:pPr>
        <w:widowControl w:val="0"/>
        <w:numPr>
          <w:ilvl w:val="0"/>
          <w:numId w:val="4"/>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a XIII. …</w:t>
      </w:r>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p>
    <w:p w:rsidR="004007C0" w:rsidRPr="00CB38AA" w:rsidRDefault="004007C0" w:rsidP="00DF6EEA">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r w:rsidRPr="00CB38AA">
        <w:rPr>
          <w:rFonts w:ascii="Times New Roman" w:eastAsia="Arial" w:hAnsi="Times New Roman" w:cs="Times New Roman"/>
          <w:b/>
          <w:bCs/>
          <w:sz w:val="24"/>
          <w:szCs w:val="24"/>
          <w:lang w:val="es-ES"/>
        </w:rPr>
        <w:t>XIV. La Injerencia Sindical.</w:t>
      </w:r>
    </w:p>
    <w:p w:rsidR="004007C0" w:rsidRPr="00CB38AA" w:rsidRDefault="004007C0" w:rsidP="00DF6EEA">
      <w:pPr>
        <w:widowControl w:val="0"/>
        <w:autoSpaceDE w:val="0"/>
        <w:autoSpaceDN w:val="0"/>
        <w:spacing w:after="0" w:line="240" w:lineRule="auto"/>
        <w:jc w:val="both"/>
        <w:outlineLvl w:val="0"/>
        <w:rPr>
          <w:rFonts w:ascii="Times New Roman" w:eastAsia="Arial" w:hAnsi="Times New Roman" w:cs="Times New Roman"/>
          <w:b/>
          <w:bCs/>
          <w:sz w:val="24"/>
          <w:szCs w:val="24"/>
          <w:lang w:val="es-ES"/>
        </w:rPr>
      </w:pPr>
    </w:p>
    <w:p w:rsidR="004007C0" w:rsidRPr="00CB38AA" w:rsidRDefault="004007C0" w:rsidP="00DF6EEA">
      <w:pPr>
        <w:widowControl w:val="0"/>
        <w:autoSpaceDE w:val="0"/>
        <w:autoSpaceDN w:val="0"/>
        <w:spacing w:after="0"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SECCIÓN DÉCIMA CUARTA DE LA INJERENCIA SINDICAL</w:t>
      </w:r>
    </w:p>
    <w:p w:rsidR="004007C0" w:rsidRPr="00CB38AA" w:rsidRDefault="004007C0" w:rsidP="00DF6EEA">
      <w:pPr>
        <w:widowControl w:val="0"/>
        <w:autoSpaceDE w:val="0"/>
        <w:autoSpaceDN w:val="0"/>
        <w:spacing w:after="0" w:line="240" w:lineRule="auto"/>
        <w:jc w:val="both"/>
        <w:rPr>
          <w:rFonts w:ascii="Times New Roman" w:eastAsia="Arial MT" w:hAnsi="Times New Roman" w:cs="Times New Roman"/>
          <w:b/>
          <w:sz w:val="24"/>
          <w:szCs w:val="24"/>
          <w:lang w:val="es-ES"/>
        </w:rPr>
      </w:pPr>
    </w:p>
    <w:p w:rsidR="004007C0" w:rsidRPr="00CB38AA" w:rsidRDefault="004007C0" w:rsidP="00DF6EEA">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b/>
          <w:sz w:val="24"/>
          <w:szCs w:val="24"/>
          <w:lang w:val="es-ES"/>
        </w:rPr>
        <w:t xml:space="preserve">Artículo 67 Bis. </w:t>
      </w:r>
      <w:r w:rsidRPr="00CB38AA">
        <w:rPr>
          <w:rFonts w:ascii="Times New Roman" w:eastAsia="Arial MT" w:hAnsi="Times New Roman" w:cs="Times New Roman"/>
          <w:sz w:val="24"/>
          <w:szCs w:val="24"/>
          <w:lang w:val="es-ES"/>
        </w:rPr>
        <w:t>Será responsable de injerencia sindical la persona servidora pública que, por sí o por terceros, incurra en las conductas previstas en la Ley del Trabajo de los Servidores Públicos del Estado y Municipios.</w:t>
      </w:r>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p>
    <w:p w:rsidR="004007C0" w:rsidRPr="00CB38AA" w:rsidRDefault="004007C0" w:rsidP="00DF6EEA">
      <w:pPr>
        <w:widowControl w:val="0"/>
        <w:autoSpaceDE w:val="0"/>
        <w:autoSpaceDN w:val="0"/>
        <w:spacing w:after="0" w:line="240" w:lineRule="auto"/>
        <w:jc w:val="center"/>
        <w:outlineLvl w:val="0"/>
        <w:rPr>
          <w:rFonts w:ascii="Times New Roman" w:eastAsia="Arial" w:hAnsi="Times New Roman" w:cs="Times New Roman"/>
          <w:b/>
          <w:bCs/>
          <w:sz w:val="24"/>
          <w:szCs w:val="24"/>
          <w:lang w:val="es-ES"/>
        </w:rPr>
      </w:pPr>
      <w:r w:rsidRPr="00CB38AA">
        <w:rPr>
          <w:rFonts w:ascii="Times New Roman" w:eastAsia="Arial" w:hAnsi="Times New Roman" w:cs="Times New Roman"/>
          <w:b/>
          <w:bCs/>
          <w:sz w:val="24"/>
          <w:szCs w:val="24"/>
          <w:lang w:val="es-ES"/>
        </w:rPr>
        <w:t>TRANSITORIOS</w:t>
      </w:r>
    </w:p>
    <w:p w:rsidR="004007C0" w:rsidRPr="00CB38AA" w:rsidRDefault="004007C0" w:rsidP="00DF6EEA">
      <w:pPr>
        <w:widowControl w:val="0"/>
        <w:autoSpaceDE w:val="0"/>
        <w:autoSpaceDN w:val="0"/>
        <w:spacing w:after="0" w:line="240" w:lineRule="auto"/>
        <w:rPr>
          <w:rFonts w:ascii="Times New Roman" w:eastAsia="Arial MT" w:hAnsi="Times New Roman" w:cs="Times New Roman"/>
          <w:b/>
          <w:sz w:val="24"/>
          <w:szCs w:val="24"/>
          <w:lang w:val="es-ES"/>
        </w:rPr>
      </w:pPr>
    </w:p>
    <w:p w:rsidR="004007C0" w:rsidRPr="00CB38AA" w:rsidRDefault="004007C0" w:rsidP="00DF6EEA">
      <w:pPr>
        <w:widowControl w:val="0"/>
        <w:autoSpaceDE w:val="0"/>
        <w:autoSpaceDN w:val="0"/>
        <w:spacing w:after="0" w:line="240" w:lineRule="auto"/>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PRIMERO.</w:t>
      </w:r>
    </w:p>
    <w:p w:rsidR="004007C0" w:rsidRPr="00CB38AA" w:rsidRDefault="004007C0" w:rsidP="00DF6EEA">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El presente Decreto entrará en vigor al día siguiente de su publicación en el Periódico Oficial “Gaceta del Gobierno”.</w:t>
      </w:r>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p>
    <w:p w:rsidR="004007C0" w:rsidRPr="00CB38AA" w:rsidRDefault="004007C0" w:rsidP="00DF6EEA">
      <w:pPr>
        <w:widowControl w:val="0"/>
        <w:autoSpaceDE w:val="0"/>
        <w:autoSpaceDN w:val="0"/>
        <w:spacing w:after="0" w:line="240" w:lineRule="auto"/>
        <w:outlineLvl w:val="0"/>
        <w:rPr>
          <w:rFonts w:ascii="Times New Roman" w:eastAsia="Arial" w:hAnsi="Times New Roman" w:cs="Times New Roman"/>
          <w:b/>
          <w:bCs/>
          <w:sz w:val="24"/>
          <w:szCs w:val="24"/>
          <w:lang w:val="es-ES"/>
        </w:rPr>
      </w:pPr>
      <w:r w:rsidRPr="00CB38AA">
        <w:rPr>
          <w:rFonts w:ascii="Times New Roman" w:eastAsia="Arial" w:hAnsi="Times New Roman" w:cs="Times New Roman"/>
          <w:b/>
          <w:bCs/>
          <w:sz w:val="24"/>
          <w:szCs w:val="24"/>
          <w:lang w:val="es-ES"/>
        </w:rPr>
        <w:t>SEGUNDO.</w:t>
      </w:r>
    </w:p>
    <w:p w:rsidR="004007C0" w:rsidRPr="00CB38AA" w:rsidRDefault="004007C0" w:rsidP="00DF6EEA">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Las autoridades estatales y municipales deberán adecuar sus reglamentos, lineamientos y disposiciones administrativas en un plazo no mayor a </w:t>
      </w:r>
      <w:r w:rsidRPr="00CB38AA">
        <w:rPr>
          <w:rFonts w:ascii="Times New Roman" w:eastAsia="Arial MT" w:hAnsi="Times New Roman" w:cs="Times New Roman"/>
          <w:b/>
          <w:sz w:val="24"/>
          <w:szCs w:val="24"/>
          <w:lang w:val="es-ES"/>
        </w:rPr>
        <w:t>60 días naturales</w:t>
      </w:r>
      <w:r w:rsidRPr="00CB38AA">
        <w:rPr>
          <w:rFonts w:ascii="Times New Roman" w:eastAsia="Arial MT" w:hAnsi="Times New Roman" w:cs="Times New Roman"/>
          <w:sz w:val="24"/>
          <w:szCs w:val="24"/>
          <w:lang w:val="es-ES"/>
        </w:rPr>
        <w:t>, contados a partir de la entrada en vigor del presente Decreto.</w:t>
      </w:r>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p>
    <w:p w:rsidR="004007C0" w:rsidRPr="00CB38AA" w:rsidRDefault="004007C0" w:rsidP="00DF6EEA">
      <w:pPr>
        <w:widowControl w:val="0"/>
        <w:autoSpaceDE w:val="0"/>
        <w:autoSpaceDN w:val="0"/>
        <w:spacing w:after="0" w:line="240" w:lineRule="auto"/>
        <w:outlineLvl w:val="0"/>
        <w:rPr>
          <w:rFonts w:ascii="Times New Roman" w:eastAsia="Arial" w:hAnsi="Times New Roman" w:cs="Times New Roman"/>
          <w:b/>
          <w:bCs/>
          <w:sz w:val="24"/>
          <w:szCs w:val="24"/>
          <w:lang w:val="es-ES"/>
        </w:rPr>
      </w:pPr>
      <w:r w:rsidRPr="00CB38AA">
        <w:rPr>
          <w:rFonts w:ascii="Times New Roman" w:eastAsia="Arial" w:hAnsi="Times New Roman" w:cs="Times New Roman"/>
          <w:b/>
          <w:bCs/>
          <w:sz w:val="24"/>
          <w:szCs w:val="24"/>
          <w:lang w:val="es-ES"/>
        </w:rPr>
        <w:t>TERCERO.</w:t>
      </w:r>
    </w:p>
    <w:p w:rsidR="004007C0" w:rsidRPr="00CB38AA" w:rsidRDefault="004007C0" w:rsidP="00DF6EEA">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Se derogan todas las disposiciones que se opongan al presente Decreto.</w:t>
      </w:r>
    </w:p>
    <w:p w:rsidR="004007C0" w:rsidRPr="00CB38AA" w:rsidRDefault="004007C0" w:rsidP="00DF6EEA">
      <w:pPr>
        <w:widowControl w:val="0"/>
        <w:autoSpaceDE w:val="0"/>
        <w:autoSpaceDN w:val="0"/>
        <w:spacing w:after="0" w:line="240" w:lineRule="auto"/>
        <w:rPr>
          <w:rFonts w:ascii="Times New Roman" w:eastAsia="Arial MT" w:hAnsi="Times New Roman" w:cs="Times New Roman"/>
          <w:sz w:val="24"/>
          <w:szCs w:val="24"/>
          <w:lang w:val="es-ES"/>
        </w:rPr>
      </w:pPr>
    </w:p>
    <w:p w:rsidR="004007C0" w:rsidRPr="00CB38AA" w:rsidRDefault="004007C0" w:rsidP="00DF6EEA">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b/>
          <w:sz w:val="24"/>
          <w:szCs w:val="24"/>
          <w:lang w:val="es-ES"/>
        </w:rPr>
        <w:t xml:space="preserve">Dado en el Palacio del Poder Legislativo, </w:t>
      </w:r>
      <w:r w:rsidRPr="00CB38AA">
        <w:rPr>
          <w:rFonts w:ascii="Times New Roman" w:eastAsia="Arial MT" w:hAnsi="Times New Roman" w:cs="Times New Roman"/>
          <w:sz w:val="24"/>
          <w:szCs w:val="24"/>
          <w:lang w:val="es-ES"/>
        </w:rPr>
        <w:t xml:space="preserve">en la ciudad de Toluca de Lerdo, Estado de México, a </w:t>
      </w:r>
      <w:r w:rsidRPr="00CB38AA">
        <w:rPr>
          <w:rFonts w:ascii="Times New Roman" w:eastAsia="Arial MT" w:hAnsi="Times New Roman" w:cs="Times New Roman"/>
          <w:sz w:val="24"/>
          <w:szCs w:val="24"/>
          <w:u w:val="single"/>
          <w:lang w:val="es-ES"/>
        </w:rPr>
        <w:t xml:space="preserve">  </w:t>
      </w:r>
      <w:r w:rsidRPr="00CB38AA">
        <w:rPr>
          <w:rFonts w:ascii="Times New Roman" w:eastAsia="Arial MT" w:hAnsi="Times New Roman" w:cs="Times New Roman"/>
          <w:sz w:val="24"/>
          <w:szCs w:val="24"/>
          <w:lang w:val="es-ES"/>
        </w:rPr>
        <w:t xml:space="preserve"> de </w:t>
      </w:r>
      <w:r w:rsidRPr="00CB38AA">
        <w:rPr>
          <w:rFonts w:ascii="Times New Roman" w:eastAsia="Arial MT" w:hAnsi="Times New Roman" w:cs="Times New Roman"/>
          <w:sz w:val="24"/>
          <w:szCs w:val="24"/>
          <w:u w:val="single"/>
          <w:lang w:val="es-ES"/>
        </w:rPr>
        <w:tab/>
      </w:r>
      <w:r w:rsidRPr="00CB38AA">
        <w:rPr>
          <w:rFonts w:ascii="Times New Roman" w:eastAsia="Arial MT" w:hAnsi="Times New Roman" w:cs="Times New Roman"/>
          <w:sz w:val="24"/>
          <w:szCs w:val="24"/>
          <w:lang w:val="es-ES"/>
        </w:rPr>
        <w:t xml:space="preserve"> de 2026.</w:t>
      </w:r>
    </w:p>
    <w:p w:rsidR="00BE3B53" w:rsidRPr="00CB38AA" w:rsidRDefault="00BE3B53" w:rsidP="00DF6EEA">
      <w:pPr>
        <w:spacing w:after="0" w:line="240" w:lineRule="auto"/>
        <w:jc w:val="center"/>
        <w:rPr>
          <w:rFonts w:ascii="Times New Roman" w:hAnsi="Times New Roman" w:cs="Times New Roman"/>
          <w:sz w:val="24"/>
          <w:szCs w:val="24"/>
        </w:rPr>
      </w:pPr>
    </w:p>
    <w:p w:rsidR="00BE3B53" w:rsidRPr="00CB38AA" w:rsidRDefault="00BE3B53" w:rsidP="00DF6EEA">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(Fin del documento)</w:t>
      </w:r>
    </w:p>
    <w:p w:rsidR="00BE3B53" w:rsidRPr="00CB38AA" w:rsidRDefault="00BE3B53" w:rsidP="00DF6EEA">
      <w:pPr>
        <w:spacing w:after="0" w:line="240" w:lineRule="auto"/>
        <w:jc w:val="center"/>
        <w:rPr>
          <w:rFonts w:ascii="Times New Roman" w:hAnsi="Times New Roman" w:cs="Times New Roman"/>
          <w:sz w:val="24"/>
          <w:szCs w:val="24"/>
        </w:rPr>
      </w:pP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PRESIDENTA DIP. MARTHA AZUCENA CAMACHO REYNOSO. Gracias diputado Rigoberto Vargas Cervantes.</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Se registra la iniciativa y se remite a la Comisión Legislativa de Trabajo, Previsión y Seguridad Social, para su estudio y dictamen.</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En cuanto al punto 14, la diputada Vicepresidenta Itzel Guadalupe Pérez Correa, presenta en nombre del Grupo Parlamentario del Partido Verde Ecologista de México, Iniciativa de Decreto por el que se expide la Ley Estatal de Acceso y Promoción de la Paz.</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VICEPRESIDENTA DIP. ITZEL GUADALUPE PÉREZ CORREA. Con su venia Presidenta y la de todas y todos mis compañeros de la Mesa Directiva.</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Saludo con mucho gusto a quienes integran este cabildo, perdónenme, discúlpenme. Saludo con mucho gusto a quienes integran la Mesa Directiva, a quienes se encuentran en este Recinto Legislativo, a los medios de comunicación, a la ciudadanía que nos sigue a través de las diversas plataformas digitales.</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Hoy, hablar de la familia es hablar de amor, de cuidado, de raíces, es de hablar del lugar donde aprendemos a caminar, a hablar, a soñar y es sin duda alguna el primer espacio de socialización, cuidado y formación de valores, es ahí donde niñas, niños y adolescentes conocen el mundo, construyen su identidad y establecen relaciones afectivas que los acompañarán a toda la vida.</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lastRenderedPageBreak/>
        <w:tab/>
        <w:t>En la familia se siembran las semillas de quienes seremos mañana, la familia es el núcleo donde se enseña el amor, la paz, valores que son indispensables para el desarrollo de una vida justa, ordenada y próspera, que permita a las personas alcanzar su realización plena.</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La paz es una condición esencial para la convivencia sana, facilita relaciones armoniosas y permite la creación de una sociedad en donde los conflictos se resuelvan encontrando coincidencias y puntos en común.</w:t>
      </w:r>
    </w:p>
    <w:p w:rsidR="00A35DFE" w:rsidRPr="00CB38AA" w:rsidRDefault="00A35DFE" w:rsidP="00DF6EEA">
      <w:pPr>
        <w:spacing w:after="0" w:line="240" w:lineRule="auto"/>
        <w:ind w:firstLine="708"/>
        <w:jc w:val="both"/>
        <w:rPr>
          <w:rFonts w:ascii="Times New Roman" w:hAnsi="Times New Roman" w:cs="Times New Roman"/>
          <w:sz w:val="24"/>
          <w:szCs w:val="24"/>
        </w:rPr>
      </w:pPr>
      <w:r w:rsidRPr="00CB38AA">
        <w:rPr>
          <w:rFonts w:ascii="Times New Roman" w:eastAsia="Times New Roman" w:hAnsi="Times New Roman" w:cs="Times New Roman"/>
          <w:sz w:val="24"/>
          <w:szCs w:val="24"/>
          <w:lang w:eastAsia="es-MX"/>
        </w:rPr>
        <w:t xml:space="preserve">La cultura de paz es la suma de ciertos valores, actitudes y comportamientos que rechazan la violencia y que previenen los conflictos, enfocados en atender las causas para solucionar los problemas, mediante el diálogo y la negociación, tanto entre las personas como en las naciones, esto debe hacerse siempre con respeto absoluto a los derechos humanos. </w:t>
      </w:r>
    </w:p>
    <w:p w:rsidR="00A35DFE" w:rsidRPr="00CB38AA" w:rsidRDefault="00A35DFE" w:rsidP="00DF6EEA">
      <w:pPr>
        <w:pStyle w:val="Sinespaciado"/>
        <w:ind w:firstLine="708"/>
        <w:jc w:val="both"/>
        <w:rPr>
          <w:rFonts w:ascii="Times New Roman" w:eastAsia="Times New Roman" w:hAnsi="Times New Roman" w:cs="Times New Roman"/>
          <w:sz w:val="24"/>
          <w:szCs w:val="24"/>
          <w:lang w:eastAsia="es-MX"/>
        </w:rPr>
      </w:pPr>
      <w:r w:rsidRPr="00CB38AA">
        <w:rPr>
          <w:rFonts w:ascii="Times New Roman" w:eastAsia="Times New Roman" w:hAnsi="Times New Roman" w:cs="Times New Roman"/>
          <w:sz w:val="24"/>
          <w:szCs w:val="24"/>
          <w:lang w:eastAsia="es-MX"/>
        </w:rPr>
        <w:t xml:space="preserve">Por ello, todas y todos tenemos derecho a vivir en un ambiente de paz consagrado e inalienable, niñas, niños y jóvenes, adultos y personas mayores necesitan entornos estables y afectuosos, necesitan sociedades libres de violencia, donde las coincidencias se conviertan en paz, esto sólo se logra mediante programas, políticas y acciones que fomenten y difundan la cultura de paz desde la educación, la atención a grupos vulnerables y la reducción de los factores generadores de violencia. </w:t>
      </w:r>
    </w:p>
    <w:p w:rsidR="00A35DFE" w:rsidRPr="00CB38AA" w:rsidRDefault="00A35DFE" w:rsidP="00DF6EEA">
      <w:pPr>
        <w:pStyle w:val="Sinespaciado"/>
        <w:ind w:firstLine="708"/>
        <w:jc w:val="both"/>
        <w:rPr>
          <w:rFonts w:ascii="Times New Roman" w:eastAsia="Times New Roman" w:hAnsi="Times New Roman" w:cs="Times New Roman"/>
          <w:sz w:val="24"/>
          <w:szCs w:val="24"/>
          <w:lang w:eastAsia="es-MX"/>
        </w:rPr>
      </w:pPr>
      <w:r w:rsidRPr="00CB38AA">
        <w:rPr>
          <w:rFonts w:ascii="Times New Roman" w:eastAsia="Times New Roman" w:hAnsi="Times New Roman" w:cs="Times New Roman"/>
          <w:sz w:val="24"/>
          <w:szCs w:val="24"/>
          <w:lang w:eastAsia="es-MX"/>
        </w:rPr>
        <w:t>Todos merecemos y deberíamos vivir en un mundo en donde la violencia quede atrás y se generen mecanismos que permitan que la paz sea el común denominador de nuestra vida diaria, la instalación de las Jornadas y Diálogos por la Paz promovidos por la Presidenta Claudia Sheinbaum, así como la firma del Pacto por la Sana Convivencia, son un ejemplo de la importancia de esta visión.</w:t>
      </w:r>
    </w:p>
    <w:p w:rsidR="00A35DFE" w:rsidRPr="00CB38AA" w:rsidRDefault="00A35DFE" w:rsidP="00DF6EEA">
      <w:pPr>
        <w:pStyle w:val="Sinespaciado"/>
        <w:ind w:firstLine="708"/>
        <w:jc w:val="both"/>
        <w:rPr>
          <w:rFonts w:ascii="Times New Roman" w:eastAsia="Times New Roman" w:hAnsi="Times New Roman" w:cs="Times New Roman"/>
          <w:sz w:val="24"/>
          <w:szCs w:val="24"/>
          <w:lang w:eastAsia="es-MX"/>
        </w:rPr>
      </w:pPr>
      <w:r w:rsidRPr="00CB38AA">
        <w:rPr>
          <w:rFonts w:ascii="Times New Roman" w:eastAsia="Times New Roman" w:hAnsi="Times New Roman" w:cs="Times New Roman"/>
          <w:sz w:val="24"/>
          <w:szCs w:val="24"/>
          <w:lang w:eastAsia="es-MX"/>
        </w:rPr>
        <w:t xml:space="preserve">En nuestra Entidad las Mesas de Coordinación para la Paz, que son impulsadas por la maestra Delfina Gómez Álvarez, han mostrado resultados satisfactorios en la reducción de diversos detalles. Esto confirma que la paz es el camino y que los esfuerzos legislativos deben centrarse en generar instrumentos normativos que promuevan ambientes propicios para la cultura de paz, desde la Bancada del Partido Verde consideramos que la creación de políticas públicas, interinstitucionales y transversales que promuevan la prevención, mitigación y atención de la violencia social y de género son fundamentales. </w:t>
      </w:r>
    </w:p>
    <w:p w:rsidR="00A35DFE" w:rsidRPr="00CB38AA" w:rsidRDefault="00A35DFE" w:rsidP="00DF6EEA">
      <w:pPr>
        <w:pStyle w:val="Sinespaciado"/>
        <w:ind w:firstLine="708"/>
        <w:jc w:val="both"/>
        <w:rPr>
          <w:rFonts w:ascii="Times New Roman" w:eastAsia="Times New Roman" w:hAnsi="Times New Roman" w:cs="Times New Roman"/>
          <w:sz w:val="24"/>
          <w:szCs w:val="24"/>
          <w:lang w:eastAsia="es-MX"/>
        </w:rPr>
      </w:pPr>
      <w:r w:rsidRPr="00CB38AA">
        <w:rPr>
          <w:rFonts w:ascii="Times New Roman" w:eastAsia="Times New Roman" w:hAnsi="Times New Roman" w:cs="Times New Roman"/>
          <w:sz w:val="24"/>
          <w:szCs w:val="24"/>
          <w:lang w:eastAsia="es-MX"/>
        </w:rPr>
        <w:t xml:space="preserve">La creación e implementación de un proyecto integral a favor del respeto a todos los derechos y libertades, la reconciliación, la solidaridad, la independencia y la justicia nos convertirá en una entidad de vanguardia que anteponga el principio pro persona; por ello, presentamos hoy la iniciativa que expide la Ley de Cultura de Paz, en concordancia con nuestro estratégico orientado a la atención y cuidado de la salud mental de la juventud. </w:t>
      </w:r>
    </w:p>
    <w:p w:rsidR="00A35DFE" w:rsidRPr="00CB38AA" w:rsidRDefault="00A35DFE" w:rsidP="00DF6EEA">
      <w:pPr>
        <w:pStyle w:val="Sinespaciado"/>
        <w:ind w:firstLine="708"/>
        <w:jc w:val="both"/>
        <w:rPr>
          <w:rFonts w:ascii="Times New Roman" w:eastAsia="Times New Roman" w:hAnsi="Times New Roman" w:cs="Times New Roman"/>
          <w:sz w:val="24"/>
          <w:szCs w:val="24"/>
          <w:lang w:eastAsia="es-MX"/>
        </w:rPr>
      </w:pPr>
      <w:r w:rsidRPr="00CB38AA">
        <w:rPr>
          <w:rFonts w:ascii="Times New Roman" w:eastAsia="Times New Roman" w:hAnsi="Times New Roman" w:cs="Times New Roman"/>
          <w:sz w:val="24"/>
          <w:szCs w:val="24"/>
          <w:lang w:eastAsia="es-MX"/>
        </w:rPr>
        <w:t xml:space="preserve">Como legisladores debemos asumir con objetividad las circunstancias y el momento histórico que atravesamos y actuar con sensibilidad y responsabilidad, es necesario para enfrentar de manera íntegra y digna los retos del presente, anticipándonos con visión al futuro, esta iniciativa se presenta como una herramienta clave para fortalecer la formación familiar al promover hogares más armónicos donde se enseñen habilidades emocionales, diálogo respetuoso y valores cívicos. </w:t>
      </w:r>
    </w:p>
    <w:p w:rsidR="00A35DFE" w:rsidRPr="00CB38AA" w:rsidRDefault="00A35DFE" w:rsidP="00DF6EEA">
      <w:pPr>
        <w:pStyle w:val="Sinespaciado"/>
        <w:ind w:firstLine="708"/>
        <w:jc w:val="both"/>
        <w:rPr>
          <w:rFonts w:ascii="Times New Roman" w:eastAsia="Times New Roman" w:hAnsi="Times New Roman" w:cs="Times New Roman"/>
          <w:sz w:val="24"/>
          <w:szCs w:val="24"/>
          <w:lang w:eastAsia="es-MX"/>
        </w:rPr>
      </w:pPr>
      <w:r w:rsidRPr="00CB38AA">
        <w:rPr>
          <w:rFonts w:ascii="Times New Roman" w:eastAsia="Times New Roman" w:hAnsi="Times New Roman" w:cs="Times New Roman"/>
          <w:sz w:val="24"/>
          <w:szCs w:val="24"/>
          <w:lang w:eastAsia="es-MX"/>
        </w:rPr>
        <w:t>Una familia formada en la cultura de paz, no sólo protege y nutre a sus integrantes, sino que multiplica el aprendizaje en la comunidad, sembrando convivencia y bienestar, es tiempo de decisiones positivas que permitan construir una Nación y un Estado como el que anhelamos.</w:t>
      </w:r>
    </w:p>
    <w:p w:rsidR="00A35DFE" w:rsidRPr="00CB38AA" w:rsidRDefault="00A35DFE" w:rsidP="00DF6EEA">
      <w:pPr>
        <w:pStyle w:val="Sinespaciado"/>
        <w:ind w:firstLine="708"/>
        <w:jc w:val="both"/>
        <w:rPr>
          <w:rFonts w:ascii="Times New Roman" w:eastAsia="Times New Roman" w:hAnsi="Times New Roman" w:cs="Times New Roman"/>
          <w:sz w:val="24"/>
          <w:szCs w:val="24"/>
          <w:lang w:eastAsia="es-MX"/>
        </w:rPr>
      </w:pPr>
      <w:r w:rsidRPr="00CB38AA">
        <w:rPr>
          <w:rFonts w:ascii="Times New Roman" w:eastAsia="Times New Roman" w:hAnsi="Times New Roman" w:cs="Times New Roman"/>
          <w:sz w:val="24"/>
          <w:szCs w:val="24"/>
          <w:lang w:eastAsia="es-MX"/>
        </w:rPr>
        <w:t xml:space="preserve">El Grupo Parlamentario del Partido Verde, aspira a formar y forjar un Estado con una ley como herramienta hacia el bienestar, la educación como instrumento de la libertad y la cultura de paz como camino hacia la plenitud y la armonía social. </w:t>
      </w:r>
    </w:p>
    <w:p w:rsidR="00A35DFE" w:rsidRPr="00CB38AA" w:rsidRDefault="00A35DFE" w:rsidP="00DF6EEA">
      <w:pPr>
        <w:pStyle w:val="Sinespaciado"/>
        <w:ind w:firstLine="708"/>
        <w:jc w:val="both"/>
        <w:rPr>
          <w:rFonts w:ascii="Times New Roman" w:eastAsia="Times New Roman" w:hAnsi="Times New Roman" w:cs="Times New Roman"/>
          <w:sz w:val="24"/>
          <w:szCs w:val="24"/>
          <w:lang w:eastAsia="es-MX"/>
        </w:rPr>
      </w:pPr>
      <w:r w:rsidRPr="00CB38AA">
        <w:rPr>
          <w:rFonts w:ascii="Times New Roman" w:eastAsia="Times New Roman" w:hAnsi="Times New Roman" w:cs="Times New Roman"/>
          <w:sz w:val="24"/>
          <w:szCs w:val="24"/>
          <w:lang w:eastAsia="es-MX"/>
        </w:rPr>
        <w:t>Sabemos que la familia es el corazón de nuestra sociedad, la calidad de la sociedad del mañana dependerá de la calidad de la crianza que promovamos hoy.</w:t>
      </w:r>
    </w:p>
    <w:p w:rsidR="00A35DFE" w:rsidRPr="00CB38AA" w:rsidRDefault="00A35DFE" w:rsidP="00DF6EEA">
      <w:pPr>
        <w:pStyle w:val="Sinespaciado"/>
        <w:ind w:firstLine="708"/>
        <w:jc w:val="both"/>
        <w:rPr>
          <w:rFonts w:ascii="Times New Roman" w:eastAsia="Times New Roman" w:hAnsi="Times New Roman" w:cs="Times New Roman"/>
          <w:sz w:val="24"/>
          <w:szCs w:val="24"/>
          <w:lang w:eastAsia="es-MX"/>
        </w:rPr>
      </w:pPr>
      <w:r w:rsidRPr="00CB38AA">
        <w:rPr>
          <w:rFonts w:ascii="Times New Roman" w:eastAsia="Times New Roman" w:hAnsi="Times New Roman" w:cs="Times New Roman"/>
          <w:sz w:val="24"/>
          <w:szCs w:val="24"/>
          <w:lang w:eastAsia="es-MX"/>
        </w:rPr>
        <w:t xml:space="preserve">Es cuando. Querida Presidenta, muchas gracias. </w:t>
      </w:r>
    </w:p>
    <w:p w:rsidR="00DD10C6" w:rsidRPr="00CB38AA" w:rsidRDefault="00DD10C6" w:rsidP="00DF6EEA">
      <w:pPr>
        <w:pStyle w:val="Sinespaciado"/>
        <w:jc w:val="both"/>
        <w:rPr>
          <w:rFonts w:ascii="Times New Roman" w:hAnsi="Times New Roman" w:cs="Times New Roman"/>
          <w:sz w:val="24"/>
          <w:szCs w:val="24"/>
        </w:rPr>
      </w:pPr>
    </w:p>
    <w:p w:rsidR="00DD10C6" w:rsidRPr="00CB38AA" w:rsidRDefault="00DD10C6" w:rsidP="00DF6EEA">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(Se inserta documento)</w:t>
      </w:r>
    </w:p>
    <w:p w:rsidR="00DD10C6" w:rsidRPr="00CB38AA" w:rsidRDefault="00DD10C6" w:rsidP="00DF6EEA">
      <w:pPr>
        <w:spacing w:after="0" w:line="240" w:lineRule="auto"/>
        <w:jc w:val="center"/>
        <w:rPr>
          <w:rFonts w:ascii="Times New Roman" w:hAnsi="Times New Roman" w:cs="Times New Roman"/>
          <w:sz w:val="24"/>
          <w:szCs w:val="24"/>
        </w:rPr>
      </w:pPr>
    </w:p>
    <w:p w:rsidR="00DD10C6" w:rsidRPr="00CB38AA" w:rsidRDefault="00DD10C6"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sz w:val="24"/>
          <w:szCs w:val="24"/>
        </w:rPr>
        <w:t>GRUPO PARLAMENTARIO DEL PARTIDO VERDE ECOLOGISTA DE MEXICO</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sz w:val="24"/>
          <w:szCs w:val="24"/>
        </w:rPr>
        <w:t>“2026. Año del Humanismo Mexicano en el Estado de México”.</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ind w:left="3416"/>
        <w:jc w:val="right"/>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Toluca de Lerdo, Estado de México, a </w:t>
      </w:r>
      <w:r w:rsidRPr="00CB38AA">
        <w:rPr>
          <w:rFonts w:ascii="Times New Roman" w:eastAsia="Times New Roman" w:hAnsi="Times New Roman" w:cs="Times New Roman"/>
          <w:sz w:val="24"/>
          <w:szCs w:val="24"/>
          <w:u w:val="single" w:color="000000"/>
        </w:rPr>
        <w:t xml:space="preserve">    </w:t>
      </w:r>
      <w:r w:rsidRPr="00CB38AA">
        <w:rPr>
          <w:rFonts w:ascii="Times New Roman" w:eastAsia="Times New Roman" w:hAnsi="Times New Roman" w:cs="Times New Roman"/>
          <w:sz w:val="24"/>
          <w:szCs w:val="24"/>
        </w:rPr>
        <w:t xml:space="preserve"> </w:t>
      </w:r>
      <w:r w:rsidRPr="00CB38AA">
        <w:rPr>
          <w:rFonts w:ascii="Times New Roman" w:eastAsia="Arial" w:hAnsi="Times New Roman" w:cs="Times New Roman"/>
          <w:sz w:val="24"/>
          <w:szCs w:val="24"/>
        </w:rPr>
        <w:t xml:space="preserve">de </w:t>
      </w:r>
      <w:r w:rsidRPr="00CB38AA">
        <w:rPr>
          <w:rFonts w:ascii="Times New Roman" w:eastAsia="Times New Roman" w:hAnsi="Times New Roman" w:cs="Times New Roman"/>
          <w:sz w:val="24"/>
          <w:szCs w:val="24"/>
          <w:u w:val="single" w:color="000000"/>
        </w:rPr>
        <w:t xml:space="preserve">    </w:t>
      </w:r>
      <w:r w:rsidRPr="00CB38AA">
        <w:rPr>
          <w:rFonts w:ascii="Times New Roman" w:eastAsia="Times New Roman" w:hAnsi="Times New Roman" w:cs="Times New Roman"/>
          <w:sz w:val="24"/>
          <w:szCs w:val="24"/>
        </w:rPr>
        <w:t xml:space="preserve"> </w:t>
      </w:r>
      <w:r w:rsidRPr="00CB38AA">
        <w:rPr>
          <w:rFonts w:ascii="Times New Roman" w:eastAsia="Arial" w:hAnsi="Times New Roman" w:cs="Times New Roman"/>
          <w:sz w:val="24"/>
          <w:szCs w:val="24"/>
        </w:rPr>
        <w:t>de 2026.</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DIP. MARTHA AZUCENA CAMACHO REYNOSO PRESIDENTA DE LA MESA DIRECTIVA</w:t>
      </w:r>
    </w:p>
    <w:p w:rsidR="00DD10C6" w:rsidRPr="00CB38AA" w:rsidRDefault="00DD10C6" w:rsidP="00DF6EEA">
      <w:pPr>
        <w:spacing w:after="0" w:line="240" w:lineRule="auto"/>
        <w:rPr>
          <w:rFonts w:ascii="Times New Roman" w:eastAsia="Arial" w:hAnsi="Times New Roman" w:cs="Times New Roman"/>
          <w:b/>
          <w:sz w:val="24"/>
          <w:szCs w:val="24"/>
        </w:rPr>
      </w:pPr>
      <w:r w:rsidRPr="00CB38AA">
        <w:rPr>
          <w:rFonts w:ascii="Times New Roman" w:eastAsia="Arial" w:hAnsi="Times New Roman" w:cs="Times New Roman"/>
          <w:b/>
          <w:sz w:val="24"/>
          <w:szCs w:val="24"/>
        </w:rPr>
        <w:t>LXII LEGISLATURA DEL H. PODER LEGISLATIVO</w:t>
      </w:r>
    </w:p>
    <w:p w:rsidR="00DD10C6" w:rsidRPr="00CB38AA" w:rsidRDefault="00DD10C6"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DEL ESTADO LIBRE Y SOBERANO DE MÉXICO</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P R E S E N T E Honorable Asamblea:</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Quienes suscriben </w:t>
      </w:r>
      <w:r w:rsidRPr="00CB38AA">
        <w:rPr>
          <w:rFonts w:ascii="Times New Roman" w:eastAsia="Arial" w:hAnsi="Times New Roman" w:cs="Times New Roman"/>
          <w:b/>
          <w:sz w:val="24"/>
          <w:szCs w:val="24"/>
        </w:rPr>
        <w:t>JOSÉ ALBERTO COUTTOLENC BUENTELLO</w:t>
      </w:r>
      <w:r w:rsidRPr="00CB38AA">
        <w:rPr>
          <w:rFonts w:ascii="Times New Roman" w:eastAsia="Arial" w:hAnsi="Times New Roman" w:cs="Times New Roman"/>
          <w:sz w:val="24"/>
          <w:szCs w:val="24"/>
        </w:rPr>
        <w:t xml:space="preserve">, </w:t>
      </w:r>
      <w:r w:rsidRPr="00CB38AA">
        <w:rPr>
          <w:rFonts w:ascii="Times New Roman" w:eastAsia="Arial" w:hAnsi="Times New Roman" w:cs="Times New Roman"/>
          <w:b/>
          <w:sz w:val="24"/>
          <w:szCs w:val="24"/>
        </w:rPr>
        <w:t xml:space="preserve">HÉCTOR RAÚL GARCÍA GONZÁLEZ, HONORIA ARELLANO OCAMPO, ALEJANDRA FIGUEROA ADAME, GLORIA VANESSA LINARES ZETINA, CARLOS ALBERTO LÓPEZ IMM, ISAÍAS PELÁEZ SORIA, ITZEL GUADALUPE PÉREZ CORREA Y MIRIAM SILVA MATA </w:t>
      </w:r>
      <w:r w:rsidRPr="00CB38AA">
        <w:rPr>
          <w:rFonts w:ascii="Times New Roman" w:eastAsia="Arial" w:hAnsi="Times New Roman" w:cs="Times New Roman"/>
          <w:sz w:val="24"/>
          <w:szCs w:val="24"/>
        </w:rPr>
        <w:t xml:space="preserve">diputadas y diputados integrantes del </w:t>
      </w:r>
      <w:r w:rsidRPr="00CB38AA">
        <w:rPr>
          <w:rFonts w:ascii="Times New Roman" w:eastAsia="Arial" w:hAnsi="Times New Roman" w:cs="Times New Roman"/>
          <w:b/>
          <w:sz w:val="24"/>
          <w:szCs w:val="24"/>
        </w:rPr>
        <w:t xml:space="preserve">GRUPO PARLAMENTARIO DEL PARTIDO VERDE ECOLOGISTA DE MÉXICO </w:t>
      </w:r>
      <w:r w:rsidRPr="00CB38AA">
        <w:rPr>
          <w:rFonts w:ascii="Times New Roman" w:eastAsia="Arial" w:hAnsi="Times New Roman" w:cs="Times New Roman"/>
          <w:sz w:val="24"/>
          <w:szCs w:val="24"/>
        </w:rPr>
        <w:t xml:space="preserve">en la LXII Legislatura del Estado de México, con fundamento en lo dispuesto por los artículos 6 y 116 de la Constitución Política de los Estados Unidos Mexicanos; 51 fracción II, 57 y 61 fracción I de la Constitución Política del Estado Libre y Soberano de México; 28 fracción I, 30, 38 fracción I, 79 y 81 de la Ley Orgánica del Poder Legislativo del Estado Libre y Soberano de México, sometemos a consideración de este Órgano Legislativo, la siguiente </w:t>
      </w:r>
      <w:r w:rsidRPr="00CB38AA">
        <w:rPr>
          <w:rFonts w:ascii="Times New Roman" w:eastAsia="Arial" w:hAnsi="Times New Roman" w:cs="Times New Roman"/>
          <w:b/>
          <w:sz w:val="24"/>
          <w:szCs w:val="24"/>
        </w:rPr>
        <w:t xml:space="preserve">INICIATIVA DE DECRETO POR EL QUE SE EXPIDE LA LEY ESTATAL DE ACCESO Y PROMOCIÓN DE LA PAZ, </w:t>
      </w:r>
      <w:r w:rsidRPr="00CB38AA">
        <w:rPr>
          <w:rFonts w:ascii="Times New Roman" w:eastAsia="Arial" w:hAnsi="Times New Roman" w:cs="Times New Roman"/>
          <w:sz w:val="24"/>
          <w:szCs w:val="24"/>
        </w:rPr>
        <w:t>con sustento en la siguiente:</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ind w:left="3208"/>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EXPOSICIÓN DE MOTIVOS</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Toda persona tiene derecho a vivir en un ambiente libre de violencia que permita el desarrollo del bienestar y la paz. Garantizar este entorno constituye una de las obligaciones fundamentales de los gobiernos, en sus distintos órdenes y, al mismo tiempo, implica una corresponsabilidad social en la que la ciudadanía debe participar activamente para propiciar un desarrollo equilibrado dentro de una sociedad civilizada y debidamente organizada.</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Lo anterior no solo responde a una necesidad básica para el desarrollo integral de las personas, sino que la existencia, o ausencia, de un ambiente de paz incide de manera directa en el crecimiento económico, laboral, comercial, turístico, educativo y humano de las entidades federativas.</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En este contexto, el artículo 3.º de la Constitución Política de los Estados Unidos Mexicanos, en su cuarto párrafo, establece:</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ind w:left="951"/>
        <w:jc w:val="both"/>
        <w:rPr>
          <w:rFonts w:ascii="Times New Roman" w:eastAsia="Arial" w:hAnsi="Times New Roman" w:cs="Times New Roman"/>
          <w:sz w:val="24"/>
          <w:szCs w:val="24"/>
        </w:rPr>
      </w:pPr>
      <w:r w:rsidRPr="00CB38AA">
        <w:rPr>
          <w:rFonts w:ascii="Times New Roman" w:eastAsia="Arial" w:hAnsi="Times New Roman" w:cs="Times New Roman"/>
          <w:b/>
          <w:i/>
          <w:sz w:val="24"/>
          <w:szCs w:val="24"/>
        </w:rPr>
        <w:t>“La educación se basará en el respeto irrestricto de la dignidad de las personas, con un enfoque de derechos humanos y de igualdad sustantiva. Tenderá a desarrollar armónicamente todas las facultades del ser humano y fomentará en él, a la vez, el amor a la patria, el respeto a todos los derechos, las libertades, la cultura de paz y la conciencia de la solidaridad internacional, en la independencia y en la justicia; promoverá la honestidad, los valores y la mejora continua del proceso de enseñanza-aprendizaje”.</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Por su parte, la Constitución Política del Estado Libre y Soberano de México dispone en su artículo 5, primer párrafo, lo siguiente:</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ind w:left="951"/>
        <w:jc w:val="both"/>
        <w:rPr>
          <w:rFonts w:ascii="Times New Roman" w:eastAsia="Arial" w:hAnsi="Times New Roman" w:cs="Times New Roman"/>
          <w:sz w:val="24"/>
          <w:szCs w:val="24"/>
        </w:rPr>
      </w:pPr>
      <w:r w:rsidRPr="00CB38AA">
        <w:rPr>
          <w:rFonts w:ascii="Times New Roman" w:eastAsia="Arial" w:hAnsi="Times New Roman" w:cs="Times New Roman"/>
          <w:b/>
          <w:i/>
          <w:sz w:val="24"/>
          <w:szCs w:val="24"/>
        </w:rPr>
        <w:t>“En el Estado de México todas las personas gozarán de los derechos humanos reconocidos en la Constitución Política de los Estados Unidos Mexicanos, en los tratados internacionales en los que el Estado mexicano sea parte, en esta Constitución y en las leyes que de esta emanen, por lo que gozarán de las garantías para su protección, las cuales no podrán restringirse ni suspenderse salvo en los casos y bajo las condiciones que la Constitución Política de los Estados Unidos Mexicanos establece”.</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Times New Roman" w:hAnsi="Times New Roman" w:cs="Times New Roman"/>
          <w:sz w:val="24"/>
          <w:szCs w:val="24"/>
        </w:rPr>
      </w:pPr>
      <w:r w:rsidRPr="00CB38AA">
        <w:rPr>
          <w:rFonts w:ascii="Times New Roman" w:eastAsia="Arial" w:hAnsi="Times New Roman" w:cs="Times New Roman"/>
          <w:sz w:val="24"/>
          <w:szCs w:val="24"/>
        </w:rPr>
        <w:t>Asimismo, en el tercer párrafo del mismo artículo se señala:</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ind w:left="951"/>
        <w:jc w:val="both"/>
        <w:rPr>
          <w:rFonts w:ascii="Times New Roman" w:eastAsia="Arial" w:hAnsi="Times New Roman" w:cs="Times New Roman"/>
          <w:sz w:val="24"/>
          <w:szCs w:val="24"/>
        </w:rPr>
      </w:pPr>
      <w:r w:rsidRPr="00CB38AA">
        <w:rPr>
          <w:rFonts w:ascii="Times New Roman" w:eastAsia="Arial" w:hAnsi="Times New Roman" w:cs="Times New Roman"/>
          <w:b/>
          <w:i/>
          <w:sz w:val="24"/>
          <w:szCs w:val="24"/>
        </w:rPr>
        <w:t>“Todas las autoridades, en el ámbito de sus competencias, tienen la obligación de promover, respetar, proteger y garantizar los derechos humanos de conformidad con los principios de universalidad, interdependencia, indivisibilidad y progresividad. En consecuencia, el Estado deberá prevenir, investigar, sancionar y reparar las violaciones a los derechos humanos, en los términos que establezca la ley”.</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De lo anterior se desprende que la paz constituye una aspiración permanente del Estado hacia sus gobernados, traduciéndose en bienestar para la población; sin embargo, lamentablemente, el incremento de los actos delictivos se ha normalizado en la entidad.</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En el Estado de México se registró un aumento significativo de la actividad delictiva durante el año 2021, en comparación con las cifras reportadas en 2020. Tan solo en junio de 2021, a nivel nacional se contabilizaron 174 mil 738 delitos, de los cuales 15 mil 782 correspondieron al Estado de México, lo que representó un incremento del 72 por ciento respecto del mismo mes del año anterior.</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De igual forma, se encendieron alertas en diversos rubros del semáforo delictivo. En este sentido, el delito de extorsión superó su umbral máximo al registrarse 510 casos frente a un límite de 283; el delito de violación alcanzó 920 registros, superando el máximo de 714; y la violencia familiar acumuló un total de 7 mil 472 casos.</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Por su parte, las cifras relativas al homicidio doloso evidencian el riesgo constante que enfrenta la población de la entidad. Durante 2024 se registraron 4 mil 956 casos, en contraste con los 3 mil 825 ocurridos en 2023. Esta situación resulta particularmente alarmante para las mujeres, ya que el Estado de México se ha mantenido como la entidad con mayor número de feminicidios durante los años 2023 y 2024.</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En este sentido, corresponde al Estado soberano velar, preservar y garantizar el orden social como condición indispensable para la construcción de la paz en las comunidades. Así lo dispone la Constitución Política de los Estados Unidos Mexicanos, al reconocer el derecho de la ciudadanía al pleno goce de los derechos humanos, en armonía con los instrumentos internacionales en materia de derechos humanos de los que México forma parte.</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Ante el crecimiento sostenido de los índices de violencia, resulta imperativo crear un ordenamiento jurídico que no se limite a la sanción de los delitos, sino que fomente y preserve una auténtica </w:t>
      </w:r>
      <w:r w:rsidRPr="00CB38AA">
        <w:rPr>
          <w:rFonts w:ascii="Times New Roman" w:eastAsia="Arial" w:hAnsi="Times New Roman" w:cs="Times New Roman"/>
          <w:sz w:val="24"/>
          <w:szCs w:val="24"/>
        </w:rPr>
        <w:lastRenderedPageBreak/>
        <w:t>cultura de paz. Como señalaba la humanista de origen albanés Agnes Gonxha Bojaxhiu, la paz no se construye combatiendo la guerra, sino trabajando activamente a favor de ella.</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 paz que se pretende alcanzar mediante este nuevo ordenamiento no se reduce a la ausencia de conflicto, sino que busca consolidar la confianza entre la ciudadanía y sus representantes, así como fortalecer el vínculo entre las autoridades y la sociedad a la que sirven.</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En este contexto, promover la paz a través de un marco legislativo se convierte en una prioridad para alcanzar el bien común compartido entre el pueblo y el Estado. Como afirmara Lord Palmerston, los intereses permanentes son los que deben guiar la acción pública, y es deber de las instituciones ser fieles a ellos.</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El interés fundamental de toda comunidad es establecer y preservar el orden civil y la paz social. Para ello, resulta indispensable implementar estrategias que fomenten valores en todos los niveles de la sociedad, sin distinción de clase social, ideología, creencias o preferencias personales.</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Cuando una sociedad comienza a segregar a sus integrantes, cualquiera que sea el motivo, inicia un proceso de deterioro no solo de sus valores y principios, sino también de su desarrollo económico y social.</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El fortalecimiento de una cultura de paz en la nación y en las entidades federativas necesariamente debe transitar por el ámbito educativo. Desde ahí deben surgir los programas, planes y proyectos orientados a inculcar, desde edades tempranas, los</w:t>
      </w:r>
      <w:r w:rsidRPr="00CB38AA">
        <w:rPr>
          <w:rFonts w:ascii="Times New Roman" w:eastAsia="Times New Roman" w:hAnsi="Times New Roman" w:cs="Times New Roman"/>
          <w:sz w:val="24"/>
          <w:szCs w:val="24"/>
        </w:rPr>
        <w:t xml:space="preserve"> </w:t>
      </w:r>
      <w:r w:rsidRPr="00CB38AA">
        <w:rPr>
          <w:rFonts w:ascii="Times New Roman" w:eastAsia="Arial" w:hAnsi="Times New Roman" w:cs="Times New Roman"/>
          <w:sz w:val="24"/>
          <w:szCs w:val="24"/>
        </w:rPr>
        <w:t>valores y principios que guiarán la vida adulta de los individuos, formando personas comprometidas con una sociedad justa y equitativa. Por lo tanto, el Estado debe usar las herramientas legales que tiene para tomar las medidas necesarias y crear espacios que permitan un ambiente de paz, tanto a nivel nacional como estatal.</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El proyecto de decreto que se presenta se enfoca en la responsabilidad básica del Estado de ofrecer los recursos necesarios para asegurar la promoción y el acceso a mecanismos de paz, como herramientas para fortalecer un estado de derecho completo que beneficie directamente a la población. Asimismo, busca generar esquemas de participación, interlocución y mecanismos alternativos de solución y mediación de conflictos, sustentados en una cultura de paz.</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El proyecto también da definiciones claras sobre las funciones y la participación de los municipios, con el objetivo de que, desde el nivel más cercano a la gente, se promuevan pautas para fortalecer la paz como un elemento fundamental de la sociedad mexiquense.</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En razón de lo anterior, la iniciativa se estructura en los siguientes capítulos:</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Capítulo Primero. Objeto de la Ley. Define los enfoques y alcances del ordenamiento, así como la forma en la que la promoción y el acceso a la cultura de paz se traducen en acciones que fortalecen el desarrollo, la inclusión y la cohesión social.</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Capítulo Segundo. Entes públicos de aplicación. Establece la entidad encargada de aplicar las reglas, con un enfoque que permita avances medibles, formas de comunicación y herramientas para evaluar su cumplimiento.</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Times New Roman" w:hAnsi="Times New Roman" w:cs="Times New Roman"/>
          <w:sz w:val="24"/>
          <w:szCs w:val="24"/>
        </w:rPr>
      </w:pPr>
      <w:r w:rsidRPr="00CB38AA">
        <w:rPr>
          <w:rFonts w:ascii="Times New Roman" w:eastAsia="Arial" w:hAnsi="Times New Roman" w:cs="Times New Roman"/>
          <w:sz w:val="24"/>
          <w:szCs w:val="24"/>
        </w:rPr>
        <w:lastRenderedPageBreak/>
        <w:t>Capítulo Tercero. Acciones en los municipios. Establece las pautas que deben seguir los municipios para asegurar una implementación efectiva, la creación de espacios y consejos de cultura de paz, así como sistemas de evaluación y colaboración entre instituciones.</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Capítulo Cuarto. Programa Estatal de Promoción de la Paz. Establece las bases para analizar, diseñar y llevar a cabo contenidos y acciones con la participación de diversas personas, incluyendo modelos de enseñanza y aprendizaje que apoyen la implementación del enfoque de cultura de paz.</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Capítulo Quinto. Consejo Consultivo para la Promoción de la Paz. Prevé la creación de un órgano interdisciplinario de consulta y apoyo, encargado de analizar, evaluar y actualizar el Programa Estatal, garantizando su adecuación a las necesidades y dinámicas de la entidad.</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Derivado de lo anterior, se propone la expedición de la Ley de Acceso y Promoción de la Paz en el Estado de México, cuyo objetivo es atender aspiraciones fundamentales de la sociedad: el respeto a los derechos humanos, la seguridad pública y una educación orientada a la convivencia pacífica. Esto implica entender que no es suficiente con aumentar castigos o sanciones, lo esencial es abordar las causas principales de la violencia, proporcionando al Estado herramientas para la prevención a través de la educación, el deporte, la unión familiar y el respeto entre las personas.</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El enfoque de justicia centrado exclusivamente en la sanción, si bien es necesario para perseguir los delitos, no ha logrado consolidar un entorno pacífico en el país ni en la entidad. Por el contrario, los niveles de violencia continúan en aumento, lo que obliga a replantear la estrategia seguida hasta ahora.</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Quienes integramos el Grupo Parlamentario del Partido Verde Ecologista de México, sabemos que apostar por una cultura de paz permitirá formar ciudadanos conscientes, sensibles y comprometidos con la justicia y el bienestar colectivo, privilegiando la conciliación sobre la confrontación y la prevención sobre la persecución.</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Por lo anteriormente expuesto, fundamentado y motivado, sometemos a la consideración de este H. Poder Legislativo del Estado de México, para su análisis, discusión y, en su caso, aprobación, la siguiente: </w:t>
      </w:r>
      <w:r w:rsidRPr="00CB38AA">
        <w:rPr>
          <w:rFonts w:ascii="Times New Roman" w:eastAsia="Arial" w:hAnsi="Times New Roman" w:cs="Times New Roman"/>
          <w:b/>
          <w:sz w:val="24"/>
          <w:szCs w:val="24"/>
        </w:rPr>
        <w:t>INICIATIVA CON PROYECTO DE DECRETO POR EL QUE SE EXPIDE LA LEY ESTATAL DE ACCESO Y PROMOCIÓN DE LA PAZ.</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653C5D">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A T E N T A M E N T E</w:t>
      </w:r>
    </w:p>
    <w:p w:rsidR="00653C5D" w:rsidRPr="00CB38AA" w:rsidRDefault="00DD10C6" w:rsidP="00653C5D">
      <w:pPr>
        <w:spacing w:after="0" w:line="240" w:lineRule="auto"/>
        <w:jc w:val="center"/>
        <w:rPr>
          <w:rFonts w:ascii="Times New Roman" w:eastAsia="Arial" w:hAnsi="Times New Roman" w:cs="Times New Roman"/>
          <w:b/>
          <w:sz w:val="24"/>
          <w:szCs w:val="24"/>
        </w:rPr>
      </w:pPr>
      <w:r w:rsidRPr="00CB38AA">
        <w:rPr>
          <w:rFonts w:ascii="Times New Roman" w:eastAsia="Arial" w:hAnsi="Times New Roman" w:cs="Times New Roman"/>
          <w:b/>
          <w:sz w:val="24"/>
          <w:szCs w:val="24"/>
        </w:rPr>
        <w:t>DIP. JOSÉ ALBERTO COUTTOLENC BUENTELLO</w:t>
      </w:r>
    </w:p>
    <w:p w:rsidR="00DD10C6" w:rsidRPr="00CB38AA" w:rsidRDefault="00DD10C6" w:rsidP="00653C5D">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sz w:val="24"/>
          <w:szCs w:val="24"/>
        </w:rPr>
        <w:t>COORDINADOR DEL GRUPO PARLAMENTARIO DEL PARTIDO VERDE ECOLOGISTA DE MÉXICO</w:t>
      </w:r>
    </w:p>
    <w:p w:rsidR="00DD10C6" w:rsidRPr="00CB38AA" w:rsidRDefault="00DD10C6" w:rsidP="00653C5D">
      <w:pPr>
        <w:spacing w:after="0" w:line="240" w:lineRule="auto"/>
        <w:jc w:val="center"/>
        <w:rPr>
          <w:rFonts w:ascii="Times New Roman" w:eastAsia="Times New Roman" w:hAnsi="Times New Roman" w:cs="Times New Roman"/>
          <w:sz w:val="24"/>
          <w:szCs w:val="24"/>
        </w:rPr>
      </w:pPr>
    </w:p>
    <w:p w:rsidR="00DD10C6" w:rsidRPr="00CB38AA" w:rsidRDefault="00DD10C6" w:rsidP="00653C5D">
      <w:pPr>
        <w:spacing w:after="0" w:line="240" w:lineRule="auto"/>
        <w:jc w:val="both"/>
        <w:rPr>
          <w:rFonts w:ascii="Times New Roman" w:eastAsia="Arial" w:hAnsi="Times New Roman" w:cs="Times New Roman"/>
          <w:b/>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DECRETO NÚMERO</w:t>
      </w:r>
      <w:r w:rsidR="00653C5D" w:rsidRPr="00CB38AA">
        <w:rPr>
          <w:rFonts w:ascii="Times New Roman" w:eastAsia="Arial" w:hAnsi="Times New Roman" w:cs="Times New Roman"/>
          <w:b/>
          <w:sz w:val="24"/>
          <w:szCs w:val="24"/>
        </w:rPr>
        <w:t>. ________</w:t>
      </w:r>
    </w:p>
    <w:p w:rsidR="00A84F0D" w:rsidRPr="00CB38AA" w:rsidRDefault="00DD10C6" w:rsidP="00DF6EEA">
      <w:pPr>
        <w:spacing w:after="0" w:line="240" w:lineRule="auto"/>
        <w:rPr>
          <w:rFonts w:ascii="Times New Roman" w:eastAsia="Arial" w:hAnsi="Times New Roman" w:cs="Times New Roman"/>
          <w:b/>
          <w:sz w:val="24"/>
          <w:szCs w:val="24"/>
        </w:rPr>
      </w:pPr>
      <w:r w:rsidRPr="00CB38AA">
        <w:rPr>
          <w:rFonts w:ascii="Times New Roman" w:eastAsia="Arial" w:hAnsi="Times New Roman" w:cs="Times New Roman"/>
          <w:b/>
          <w:sz w:val="24"/>
          <w:szCs w:val="24"/>
        </w:rPr>
        <w:t>LA LXII LEGISLATURA DEL ESTADO DE MÉXICO</w:t>
      </w:r>
    </w:p>
    <w:p w:rsidR="00DD10C6" w:rsidRPr="00CB38AA" w:rsidRDefault="00DD10C6"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DECRETA:</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ÚNICO. </w:t>
      </w:r>
      <w:r w:rsidRPr="00CB38AA">
        <w:rPr>
          <w:rFonts w:ascii="Times New Roman" w:eastAsia="Arial" w:hAnsi="Times New Roman" w:cs="Times New Roman"/>
          <w:sz w:val="24"/>
          <w:szCs w:val="24"/>
        </w:rPr>
        <w:t>Se expide la Ley Estatal de Acceso y Promoción de la Paz para quedar como sigue:</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653C5D">
      <w:pPr>
        <w:spacing w:after="0" w:line="240" w:lineRule="auto"/>
        <w:jc w:val="center"/>
        <w:rPr>
          <w:rFonts w:ascii="Times New Roman" w:eastAsia="Times New Roman" w:hAnsi="Times New Roman" w:cs="Times New Roman"/>
          <w:sz w:val="24"/>
          <w:szCs w:val="24"/>
        </w:rPr>
      </w:pPr>
    </w:p>
    <w:p w:rsidR="00DD10C6" w:rsidRPr="00CB38AA" w:rsidRDefault="00DD10C6" w:rsidP="00653C5D">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LEY ESTATAL DE ACCESO Y PROMOCIÓN DE LA PAZ</w:t>
      </w:r>
    </w:p>
    <w:p w:rsidR="00DD10C6" w:rsidRPr="00CB38AA" w:rsidRDefault="00DD10C6" w:rsidP="00653C5D">
      <w:pPr>
        <w:spacing w:after="0" w:line="240" w:lineRule="auto"/>
        <w:jc w:val="center"/>
        <w:rPr>
          <w:rFonts w:ascii="Times New Roman" w:eastAsia="Times New Roman" w:hAnsi="Times New Roman" w:cs="Times New Roman"/>
          <w:sz w:val="24"/>
          <w:szCs w:val="24"/>
        </w:rPr>
      </w:pPr>
    </w:p>
    <w:p w:rsidR="00DD10C6" w:rsidRPr="00CB38AA" w:rsidRDefault="00DD10C6" w:rsidP="00653C5D">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CAPÍTULO PRIMERO DEL OBJETO DE LA LEY</w:t>
      </w:r>
    </w:p>
    <w:p w:rsidR="00DD10C6" w:rsidRPr="00CB38AA" w:rsidRDefault="00DD10C6" w:rsidP="00653C5D">
      <w:pPr>
        <w:spacing w:after="0" w:line="240" w:lineRule="auto"/>
        <w:jc w:val="center"/>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1. </w:t>
      </w:r>
      <w:r w:rsidRPr="00CB38AA">
        <w:rPr>
          <w:rFonts w:ascii="Times New Roman" w:eastAsia="Arial" w:hAnsi="Times New Roman" w:cs="Times New Roman"/>
          <w:sz w:val="24"/>
          <w:szCs w:val="24"/>
        </w:rPr>
        <w:t>La presente Ley es de orden público, interés social y observancia general en el territorio del Estado de México y sus municipios. Tiene por objeto reconocer, respetar, proteger, promover y garantizar el acceso y la promoción de la paz como un derecho humano, así como establecer las bases, principios, mecanismos y competencias institucionales para su implementación, de conformidad con la Constitución y los tratados internacionales en materia de derechos humanos.</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2. </w:t>
      </w:r>
      <w:r w:rsidRPr="00CB38AA">
        <w:rPr>
          <w:rFonts w:ascii="Times New Roman" w:eastAsia="Arial" w:hAnsi="Times New Roman" w:cs="Times New Roman"/>
          <w:sz w:val="24"/>
          <w:szCs w:val="24"/>
        </w:rPr>
        <w:t>El Derecho Humano a la Paz se concibe como un proceso dinámico y permanente orientado al desarrollo económico, social, cultural y humano, indispensable para la satisfacción de las necesidades fundamentales de las personas y comunidades, así como para el pleno respeto de la dignidad humana y de todos los derechos humanos.</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 paz no se limita a la ausencia de conflictos armados, internos o internacionales, sino que implica la creación de condiciones estructurales, institucionales y sociales que permitan la convivencia armónica, democrática e inclusiva; la justicia social y la transformación pacífica de los conflictos. La cual tiene los siguientes objetivos:</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ind w:left="851" w:hanging="511"/>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w:t>
      </w:r>
      <w:r w:rsidRPr="00CB38AA">
        <w:rPr>
          <w:rFonts w:ascii="Times New Roman" w:eastAsia="Arial" w:hAnsi="Times New Roman" w:cs="Times New Roman"/>
          <w:sz w:val="24"/>
          <w:szCs w:val="24"/>
        </w:rPr>
        <w:tab/>
        <w:t xml:space="preserve">Erradicar cualquier ejercicio de violencia directa que atente contra la integridad de las personas o colectividades, regulando el uso legítimo de la fuerza, fomentando </w:t>
      </w:r>
      <w:r w:rsidRPr="00CB38AA">
        <w:rPr>
          <w:rFonts w:ascii="Times New Roman" w:eastAsia="Times New Roman" w:hAnsi="Times New Roman" w:cs="Times New Roman"/>
          <w:noProof/>
          <w:sz w:val="24"/>
          <w:szCs w:val="24"/>
        </w:rPr>
        <mc:AlternateContent>
          <mc:Choice Requires="wpg">
            <w:drawing>
              <wp:anchor distT="0" distB="0" distL="114300" distR="114300" simplePos="0" relativeHeight="251662336" behindDoc="1" locked="0" layoutInCell="1" allowOverlap="1">
                <wp:simplePos x="0" y="0"/>
                <wp:positionH relativeFrom="page">
                  <wp:posOffset>1118235</wp:posOffset>
                </wp:positionH>
                <wp:positionV relativeFrom="paragraph">
                  <wp:posOffset>12065</wp:posOffset>
                </wp:positionV>
                <wp:extent cx="5764530" cy="537210"/>
                <wp:effectExtent l="0" t="0" r="0" b="0"/>
                <wp:wrapNone/>
                <wp:docPr id="27" name="Grupo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4530" cy="537210"/>
                          <a:chOff x="1761" y="19"/>
                          <a:chExt cx="9078" cy="846"/>
                        </a:xfrm>
                      </wpg:grpSpPr>
                      <wps:wsp>
                        <wps:cNvPr id="28" name="Freeform 20"/>
                        <wps:cNvSpPr>
                          <a:spLocks/>
                        </wps:cNvSpPr>
                        <wps:spPr bwMode="auto">
                          <a:xfrm>
                            <a:off x="1771" y="29"/>
                            <a:ext cx="9058" cy="413"/>
                          </a:xfrm>
                          <a:custGeom>
                            <a:avLst/>
                            <a:gdLst>
                              <a:gd name="T0" fmla="+- 0 1771 1771"/>
                              <a:gd name="T1" fmla="*/ T0 w 9058"/>
                              <a:gd name="T2" fmla="+- 0 29 29"/>
                              <a:gd name="T3" fmla="*/ 29 h 413"/>
                              <a:gd name="T4" fmla="+- 0 1771 1771"/>
                              <a:gd name="T5" fmla="*/ T4 w 9058"/>
                              <a:gd name="T6" fmla="+- 0 441 29"/>
                              <a:gd name="T7" fmla="*/ 441 h 413"/>
                              <a:gd name="T8" fmla="+- 0 10829 1771"/>
                              <a:gd name="T9" fmla="*/ T8 w 9058"/>
                              <a:gd name="T10" fmla="+- 0 441 29"/>
                              <a:gd name="T11" fmla="*/ 441 h 413"/>
                              <a:gd name="T12" fmla="+- 0 10829 1771"/>
                              <a:gd name="T13" fmla="*/ T12 w 9058"/>
                              <a:gd name="T14" fmla="+- 0 29 29"/>
                              <a:gd name="T15" fmla="*/ 29 h 413"/>
                              <a:gd name="T16" fmla="+- 0 1771 1771"/>
                              <a:gd name="T17" fmla="*/ T16 w 9058"/>
                              <a:gd name="T18" fmla="+- 0 29 29"/>
                              <a:gd name="T19" fmla="*/ 29 h 413"/>
                            </a:gdLst>
                            <a:ahLst/>
                            <a:cxnLst>
                              <a:cxn ang="0">
                                <a:pos x="T1" y="T3"/>
                              </a:cxn>
                              <a:cxn ang="0">
                                <a:pos x="T5" y="T7"/>
                              </a:cxn>
                              <a:cxn ang="0">
                                <a:pos x="T9" y="T11"/>
                              </a:cxn>
                              <a:cxn ang="0">
                                <a:pos x="T13" y="T15"/>
                              </a:cxn>
                              <a:cxn ang="0">
                                <a:pos x="T17" y="T19"/>
                              </a:cxn>
                            </a:cxnLst>
                            <a:rect l="0" t="0" r="r" b="b"/>
                            <a:pathLst>
                              <a:path w="9058" h="413">
                                <a:moveTo>
                                  <a:pt x="0" y="0"/>
                                </a:moveTo>
                                <a:lnTo>
                                  <a:pt x="0" y="412"/>
                                </a:lnTo>
                                <a:lnTo>
                                  <a:pt x="9058" y="412"/>
                                </a:lnTo>
                                <a:lnTo>
                                  <a:pt x="9058"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21"/>
                        <wps:cNvSpPr>
                          <a:spLocks/>
                        </wps:cNvSpPr>
                        <wps:spPr bwMode="auto">
                          <a:xfrm>
                            <a:off x="1771" y="441"/>
                            <a:ext cx="9058" cy="413"/>
                          </a:xfrm>
                          <a:custGeom>
                            <a:avLst/>
                            <a:gdLst>
                              <a:gd name="T0" fmla="+- 0 1771 1771"/>
                              <a:gd name="T1" fmla="*/ T0 w 9058"/>
                              <a:gd name="T2" fmla="+- 0 441 441"/>
                              <a:gd name="T3" fmla="*/ 441 h 413"/>
                              <a:gd name="T4" fmla="+- 0 1771 1771"/>
                              <a:gd name="T5" fmla="*/ T4 w 9058"/>
                              <a:gd name="T6" fmla="+- 0 854 441"/>
                              <a:gd name="T7" fmla="*/ 854 h 413"/>
                              <a:gd name="T8" fmla="+- 0 10829 1771"/>
                              <a:gd name="T9" fmla="*/ T8 w 9058"/>
                              <a:gd name="T10" fmla="+- 0 854 441"/>
                              <a:gd name="T11" fmla="*/ 854 h 413"/>
                              <a:gd name="T12" fmla="+- 0 10829 1771"/>
                              <a:gd name="T13" fmla="*/ T12 w 9058"/>
                              <a:gd name="T14" fmla="+- 0 441 441"/>
                              <a:gd name="T15" fmla="*/ 441 h 413"/>
                              <a:gd name="T16" fmla="+- 0 1771 1771"/>
                              <a:gd name="T17" fmla="*/ T16 w 9058"/>
                              <a:gd name="T18" fmla="+- 0 441 441"/>
                              <a:gd name="T19" fmla="*/ 441 h 413"/>
                            </a:gdLst>
                            <a:ahLst/>
                            <a:cxnLst>
                              <a:cxn ang="0">
                                <a:pos x="T1" y="T3"/>
                              </a:cxn>
                              <a:cxn ang="0">
                                <a:pos x="T5" y="T7"/>
                              </a:cxn>
                              <a:cxn ang="0">
                                <a:pos x="T9" y="T11"/>
                              </a:cxn>
                              <a:cxn ang="0">
                                <a:pos x="T13" y="T15"/>
                              </a:cxn>
                              <a:cxn ang="0">
                                <a:pos x="T17" y="T19"/>
                              </a:cxn>
                            </a:cxnLst>
                            <a:rect l="0" t="0" r="r" b="b"/>
                            <a:pathLst>
                              <a:path w="9058" h="413">
                                <a:moveTo>
                                  <a:pt x="0" y="0"/>
                                </a:moveTo>
                                <a:lnTo>
                                  <a:pt x="0" y="413"/>
                                </a:lnTo>
                                <a:lnTo>
                                  <a:pt x="9058" y="413"/>
                                </a:lnTo>
                                <a:lnTo>
                                  <a:pt x="9058"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682E98" id="Grupo 27" o:spid="_x0000_s1026" style="position:absolute;margin-left:88.05pt;margin-top:.95pt;width:453.9pt;height:42.3pt;z-index:-251654144;mso-position-horizontal-relative:page" coordorigin="1761,19" coordsize="9078,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">
                <v:shape id="Freeform 20" o:spid="_x0000_s1027" style="position:absolute;left:1771;top:29;width:9058;height:413;visibility:visible;mso-wrap-style:square;v-text-anchor:top" coordsize="9058,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" path="m,l,412r9058,l9058,,,xe" stroked="f">
                  <v:path arrowok="t" o:connecttype="custom" o:connectlocs="0,29;0,441;9058,441;9058,29;0,29" o:connectangles="0,0,0,0,0"/>
                </v:shape>
                <v:shape id="Freeform 21" o:spid="_x0000_s1028" style="position:absolute;left:1771;top:441;width:9058;height:413;visibility:visible;mso-wrap-style:square;v-text-anchor:top" coordsize="9058,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" path="m,l,413r9058,l9058,,,xe" stroked="f">
                  <v:path arrowok="t" o:connecttype="custom" o:connectlocs="0,441;0,854;9058,854;9058,441;0,441" o:connectangles="0,0,0,0,0"/>
                </v:shape>
                <w10:wrap anchorx="page"/>
              </v:group>
            </w:pict>
          </mc:Fallback>
        </mc:AlternateContent>
      </w:r>
      <w:r w:rsidRPr="00CB38AA">
        <w:rPr>
          <w:rFonts w:ascii="Times New Roman" w:eastAsia="Arial" w:hAnsi="Times New Roman" w:cs="Times New Roman"/>
          <w:sz w:val="24"/>
          <w:szCs w:val="24"/>
        </w:rPr>
        <w:t>mecanismos de transformación pacífica de los conflictos y estableciendo políticas integrales de control y reducción de armas de fuego;</w:t>
      </w:r>
    </w:p>
    <w:p w:rsidR="00DD10C6" w:rsidRPr="00CB38AA" w:rsidRDefault="00DD10C6" w:rsidP="00DF6EEA">
      <w:pPr>
        <w:spacing w:after="0" w:line="240" w:lineRule="auto"/>
        <w:ind w:left="900" w:hanging="560"/>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II.</w:t>
      </w:r>
      <w:r w:rsidRPr="00CB38AA">
        <w:rPr>
          <w:rFonts w:ascii="Times New Roman" w:eastAsia="Arial" w:hAnsi="Times New Roman" w:cs="Times New Roman"/>
          <w:sz w:val="24"/>
          <w:szCs w:val="24"/>
        </w:rPr>
        <w:tab/>
        <w:t>Satisfacer las necesidades básicas de todos los seres humanos, con la finalidad de erradicar la violencia estructural originada en las desigualdades económicas y sociales existentes en el Estado;</w:t>
      </w:r>
    </w:p>
    <w:p w:rsidR="00DD10C6" w:rsidRPr="00CB38AA" w:rsidRDefault="00DD10C6" w:rsidP="00DF6EEA">
      <w:pPr>
        <w:spacing w:after="0" w:line="240" w:lineRule="auto"/>
        <w:ind w:left="900" w:hanging="627"/>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III.</w:t>
      </w:r>
      <w:r w:rsidRPr="00CB38AA">
        <w:rPr>
          <w:rFonts w:ascii="Times New Roman" w:eastAsia="Arial" w:hAnsi="Times New Roman" w:cs="Times New Roman"/>
          <w:sz w:val="24"/>
          <w:szCs w:val="24"/>
        </w:rPr>
        <w:tab/>
        <w:t>Eliminar la violencia cultural que engloba la violencia de género, intrafamiliar, en los ámbitos educacional, laboral y vecinal; y en todos los ámbitos de las relaciones sociales; y</w:t>
      </w:r>
    </w:p>
    <w:p w:rsidR="00DD10C6" w:rsidRPr="00CB38AA" w:rsidRDefault="00DD10C6" w:rsidP="00DF6EEA">
      <w:pPr>
        <w:spacing w:after="0" w:line="240" w:lineRule="auto"/>
        <w:ind w:left="900" w:hanging="653"/>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IV.</w:t>
      </w:r>
      <w:r w:rsidRPr="00CB38AA">
        <w:rPr>
          <w:rFonts w:ascii="Times New Roman" w:eastAsia="Arial" w:hAnsi="Times New Roman" w:cs="Times New Roman"/>
          <w:sz w:val="24"/>
          <w:szCs w:val="24"/>
        </w:rPr>
        <w:tab/>
        <w:t>Garantizar el efectivo respeto a los derechos humanos y libertades fundamentales de todas las personas sin discriminación alguna.</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3. </w:t>
      </w:r>
      <w:r w:rsidRPr="00CB38AA">
        <w:rPr>
          <w:rFonts w:ascii="Times New Roman" w:eastAsia="Arial" w:hAnsi="Times New Roman" w:cs="Times New Roman"/>
          <w:sz w:val="24"/>
          <w:szCs w:val="24"/>
        </w:rPr>
        <w:t>La presente Ley tiene por objeto establecer los principios rectores, ámbitos de acción y mecanismos institucionales para el acceso y la promoción de la paz en el Estado de México. Esto se logrará mediante acciones coordinadas entre el Estado y los municipios, orientadas a la implementación de políticas públicas, planes y programas con enfoque de cultura de paz y con perspectiva de derechos humanos y género.</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4. </w:t>
      </w:r>
      <w:r w:rsidRPr="00CB38AA">
        <w:rPr>
          <w:rFonts w:ascii="Times New Roman" w:eastAsia="Arial" w:hAnsi="Times New Roman" w:cs="Times New Roman"/>
          <w:sz w:val="24"/>
          <w:szCs w:val="24"/>
        </w:rPr>
        <w:t>La promoción de la paz es transversal tanto a nivel gubernamental como para las relaciones entre las personas en el Estado de México, el cual se desarrollará y aplicará en el marco de los siguientes principios:</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I. Construcción permanente de la cultura de paz;</w:t>
      </w:r>
    </w:p>
    <w:p w:rsidR="00DD10C6" w:rsidRPr="00CB38AA" w:rsidRDefault="00DD10C6"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II. Corresponsabilidad;</w:t>
      </w: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III. Democracia;</w:t>
      </w:r>
    </w:p>
    <w:p w:rsidR="00DD10C6" w:rsidRPr="00CB38AA" w:rsidRDefault="00DD10C6"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IV. Desarrollo sustentable y sostenible;</w:t>
      </w:r>
    </w:p>
    <w:p w:rsidR="00DD10C6" w:rsidRPr="00CB38AA" w:rsidRDefault="00DD10C6"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V. Derechos humanos;</w:t>
      </w: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VI. Eliminación de las desigualdades;</w:t>
      </w:r>
    </w:p>
    <w:p w:rsidR="00DD10C6" w:rsidRPr="00CB38AA" w:rsidRDefault="00DD10C6"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VII. Gobernanza y participación ciudadana;</w:t>
      </w:r>
    </w:p>
    <w:p w:rsidR="00DD10C6" w:rsidRPr="00CB38AA" w:rsidRDefault="00DD10C6"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lastRenderedPageBreak/>
        <w:t>VIII. Inclusión;</w:t>
      </w: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IX. Laicismo;</w:t>
      </w:r>
    </w:p>
    <w:p w:rsidR="00DD10C6" w:rsidRPr="00CB38AA" w:rsidRDefault="00DD10C6" w:rsidP="00DF6EEA">
      <w:pPr>
        <w:spacing w:after="0" w:line="240" w:lineRule="auto"/>
        <w:rPr>
          <w:rFonts w:ascii="Times New Roman" w:eastAsia="Times New Roman" w:hAnsi="Times New Roman" w:cs="Times New Roman"/>
          <w:sz w:val="24"/>
          <w:szCs w:val="24"/>
        </w:rPr>
      </w:pPr>
      <w:r w:rsidRPr="00CB38AA">
        <w:rPr>
          <w:rFonts w:ascii="Times New Roman" w:eastAsia="Arial" w:hAnsi="Times New Roman" w:cs="Times New Roman"/>
          <w:sz w:val="24"/>
          <w:szCs w:val="24"/>
        </w:rPr>
        <w:t>X. Mediación y conciliación en la gestión de conflictos que prevé la legislación estatal;</w:t>
      </w:r>
    </w:p>
    <w:p w:rsidR="00DD10C6" w:rsidRPr="00CB38AA" w:rsidRDefault="00DD10C6"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XI. Pluralidad;</w:t>
      </w:r>
    </w:p>
    <w:p w:rsidR="00DD10C6" w:rsidRPr="00CB38AA" w:rsidRDefault="00DD10C6"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XII. Respeto al estado de derecho;</w:t>
      </w:r>
    </w:p>
    <w:p w:rsidR="00DD10C6" w:rsidRPr="00CB38AA" w:rsidRDefault="00DD10C6"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XIII. Tolerancia;</w:t>
      </w:r>
    </w:p>
    <w:p w:rsidR="00DD10C6" w:rsidRPr="00CB38AA" w:rsidRDefault="00DD10C6"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XIV. Transparencia y rendición de cuentas; y</w:t>
      </w:r>
    </w:p>
    <w:p w:rsidR="00DD10C6" w:rsidRPr="00CB38AA" w:rsidRDefault="00DD10C6"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XV. Las demás que señalen otros ordenamientos.</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5. </w:t>
      </w:r>
      <w:r w:rsidRPr="00CB38AA">
        <w:rPr>
          <w:rFonts w:ascii="Times New Roman" w:eastAsia="Arial" w:hAnsi="Times New Roman" w:cs="Times New Roman"/>
          <w:sz w:val="24"/>
          <w:szCs w:val="24"/>
        </w:rPr>
        <w:t>Para los efectos de la presente ley se entiende por:</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ind w:left="993" w:hanging="566"/>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w:t>
      </w:r>
      <w:r w:rsidRPr="00CB38AA">
        <w:rPr>
          <w:rFonts w:ascii="Times New Roman" w:eastAsia="Arial" w:hAnsi="Times New Roman" w:cs="Times New Roman"/>
          <w:sz w:val="24"/>
          <w:szCs w:val="24"/>
        </w:rPr>
        <w:tab/>
        <w:t>Ciudadanía: Dentro del marco de construcción del acceso y promoción de la paz y la seguridad humana, se entiende por ciudadanía el empoderamiento que cada persona adquiere cuando asume, de manera consciente, los derechos y obligaciones necesarios para la construcción de su entorno político-social;</w:t>
      </w:r>
    </w:p>
    <w:p w:rsidR="00DD10C6" w:rsidRPr="00CB38AA" w:rsidRDefault="00DD10C6" w:rsidP="00DF6EEA">
      <w:pPr>
        <w:spacing w:after="0" w:line="240" w:lineRule="auto"/>
        <w:ind w:left="993" w:hanging="566"/>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II.</w:t>
      </w:r>
      <w:r w:rsidRPr="00CB38AA">
        <w:rPr>
          <w:rFonts w:ascii="Times New Roman" w:eastAsia="Arial" w:hAnsi="Times New Roman" w:cs="Times New Roman"/>
          <w:sz w:val="24"/>
          <w:szCs w:val="24"/>
        </w:rPr>
        <w:tab/>
        <w:t>Conflicto: Fenómeno social inherente, inevitable, dinámico, multicausal y complejo que surge ante la contraposición de intereses, necesidades u objetivos entre personas o grupos;</w:t>
      </w:r>
    </w:p>
    <w:p w:rsidR="00DD10C6" w:rsidRPr="00CB38AA" w:rsidRDefault="00DD10C6" w:rsidP="00DF6EEA">
      <w:pPr>
        <w:spacing w:after="0" w:line="240" w:lineRule="auto"/>
        <w:ind w:left="993" w:hanging="566"/>
        <w:rPr>
          <w:rFonts w:ascii="Times New Roman" w:eastAsia="Arial" w:hAnsi="Times New Roman" w:cs="Times New Roman"/>
          <w:sz w:val="24"/>
          <w:szCs w:val="24"/>
        </w:rPr>
      </w:pPr>
      <w:r w:rsidRPr="00CB38AA">
        <w:rPr>
          <w:rFonts w:ascii="Times New Roman" w:eastAsia="Arial" w:hAnsi="Times New Roman" w:cs="Times New Roman"/>
          <w:sz w:val="24"/>
          <w:szCs w:val="24"/>
        </w:rPr>
        <w:t>III.</w:t>
      </w:r>
      <w:r w:rsidRPr="00CB38AA">
        <w:rPr>
          <w:rFonts w:ascii="Times New Roman" w:eastAsia="Arial" w:hAnsi="Times New Roman" w:cs="Times New Roman"/>
          <w:sz w:val="24"/>
          <w:szCs w:val="24"/>
        </w:rPr>
        <w:tab/>
        <w:t>Consejo Consultivo: Consejo Consultivo Ciudadano para la Cultura de Paz;</w:t>
      </w:r>
    </w:p>
    <w:p w:rsidR="00DD10C6" w:rsidRPr="00CB38AA" w:rsidRDefault="00DD10C6" w:rsidP="00DF6EEA">
      <w:pPr>
        <w:spacing w:after="0" w:line="240" w:lineRule="auto"/>
        <w:ind w:left="993" w:hanging="566"/>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IV.</w:t>
      </w:r>
      <w:r w:rsidRPr="00CB38AA">
        <w:rPr>
          <w:rFonts w:ascii="Times New Roman" w:eastAsia="Arial" w:hAnsi="Times New Roman" w:cs="Times New Roman"/>
          <w:sz w:val="24"/>
          <w:szCs w:val="24"/>
        </w:rPr>
        <w:tab/>
        <w:t>Consejos: Consejos Municipales de Participación Ciudadana para la Gobernanza y la Paz;</w:t>
      </w:r>
    </w:p>
    <w:p w:rsidR="00DD10C6" w:rsidRPr="00CB38AA" w:rsidRDefault="00DD10C6" w:rsidP="00DF6EEA">
      <w:pPr>
        <w:spacing w:after="0" w:line="240" w:lineRule="auto"/>
        <w:ind w:left="993" w:hanging="566"/>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V.</w:t>
      </w:r>
      <w:r w:rsidRPr="00CB38AA">
        <w:rPr>
          <w:rFonts w:ascii="Times New Roman" w:eastAsia="Arial" w:hAnsi="Times New Roman" w:cs="Times New Roman"/>
          <w:sz w:val="24"/>
          <w:szCs w:val="24"/>
        </w:rPr>
        <w:tab/>
        <w:t>Cultura de violencia: Conjunto de valores y comportamientos sociales que glorifican, idealizan o naturalizan el uso de la fuerza y la violencia, asociada a creencias de superioridad;</w:t>
      </w:r>
    </w:p>
    <w:p w:rsidR="00DD10C6" w:rsidRPr="00CB38AA" w:rsidRDefault="00DD10C6" w:rsidP="00DF6EEA">
      <w:pPr>
        <w:spacing w:after="0" w:line="240" w:lineRule="auto"/>
        <w:ind w:left="993" w:hanging="566"/>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VI.</w:t>
      </w:r>
      <w:r w:rsidRPr="00CB38AA">
        <w:rPr>
          <w:rFonts w:ascii="Times New Roman" w:eastAsia="Arial" w:hAnsi="Times New Roman" w:cs="Times New Roman"/>
          <w:sz w:val="24"/>
          <w:szCs w:val="24"/>
        </w:rPr>
        <w:tab/>
        <w:t>Educación para la paz: Categoría de la cultura de paz que desarrolla habilidades y aptitudes para aprender a vivir en y para el conflicto, comprendiéndolo como inherente al ser humano y una oportunidad para su transformación;</w:t>
      </w:r>
    </w:p>
    <w:p w:rsidR="00DD10C6" w:rsidRPr="00CB38AA" w:rsidRDefault="00DD10C6" w:rsidP="00DF6EEA">
      <w:pPr>
        <w:spacing w:after="0" w:line="240" w:lineRule="auto"/>
        <w:ind w:left="993" w:hanging="567"/>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VII.</w:t>
      </w:r>
      <w:r w:rsidRPr="00CB38AA">
        <w:rPr>
          <w:rFonts w:ascii="Times New Roman" w:eastAsia="Arial" w:hAnsi="Times New Roman" w:cs="Times New Roman"/>
          <w:sz w:val="24"/>
          <w:szCs w:val="24"/>
        </w:rPr>
        <w:tab/>
        <w:t>Espacios de paz: Lugares de carácter público destinados al encuentro colectivo, que generan sentido de pertenencia y fortalecen la organización comunitaria desde la cultura de paz, la seguridad humana y el respeto pleno a los derechos humanos;</w:t>
      </w:r>
    </w:p>
    <w:p w:rsidR="00DD10C6" w:rsidRPr="00CB38AA" w:rsidRDefault="00DD10C6" w:rsidP="00DF6EEA">
      <w:pPr>
        <w:spacing w:after="0" w:line="240" w:lineRule="auto"/>
        <w:ind w:left="993" w:hanging="567"/>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VIII.</w:t>
      </w:r>
      <w:r w:rsidRPr="00CB38AA">
        <w:rPr>
          <w:rFonts w:ascii="Times New Roman" w:eastAsia="Arial" w:hAnsi="Times New Roman" w:cs="Times New Roman"/>
          <w:sz w:val="24"/>
          <w:szCs w:val="24"/>
        </w:rPr>
        <w:tab/>
        <w:t>No violencia: Acción ética consciente que rechaza todo tipo de violencia, pues tiene como recurso primordial el diálogo y la comunicación para lograr un empoderamiento y la transformación pacífica de los conflictos;</w:t>
      </w:r>
    </w:p>
    <w:p w:rsidR="00DD10C6" w:rsidRPr="00CB38AA" w:rsidRDefault="00DD10C6" w:rsidP="00DF6EEA">
      <w:pPr>
        <w:spacing w:after="0" w:line="240" w:lineRule="auto"/>
        <w:ind w:left="993" w:hanging="567"/>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IX.</w:t>
      </w:r>
      <w:r w:rsidRPr="00CB38AA">
        <w:rPr>
          <w:rFonts w:ascii="Times New Roman" w:eastAsia="Arial" w:hAnsi="Times New Roman" w:cs="Times New Roman"/>
          <w:sz w:val="24"/>
          <w:szCs w:val="24"/>
        </w:rPr>
        <w:tab/>
        <w:t>Paz: Vivencia comunitaria que genera bienestar, equilibrio y armonía entre personas, comunidades y sociedades, a través de un proceso continuo, permanente, imperfecto e inacabable basado en la justicia social, equidad, derechos humanos y dignidad;</w:t>
      </w:r>
    </w:p>
    <w:p w:rsidR="00DD10C6" w:rsidRPr="00CB38AA" w:rsidRDefault="00DD10C6" w:rsidP="00DF6EEA">
      <w:pPr>
        <w:spacing w:after="0" w:line="240" w:lineRule="auto"/>
        <w:ind w:left="993" w:hanging="567"/>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X.</w:t>
      </w:r>
      <w:r w:rsidRPr="00CB38AA">
        <w:rPr>
          <w:rFonts w:ascii="Times New Roman" w:eastAsia="Arial" w:hAnsi="Times New Roman" w:cs="Times New Roman"/>
          <w:sz w:val="24"/>
          <w:szCs w:val="24"/>
        </w:rPr>
        <w:tab/>
        <w:t>Prevención de las violencias: Construcción de estrategias y acciones orientadas a disminuir factores de riesgo y fortalecer factores de protección en personas, grupos y comunidades;</w:t>
      </w:r>
    </w:p>
    <w:p w:rsidR="00DD10C6" w:rsidRPr="00CB38AA" w:rsidRDefault="00DD10C6" w:rsidP="00DF6EEA">
      <w:pPr>
        <w:spacing w:after="0" w:line="240" w:lineRule="auto"/>
        <w:ind w:left="993" w:hanging="567"/>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XI.</w:t>
      </w:r>
      <w:r w:rsidRPr="00CB38AA">
        <w:rPr>
          <w:rFonts w:ascii="Times New Roman" w:eastAsia="Arial" w:hAnsi="Times New Roman" w:cs="Times New Roman"/>
          <w:sz w:val="24"/>
          <w:szCs w:val="24"/>
        </w:rPr>
        <w:tab/>
        <w:t>Programa: Programa Estatal de Promoción de la Paz;</w:t>
      </w:r>
    </w:p>
    <w:p w:rsidR="00DD10C6" w:rsidRPr="00CB38AA" w:rsidRDefault="00DD10C6" w:rsidP="00DF6EEA">
      <w:pPr>
        <w:spacing w:after="0" w:line="240" w:lineRule="auto"/>
        <w:ind w:left="993" w:hanging="567"/>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XII.</w:t>
      </w:r>
      <w:r w:rsidRPr="00CB38AA">
        <w:rPr>
          <w:rFonts w:ascii="Times New Roman" w:eastAsia="Arial" w:hAnsi="Times New Roman" w:cs="Times New Roman"/>
          <w:sz w:val="24"/>
          <w:szCs w:val="24"/>
        </w:rPr>
        <w:tab/>
        <w:t>Promoción de la paz: Estilos de vida, patrones de creencias, valores y comportamientos orientados a la construcción de la paz y la transformación pacífica de los conflictos;</w:t>
      </w:r>
    </w:p>
    <w:p w:rsidR="00DD10C6" w:rsidRPr="00CB38AA" w:rsidRDefault="00DD10C6" w:rsidP="00DF6EEA">
      <w:pPr>
        <w:spacing w:after="0" w:line="240" w:lineRule="auto"/>
        <w:ind w:left="993" w:hanging="567"/>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XIII.</w:t>
      </w:r>
      <w:r w:rsidRPr="00CB38AA">
        <w:rPr>
          <w:rFonts w:ascii="Times New Roman" w:eastAsia="Arial" w:hAnsi="Times New Roman" w:cs="Times New Roman"/>
          <w:sz w:val="24"/>
          <w:szCs w:val="24"/>
        </w:rPr>
        <w:tab/>
        <w:t>Secretaría: Secretaría General de Gobierno;</w:t>
      </w:r>
    </w:p>
    <w:p w:rsidR="00DD10C6" w:rsidRPr="00CB38AA" w:rsidRDefault="00DD10C6" w:rsidP="00DF6EEA">
      <w:pPr>
        <w:spacing w:after="0" w:line="240" w:lineRule="auto"/>
        <w:ind w:left="993" w:hanging="567"/>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XIV.</w:t>
      </w:r>
      <w:r w:rsidRPr="00CB38AA">
        <w:rPr>
          <w:rFonts w:ascii="Times New Roman" w:eastAsia="Arial" w:hAnsi="Times New Roman" w:cs="Times New Roman"/>
          <w:sz w:val="24"/>
          <w:szCs w:val="24"/>
        </w:rPr>
        <w:tab/>
        <w:t>Violencias: Privación de derechos humanos fundamentales, reconocida en las siguientes formas:</w:t>
      </w:r>
    </w:p>
    <w:p w:rsidR="00DD10C6" w:rsidRPr="00CB38AA" w:rsidRDefault="00DD10C6" w:rsidP="00DF6EEA">
      <w:pPr>
        <w:spacing w:after="0" w:line="240" w:lineRule="auto"/>
        <w:ind w:left="920" w:hanging="814"/>
        <w:jc w:val="both"/>
        <w:rPr>
          <w:rFonts w:ascii="Times New Roman" w:eastAsia="Arial" w:hAnsi="Times New Roman" w:cs="Times New Roman"/>
          <w:sz w:val="24"/>
          <w:szCs w:val="24"/>
        </w:rPr>
      </w:pPr>
    </w:p>
    <w:p w:rsidR="00DD10C6" w:rsidRPr="00CB38AA" w:rsidRDefault="00DD10C6" w:rsidP="00DF6EEA">
      <w:pPr>
        <w:spacing w:after="0" w:line="240" w:lineRule="auto"/>
        <w:ind w:left="1640" w:hanging="360"/>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a. Violencia Directa: Es toda aquella agresión que daña física, emocional y psicológicamente a las personas o colectividades, atentando contra su dignidad;</w:t>
      </w:r>
    </w:p>
    <w:p w:rsidR="00DD10C6" w:rsidRPr="00CB38AA" w:rsidRDefault="00DD10C6" w:rsidP="00DF6EEA">
      <w:pPr>
        <w:spacing w:after="0" w:line="240" w:lineRule="auto"/>
        <w:ind w:left="1640" w:hanging="360"/>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lastRenderedPageBreak/>
        <w:t>b. Violencia Estructural: Es aquella que se origina por todo un conjunto de estructuras, instituciones y organizaciones, pues no permiten la satisfacción de las necesidades, causando en ello la estratificación social, desigualdad e inequidad;</w:t>
      </w:r>
    </w:p>
    <w:p w:rsidR="00DD10C6" w:rsidRPr="00CB38AA" w:rsidRDefault="00DD10C6" w:rsidP="00DF6EEA">
      <w:pPr>
        <w:spacing w:after="0" w:line="240" w:lineRule="auto"/>
        <w:ind w:left="1640" w:hanging="360"/>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c. Violencia Cultural: Son aquellas ideas, creencias y normas que legitiman y promueven la violencia directa y estructural, además de inhibir y reprimir la respuesta de quienes la sufren, lo que genera una condición de naturalización de las violencias;</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Times New Roman" w:hAnsi="Times New Roman" w:cs="Times New Roman"/>
          <w:sz w:val="24"/>
          <w:szCs w:val="24"/>
        </w:rPr>
      </w:pPr>
      <w:r w:rsidRPr="00CB38AA">
        <w:rPr>
          <w:rFonts w:ascii="Times New Roman" w:eastAsia="Arial" w:hAnsi="Times New Roman" w:cs="Times New Roman"/>
          <w:b/>
          <w:sz w:val="24"/>
          <w:szCs w:val="24"/>
        </w:rPr>
        <w:t xml:space="preserve">Artículo 6. </w:t>
      </w:r>
      <w:r w:rsidRPr="00CB38AA">
        <w:rPr>
          <w:rFonts w:ascii="Times New Roman" w:eastAsia="Arial" w:hAnsi="Times New Roman" w:cs="Times New Roman"/>
          <w:sz w:val="24"/>
          <w:szCs w:val="24"/>
        </w:rPr>
        <w:t>Se consideran como ámbitos de aplicación de especial interés para la construcción de cultura de paz los que se enlistan a continuación de forma enunciativa, mas no limitativa:</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ind w:left="820" w:hanging="720"/>
        <w:jc w:val="both"/>
        <w:rPr>
          <w:rFonts w:ascii="Times New Roman" w:eastAsia="Arial" w:hAnsi="Times New Roman" w:cs="Times New Roman"/>
          <w:sz w:val="24"/>
          <w:szCs w:val="24"/>
        </w:rPr>
      </w:pPr>
      <w:r w:rsidRPr="00CB38AA">
        <w:rPr>
          <w:rFonts w:ascii="Times New Roman" w:eastAsia="Times New Roman" w:hAnsi="Times New Roman" w:cs="Times New Roman"/>
          <w:noProof/>
          <w:sz w:val="24"/>
          <w:szCs w:val="24"/>
        </w:rPr>
        <mc:AlternateContent>
          <mc:Choice Requires="wpg">
            <w:drawing>
              <wp:anchor distT="0" distB="0" distL="114300" distR="114300" simplePos="0" relativeHeight="251663360" behindDoc="1" locked="0" layoutInCell="1" allowOverlap="1">
                <wp:simplePos x="0" y="0"/>
                <wp:positionH relativeFrom="page">
                  <wp:posOffset>1118235</wp:posOffset>
                </wp:positionH>
                <wp:positionV relativeFrom="paragraph">
                  <wp:posOffset>12065</wp:posOffset>
                </wp:positionV>
                <wp:extent cx="5764530" cy="537210"/>
                <wp:effectExtent l="0" t="0" r="0" b="0"/>
                <wp:wrapNone/>
                <wp:docPr id="24" name="Grupo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4530" cy="537210"/>
                          <a:chOff x="1761" y="19"/>
                          <a:chExt cx="9078" cy="846"/>
                        </a:xfrm>
                      </wpg:grpSpPr>
                      <wps:wsp>
                        <wps:cNvPr id="25" name="Freeform 23"/>
                        <wps:cNvSpPr>
                          <a:spLocks/>
                        </wps:cNvSpPr>
                        <wps:spPr bwMode="auto">
                          <a:xfrm>
                            <a:off x="1771" y="29"/>
                            <a:ext cx="9058" cy="413"/>
                          </a:xfrm>
                          <a:custGeom>
                            <a:avLst/>
                            <a:gdLst>
                              <a:gd name="T0" fmla="+- 0 1771 1771"/>
                              <a:gd name="T1" fmla="*/ T0 w 9058"/>
                              <a:gd name="T2" fmla="+- 0 29 29"/>
                              <a:gd name="T3" fmla="*/ 29 h 413"/>
                              <a:gd name="T4" fmla="+- 0 1771 1771"/>
                              <a:gd name="T5" fmla="*/ T4 w 9058"/>
                              <a:gd name="T6" fmla="+- 0 441 29"/>
                              <a:gd name="T7" fmla="*/ 441 h 413"/>
                              <a:gd name="T8" fmla="+- 0 10829 1771"/>
                              <a:gd name="T9" fmla="*/ T8 w 9058"/>
                              <a:gd name="T10" fmla="+- 0 441 29"/>
                              <a:gd name="T11" fmla="*/ 441 h 413"/>
                              <a:gd name="T12" fmla="+- 0 10829 1771"/>
                              <a:gd name="T13" fmla="*/ T12 w 9058"/>
                              <a:gd name="T14" fmla="+- 0 29 29"/>
                              <a:gd name="T15" fmla="*/ 29 h 413"/>
                              <a:gd name="T16" fmla="+- 0 1771 1771"/>
                              <a:gd name="T17" fmla="*/ T16 w 9058"/>
                              <a:gd name="T18" fmla="+- 0 29 29"/>
                              <a:gd name="T19" fmla="*/ 29 h 413"/>
                            </a:gdLst>
                            <a:ahLst/>
                            <a:cxnLst>
                              <a:cxn ang="0">
                                <a:pos x="T1" y="T3"/>
                              </a:cxn>
                              <a:cxn ang="0">
                                <a:pos x="T5" y="T7"/>
                              </a:cxn>
                              <a:cxn ang="0">
                                <a:pos x="T9" y="T11"/>
                              </a:cxn>
                              <a:cxn ang="0">
                                <a:pos x="T13" y="T15"/>
                              </a:cxn>
                              <a:cxn ang="0">
                                <a:pos x="T17" y="T19"/>
                              </a:cxn>
                            </a:cxnLst>
                            <a:rect l="0" t="0" r="r" b="b"/>
                            <a:pathLst>
                              <a:path w="9058" h="413">
                                <a:moveTo>
                                  <a:pt x="0" y="0"/>
                                </a:moveTo>
                                <a:lnTo>
                                  <a:pt x="0" y="412"/>
                                </a:lnTo>
                                <a:lnTo>
                                  <a:pt x="9058" y="412"/>
                                </a:lnTo>
                                <a:lnTo>
                                  <a:pt x="9058"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24"/>
                        <wps:cNvSpPr>
                          <a:spLocks/>
                        </wps:cNvSpPr>
                        <wps:spPr bwMode="auto">
                          <a:xfrm>
                            <a:off x="1771" y="441"/>
                            <a:ext cx="9058" cy="413"/>
                          </a:xfrm>
                          <a:custGeom>
                            <a:avLst/>
                            <a:gdLst>
                              <a:gd name="T0" fmla="+- 0 1771 1771"/>
                              <a:gd name="T1" fmla="*/ T0 w 9058"/>
                              <a:gd name="T2" fmla="+- 0 441 441"/>
                              <a:gd name="T3" fmla="*/ 441 h 413"/>
                              <a:gd name="T4" fmla="+- 0 1771 1771"/>
                              <a:gd name="T5" fmla="*/ T4 w 9058"/>
                              <a:gd name="T6" fmla="+- 0 854 441"/>
                              <a:gd name="T7" fmla="*/ 854 h 413"/>
                              <a:gd name="T8" fmla="+- 0 10829 1771"/>
                              <a:gd name="T9" fmla="*/ T8 w 9058"/>
                              <a:gd name="T10" fmla="+- 0 854 441"/>
                              <a:gd name="T11" fmla="*/ 854 h 413"/>
                              <a:gd name="T12" fmla="+- 0 10829 1771"/>
                              <a:gd name="T13" fmla="*/ T12 w 9058"/>
                              <a:gd name="T14" fmla="+- 0 441 441"/>
                              <a:gd name="T15" fmla="*/ 441 h 413"/>
                              <a:gd name="T16" fmla="+- 0 1771 1771"/>
                              <a:gd name="T17" fmla="*/ T16 w 9058"/>
                              <a:gd name="T18" fmla="+- 0 441 441"/>
                              <a:gd name="T19" fmla="*/ 441 h 413"/>
                            </a:gdLst>
                            <a:ahLst/>
                            <a:cxnLst>
                              <a:cxn ang="0">
                                <a:pos x="T1" y="T3"/>
                              </a:cxn>
                              <a:cxn ang="0">
                                <a:pos x="T5" y="T7"/>
                              </a:cxn>
                              <a:cxn ang="0">
                                <a:pos x="T9" y="T11"/>
                              </a:cxn>
                              <a:cxn ang="0">
                                <a:pos x="T13" y="T15"/>
                              </a:cxn>
                              <a:cxn ang="0">
                                <a:pos x="T17" y="T19"/>
                              </a:cxn>
                            </a:cxnLst>
                            <a:rect l="0" t="0" r="r" b="b"/>
                            <a:pathLst>
                              <a:path w="9058" h="413">
                                <a:moveTo>
                                  <a:pt x="0" y="0"/>
                                </a:moveTo>
                                <a:lnTo>
                                  <a:pt x="0" y="413"/>
                                </a:lnTo>
                                <a:lnTo>
                                  <a:pt x="9058" y="413"/>
                                </a:lnTo>
                                <a:lnTo>
                                  <a:pt x="9058"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AA9D60" id="Grupo 24" o:spid="_x0000_s1026" style="position:absolute;margin-left:88.05pt;margin-top:.95pt;width:453.9pt;height:42.3pt;z-index:-251653120;mso-position-horizontal-relative:page" coordorigin="1761,19" coordsize="9078,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">
                <v:shape id="Freeform 23" o:spid="_x0000_s1027" style="position:absolute;left:1771;top:29;width:9058;height:413;visibility:visible;mso-wrap-style:square;v-text-anchor:top" coordsize="9058,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" path="m,l,412r9058,l9058,,,xe" stroked="f">
                  <v:path arrowok="t" o:connecttype="custom" o:connectlocs="0,29;0,441;9058,441;9058,29;0,29" o:connectangles="0,0,0,0,0"/>
                </v:shape>
                <v:shape id="Freeform 24" o:spid="_x0000_s1028" style="position:absolute;left:1771;top:441;width:9058;height:413;visibility:visible;mso-wrap-style:square;v-text-anchor:top" coordsize="9058,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" path="m,l,413r9058,l9058,,,xe" stroked="f">
                  <v:path arrowok="t" o:connecttype="custom" o:connectlocs="0,441;0,854;9058,854;9058,441;0,441" o:connectangles="0,0,0,0,0"/>
                </v:shape>
                <w10:wrap anchorx="page"/>
              </v:group>
            </w:pict>
          </mc:Fallback>
        </mc:AlternateContent>
      </w:r>
      <w:r w:rsidRPr="00CB38AA">
        <w:rPr>
          <w:rFonts w:ascii="Times New Roman" w:eastAsia="Arial" w:hAnsi="Times New Roman" w:cs="Times New Roman"/>
          <w:sz w:val="24"/>
          <w:szCs w:val="24"/>
        </w:rPr>
        <w:t>I.</w:t>
      </w:r>
      <w:r w:rsidRPr="00CB38AA">
        <w:rPr>
          <w:rFonts w:ascii="Times New Roman" w:eastAsia="Arial" w:hAnsi="Times New Roman" w:cs="Times New Roman"/>
          <w:sz w:val="24"/>
          <w:szCs w:val="24"/>
        </w:rPr>
        <w:tab/>
        <w:t>Desarrollo con enfoque de paz: Promover modelos de desarrollo en los que se incorpore la perspectiva de paz, entendiendo las relaciones simbióticas entre la atención presente y futura de las necesidades humanas y medioambientales;</w:t>
      </w:r>
    </w:p>
    <w:p w:rsidR="00DD10C6" w:rsidRPr="00CB38AA" w:rsidRDefault="00DD10C6" w:rsidP="00DF6EEA">
      <w:pPr>
        <w:spacing w:after="0" w:line="240" w:lineRule="auto"/>
        <w:ind w:left="820" w:hanging="720"/>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II.</w:t>
      </w:r>
      <w:r w:rsidRPr="00CB38AA">
        <w:rPr>
          <w:rFonts w:ascii="Times New Roman" w:eastAsia="Arial" w:hAnsi="Times New Roman" w:cs="Times New Roman"/>
          <w:sz w:val="24"/>
          <w:szCs w:val="24"/>
        </w:rPr>
        <w:tab/>
        <w:t>Educación para la paz: Es un proceso orientado a desarrollar en las personas condiciones para la transformación pacífica de los conflictos, a fin de construir identidades desligadas de la violencia y generar contextos sociales basados en los derechos humanos, empatía, confianza, solidaridad y el respeto mutuo, con la incorporación, entre otras, de la perspectiva de género y del cuidado del medio ambiente;</w:t>
      </w:r>
    </w:p>
    <w:p w:rsidR="00DD10C6" w:rsidRPr="00CB38AA" w:rsidRDefault="00DD10C6" w:rsidP="00DF6EEA">
      <w:pPr>
        <w:spacing w:after="0" w:line="240" w:lineRule="auto"/>
        <w:ind w:left="820" w:hanging="720"/>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III.</w:t>
      </w:r>
      <w:r w:rsidRPr="00CB38AA">
        <w:rPr>
          <w:rFonts w:ascii="Times New Roman" w:eastAsia="Arial" w:hAnsi="Times New Roman" w:cs="Times New Roman"/>
          <w:sz w:val="24"/>
          <w:szCs w:val="24"/>
        </w:rPr>
        <w:tab/>
        <w:t>Formación de capacidades ciudadanas para la paz: Son los procesos y las herramientas que generan el desarrollo de competencias ciudadanas, a fin de promover la participación activa de la ciudadanía para la construcción colectiva de paz;</w:t>
      </w:r>
    </w:p>
    <w:p w:rsidR="00DD10C6" w:rsidRPr="00CB38AA" w:rsidRDefault="00DD10C6" w:rsidP="00DF6EEA">
      <w:pPr>
        <w:spacing w:after="0" w:line="240" w:lineRule="auto"/>
        <w:ind w:left="820" w:hanging="720"/>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IV.</w:t>
      </w:r>
      <w:r w:rsidRPr="00CB38AA">
        <w:rPr>
          <w:rFonts w:ascii="Times New Roman" w:eastAsia="Arial" w:hAnsi="Times New Roman" w:cs="Times New Roman"/>
          <w:sz w:val="24"/>
          <w:szCs w:val="24"/>
        </w:rPr>
        <w:tab/>
        <w:t>Investigación para la paz: Es un área académica interdisciplinaria de especialistas en estudios para la paz, convivencia y cultura de paz, mediante la cual se estudian las paces y las violencias a fin de generar conocimiento para abonar a la discusión del tema y proveer elementos para la toma de decisiones públicas;</w:t>
      </w:r>
    </w:p>
    <w:p w:rsidR="00DD10C6" w:rsidRPr="00CB38AA" w:rsidRDefault="00DD10C6" w:rsidP="00DF6EEA">
      <w:pPr>
        <w:spacing w:after="0" w:line="240" w:lineRule="auto"/>
        <w:ind w:left="820" w:hanging="720"/>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V.</w:t>
      </w:r>
      <w:r w:rsidRPr="00CB38AA">
        <w:rPr>
          <w:rFonts w:ascii="Times New Roman" w:eastAsia="Arial" w:hAnsi="Times New Roman" w:cs="Times New Roman"/>
          <w:sz w:val="24"/>
          <w:szCs w:val="24"/>
        </w:rPr>
        <w:tab/>
        <w:t>Seguridad ciudadana: Promover formas cooperativas de pensar y hacer seguridad, involucrando una pluralidad de actores en la coproducción de políticas y estrategias de seguridad, donde participan instituciones públicas, las propias comunidades en su conjunto, dando paso a la colaboración de la sociedad civil de manera organizada, a la iniciativa privada, las instancias académicas, a los medios de comunicación objetivos, entre otros; y</w:t>
      </w:r>
    </w:p>
    <w:p w:rsidR="00DD10C6" w:rsidRPr="00CB38AA" w:rsidRDefault="00DD10C6" w:rsidP="00DF6EEA">
      <w:pPr>
        <w:spacing w:after="0" w:line="240" w:lineRule="auto"/>
        <w:ind w:left="820" w:hanging="720"/>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VI.</w:t>
      </w:r>
      <w:r w:rsidRPr="00CB38AA">
        <w:rPr>
          <w:rFonts w:ascii="Times New Roman" w:eastAsia="Arial" w:hAnsi="Times New Roman" w:cs="Times New Roman"/>
          <w:sz w:val="24"/>
          <w:szCs w:val="24"/>
        </w:rPr>
        <w:tab/>
        <w:t>Seguridad humana: Asumir la seguridad desde una perspectiva holística en la que se garantice el pleno uso de derechos de las personas; haciendo énfasis en las siete dimensiones de la seguridad humana: ambiental, política, personal, económica, salud, comunitaria y alimentaria.</w:t>
      </w:r>
    </w:p>
    <w:p w:rsidR="00DD10C6" w:rsidRPr="00CB38AA" w:rsidRDefault="00DD10C6" w:rsidP="00DF6EEA">
      <w:pPr>
        <w:spacing w:after="0" w:line="240" w:lineRule="auto"/>
        <w:ind w:left="820" w:hanging="720"/>
        <w:jc w:val="both"/>
        <w:rPr>
          <w:rFonts w:ascii="Times New Roman" w:eastAsia="Times New Roman" w:hAnsi="Times New Roman" w:cs="Times New Roman"/>
          <w:sz w:val="24"/>
          <w:szCs w:val="24"/>
        </w:rPr>
      </w:pPr>
      <w:r w:rsidRPr="00CB38AA">
        <w:rPr>
          <w:rFonts w:ascii="Times New Roman" w:eastAsia="Arial" w:hAnsi="Times New Roman" w:cs="Times New Roman"/>
          <w:sz w:val="24"/>
          <w:szCs w:val="24"/>
        </w:rPr>
        <w:t>VII.</w:t>
      </w:r>
      <w:r w:rsidRPr="00CB38AA">
        <w:rPr>
          <w:rFonts w:ascii="Times New Roman" w:eastAsia="Arial" w:hAnsi="Times New Roman" w:cs="Times New Roman"/>
          <w:sz w:val="24"/>
          <w:szCs w:val="24"/>
        </w:rPr>
        <w:tab/>
        <w:t>Transformación pacífica de conflictos: Los conflictos son inherentes a las relaciones personales, son una oportunidad porque permiten generar</w:t>
      </w:r>
      <w:r w:rsidRPr="00CB38AA">
        <w:rPr>
          <w:rFonts w:ascii="Times New Roman" w:eastAsia="Times New Roman" w:hAnsi="Times New Roman" w:cs="Times New Roman"/>
          <w:noProof/>
          <w:sz w:val="24"/>
          <w:szCs w:val="24"/>
        </w:rPr>
        <mc:AlternateContent>
          <mc:Choice Requires="wpg">
            <w:drawing>
              <wp:anchor distT="0" distB="0" distL="114300" distR="114300" simplePos="0" relativeHeight="251665408" behindDoc="1" locked="0" layoutInCell="1" allowOverlap="1">
                <wp:simplePos x="0" y="0"/>
                <wp:positionH relativeFrom="page">
                  <wp:posOffset>1118235</wp:posOffset>
                </wp:positionH>
                <wp:positionV relativeFrom="paragraph">
                  <wp:posOffset>12065</wp:posOffset>
                </wp:positionV>
                <wp:extent cx="5764530" cy="537210"/>
                <wp:effectExtent l="0" t="0" r="0" b="0"/>
                <wp:wrapNone/>
                <wp:docPr id="21" name="Grupo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4530" cy="537210"/>
                          <a:chOff x="1761" y="19"/>
                          <a:chExt cx="9078" cy="846"/>
                        </a:xfrm>
                      </wpg:grpSpPr>
                      <wps:wsp>
                        <wps:cNvPr id="22" name="Freeform 27"/>
                        <wps:cNvSpPr>
                          <a:spLocks/>
                        </wps:cNvSpPr>
                        <wps:spPr bwMode="auto">
                          <a:xfrm>
                            <a:off x="1771" y="29"/>
                            <a:ext cx="9058" cy="413"/>
                          </a:xfrm>
                          <a:custGeom>
                            <a:avLst/>
                            <a:gdLst>
                              <a:gd name="T0" fmla="+- 0 1771 1771"/>
                              <a:gd name="T1" fmla="*/ T0 w 9058"/>
                              <a:gd name="T2" fmla="+- 0 29 29"/>
                              <a:gd name="T3" fmla="*/ 29 h 413"/>
                              <a:gd name="T4" fmla="+- 0 1771 1771"/>
                              <a:gd name="T5" fmla="*/ T4 w 9058"/>
                              <a:gd name="T6" fmla="+- 0 441 29"/>
                              <a:gd name="T7" fmla="*/ 441 h 413"/>
                              <a:gd name="T8" fmla="+- 0 10829 1771"/>
                              <a:gd name="T9" fmla="*/ T8 w 9058"/>
                              <a:gd name="T10" fmla="+- 0 441 29"/>
                              <a:gd name="T11" fmla="*/ 441 h 413"/>
                              <a:gd name="T12" fmla="+- 0 10829 1771"/>
                              <a:gd name="T13" fmla="*/ T12 w 9058"/>
                              <a:gd name="T14" fmla="+- 0 29 29"/>
                              <a:gd name="T15" fmla="*/ 29 h 413"/>
                              <a:gd name="T16" fmla="+- 0 1771 1771"/>
                              <a:gd name="T17" fmla="*/ T16 w 9058"/>
                              <a:gd name="T18" fmla="+- 0 29 29"/>
                              <a:gd name="T19" fmla="*/ 29 h 413"/>
                            </a:gdLst>
                            <a:ahLst/>
                            <a:cxnLst>
                              <a:cxn ang="0">
                                <a:pos x="T1" y="T3"/>
                              </a:cxn>
                              <a:cxn ang="0">
                                <a:pos x="T5" y="T7"/>
                              </a:cxn>
                              <a:cxn ang="0">
                                <a:pos x="T9" y="T11"/>
                              </a:cxn>
                              <a:cxn ang="0">
                                <a:pos x="T13" y="T15"/>
                              </a:cxn>
                              <a:cxn ang="0">
                                <a:pos x="T17" y="T19"/>
                              </a:cxn>
                            </a:cxnLst>
                            <a:rect l="0" t="0" r="r" b="b"/>
                            <a:pathLst>
                              <a:path w="9058" h="413">
                                <a:moveTo>
                                  <a:pt x="0" y="0"/>
                                </a:moveTo>
                                <a:lnTo>
                                  <a:pt x="0" y="412"/>
                                </a:lnTo>
                                <a:lnTo>
                                  <a:pt x="9058" y="412"/>
                                </a:lnTo>
                                <a:lnTo>
                                  <a:pt x="9058"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8"/>
                        <wps:cNvSpPr>
                          <a:spLocks/>
                        </wps:cNvSpPr>
                        <wps:spPr bwMode="auto">
                          <a:xfrm>
                            <a:off x="1771" y="441"/>
                            <a:ext cx="9058" cy="413"/>
                          </a:xfrm>
                          <a:custGeom>
                            <a:avLst/>
                            <a:gdLst>
                              <a:gd name="T0" fmla="+- 0 1771 1771"/>
                              <a:gd name="T1" fmla="*/ T0 w 9058"/>
                              <a:gd name="T2" fmla="+- 0 441 441"/>
                              <a:gd name="T3" fmla="*/ 441 h 413"/>
                              <a:gd name="T4" fmla="+- 0 1771 1771"/>
                              <a:gd name="T5" fmla="*/ T4 w 9058"/>
                              <a:gd name="T6" fmla="+- 0 854 441"/>
                              <a:gd name="T7" fmla="*/ 854 h 413"/>
                              <a:gd name="T8" fmla="+- 0 10829 1771"/>
                              <a:gd name="T9" fmla="*/ T8 w 9058"/>
                              <a:gd name="T10" fmla="+- 0 854 441"/>
                              <a:gd name="T11" fmla="*/ 854 h 413"/>
                              <a:gd name="T12" fmla="+- 0 10829 1771"/>
                              <a:gd name="T13" fmla="*/ T12 w 9058"/>
                              <a:gd name="T14" fmla="+- 0 441 441"/>
                              <a:gd name="T15" fmla="*/ 441 h 413"/>
                              <a:gd name="T16" fmla="+- 0 1771 1771"/>
                              <a:gd name="T17" fmla="*/ T16 w 9058"/>
                              <a:gd name="T18" fmla="+- 0 441 441"/>
                              <a:gd name="T19" fmla="*/ 441 h 413"/>
                            </a:gdLst>
                            <a:ahLst/>
                            <a:cxnLst>
                              <a:cxn ang="0">
                                <a:pos x="T1" y="T3"/>
                              </a:cxn>
                              <a:cxn ang="0">
                                <a:pos x="T5" y="T7"/>
                              </a:cxn>
                              <a:cxn ang="0">
                                <a:pos x="T9" y="T11"/>
                              </a:cxn>
                              <a:cxn ang="0">
                                <a:pos x="T13" y="T15"/>
                              </a:cxn>
                              <a:cxn ang="0">
                                <a:pos x="T17" y="T19"/>
                              </a:cxn>
                            </a:cxnLst>
                            <a:rect l="0" t="0" r="r" b="b"/>
                            <a:pathLst>
                              <a:path w="9058" h="413">
                                <a:moveTo>
                                  <a:pt x="0" y="0"/>
                                </a:moveTo>
                                <a:lnTo>
                                  <a:pt x="0" y="413"/>
                                </a:lnTo>
                                <a:lnTo>
                                  <a:pt x="9058" y="413"/>
                                </a:lnTo>
                                <a:lnTo>
                                  <a:pt x="9058"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5624BE" id="Grupo 21" o:spid="_x0000_s1026" style="position:absolute;margin-left:88.05pt;margin-top:.95pt;width:453.9pt;height:42.3pt;z-index:-251651072;mso-position-horizontal-relative:page" coordorigin="1761,19" coordsize="9078,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">
                <v:shape id="Freeform 27" o:spid="_x0000_s1027" style="position:absolute;left:1771;top:29;width:9058;height:413;visibility:visible;mso-wrap-style:square;v-text-anchor:top" coordsize="9058,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" path="m,l,412r9058,l9058,,,xe" stroked="f">
                  <v:path arrowok="t" o:connecttype="custom" o:connectlocs="0,29;0,441;9058,441;9058,29;0,29" o:connectangles="0,0,0,0,0"/>
                </v:shape>
                <v:shape id="Freeform 28" o:spid="_x0000_s1028" style="position:absolute;left:1771;top:441;width:9058;height:413;visibility:visible;mso-wrap-style:square;v-text-anchor:top" coordsize="9058,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" path="m,l,413r9058,l9058,,,xe" stroked="f">
                  <v:path arrowok="t" o:connecttype="custom" o:connectlocs="0,441;0,854;9058,854;9058,441;0,441" o:connectangles="0,0,0,0,0"/>
                </v:shape>
                <w10:wrap anchorx="page"/>
              </v:group>
            </w:pict>
          </mc:Fallback>
        </mc:AlternateContent>
      </w:r>
      <w:r w:rsidRPr="00CB38AA">
        <w:rPr>
          <w:rFonts w:ascii="Times New Roman" w:eastAsia="Times New Roman" w:hAnsi="Times New Roman" w:cs="Times New Roman"/>
          <w:sz w:val="24"/>
          <w:szCs w:val="24"/>
        </w:rPr>
        <w:t xml:space="preserve"> </w:t>
      </w:r>
      <w:r w:rsidRPr="00CB38AA">
        <w:rPr>
          <w:rFonts w:ascii="Times New Roman" w:eastAsia="Arial" w:hAnsi="Times New Roman" w:cs="Times New Roman"/>
          <w:sz w:val="24"/>
          <w:szCs w:val="24"/>
        </w:rPr>
        <w:t>condiciones de justicia, equidad, reconocimiento de los derechos humanos y dignidad que se da a través del diálogo, comunicación, medios alternos de transformación y todas aquellas herramientas de innovación social;</w:t>
      </w:r>
    </w:p>
    <w:p w:rsidR="00DD10C6" w:rsidRPr="00CB38AA" w:rsidRDefault="00DD10C6" w:rsidP="00DF6EEA">
      <w:pPr>
        <w:spacing w:after="0" w:line="240" w:lineRule="auto"/>
        <w:ind w:left="851" w:hanging="851"/>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VIII.</w:t>
      </w:r>
      <w:r w:rsidRPr="00CB38AA">
        <w:rPr>
          <w:rFonts w:ascii="Times New Roman" w:eastAsia="Arial" w:hAnsi="Times New Roman" w:cs="Times New Roman"/>
          <w:sz w:val="24"/>
          <w:szCs w:val="24"/>
        </w:rPr>
        <w:tab/>
        <w:t>Visibilización y fortalecimiento de las paces territoriales: Es una acción de reconocimiento de las paces en los territorios, tanto a nivel municipal, regional y estatal, a fin de generar acciones de gobierno que las consoliden;</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rPr>
          <w:rFonts w:ascii="Times New Roman" w:eastAsia="Arial" w:hAnsi="Times New Roman" w:cs="Times New Roman"/>
          <w:b/>
          <w:sz w:val="24"/>
          <w:szCs w:val="24"/>
        </w:rPr>
      </w:pPr>
    </w:p>
    <w:p w:rsidR="00DD10C6" w:rsidRPr="00CB38AA" w:rsidRDefault="00DD10C6"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CAPÍTULO II</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DE LOS ENTES PÚBLICOS DE APLICACIÓN</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7. </w:t>
      </w:r>
      <w:r w:rsidRPr="00CB38AA">
        <w:rPr>
          <w:rFonts w:ascii="Times New Roman" w:eastAsia="Arial" w:hAnsi="Times New Roman" w:cs="Times New Roman"/>
          <w:sz w:val="24"/>
          <w:szCs w:val="24"/>
        </w:rPr>
        <w:t>La Secretaría es la autoridad estatal responsable de coordinar, conducir y evaluar la política pública en materia de acceso y promoción de la paz, así como de transversalizar el enfoque de cultura de paz en los distintos ámbitos y niveles de gobierno.</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8. </w:t>
      </w:r>
      <w:r w:rsidRPr="00CB38AA">
        <w:rPr>
          <w:rFonts w:ascii="Times New Roman" w:eastAsia="Arial" w:hAnsi="Times New Roman" w:cs="Times New Roman"/>
          <w:sz w:val="24"/>
          <w:szCs w:val="24"/>
        </w:rPr>
        <w:t>La Secretaría tiene las siguientes atribuciones:</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numPr>
          <w:ilvl w:val="0"/>
          <w:numId w:val="9"/>
        </w:numPr>
        <w:spacing w:after="0" w:line="240" w:lineRule="auto"/>
        <w:contextualSpacing/>
        <w:rPr>
          <w:rFonts w:ascii="Times New Roman" w:eastAsia="Arial" w:hAnsi="Times New Roman" w:cs="Times New Roman"/>
          <w:sz w:val="24"/>
          <w:szCs w:val="24"/>
        </w:rPr>
      </w:pPr>
      <w:r w:rsidRPr="00CB38AA">
        <w:rPr>
          <w:rFonts w:ascii="Times New Roman" w:eastAsia="Arial" w:hAnsi="Times New Roman" w:cs="Times New Roman"/>
          <w:sz w:val="24"/>
          <w:szCs w:val="24"/>
        </w:rPr>
        <w:t>Establecer y conducir la política estatal en materia de acceso y promoción de la paz en los términos de esta Ley y las demás disposiciones legales aplicables;</w:t>
      </w:r>
    </w:p>
    <w:p w:rsidR="00DD10C6" w:rsidRPr="00CB38AA" w:rsidRDefault="00DD10C6" w:rsidP="00DF6EEA">
      <w:pPr>
        <w:numPr>
          <w:ilvl w:val="0"/>
          <w:numId w:val="9"/>
        </w:numPr>
        <w:spacing w:after="0" w:line="240" w:lineRule="auto"/>
        <w:contextualSpacing/>
        <w:rPr>
          <w:rFonts w:ascii="Times New Roman" w:eastAsia="Arial" w:hAnsi="Times New Roman" w:cs="Times New Roman"/>
          <w:sz w:val="24"/>
          <w:szCs w:val="24"/>
        </w:rPr>
      </w:pPr>
      <w:r w:rsidRPr="00CB38AA">
        <w:rPr>
          <w:rFonts w:ascii="Times New Roman" w:eastAsia="Arial" w:hAnsi="Times New Roman" w:cs="Times New Roman"/>
          <w:sz w:val="24"/>
          <w:szCs w:val="24"/>
        </w:rPr>
        <w:t>Coordinar la elaboración, diseño, aplicación, supervisión y evaluación del Programa Estatal del acceso y promoción de la paz.</w:t>
      </w:r>
    </w:p>
    <w:p w:rsidR="00DD10C6" w:rsidRPr="00CB38AA" w:rsidRDefault="00DD10C6" w:rsidP="00DF6EEA">
      <w:pPr>
        <w:numPr>
          <w:ilvl w:val="0"/>
          <w:numId w:val="9"/>
        </w:numPr>
        <w:spacing w:after="0" w:line="240" w:lineRule="auto"/>
        <w:contextualSpacing/>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Promover, apoyar, gestionar, coordinar, realizar asesoría, estudios, capacitación, investigaciones y actividades formativas, en el ámbito estatal y municipal a favor del acceso y promoción de la paz;</w:t>
      </w:r>
    </w:p>
    <w:p w:rsidR="00DD10C6" w:rsidRPr="00CB38AA" w:rsidRDefault="00DD10C6" w:rsidP="00DF6EEA">
      <w:pPr>
        <w:spacing w:after="0" w:line="240" w:lineRule="auto"/>
        <w:ind w:left="1047" w:hanging="720"/>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IV.</w:t>
      </w:r>
      <w:r w:rsidRPr="00CB38AA">
        <w:rPr>
          <w:rFonts w:ascii="Times New Roman" w:eastAsia="Arial" w:hAnsi="Times New Roman" w:cs="Times New Roman"/>
          <w:sz w:val="24"/>
          <w:szCs w:val="24"/>
        </w:rPr>
        <w:tab/>
        <w:t>Ejecutar programas para la capacitación y el desarrollo de proyectos dentro de los ámbitos de aplicación especial previstos en la presente Ley;</w:t>
      </w:r>
    </w:p>
    <w:p w:rsidR="00DD10C6" w:rsidRPr="00CB38AA" w:rsidRDefault="00DD10C6" w:rsidP="00DF6EEA">
      <w:pPr>
        <w:spacing w:after="0" w:line="240" w:lineRule="auto"/>
        <w:ind w:left="1047" w:hanging="720"/>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V.</w:t>
      </w:r>
      <w:r w:rsidRPr="00CB38AA">
        <w:rPr>
          <w:rFonts w:ascii="Times New Roman" w:eastAsia="Arial" w:hAnsi="Times New Roman" w:cs="Times New Roman"/>
          <w:sz w:val="24"/>
          <w:szCs w:val="24"/>
        </w:rPr>
        <w:tab/>
        <w:t>Promover y colaborar con los Ayuntamientos en la creación e impulso de programas y acciones de acceso y promoción de la paz en los municipios;</w:t>
      </w:r>
    </w:p>
    <w:p w:rsidR="00DD10C6" w:rsidRPr="00CB38AA" w:rsidRDefault="00DD10C6" w:rsidP="00DF6EEA">
      <w:pPr>
        <w:spacing w:after="0" w:line="240" w:lineRule="auto"/>
        <w:ind w:left="1047" w:hanging="720"/>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VI.</w:t>
      </w:r>
      <w:r w:rsidRPr="00CB38AA">
        <w:rPr>
          <w:rFonts w:ascii="Times New Roman" w:eastAsia="Arial" w:hAnsi="Times New Roman" w:cs="Times New Roman"/>
          <w:sz w:val="24"/>
          <w:szCs w:val="24"/>
        </w:rPr>
        <w:tab/>
        <w:t>Impulsar y coadyuvar con las diferentes instancias de gobierno estatal para que las acciones, programas y políticas públicas que se impulsen en el Estado, cuenten con enfoque de acceso y promoción de la paz.</w:t>
      </w:r>
    </w:p>
    <w:p w:rsidR="00DD10C6" w:rsidRPr="00CB38AA" w:rsidRDefault="00DD10C6" w:rsidP="00DF6EEA">
      <w:pPr>
        <w:spacing w:after="0" w:line="240" w:lineRule="auto"/>
        <w:ind w:left="1047" w:hanging="720"/>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VII.</w:t>
      </w:r>
      <w:r w:rsidRPr="00CB38AA">
        <w:rPr>
          <w:rFonts w:ascii="Times New Roman" w:eastAsia="Arial" w:hAnsi="Times New Roman" w:cs="Times New Roman"/>
          <w:sz w:val="24"/>
          <w:szCs w:val="24"/>
        </w:rPr>
        <w:tab/>
        <w:t>Coordinar procesos y acciones para integrar la perspectiva de acceso y promoción de la paz en situaciones de conflictividad social;</w:t>
      </w:r>
    </w:p>
    <w:p w:rsidR="00DD10C6" w:rsidRPr="00CB38AA" w:rsidRDefault="00DD10C6" w:rsidP="00DF6EEA">
      <w:pPr>
        <w:spacing w:after="0" w:line="240" w:lineRule="auto"/>
        <w:ind w:left="1047" w:hanging="720"/>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VIII.</w:t>
      </w:r>
      <w:r w:rsidRPr="00CB38AA">
        <w:rPr>
          <w:rFonts w:ascii="Times New Roman" w:eastAsia="Arial" w:hAnsi="Times New Roman" w:cs="Times New Roman"/>
          <w:sz w:val="24"/>
          <w:szCs w:val="24"/>
        </w:rPr>
        <w:tab/>
        <w:t>Promover mesas de gobernanza y acceso y promoción de la paz en los municipios, a fin de impulsar estrategias y proyectos que ayuden a la consolidación de paz en los territorios, mediante estudios y análisis respecto de las tradiciones de pueblos y comunidades indígenas originarios del Estado de México.</w:t>
      </w:r>
    </w:p>
    <w:p w:rsidR="00DD10C6" w:rsidRPr="00CB38AA" w:rsidRDefault="00DD10C6" w:rsidP="00DF6EEA">
      <w:pPr>
        <w:spacing w:after="0" w:line="240" w:lineRule="auto"/>
        <w:ind w:left="1047" w:hanging="720"/>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IX.</w:t>
      </w:r>
      <w:r w:rsidRPr="00CB38AA">
        <w:rPr>
          <w:rFonts w:ascii="Times New Roman" w:eastAsia="Arial" w:hAnsi="Times New Roman" w:cs="Times New Roman"/>
          <w:sz w:val="24"/>
          <w:szCs w:val="24"/>
        </w:rPr>
        <w:tab/>
        <w:t>Coadyuvar mediante convenios de colaboración con las universidades estatales para impulsar centros de investigación para la paz que generen estudios, estrategias y metodologías de prevención y atención de las violencias, así como para la construcción de paz en la entidad;</w:t>
      </w:r>
    </w:p>
    <w:p w:rsidR="00DD10C6" w:rsidRPr="00CB38AA" w:rsidRDefault="00DD10C6" w:rsidP="00DF6EEA">
      <w:pPr>
        <w:spacing w:after="0" w:line="240" w:lineRule="auto"/>
        <w:ind w:left="1047" w:hanging="720"/>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X.</w:t>
      </w:r>
      <w:r w:rsidRPr="00CB38AA">
        <w:rPr>
          <w:rFonts w:ascii="Times New Roman" w:eastAsia="Arial" w:hAnsi="Times New Roman" w:cs="Times New Roman"/>
          <w:sz w:val="24"/>
          <w:szCs w:val="24"/>
        </w:rPr>
        <w:tab/>
        <w:t>Impulsar la educación para la paz en los municipios del Estado de México, mediante la educación formal y no formal para la adquisición y fortalecimiento de las competencias (valores, conocimientos, actitudes, habilidades y comportamientos) necesarias para alcanzar la paz;</w:t>
      </w:r>
    </w:p>
    <w:p w:rsidR="00DD10C6" w:rsidRPr="00CB38AA" w:rsidRDefault="00DD10C6" w:rsidP="00DF6EEA">
      <w:pPr>
        <w:spacing w:after="0" w:line="240" w:lineRule="auto"/>
        <w:ind w:left="993" w:hanging="709"/>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XI.</w:t>
      </w:r>
      <w:r w:rsidRPr="00CB38AA">
        <w:rPr>
          <w:rFonts w:ascii="Times New Roman" w:eastAsia="Arial" w:hAnsi="Times New Roman" w:cs="Times New Roman"/>
          <w:sz w:val="24"/>
          <w:szCs w:val="24"/>
        </w:rPr>
        <w:tab/>
        <w:t>Visibilizar los espacios de paz en el estado para hacer un reconocimiento y fortalecimiento de las actuaciones sociales a favor de la paz;</w:t>
      </w:r>
    </w:p>
    <w:p w:rsidR="00DD10C6" w:rsidRPr="00CB38AA" w:rsidRDefault="00DD10C6" w:rsidP="00DF6EEA">
      <w:pPr>
        <w:spacing w:after="0" w:line="240" w:lineRule="auto"/>
        <w:ind w:left="993" w:hanging="709"/>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XII.</w:t>
      </w:r>
      <w:r w:rsidRPr="00CB38AA">
        <w:rPr>
          <w:rFonts w:ascii="Times New Roman" w:eastAsia="Arial" w:hAnsi="Times New Roman" w:cs="Times New Roman"/>
          <w:sz w:val="24"/>
          <w:szCs w:val="24"/>
        </w:rPr>
        <w:tab/>
        <w:t>Colaborar en la implementación de acciones o políticas públicas de cultura de paz en los procesos y prácticas de los servidores públicos municipales;</w:t>
      </w:r>
    </w:p>
    <w:p w:rsidR="00DD10C6" w:rsidRPr="00CB38AA" w:rsidRDefault="00DD10C6" w:rsidP="00DF6EEA">
      <w:pPr>
        <w:spacing w:after="0" w:line="240" w:lineRule="auto"/>
        <w:ind w:left="993" w:hanging="709"/>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XIII.</w:t>
      </w:r>
      <w:r w:rsidRPr="00CB38AA">
        <w:rPr>
          <w:rFonts w:ascii="Times New Roman" w:eastAsia="Arial" w:hAnsi="Times New Roman" w:cs="Times New Roman"/>
          <w:sz w:val="24"/>
          <w:szCs w:val="24"/>
        </w:rPr>
        <w:tab/>
        <w:t>Coordinar el proceso para generar indicadores e instrumentos de análisis de las violencias y de los indicadores de paz, a fin de dar seguimiento y evaluar las acciones de cultura de paz en el estado;</w:t>
      </w:r>
    </w:p>
    <w:p w:rsidR="00DD10C6" w:rsidRPr="00CB38AA" w:rsidRDefault="00DD10C6" w:rsidP="00DF6EEA">
      <w:pPr>
        <w:spacing w:after="0" w:line="240" w:lineRule="auto"/>
        <w:ind w:left="993" w:hanging="709"/>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XIV.</w:t>
      </w:r>
      <w:r w:rsidRPr="00CB38AA">
        <w:rPr>
          <w:rFonts w:ascii="Times New Roman" w:eastAsia="Arial" w:hAnsi="Times New Roman" w:cs="Times New Roman"/>
          <w:sz w:val="24"/>
          <w:szCs w:val="24"/>
        </w:rPr>
        <w:tab/>
        <w:t>Incluir la cultura de paz para la creación de estrategias y proyectos de desarrollo dedicados a la sostenibilidad del medio ambiente, incluidas la conservación y la regeneración de los recursos naturales;</w:t>
      </w:r>
    </w:p>
    <w:p w:rsidR="00DD10C6" w:rsidRPr="00CB38AA" w:rsidRDefault="00DD10C6" w:rsidP="00DF6EEA">
      <w:pPr>
        <w:spacing w:after="0" w:line="240" w:lineRule="auto"/>
        <w:ind w:left="993" w:hanging="709"/>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XV.</w:t>
      </w:r>
      <w:r w:rsidRPr="00CB38AA">
        <w:rPr>
          <w:rFonts w:ascii="Times New Roman" w:eastAsia="Arial" w:hAnsi="Times New Roman" w:cs="Times New Roman"/>
          <w:sz w:val="24"/>
          <w:szCs w:val="24"/>
        </w:rPr>
        <w:tab/>
        <w:t>Promover la cultura de paz a través de una comunicación participativa y de libre expresión hacia la información;</w:t>
      </w:r>
    </w:p>
    <w:p w:rsidR="00DD10C6" w:rsidRPr="00CB38AA" w:rsidRDefault="00DD10C6" w:rsidP="00DF6EEA">
      <w:pPr>
        <w:spacing w:after="0" w:line="240" w:lineRule="auto"/>
        <w:ind w:left="993" w:hanging="709"/>
        <w:rPr>
          <w:rFonts w:ascii="Times New Roman" w:eastAsia="Times New Roman" w:hAnsi="Times New Roman" w:cs="Times New Roman"/>
          <w:sz w:val="24"/>
          <w:szCs w:val="24"/>
        </w:rPr>
      </w:pPr>
      <w:r w:rsidRPr="00CB38AA">
        <w:rPr>
          <w:rFonts w:ascii="Times New Roman" w:eastAsia="Arial" w:hAnsi="Times New Roman" w:cs="Times New Roman"/>
          <w:sz w:val="24"/>
          <w:szCs w:val="24"/>
        </w:rPr>
        <w:t>XVI.</w:t>
      </w:r>
      <w:r w:rsidRPr="00CB38AA">
        <w:rPr>
          <w:rFonts w:ascii="Times New Roman" w:eastAsia="Arial" w:hAnsi="Times New Roman" w:cs="Times New Roman"/>
          <w:sz w:val="24"/>
          <w:szCs w:val="24"/>
        </w:rPr>
        <w:tab/>
        <w:t>Las demás que señalen las leyes y los reglamentos aplicables.</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Times New Roman" w:hAnsi="Times New Roman" w:cs="Times New Roman"/>
          <w:noProof/>
          <w:sz w:val="24"/>
          <w:szCs w:val="24"/>
        </w:rPr>
        <w:lastRenderedPageBreak/>
        <mc:AlternateContent>
          <mc:Choice Requires="wpg">
            <w:drawing>
              <wp:anchor distT="0" distB="0" distL="114300" distR="114300" simplePos="0" relativeHeight="251666432" behindDoc="1" locked="0" layoutInCell="1" allowOverlap="1">
                <wp:simplePos x="0" y="0"/>
                <wp:positionH relativeFrom="page">
                  <wp:posOffset>889635</wp:posOffset>
                </wp:positionH>
                <wp:positionV relativeFrom="paragraph">
                  <wp:posOffset>12065</wp:posOffset>
                </wp:positionV>
                <wp:extent cx="5993130" cy="537210"/>
                <wp:effectExtent l="0" t="0" r="0" b="0"/>
                <wp:wrapNone/>
                <wp:docPr id="17" name="Grupo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3130" cy="537210"/>
                          <a:chOff x="1401" y="19"/>
                          <a:chExt cx="9438" cy="846"/>
                        </a:xfrm>
                      </wpg:grpSpPr>
                      <wps:wsp>
                        <wps:cNvPr id="18" name="Freeform 30"/>
                        <wps:cNvSpPr>
                          <a:spLocks/>
                        </wps:cNvSpPr>
                        <wps:spPr bwMode="auto">
                          <a:xfrm>
                            <a:off x="1411" y="29"/>
                            <a:ext cx="9418" cy="413"/>
                          </a:xfrm>
                          <a:custGeom>
                            <a:avLst/>
                            <a:gdLst>
                              <a:gd name="T0" fmla="+- 0 1411 1411"/>
                              <a:gd name="T1" fmla="*/ T0 w 9418"/>
                              <a:gd name="T2" fmla="+- 0 29 29"/>
                              <a:gd name="T3" fmla="*/ 29 h 413"/>
                              <a:gd name="T4" fmla="+- 0 1411 1411"/>
                              <a:gd name="T5" fmla="*/ T4 w 9418"/>
                              <a:gd name="T6" fmla="+- 0 441 29"/>
                              <a:gd name="T7" fmla="*/ 441 h 413"/>
                              <a:gd name="T8" fmla="+- 0 10829 1411"/>
                              <a:gd name="T9" fmla="*/ T8 w 9418"/>
                              <a:gd name="T10" fmla="+- 0 441 29"/>
                              <a:gd name="T11" fmla="*/ 441 h 413"/>
                              <a:gd name="T12" fmla="+- 0 10829 1411"/>
                              <a:gd name="T13" fmla="*/ T12 w 9418"/>
                              <a:gd name="T14" fmla="+- 0 29 29"/>
                              <a:gd name="T15" fmla="*/ 29 h 413"/>
                              <a:gd name="T16" fmla="+- 0 1411 1411"/>
                              <a:gd name="T17" fmla="*/ T16 w 9418"/>
                              <a:gd name="T18" fmla="+- 0 29 29"/>
                              <a:gd name="T19" fmla="*/ 29 h 413"/>
                            </a:gdLst>
                            <a:ahLst/>
                            <a:cxnLst>
                              <a:cxn ang="0">
                                <a:pos x="T1" y="T3"/>
                              </a:cxn>
                              <a:cxn ang="0">
                                <a:pos x="T5" y="T7"/>
                              </a:cxn>
                              <a:cxn ang="0">
                                <a:pos x="T9" y="T11"/>
                              </a:cxn>
                              <a:cxn ang="0">
                                <a:pos x="T13" y="T15"/>
                              </a:cxn>
                              <a:cxn ang="0">
                                <a:pos x="T17" y="T19"/>
                              </a:cxn>
                            </a:cxnLst>
                            <a:rect l="0" t="0" r="r" b="b"/>
                            <a:pathLst>
                              <a:path w="9418" h="413">
                                <a:moveTo>
                                  <a:pt x="0" y="0"/>
                                </a:moveTo>
                                <a:lnTo>
                                  <a:pt x="0" y="412"/>
                                </a:lnTo>
                                <a:lnTo>
                                  <a:pt x="9418" y="412"/>
                                </a:lnTo>
                                <a:lnTo>
                                  <a:pt x="9418"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31"/>
                        <wps:cNvSpPr>
                          <a:spLocks/>
                        </wps:cNvSpPr>
                        <wps:spPr bwMode="auto">
                          <a:xfrm>
                            <a:off x="1411" y="441"/>
                            <a:ext cx="9418" cy="413"/>
                          </a:xfrm>
                          <a:custGeom>
                            <a:avLst/>
                            <a:gdLst>
                              <a:gd name="T0" fmla="+- 0 1411 1411"/>
                              <a:gd name="T1" fmla="*/ T0 w 9418"/>
                              <a:gd name="T2" fmla="+- 0 441 441"/>
                              <a:gd name="T3" fmla="*/ 441 h 413"/>
                              <a:gd name="T4" fmla="+- 0 1411 1411"/>
                              <a:gd name="T5" fmla="*/ T4 w 9418"/>
                              <a:gd name="T6" fmla="+- 0 854 441"/>
                              <a:gd name="T7" fmla="*/ 854 h 413"/>
                              <a:gd name="T8" fmla="+- 0 10829 1411"/>
                              <a:gd name="T9" fmla="*/ T8 w 9418"/>
                              <a:gd name="T10" fmla="+- 0 854 441"/>
                              <a:gd name="T11" fmla="*/ 854 h 413"/>
                              <a:gd name="T12" fmla="+- 0 10829 1411"/>
                              <a:gd name="T13" fmla="*/ T12 w 9418"/>
                              <a:gd name="T14" fmla="+- 0 441 441"/>
                              <a:gd name="T15" fmla="*/ 441 h 413"/>
                              <a:gd name="T16" fmla="+- 0 1411 1411"/>
                              <a:gd name="T17" fmla="*/ T16 w 9418"/>
                              <a:gd name="T18" fmla="+- 0 441 441"/>
                              <a:gd name="T19" fmla="*/ 441 h 413"/>
                            </a:gdLst>
                            <a:ahLst/>
                            <a:cxnLst>
                              <a:cxn ang="0">
                                <a:pos x="T1" y="T3"/>
                              </a:cxn>
                              <a:cxn ang="0">
                                <a:pos x="T5" y="T7"/>
                              </a:cxn>
                              <a:cxn ang="0">
                                <a:pos x="T9" y="T11"/>
                              </a:cxn>
                              <a:cxn ang="0">
                                <a:pos x="T13" y="T15"/>
                              </a:cxn>
                              <a:cxn ang="0">
                                <a:pos x="T17" y="T19"/>
                              </a:cxn>
                            </a:cxnLst>
                            <a:rect l="0" t="0" r="r" b="b"/>
                            <a:pathLst>
                              <a:path w="9418" h="413">
                                <a:moveTo>
                                  <a:pt x="0" y="0"/>
                                </a:moveTo>
                                <a:lnTo>
                                  <a:pt x="0" y="413"/>
                                </a:lnTo>
                                <a:lnTo>
                                  <a:pt x="9418" y="413"/>
                                </a:lnTo>
                                <a:lnTo>
                                  <a:pt x="9418"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ABB585" id="Grupo 17" o:spid="_x0000_s1026" style="position:absolute;margin-left:70.05pt;margin-top:.95pt;width:471.9pt;height:42.3pt;z-index:-251650048;mso-position-horizontal-relative:page" coordorigin="1401,19" coordsize="9438,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">
                <v:shape id="Freeform 30" o:spid="_x0000_s1027" style="position:absolute;left:1411;top:29;width:9418;height:413;visibility:visible;mso-wrap-style:square;v-text-anchor:top" coordsize="9418,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" path="m,l,412r9418,l9418,,,xe" stroked="f">
                  <v:path arrowok="t" o:connecttype="custom" o:connectlocs="0,29;0,441;9418,441;9418,29;0,29" o:connectangles="0,0,0,0,0"/>
                </v:shape>
                <v:shape id="Freeform 31" o:spid="_x0000_s1028" style="position:absolute;left:1411;top:441;width:9418;height:413;visibility:visible;mso-wrap-style:square;v-text-anchor:top" coordsize="9418,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" path="m,l,413r9418,l9418,,,xe" stroked="f">
                  <v:path arrowok="t" o:connecttype="custom" o:connectlocs="0,441;0,854;9418,854;9418,441;0,441" o:connectangles="0,0,0,0,0"/>
                </v:shape>
                <w10:wrap anchorx="page"/>
              </v:group>
            </w:pict>
          </mc:Fallback>
        </mc:AlternateContent>
      </w:r>
      <w:r w:rsidRPr="00CB38AA">
        <w:rPr>
          <w:rFonts w:ascii="Times New Roman" w:eastAsia="Arial" w:hAnsi="Times New Roman" w:cs="Times New Roman"/>
          <w:sz w:val="24"/>
          <w:szCs w:val="24"/>
        </w:rPr>
        <w:t>Las atribuciones previstas en este artículo se ejercerán sin perjuicio de las competencias que otras disposiciones legales otorguen a diversas dependencias y entidades de la administración pública estatal y municipal.</w:t>
      </w:r>
    </w:p>
    <w:p w:rsidR="00DD10C6" w:rsidRPr="00CB38AA" w:rsidRDefault="00DD10C6" w:rsidP="00554B06">
      <w:pPr>
        <w:spacing w:after="0" w:line="240" w:lineRule="auto"/>
        <w:jc w:val="center"/>
        <w:rPr>
          <w:rFonts w:ascii="Times New Roman" w:eastAsia="Times New Roman" w:hAnsi="Times New Roman" w:cs="Times New Roman"/>
          <w:sz w:val="24"/>
          <w:szCs w:val="24"/>
        </w:rPr>
      </w:pPr>
    </w:p>
    <w:p w:rsidR="00DD10C6" w:rsidRPr="00CB38AA" w:rsidRDefault="00DD10C6" w:rsidP="00554B06">
      <w:pPr>
        <w:spacing w:after="0" w:line="240" w:lineRule="auto"/>
        <w:jc w:val="center"/>
        <w:rPr>
          <w:rFonts w:ascii="Times New Roman" w:eastAsia="Arial" w:hAnsi="Times New Roman" w:cs="Times New Roman"/>
          <w:b/>
          <w:sz w:val="24"/>
          <w:szCs w:val="24"/>
        </w:rPr>
      </w:pPr>
      <w:r w:rsidRPr="00CB38AA">
        <w:rPr>
          <w:rFonts w:ascii="Times New Roman" w:eastAsia="Arial" w:hAnsi="Times New Roman" w:cs="Times New Roman"/>
          <w:b/>
          <w:sz w:val="24"/>
          <w:szCs w:val="24"/>
        </w:rPr>
        <w:t>CAPÍTULO III</w:t>
      </w:r>
    </w:p>
    <w:p w:rsidR="00DD10C6" w:rsidRPr="00CB38AA" w:rsidRDefault="00DD10C6" w:rsidP="00554B06">
      <w:pPr>
        <w:spacing w:after="0" w:line="240" w:lineRule="auto"/>
        <w:jc w:val="center"/>
        <w:rPr>
          <w:rFonts w:ascii="Times New Roman" w:eastAsia="Arial" w:hAnsi="Times New Roman" w:cs="Times New Roman"/>
          <w:b/>
          <w:sz w:val="24"/>
          <w:szCs w:val="24"/>
        </w:rPr>
      </w:pPr>
    </w:p>
    <w:p w:rsidR="00DD10C6" w:rsidRPr="00CB38AA" w:rsidRDefault="00DD10C6" w:rsidP="00554B06">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ACCIONES EN LOS MUNICIPIOS</w:t>
      </w:r>
    </w:p>
    <w:p w:rsidR="00DD10C6" w:rsidRPr="00CB38AA" w:rsidRDefault="00DD10C6" w:rsidP="00554B06">
      <w:pPr>
        <w:spacing w:after="0" w:line="240" w:lineRule="auto"/>
        <w:jc w:val="center"/>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9. </w:t>
      </w:r>
      <w:r w:rsidRPr="00CB38AA">
        <w:rPr>
          <w:rFonts w:ascii="Times New Roman" w:eastAsia="Arial" w:hAnsi="Times New Roman" w:cs="Times New Roman"/>
          <w:sz w:val="24"/>
          <w:szCs w:val="24"/>
        </w:rPr>
        <w:t>Para fortalecer los principios, objetivos y acciones previstos en la presente ley, los municipios expedirán reglamentos o disposiciones administrativas que les permitan impulsar el acceso y promoción de la paz, teniendo como bases mínimas las establecidas en este ordenamiento.</w:t>
      </w:r>
    </w:p>
    <w:p w:rsidR="00DD10C6" w:rsidRPr="00CB38AA" w:rsidRDefault="00DD10C6" w:rsidP="00DF6EEA">
      <w:pPr>
        <w:spacing w:after="0" w:line="240" w:lineRule="auto"/>
        <w:jc w:val="both"/>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10. </w:t>
      </w:r>
      <w:r w:rsidRPr="00CB38AA">
        <w:rPr>
          <w:rFonts w:ascii="Times New Roman" w:eastAsia="Arial" w:hAnsi="Times New Roman" w:cs="Times New Roman"/>
          <w:sz w:val="24"/>
          <w:szCs w:val="24"/>
        </w:rPr>
        <w:t>Los ayuntamientos podrán conformar Consejos o dependencias que estimen convenientes para dar cumplimiento a las disposiciones de la presente ley, expidiendo el reglamento correspondiente, a efecto de implementar acciones de fomento al acceso y promoción de la paz. Con este propósito, en la elaboración de sus presupuestos de egresos podrán contemplar partidas presupuestales para cumplir con dichos objetivos.</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11. </w:t>
      </w:r>
      <w:r w:rsidRPr="00CB38AA">
        <w:rPr>
          <w:rFonts w:ascii="Times New Roman" w:eastAsia="Arial" w:hAnsi="Times New Roman" w:cs="Times New Roman"/>
          <w:sz w:val="24"/>
          <w:szCs w:val="24"/>
        </w:rPr>
        <w:t>Los ayuntamientos podrán crear los organismos de acceso y promoción para la paz en el reglamento municipal que norme su funcionamiento con el objetivo de colaborar con las acciones, programas y políticas públicas de cultura de paz e impulsar la transversalización del enfoque en las demás acciones de gobierno.</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Times New Roman" w:hAnsi="Times New Roman" w:cs="Times New Roman"/>
          <w:sz w:val="24"/>
          <w:szCs w:val="24"/>
        </w:rPr>
      </w:pPr>
      <w:r w:rsidRPr="00CB38AA">
        <w:rPr>
          <w:rFonts w:ascii="Times New Roman" w:eastAsia="Arial" w:hAnsi="Times New Roman" w:cs="Times New Roman"/>
          <w:b/>
          <w:sz w:val="24"/>
          <w:szCs w:val="24"/>
        </w:rPr>
        <w:t xml:space="preserve">Artículo 12. </w:t>
      </w:r>
      <w:r w:rsidRPr="00CB38AA">
        <w:rPr>
          <w:rFonts w:ascii="Times New Roman" w:eastAsia="Arial" w:hAnsi="Times New Roman" w:cs="Times New Roman"/>
          <w:sz w:val="24"/>
          <w:szCs w:val="24"/>
        </w:rPr>
        <w:t>Los ayuntamientos, serán responsables de realizar acciones de coordinación, seguimiento y evaluación en materia de acceso y promoción de la paz, así como de planeación, programación, implementación, ejecución, seguimiento y recolección de información para el monitoreo y evaluación del ejercicio del derecho a la paz en su territorio.</w:t>
      </w:r>
    </w:p>
    <w:p w:rsidR="00DD10C6" w:rsidRPr="00CB38AA" w:rsidRDefault="00DD10C6" w:rsidP="00DF6EEA">
      <w:pPr>
        <w:spacing w:after="0" w:line="240" w:lineRule="auto"/>
        <w:jc w:val="both"/>
        <w:rPr>
          <w:rFonts w:ascii="Times New Roman" w:eastAsia="Arial"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13. </w:t>
      </w:r>
      <w:r w:rsidRPr="00CB38AA">
        <w:rPr>
          <w:rFonts w:ascii="Times New Roman" w:eastAsia="Arial" w:hAnsi="Times New Roman" w:cs="Times New Roman"/>
          <w:sz w:val="24"/>
          <w:szCs w:val="24"/>
        </w:rPr>
        <w:t>De igual forma, es facultad de los Consejos y de las dependencias designadas por el municipio vincularse con la Secretaría para generar estrategias de coordinación, desarrollo de capacidades para impulsar el acceso y promoción de paz en su territorio.</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14. </w:t>
      </w:r>
      <w:r w:rsidRPr="00CB38AA">
        <w:rPr>
          <w:rFonts w:ascii="Times New Roman" w:eastAsia="Arial" w:hAnsi="Times New Roman" w:cs="Times New Roman"/>
          <w:sz w:val="24"/>
          <w:szCs w:val="24"/>
        </w:rPr>
        <w:t>Los Consejos, además de las facultades que se establezcan en los reglamentos respectivos, tendrán las atribuciones siguientes:</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ind w:left="1134" w:hanging="727"/>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w:t>
      </w:r>
      <w:r w:rsidRPr="00CB38AA">
        <w:rPr>
          <w:rFonts w:ascii="Times New Roman" w:eastAsia="Arial" w:hAnsi="Times New Roman" w:cs="Times New Roman"/>
          <w:sz w:val="24"/>
          <w:szCs w:val="24"/>
        </w:rPr>
        <w:tab/>
        <w:t>Promover acciones para difundir y hacer efectivo el acceso y promoción de la paz y los derechos humanos;</w:t>
      </w:r>
    </w:p>
    <w:p w:rsidR="00DD10C6" w:rsidRPr="00CB38AA" w:rsidRDefault="00DD10C6" w:rsidP="00DF6EEA">
      <w:pPr>
        <w:spacing w:after="0" w:line="240" w:lineRule="auto"/>
        <w:ind w:left="1134" w:hanging="727"/>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II.</w:t>
      </w:r>
      <w:r w:rsidRPr="00CB38AA">
        <w:rPr>
          <w:rFonts w:ascii="Times New Roman" w:eastAsia="Arial" w:hAnsi="Times New Roman" w:cs="Times New Roman"/>
          <w:sz w:val="24"/>
          <w:szCs w:val="24"/>
        </w:rPr>
        <w:tab/>
        <w:t>Generar procesos de construcción y consulta con la ciudadanía del proyecto de Programa Municipal de Paz, para ser presentado al ayuntamiento para su aprobación y, en su caso, actualización;</w:t>
      </w:r>
    </w:p>
    <w:p w:rsidR="00DD10C6" w:rsidRPr="00CB38AA" w:rsidRDefault="00DD10C6" w:rsidP="00DF6EEA">
      <w:pPr>
        <w:spacing w:after="0" w:line="240" w:lineRule="auto"/>
        <w:ind w:left="1134" w:hanging="727"/>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III.</w:t>
      </w:r>
      <w:r w:rsidRPr="00CB38AA">
        <w:rPr>
          <w:rFonts w:ascii="Times New Roman" w:eastAsia="Arial" w:hAnsi="Times New Roman" w:cs="Times New Roman"/>
          <w:sz w:val="24"/>
          <w:szCs w:val="24"/>
        </w:rPr>
        <w:tab/>
        <w:t>Realizar gestiones para la implementación de acciones encaminadas a generar paz entre las personas, así como en las comunidades;</w:t>
      </w:r>
    </w:p>
    <w:p w:rsidR="00DD10C6" w:rsidRPr="00CB38AA" w:rsidRDefault="00DD10C6" w:rsidP="00DF6EEA">
      <w:pPr>
        <w:spacing w:after="0" w:line="240" w:lineRule="auto"/>
        <w:ind w:left="1134" w:hanging="727"/>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IV.</w:t>
      </w:r>
      <w:r w:rsidRPr="00CB38AA">
        <w:rPr>
          <w:rFonts w:ascii="Times New Roman" w:eastAsia="Arial" w:hAnsi="Times New Roman" w:cs="Times New Roman"/>
          <w:sz w:val="24"/>
          <w:szCs w:val="24"/>
        </w:rPr>
        <w:tab/>
        <w:t>Coadyuvar en la generación de mapas de paz municipales, a través de ejercicios participativos.</w:t>
      </w:r>
    </w:p>
    <w:p w:rsidR="00DD10C6" w:rsidRPr="00CB38AA" w:rsidRDefault="00DD10C6" w:rsidP="00DF6EEA">
      <w:pPr>
        <w:spacing w:after="0" w:line="240" w:lineRule="auto"/>
        <w:ind w:left="1134" w:hanging="727"/>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V.</w:t>
      </w:r>
      <w:r w:rsidRPr="00CB38AA">
        <w:rPr>
          <w:rFonts w:ascii="Times New Roman" w:eastAsia="Arial" w:hAnsi="Times New Roman" w:cs="Times New Roman"/>
          <w:sz w:val="24"/>
          <w:szCs w:val="24"/>
        </w:rPr>
        <w:tab/>
        <w:t>Proponer reconocimientos a la ciudadanía por su contribución a la generación de espacios de paz;</w:t>
      </w:r>
    </w:p>
    <w:p w:rsidR="00DD10C6" w:rsidRPr="00CB38AA" w:rsidRDefault="00DD10C6" w:rsidP="00DF6EEA">
      <w:pPr>
        <w:spacing w:after="0" w:line="240" w:lineRule="auto"/>
        <w:ind w:left="1134" w:hanging="727"/>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VI.</w:t>
      </w:r>
      <w:r w:rsidRPr="00CB38AA">
        <w:rPr>
          <w:rFonts w:ascii="Times New Roman" w:eastAsia="Arial" w:hAnsi="Times New Roman" w:cs="Times New Roman"/>
          <w:sz w:val="24"/>
          <w:szCs w:val="24"/>
        </w:rPr>
        <w:tab/>
        <w:t>Capacitar a las y los servidores públicos municipales en acceso y promoción de la paz;</w:t>
      </w:r>
    </w:p>
    <w:p w:rsidR="00DD10C6" w:rsidRPr="00CB38AA" w:rsidRDefault="00DD10C6" w:rsidP="00DF6EEA">
      <w:pPr>
        <w:spacing w:after="0" w:line="240" w:lineRule="auto"/>
        <w:ind w:left="1134" w:hanging="727"/>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lastRenderedPageBreak/>
        <w:t>VII.</w:t>
      </w:r>
      <w:r w:rsidRPr="00CB38AA">
        <w:rPr>
          <w:rFonts w:ascii="Times New Roman" w:eastAsia="Arial" w:hAnsi="Times New Roman" w:cs="Times New Roman"/>
          <w:sz w:val="24"/>
          <w:szCs w:val="24"/>
        </w:rPr>
        <w:tab/>
        <w:t>Brindar herramientas pedagógicas y capacitación a la ciudadanía para que cuenten con herramientas para impulsar estrategias y acciones de paz en sus barrios, colonias, agencias y delegaciones municipales;</w:t>
      </w:r>
    </w:p>
    <w:p w:rsidR="00DD10C6" w:rsidRPr="00CB38AA" w:rsidRDefault="00DD10C6" w:rsidP="00DF6EEA">
      <w:pPr>
        <w:spacing w:after="0" w:line="240" w:lineRule="auto"/>
        <w:ind w:left="1134" w:hanging="727"/>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VIII.</w:t>
      </w:r>
      <w:r w:rsidRPr="00CB38AA">
        <w:rPr>
          <w:rFonts w:ascii="Times New Roman" w:eastAsia="Arial" w:hAnsi="Times New Roman" w:cs="Times New Roman"/>
          <w:sz w:val="24"/>
          <w:szCs w:val="24"/>
        </w:rPr>
        <w:tab/>
        <w:t>Celebrar convenios de colaboración con instituciones públicas y privadas para la ejecución de los fines planteados en su respectivo Programa;</w:t>
      </w:r>
    </w:p>
    <w:p w:rsidR="00DD10C6" w:rsidRPr="00CB38AA" w:rsidRDefault="00DD10C6" w:rsidP="00DF6EEA">
      <w:pPr>
        <w:spacing w:after="0" w:line="240" w:lineRule="auto"/>
        <w:ind w:left="1134" w:hanging="727"/>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IX.</w:t>
      </w:r>
      <w:r w:rsidRPr="00CB38AA">
        <w:rPr>
          <w:rFonts w:ascii="Times New Roman" w:eastAsia="Arial" w:hAnsi="Times New Roman" w:cs="Times New Roman"/>
          <w:sz w:val="24"/>
          <w:szCs w:val="24"/>
        </w:rPr>
        <w:tab/>
        <w:t>Las demás previstas en las leyes y reglamentos aplicables.</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15. </w:t>
      </w:r>
      <w:r w:rsidRPr="00CB38AA">
        <w:rPr>
          <w:rFonts w:ascii="Times New Roman" w:eastAsia="Arial" w:hAnsi="Times New Roman" w:cs="Times New Roman"/>
          <w:sz w:val="24"/>
          <w:szCs w:val="24"/>
        </w:rPr>
        <w:t>Se podrán conformar mesas de gobernanza y paz municipales, a efecto de garantizar la representación y participación activa de los sectores sociales para la toma consensuada de decisiones públicas en materia de cultura de paz en los municipios.</w:t>
      </w:r>
    </w:p>
    <w:p w:rsidR="00676B1F" w:rsidRPr="00CB38AA" w:rsidRDefault="00676B1F" w:rsidP="00DF6EEA">
      <w:pPr>
        <w:spacing w:after="0" w:line="240" w:lineRule="auto"/>
        <w:jc w:val="both"/>
        <w:rPr>
          <w:rFonts w:ascii="Times New Roman" w:eastAsia="Times New Roman" w:hAnsi="Times New Roman" w:cs="Times New Roman"/>
          <w:sz w:val="24"/>
          <w:szCs w:val="24"/>
        </w:rPr>
      </w:pPr>
    </w:p>
    <w:p w:rsidR="00DD10C6" w:rsidRPr="00CB38AA" w:rsidRDefault="00DD10C6" w:rsidP="00554B06">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CAPÍTULO </w:t>
      </w:r>
      <w:r w:rsidR="00AB7BB7" w:rsidRPr="00CB38AA">
        <w:rPr>
          <w:rFonts w:ascii="Times New Roman" w:eastAsia="Arial" w:hAnsi="Times New Roman" w:cs="Times New Roman"/>
          <w:b/>
          <w:sz w:val="24"/>
          <w:szCs w:val="24"/>
        </w:rPr>
        <w:t>4</w:t>
      </w:r>
    </w:p>
    <w:p w:rsidR="00DD10C6" w:rsidRPr="00CB38AA" w:rsidRDefault="00DD10C6" w:rsidP="00554B06">
      <w:pPr>
        <w:spacing w:after="0" w:line="240" w:lineRule="auto"/>
        <w:jc w:val="center"/>
        <w:rPr>
          <w:rFonts w:ascii="Times New Roman" w:eastAsia="Times New Roman" w:hAnsi="Times New Roman" w:cs="Times New Roman"/>
          <w:sz w:val="24"/>
          <w:szCs w:val="24"/>
        </w:rPr>
      </w:pPr>
    </w:p>
    <w:p w:rsidR="00DD10C6" w:rsidRPr="00CB38AA" w:rsidRDefault="00DD10C6" w:rsidP="00554B06">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DEL PROGRAMA ESTATAL DE PROMOCIÓN DE LA PAZ</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16.  </w:t>
      </w:r>
      <w:r w:rsidRPr="00CB38AA">
        <w:rPr>
          <w:rFonts w:ascii="Times New Roman" w:eastAsia="Arial" w:hAnsi="Times New Roman" w:cs="Times New Roman"/>
          <w:sz w:val="24"/>
          <w:szCs w:val="24"/>
        </w:rPr>
        <w:t>El Programa Estatal de Promoción de la Paz en el Estado de México tiene como fin establecer las directrices que deberán seguir las entidades del estado para la elaboración e implementación de acciones en materia de acceso y promoción de la paz, así como los instrumentos e indicadores necesarios para el seguimiento y evaluación de las mismas.</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17. </w:t>
      </w:r>
      <w:r w:rsidRPr="00CB38AA">
        <w:rPr>
          <w:rFonts w:ascii="Times New Roman" w:eastAsia="Arial" w:hAnsi="Times New Roman" w:cs="Times New Roman"/>
          <w:sz w:val="24"/>
          <w:szCs w:val="24"/>
        </w:rPr>
        <w:t>La construcción y actualización del Programa Estatal de Promoción de la Paz en el Estado de México, además de considerar elementos académicos y técnicos, deberá apoyarse en procesos de participación ciudadana que integren las necesidades, visiones y propuestas de los diversos sectores de la sociedad.</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18. </w:t>
      </w:r>
      <w:r w:rsidRPr="00CB38AA">
        <w:rPr>
          <w:rFonts w:ascii="Times New Roman" w:eastAsia="Arial" w:hAnsi="Times New Roman" w:cs="Times New Roman"/>
          <w:sz w:val="24"/>
          <w:szCs w:val="24"/>
        </w:rPr>
        <w:t>El diseño del Programa Estatal de Promoción de la Paz en el Estado de México deberá nutrirse y desarrollarse con las apreciaciones del Consejo Consultivo y diversos colectivos en materia de acceso y promoción para la paz.</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19. </w:t>
      </w:r>
      <w:r w:rsidRPr="00CB38AA">
        <w:rPr>
          <w:rFonts w:ascii="Times New Roman" w:eastAsia="Arial" w:hAnsi="Times New Roman" w:cs="Times New Roman"/>
          <w:sz w:val="24"/>
          <w:szCs w:val="24"/>
        </w:rPr>
        <w:t>Se establece una periodicidad de dos años para evaluar y actualizar el Programa Estatal de Promoción de la Paz en el Estado de México.</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20. </w:t>
      </w:r>
      <w:r w:rsidRPr="00CB38AA">
        <w:rPr>
          <w:rFonts w:ascii="Times New Roman" w:eastAsia="Arial" w:hAnsi="Times New Roman" w:cs="Times New Roman"/>
          <w:sz w:val="24"/>
          <w:szCs w:val="24"/>
        </w:rPr>
        <w:t>El Consejo Consultivo será el encargado de evaluar y actualizar el Programa Estatal de Promoción de la Paz en el Estado de México.</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CAPÍTULO 5</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DEL CONSEJO CONSULTIVO PARA LA PROMOCIÓN DE LA PAZ</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Times New Roman" w:hAnsi="Times New Roman" w:cs="Times New Roman"/>
          <w:sz w:val="24"/>
          <w:szCs w:val="24"/>
        </w:rPr>
      </w:pPr>
      <w:r w:rsidRPr="00CB38AA">
        <w:rPr>
          <w:rFonts w:ascii="Times New Roman" w:eastAsia="Arial" w:hAnsi="Times New Roman" w:cs="Times New Roman"/>
          <w:b/>
          <w:sz w:val="24"/>
          <w:szCs w:val="24"/>
        </w:rPr>
        <w:t xml:space="preserve">Artículo 21. </w:t>
      </w:r>
      <w:r w:rsidRPr="00CB38AA">
        <w:rPr>
          <w:rFonts w:ascii="Times New Roman" w:eastAsia="Arial" w:hAnsi="Times New Roman" w:cs="Times New Roman"/>
          <w:sz w:val="24"/>
          <w:szCs w:val="24"/>
        </w:rPr>
        <w:t>El Consejo Consultivo será un órgano auxiliar de consulta, con funciones deliberativas y propositivas, que coadyuvará de manera honorífica con la Secretaría en el cumplimiento de los objetivos de la presente Ley.</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22. </w:t>
      </w:r>
      <w:r w:rsidRPr="00CB38AA">
        <w:rPr>
          <w:rFonts w:ascii="Times New Roman" w:eastAsia="Arial" w:hAnsi="Times New Roman" w:cs="Times New Roman"/>
          <w:sz w:val="24"/>
          <w:szCs w:val="24"/>
        </w:rPr>
        <w:t>El Consejo Consultivo se caracteriza por ser una instancia de participación ciudadana de interés público, cuya finalidad es coadyuvar, en términos de esta ley, al cumplimiento de los objetivos establecidos para el acceso y promoción de la paz.</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23. </w:t>
      </w:r>
      <w:r w:rsidRPr="00CB38AA">
        <w:rPr>
          <w:rFonts w:ascii="Times New Roman" w:eastAsia="Arial" w:hAnsi="Times New Roman" w:cs="Times New Roman"/>
          <w:sz w:val="24"/>
          <w:szCs w:val="24"/>
        </w:rPr>
        <w:t>El Consejo Consultivo estará integrado por:</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numPr>
          <w:ilvl w:val="0"/>
          <w:numId w:val="10"/>
        </w:numPr>
        <w:spacing w:after="0" w:line="240" w:lineRule="auto"/>
        <w:contextualSpacing/>
        <w:rPr>
          <w:rFonts w:ascii="Times New Roman" w:eastAsia="Arial" w:hAnsi="Times New Roman" w:cs="Times New Roman"/>
          <w:sz w:val="24"/>
          <w:szCs w:val="24"/>
        </w:rPr>
      </w:pPr>
      <w:r w:rsidRPr="00CB38AA">
        <w:rPr>
          <w:rFonts w:ascii="Times New Roman" w:eastAsia="Arial" w:hAnsi="Times New Roman" w:cs="Times New Roman"/>
          <w:sz w:val="24"/>
          <w:szCs w:val="24"/>
        </w:rPr>
        <w:lastRenderedPageBreak/>
        <w:t>Un representante de la Universidad Autónoma del Estado de México;</w:t>
      </w:r>
    </w:p>
    <w:p w:rsidR="00DD10C6" w:rsidRPr="00CB38AA" w:rsidRDefault="00DD10C6" w:rsidP="00DF6EEA">
      <w:pPr>
        <w:spacing w:after="0" w:line="240" w:lineRule="auto"/>
        <w:ind w:left="1127" w:hanging="720"/>
        <w:rPr>
          <w:rFonts w:ascii="Times New Roman" w:eastAsia="Times New Roman" w:hAnsi="Times New Roman" w:cs="Times New Roman"/>
          <w:sz w:val="24"/>
          <w:szCs w:val="24"/>
        </w:rPr>
      </w:pPr>
    </w:p>
    <w:p w:rsidR="00DD10C6" w:rsidRPr="00CB38AA" w:rsidRDefault="00DD10C6" w:rsidP="00DF6EEA">
      <w:pPr>
        <w:numPr>
          <w:ilvl w:val="0"/>
          <w:numId w:val="10"/>
        </w:numPr>
        <w:spacing w:after="0" w:line="240" w:lineRule="auto"/>
        <w:contextualSpacing/>
        <w:rPr>
          <w:rFonts w:ascii="Times New Roman" w:eastAsia="Arial" w:hAnsi="Times New Roman" w:cs="Times New Roman"/>
          <w:sz w:val="24"/>
          <w:szCs w:val="24"/>
        </w:rPr>
      </w:pPr>
      <w:r w:rsidRPr="00CB38AA">
        <w:rPr>
          <w:rFonts w:ascii="Times New Roman" w:eastAsia="Arial" w:hAnsi="Times New Roman" w:cs="Times New Roman"/>
          <w:sz w:val="24"/>
          <w:szCs w:val="24"/>
        </w:rPr>
        <w:t>Un representante de la Comisión de Derechos Humanos del Estado de México;</w:t>
      </w:r>
    </w:p>
    <w:p w:rsidR="00DD10C6" w:rsidRPr="00CB38AA" w:rsidRDefault="00DD10C6" w:rsidP="00DF6EEA">
      <w:pPr>
        <w:spacing w:after="0" w:line="240" w:lineRule="auto"/>
        <w:ind w:left="1127" w:hanging="720"/>
        <w:contextualSpacing/>
        <w:rPr>
          <w:rFonts w:ascii="Times New Roman" w:eastAsia="Arial" w:hAnsi="Times New Roman" w:cs="Times New Roman"/>
          <w:sz w:val="24"/>
          <w:szCs w:val="24"/>
        </w:rPr>
      </w:pPr>
    </w:p>
    <w:p w:rsidR="00DD10C6" w:rsidRPr="00CB38AA" w:rsidRDefault="00DD10C6" w:rsidP="00DF6EEA">
      <w:pPr>
        <w:numPr>
          <w:ilvl w:val="0"/>
          <w:numId w:val="10"/>
        </w:numPr>
        <w:spacing w:after="0" w:line="240" w:lineRule="auto"/>
        <w:contextualSpacing/>
        <w:rPr>
          <w:rFonts w:ascii="Times New Roman" w:eastAsia="Times New Roman" w:hAnsi="Times New Roman" w:cs="Times New Roman"/>
          <w:sz w:val="24"/>
          <w:szCs w:val="24"/>
        </w:rPr>
      </w:pPr>
      <w:r w:rsidRPr="00CB38AA">
        <w:rPr>
          <w:rFonts w:ascii="Times New Roman" w:eastAsia="Arial" w:hAnsi="Times New Roman" w:cs="Times New Roman"/>
          <w:sz w:val="24"/>
          <w:szCs w:val="24"/>
        </w:rPr>
        <w:t>Un representante de la Secretaría de Educación, Ciencia, Tecnología e Innovación;</w:t>
      </w:r>
    </w:p>
    <w:p w:rsidR="00DD10C6" w:rsidRPr="00CB38AA" w:rsidRDefault="00DD10C6" w:rsidP="00DF6EEA">
      <w:pPr>
        <w:spacing w:after="0" w:line="240" w:lineRule="auto"/>
        <w:ind w:left="1127" w:hanging="720"/>
        <w:contextualSpacing/>
        <w:rPr>
          <w:rFonts w:ascii="Times New Roman" w:eastAsia="Arial" w:hAnsi="Times New Roman" w:cs="Times New Roman"/>
          <w:sz w:val="24"/>
          <w:szCs w:val="24"/>
        </w:rPr>
      </w:pPr>
    </w:p>
    <w:p w:rsidR="00DD10C6" w:rsidRPr="00CB38AA" w:rsidRDefault="00DD10C6" w:rsidP="00DF6EEA">
      <w:pPr>
        <w:numPr>
          <w:ilvl w:val="0"/>
          <w:numId w:val="10"/>
        </w:numPr>
        <w:spacing w:after="0" w:line="240" w:lineRule="auto"/>
        <w:contextualSpacing/>
        <w:rPr>
          <w:rFonts w:ascii="Times New Roman" w:eastAsia="Times New Roman" w:hAnsi="Times New Roman" w:cs="Times New Roman"/>
          <w:sz w:val="24"/>
          <w:szCs w:val="24"/>
        </w:rPr>
      </w:pPr>
      <w:r w:rsidRPr="00CB38AA">
        <w:rPr>
          <w:rFonts w:ascii="Times New Roman" w:eastAsia="Arial" w:hAnsi="Times New Roman" w:cs="Times New Roman"/>
          <w:sz w:val="24"/>
          <w:szCs w:val="24"/>
        </w:rPr>
        <w:t>Un representante de la Universidad Mexiquense del Bicentenario;</w:t>
      </w:r>
    </w:p>
    <w:p w:rsidR="00DD10C6" w:rsidRPr="00CB38AA" w:rsidRDefault="00DD10C6" w:rsidP="00DF6EEA">
      <w:pPr>
        <w:spacing w:after="0" w:line="240" w:lineRule="auto"/>
        <w:ind w:left="1127" w:hanging="720"/>
        <w:contextualSpacing/>
        <w:rPr>
          <w:rFonts w:ascii="Times New Roman" w:eastAsia="Arial" w:hAnsi="Times New Roman" w:cs="Times New Roman"/>
          <w:sz w:val="24"/>
          <w:szCs w:val="24"/>
        </w:rPr>
      </w:pPr>
    </w:p>
    <w:p w:rsidR="00DD10C6" w:rsidRPr="00CB38AA" w:rsidRDefault="00DD10C6" w:rsidP="00DF6EEA">
      <w:pPr>
        <w:numPr>
          <w:ilvl w:val="0"/>
          <w:numId w:val="10"/>
        </w:numPr>
        <w:spacing w:after="0" w:line="240" w:lineRule="auto"/>
        <w:contextualSpacing/>
        <w:rPr>
          <w:rFonts w:ascii="Times New Roman" w:eastAsia="Arial" w:hAnsi="Times New Roman" w:cs="Times New Roman"/>
          <w:sz w:val="24"/>
          <w:szCs w:val="24"/>
        </w:rPr>
      </w:pPr>
      <w:r w:rsidRPr="00CB38AA">
        <w:rPr>
          <w:rFonts w:ascii="Times New Roman" w:eastAsia="Arial" w:hAnsi="Times New Roman" w:cs="Times New Roman"/>
          <w:sz w:val="24"/>
          <w:szCs w:val="24"/>
        </w:rPr>
        <w:t>Un representante de la Consejería Jurídica;</w:t>
      </w:r>
    </w:p>
    <w:p w:rsidR="00DD10C6" w:rsidRPr="00CB38AA" w:rsidRDefault="00DD10C6" w:rsidP="00DF6EEA">
      <w:pPr>
        <w:spacing w:after="0" w:line="240" w:lineRule="auto"/>
        <w:ind w:left="1127" w:hanging="720"/>
        <w:contextualSpacing/>
        <w:rPr>
          <w:rFonts w:ascii="Times New Roman" w:eastAsia="Arial" w:hAnsi="Times New Roman" w:cs="Times New Roman"/>
          <w:sz w:val="24"/>
          <w:szCs w:val="24"/>
        </w:rPr>
      </w:pPr>
    </w:p>
    <w:p w:rsidR="00DD10C6" w:rsidRPr="00CB38AA" w:rsidRDefault="00DD10C6" w:rsidP="00DF6EEA">
      <w:pPr>
        <w:numPr>
          <w:ilvl w:val="0"/>
          <w:numId w:val="10"/>
        </w:numPr>
        <w:spacing w:after="0" w:line="240" w:lineRule="auto"/>
        <w:contextualSpacing/>
        <w:rPr>
          <w:rFonts w:ascii="Times New Roman" w:eastAsia="Arial" w:hAnsi="Times New Roman" w:cs="Times New Roman"/>
          <w:sz w:val="24"/>
          <w:szCs w:val="24"/>
        </w:rPr>
      </w:pPr>
      <w:r w:rsidRPr="00CB38AA">
        <w:rPr>
          <w:rFonts w:ascii="Times New Roman" w:eastAsia="Arial" w:hAnsi="Times New Roman" w:cs="Times New Roman"/>
          <w:sz w:val="24"/>
          <w:szCs w:val="24"/>
        </w:rPr>
        <w:t>Un representante de la Secretaría de Bienestar;</w:t>
      </w:r>
    </w:p>
    <w:p w:rsidR="00DD10C6" w:rsidRPr="00CB38AA" w:rsidRDefault="00DD10C6" w:rsidP="00DF6EEA">
      <w:pPr>
        <w:spacing w:after="0" w:line="240" w:lineRule="auto"/>
        <w:ind w:left="1127" w:hanging="720"/>
        <w:contextualSpacing/>
        <w:rPr>
          <w:rFonts w:ascii="Times New Roman" w:eastAsia="Arial" w:hAnsi="Times New Roman" w:cs="Times New Roman"/>
          <w:sz w:val="24"/>
          <w:szCs w:val="24"/>
        </w:rPr>
      </w:pPr>
    </w:p>
    <w:p w:rsidR="00DD10C6" w:rsidRPr="00CB38AA" w:rsidRDefault="00DD10C6" w:rsidP="00DF6EEA">
      <w:pPr>
        <w:numPr>
          <w:ilvl w:val="0"/>
          <w:numId w:val="10"/>
        </w:numPr>
        <w:spacing w:after="0" w:line="240" w:lineRule="auto"/>
        <w:contextualSpacing/>
        <w:rPr>
          <w:rFonts w:ascii="Times New Roman" w:eastAsia="Arial" w:hAnsi="Times New Roman" w:cs="Times New Roman"/>
          <w:sz w:val="24"/>
          <w:szCs w:val="24"/>
        </w:rPr>
      </w:pPr>
      <w:r w:rsidRPr="00CB38AA">
        <w:rPr>
          <w:rFonts w:ascii="Times New Roman" w:eastAsia="Arial" w:hAnsi="Times New Roman" w:cs="Times New Roman"/>
          <w:sz w:val="24"/>
          <w:szCs w:val="24"/>
        </w:rPr>
        <w:t>Un representante de la Secretaría de Seguridad:</w:t>
      </w:r>
    </w:p>
    <w:p w:rsidR="00DD10C6" w:rsidRPr="00CB38AA" w:rsidRDefault="00DD10C6" w:rsidP="00DF6EEA">
      <w:pPr>
        <w:spacing w:after="0" w:line="240" w:lineRule="auto"/>
        <w:ind w:left="1127" w:hanging="720"/>
        <w:contextualSpacing/>
        <w:rPr>
          <w:rFonts w:ascii="Times New Roman" w:eastAsia="Arial" w:hAnsi="Times New Roman" w:cs="Times New Roman"/>
          <w:sz w:val="24"/>
          <w:szCs w:val="24"/>
        </w:rPr>
      </w:pPr>
    </w:p>
    <w:p w:rsidR="00DD10C6" w:rsidRPr="00CB38AA" w:rsidRDefault="00DD10C6" w:rsidP="00DF6EEA">
      <w:pPr>
        <w:numPr>
          <w:ilvl w:val="0"/>
          <w:numId w:val="10"/>
        </w:numPr>
        <w:spacing w:after="0" w:line="240" w:lineRule="auto"/>
        <w:contextualSpacing/>
        <w:rPr>
          <w:rFonts w:ascii="Times New Roman" w:eastAsia="Arial" w:hAnsi="Times New Roman" w:cs="Times New Roman"/>
          <w:sz w:val="24"/>
          <w:szCs w:val="24"/>
        </w:rPr>
      </w:pPr>
      <w:r w:rsidRPr="00CB38AA">
        <w:rPr>
          <w:rFonts w:ascii="Times New Roman" w:eastAsia="Arial" w:hAnsi="Times New Roman" w:cs="Times New Roman"/>
          <w:sz w:val="24"/>
          <w:szCs w:val="24"/>
        </w:rPr>
        <w:t>Un representante de la Secretaría de la Mujer;</w:t>
      </w:r>
    </w:p>
    <w:p w:rsidR="00DD10C6" w:rsidRPr="00CB38AA" w:rsidRDefault="00DD10C6" w:rsidP="00DF6EEA">
      <w:pPr>
        <w:spacing w:after="0" w:line="240" w:lineRule="auto"/>
        <w:ind w:left="1127" w:hanging="720"/>
        <w:contextualSpacing/>
        <w:rPr>
          <w:rFonts w:ascii="Times New Roman" w:eastAsia="Arial" w:hAnsi="Times New Roman" w:cs="Times New Roman"/>
          <w:sz w:val="24"/>
          <w:szCs w:val="24"/>
        </w:rPr>
      </w:pPr>
    </w:p>
    <w:p w:rsidR="00DD10C6" w:rsidRPr="00CB38AA" w:rsidRDefault="00DD10C6" w:rsidP="00DF6EEA">
      <w:pPr>
        <w:numPr>
          <w:ilvl w:val="0"/>
          <w:numId w:val="10"/>
        </w:numPr>
        <w:spacing w:after="0" w:line="240" w:lineRule="auto"/>
        <w:contextualSpacing/>
        <w:rPr>
          <w:rFonts w:ascii="Times New Roman" w:eastAsia="Arial" w:hAnsi="Times New Roman" w:cs="Times New Roman"/>
          <w:sz w:val="24"/>
          <w:szCs w:val="24"/>
        </w:rPr>
      </w:pPr>
      <w:r w:rsidRPr="00CB38AA">
        <w:rPr>
          <w:rFonts w:ascii="Times New Roman" w:eastAsia="Arial" w:hAnsi="Times New Roman" w:cs="Times New Roman"/>
          <w:sz w:val="24"/>
          <w:szCs w:val="24"/>
        </w:rPr>
        <w:t>2 representantes de las organizaciones de la sociedad civil en materia de promoción y cultura de paz.</w:t>
      </w:r>
    </w:p>
    <w:p w:rsidR="00DD10C6" w:rsidRPr="00CB38AA" w:rsidRDefault="00DD10C6" w:rsidP="00DF6EEA">
      <w:pPr>
        <w:spacing w:after="0" w:line="240" w:lineRule="auto"/>
        <w:ind w:left="1127" w:hanging="720"/>
        <w:contextualSpacing/>
        <w:rPr>
          <w:rFonts w:ascii="Times New Roman" w:eastAsia="Arial" w:hAnsi="Times New Roman" w:cs="Times New Roman"/>
          <w:sz w:val="24"/>
          <w:szCs w:val="24"/>
        </w:rPr>
      </w:pPr>
    </w:p>
    <w:p w:rsidR="00DD10C6" w:rsidRPr="00CB38AA" w:rsidRDefault="00DD10C6" w:rsidP="00DF6EEA">
      <w:pPr>
        <w:numPr>
          <w:ilvl w:val="0"/>
          <w:numId w:val="10"/>
        </w:numPr>
        <w:spacing w:after="0" w:line="240" w:lineRule="auto"/>
        <w:contextualSpacing/>
        <w:rPr>
          <w:rFonts w:ascii="Times New Roman" w:eastAsia="Arial" w:hAnsi="Times New Roman" w:cs="Times New Roman"/>
          <w:sz w:val="24"/>
          <w:szCs w:val="24"/>
        </w:rPr>
      </w:pPr>
      <w:r w:rsidRPr="00CB38AA">
        <w:rPr>
          <w:rFonts w:ascii="Times New Roman" w:eastAsia="Arial" w:hAnsi="Times New Roman" w:cs="Times New Roman"/>
          <w:sz w:val="24"/>
          <w:szCs w:val="24"/>
        </w:rPr>
        <w:t>2 especialistas en Estudios de Paz, Cultura de Paz y Convivencia Escolar</w:t>
      </w:r>
    </w:p>
    <w:p w:rsidR="00DD10C6" w:rsidRPr="00CB38AA" w:rsidRDefault="00DD10C6" w:rsidP="00DF6EEA">
      <w:pPr>
        <w:spacing w:after="0" w:line="240" w:lineRule="auto"/>
        <w:ind w:left="1127" w:hanging="720"/>
        <w:rPr>
          <w:rFonts w:ascii="Times New Roman" w:eastAsia="Times New Roman" w:hAnsi="Times New Roman" w:cs="Times New Roman"/>
          <w:sz w:val="24"/>
          <w:szCs w:val="24"/>
        </w:rPr>
      </w:pP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24. </w:t>
      </w:r>
      <w:r w:rsidRPr="00CB38AA">
        <w:rPr>
          <w:rFonts w:ascii="Times New Roman" w:eastAsia="Arial" w:hAnsi="Times New Roman" w:cs="Times New Roman"/>
          <w:sz w:val="24"/>
          <w:szCs w:val="24"/>
        </w:rPr>
        <w:t>El consejo sesionará de manera bimestral.</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25. </w:t>
      </w:r>
      <w:r w:rsidRPr="00CB38AA">
        <w:rPr>
          <w:rFonts w:ascii="Times New Roman" w:eastAsia="Arial" w:hAnsi="Times New Roman" w:cs="Times New Roman"/>
          <w:sz w:val="24"/>
          <w:szCs w:val="24"/>
        </w:rPr>
        <w:t>El consejo deberá emitir y establecer las reglamentaciones pertinentes para su respectivo funcionamiento y el desarrollo de sus actividades como órgano de apoyo y deliberación.</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TRANSITORIOS</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Times New Roman" w:hAnsi="Times New Roman" w:cs="Times New Roman"/>
          <w:sz w:val="24"/>
          <w:szCs w:val="24"/>
        </w:rPr>
      </w:pPr>
      <w:r w:rsidRPr="00CB38AA">
        <w:rPr>
          <w:rFonts w:ascii="Times New Roman" w:eastAsia="Arial" w:hAnsi="Times New Roman" w:cs="Times New Roman"/>
          <w:b/>
          <w:sz w:val="24"/>
          <w:szCs w:val="24"/>
        </w:rPr>
        <w:t xml:space="preserve">ARTÍCULO PRIMERO. </w:t>
      </w:r>
      <w:r w:rsidRPr="00CB38AA">
        <w:rPr>
          <w:rFonts w:ascii="Times New Roman" w:eastAsia="Arial" w:hAnsi="Times New Roman" w:cs="Times New Roman"/>
          <w:sz w:val="24"/>
          <w:szCs w:val="24"/>
        </w:rPr>
        <w:t>Publíquese el presente Decreto en el Periódico Oficial “Gaceta de Gobierno”.</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SEGUNDO. </w:t>
      </w:r>
      <w:r w:rsidRPr="00CB38AA">
        <w:rPr>
          <w:rFonts w:ascii="Times New Roman" w:eastAsia="Arial" w:hAnsi="Times New Roman" w:cs="Times New Roman"/>
          <w:sz w:val="24"/>
          <w:szCs w:val="24"/>
        </w:rPr>
        <w:t>El presente Decreto entrará en vigor al día siguiente de su publicación en el Periódico Oficial “Gaceta del Gobierno” del Estado de México.</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TERCERO. </w:t>
      </w:r>
      <w:r w:rsidRPr="00CB38AA">
        <w:rPr>
          <w:rFonts w:ascii="Times New Roman" w:eastAsia="Arial" w:hAnsi="Times New Roman" w:cs="Times New Roman"/>
          <w:sz w:val="24"/>
          <w:szCs w:val="24"/>
        </w:rPr>
        <w:t>Los ayuntamientos expedirán los ordenamientos municipales y reformas necesarias para armonizar su orden jurídico con las disposiciones previstas en la presente Ley en un plazo de 180 días naturales.</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CUARTO. </w:t>
      </w:r>
      <w:r w:rsidRPr="00CB38AA">
        <w:rPr>
          <w:rFonts w:ascii="Times New Roman" w:eastAsia="Arial" w:hAnsi="Times New Roman" w:cs="Times New Roman"/>
          <w:sz w:val="24"/>
          <w:szCs w:val="24"/>
        </w:rPr>
        <w:t>A partir de la aprobación de la ley, se establece el periodo de un año para generar el Programa Estatal de Promoción de la Paz.</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QUINTO. </w:t>
      </w:r>
      <w:r w:rsidRPr="00CB38AA">
        <w:rPr>
          <w:rFonts w:ascii="Times New Roman" w:eastAsia="Arial" w:hAnsi="Times New Roman" w:cs="Times New Roman"/>
          <w:sz w:val="24"/>
          <w:szCs w:val="24"/>
        </w:rPr>
        <w:t>A partir de la aprobación de la ley, se establecen 90 días naturales para la conformación del Consejo Consultivo.</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SEXTO. </w:t>
      </w:r>
      <w:r w:rsidRPr="00CB38AA">
        <w:rPr>
          <w:rFonts w:ascii="Times New Roman" w:eastAsia="Arial" w:hAnsi="Times New Roman" w:cs="Times New Roman"/>
          <w:sz w:val="24"/>
          <w:szCs w:val="24"/>
        </w:rPr>
        <w:t>A partir de la conformación del Consejo Consultivo, se establecen 60 días para la expedición de su reglamento.</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lastRenderedPageBreak/>
        <w:t>La persona titular del Poder Ejecutivo lo tendrá por entendido, haciendo que se publique y se cumpla.</w:t>
      </w:r>
    </w:p>
    <w:p w:rsidR="00DD10C6" w:rsidRPr="00CB38AA" w:rsidRDefault="00DD10C6" w:rsidP="00DF6EEA">
      <w:pPr>
        <w:spacing w:after="0" w:line="240" w:lineRule="auto"/>
        <w:rPr>
          <w:rFonts w:ascii="Times New Roman" w:eastAsia="Times New Roman" w:hAnsi="Times New Roman" w:cs="Times New Roman"/>
          <w:sz w:val="24"/>
          <w:szCs w:val="24"/>
        </w:rPr>
      </w:pPr>
    </w:p>
    <w:p w:rsidR="00DD10C6" w:rsidRPr="00CB38AA" w:rsidRDefault="00DD10C6"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Dado en el Palacio del Poder Legislativo, en la Ciudad de Toluca, Capital del Estado de México, a los </w:t>
      </w:r>
      <w:r w:rsidRPr="00CB38AA">
        <w:rPr>
          <w:rFonts w:ascii="Times New Roman" w:eastAsia="Times New Roman" w:hAnsi="Times New Roman" w:cs="Times New Roman"/>
          <w:sz w:val="24"/>
          <w:szCs w:val="24"/>
          <w:u w:val="single" w:color="000000"/>
        </w:rPr>
        <w:t xml:space="preserve">    </w:t>
      </w:r>
      <w:r w:rsidRPr="00CB38AA">
        <w:rPr>
          <w:rFonts w:ascii="Times New Roman" w:eastAsia="Times New Roman" w:hAnsi="Times New Roman" w:cs="Times New Roman"/>
          <w:sz w:val="24"/>
          <w:szCs w:val="24"/>
        </w:rPr>
        <w:t xml:space="preserve"> </w:t>
      </w:r>
      <w:r w:rsidRPr="00CB38AA">
        <w:rPr>
          <w:rFonts w:ascii="Times New Roman" w:eastAsia="Arial" w:hAnsi="Times New Roman" w:cs="Times New Roman"/>
          <w:sz w:val="24"/>
          <w:szCs w:val="24"/>
        </w:rPr>
        <w:t xml:space="preserve">días del mes </w:t>
      </w:r>
      <w:r w:rsidRPr="00CB38AA">
        <w:rPr>
          <w:rFonts w:ascii="Times New Roman" w:eastAsia="Times New Roman" w:hAnsi="Times New Roman" w:cs="Times New Roman"/>
          <w:sz w:val="24"/>
          <w:szCs w:val="24"/>
          <w:u w:val="single" w:color="000000"/>
        </w:rPr>
        <w:t xml:space="preserve">    </w:t>
      </w:r>
      <w:r w:rsidRPr="00CB38AA">
        <w:rPr>
          <w:rFonts w:ascii="Times New Roman" w:eastAsia="Times New Roman" w:hAnsi="Times New Roman" w:cs="Times New Roman"/>
          <w:sz w:val="24"/>
          <w:szCs w:val="24"/>
        </w:rPr>
        <w:t xml:space="preserve"> </w:t>
      </w:r>
      <w:r w:rsidRPr="00CB38AA">
        <w:rPr>
          <w:rFonts w:ascii="Times New Roman" w:eastAsia="Arial" w:hAnsi="Times New Roman" w:cs="Times New Roman"/>
          <w:sz w:val="24"/>
          <w:szCs w:val="24"/>
        </w:rPr>
        <w:t>del año dos mil veintiséis.</w:t>
      </w:r>
    </w:p>
    <w:p w:rsidR="00DD10C6" w:rsidRPr="00CB38AA" w:rsidRDefault="00DD10C6" w:rsidP="00DF6EEA">
      <w:pPr>
        <w:spacing w:after="0" w:line="240" w:lineRule="auto"/>
        <w:jc w:val="center"/>
        <w:rPr>
          <w:rFonts w:ascii="Times New Roman" w:hAnsi="Times New Roman" w:cs="Times New Roman"/>
          <w:sz w:val="24"/>
          <w:szCs w:val="24"/>
        </w:rPr>
      </w:pPr>
    </w:p>
    <w:p w:rsidR="00DD10C6" w:rsidRPr="00CB38AA" w:rsidRDefault="00DD10C6" w:rsidP="00DF6EEA">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(Fin del documento)</w:t>
      </w:r>
    </w:p>
    <w:p w:rsidR="00DD10C6" w:rsidRPr="00CB38AA" w:rsidRDefault="00DD10C6" w:rsidP="00DF6EEA">
      <w:pPr>
        <w:spacing w:after="0" w:line="240" w:lineRule="auto"/>
        <w:jc w:val="center"/>
        <w:rPr>
          <w:rFonts w:ascii="Times New Roman" w:hAnsi="Times New Roman" w:cs="Times New Roman"/>
          <w:sz w:val="24"/>
          <w:szCs w:val="24"/>
        </w:rPr>
      </w:pPr>
    </w:p>
    <w:p w:rsidR="00A35DFE" w:rsidRPr="00CB38AA" w:rsidRDefault="00A35DFE" w:rsidP="00DF6EEA">
      <w:pPr>
        <w:pStyle w:val="Sinespaciado"/>
        <w:jc w:val="both"/>
        <w:rPr>
          <w:rFonts w:ascii="Times New Roman" w:eastAsia="Times New Roman" w:hAnsi="Times New Roman" w:cs="Times New Roman"/>
          <w:sz w:val="24"/>
          <w:szCs w:val="24"/>
          <w:lang w:eastAsia="es-MX"/>
        </w:rPr>
      </w:pPr>
      <w:r w:rsidRPr="00CB38AA">
        <w:rPr>
          <w:rFonts w:ascii="Times New Roman" w:eastAsia="Times New Roman" w:hAnsi="Times New Roman" w:cs="Times New Roman"/>
          <w:sz w:val="24"/>
          <w:szCs w:val="24"/>
          <w:lang w:eastAsia="es-MX"/>
        </w:rPr>
        <w:t>PRESIDENTA DIP. MARTHA AZUCENA CAMACHO REYNOSO. Gracias diputada Vicepresidenta Itzel Guadalupe Pérez Correa.</w:t>
      </w:r>
    </w:p>
    <w:p w:rsidR="00A35DFE" w:rsidRPr="00CB38AA" w:rsidRDefault="00A35DFE" w:rsidP="00DF6EEA">
      <w:pPr>
        <w:pStyle w:val="Sinespaciado"/>
        <w:ind w:firstLine="708"/>
        <w:jc w:val="both"/>
        <w:rPr>
          <w:rFonts w:ascii="Times New Roman" w:eastAsia="Times New Roman" w:hAnsi="Times New Roman" w:cs="Times New Roman"/>
          <w:sz w:val="24"/>
          <w:szCs w:val="24"/>
          <w:lang w:eastAsia="es-MX"/>
        </w:rPr>
      </w:pPr>
      <w:r w:rsidRPr="00CB38AA">
        <w:rPr>
          <w:rFonts w:ascii="Times New Roman" w:eastAsia="Times New Roman" w:hAnsi="Times New Roman" w:cs="Times New Roman"/>
          <w:sz w:val="24"/>
          <w:szCs w:val="24"/>
          <w:lang w:eastAsia="es-MX"/>
        </w:rPr>
        <w:t>Se registra la iniciativa y se remite a la Comisión Legislativa de Gobernación y Puntos Constitucionales para su estudio y dictamen.</w:t>
      </w:r>
    </w:p>
    <w:p w:rsidR="00A35DFE" w:rsidRPr="00CB38AA" w:rsidRDefault="00A35DFE" w:rsidP="00DF6EEA">
      <w:pPr>
        <w:pStyle w:val="Sinespaciado"/>
        <w:ind w:firstLine="708"/>
        <w:jc w:val="both"/>
        <w:rPr>
          <w:rFonts w:ascii="Times New Roman" w:eastAsia="Times New Roman" w:hAnsi="Times New Roman" w:cs="Times New Roman"/>
          <w:sz w:val="24"/>
          <w:szCs w:val="24"/>
          <w:lang w:eastAsia="es-MX"/>
        </w:rPr>
      </w:pPr>
      <w:r w:rsidRPr="00CB38AA">
        <w:rPr>
          <w:rFonts w:ascii="Times New Roman" w:eastAsia="Times New Roman" w:hAnsi="Times New Roman" w:cs="Times New Roman"/>
          <w:sz w:val="24"/>
          <w:szCs w:val="24"/>
          <w:lang w:eastAsia="es-MX"/>
        </w:rPr>
        <w:t xml:space="preserve">Para atender el punto número 15, la diputada Alejandra Figueroa Adame, presente en nombre del Grupo Parlamentario del Partido Verde Ecologista de México, la iniciativa con proyecto de decreto por el que se reforma el artículo 60 de la Ley de Educación del Estado de México, en materia de protección de datos personales de las niñas y los niños. </w:t>
      </w:r>
    </w:p>
    <w:p w:rsidR="00A35DFE" w:rsidRPr="00CB38AA" w:rsidRDefault="00A35DFE" w:rsidP="00DF6EEA">
      <w:pPr>
        <w:pStyle w:val="Sinespaciado"/>
        <w:jc w:val="both"/>
        <w:rPr>
          <w:rFonts w:ascii="Times New Roman" w:eastAsia="Times New Roman" w:hAnsi="Times New Roman" w:cs="Times New Roman"/>
          <w:sz w:val="24"/>
          <w:szCs w:val="24"/>
          <w:lang w:eastAsia="es-MX"/>
        </w:rPr>
      </w:pPr>
      <w:r w:rsidRPr="00CB38AA">
        <w:rPr>
          <w:rFonts w:ascii="Times New Roman" w:eastAsia="Times New Roman" w:hAnsi="Times New Roman" w:cs="Times New Roman"/>
          <w:sz w:val="24"/>
          <w:szCs w:val="24"/>
          <w:lang w:eastAsia="es-MX"/>
        </w:rPr>
        <w:t xml:space="preserve">DIP. ALEJANDRA FIGUEROA ADAME. Muchas gracias. </w:t>
      </w:r>
    </w:p>
    <w:p w:rsidR="00A35DFE" w:rsidRPr="00CB38AA" w:rsidRDefault="00A35DFE" w:rsidP="00DF6EEA">
      <w:pPr>
        <w:pStyle w:val="Sinespaciado"/>
        <w:ind w:firstLine="708"/>
        <w:jc w:val="both"/>
        <w:rPr>
          <w:rFonts w:ascii="Times New Roman" w:eastAsia="Times New Roman" w:hAnsi="Times New Roman" w:cs="Times New Roman"/>
          <w:sz w:val="24"/>
          <w:szCs w:val="24"/>
          <w:lang w:eastAsia="es-MX"/>
        </w:rPr>
      </w:pPr>
      <w:r w:rsidRPr="00CB38AA">
        <w:rPr>
          <w:rFonts w:ascii="Times New Roman" w:eastAsia="Times New Roman" w:hAnsi="Times New Roman" w:cs="Times New Roman"/>
          <w:sz w:val="24"/>
          <w:szCs w:val="24"/>
          <w:lang w:eastAsia="es-MX"/>
        </w:rPr>
        <w:t xml:space="preserve">Con la venia Presidenta. Muy buenas tardes diputadas, diputade, diputados saludo a los medios de comunicación que nos acompañan y a las y los mexiquenses que nos siguen a través de las </w:t>
      </w:r>
      <w:r w:rsidRPr="00CB38AA">
        <w:rPr>
          <w:rFonts w:ascii="Times New Roman" w:hAnsi="Times New Roman" w:cs="Times New Roman"/>
          <w:sz w:val="24"/>
          <w:szCs w:val="24"/>
        </w:rPr>
        <w:t>diferentes plataformas y redes sociales.</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Las decisiones que tomemos sobre la privacidad hoy y en los próximos años, moldearán durante décadas el futuro de la humanidad, Clarissa Véliz.</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Estamos iniciando el año 2026 y para nosotros la digitalización ya no es una tendencia en nuestro ecosistema; sin embargo, mientras avanzamos a pasos agigantados en conectividad, nos hemos quedado rezagados en la defensa de un activo muy valioso, de nuestras infancias, juventudes y de la ciudadanía en general, su identidad, su privacidad y la protección de datos personales.</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Las estadísticas al respecto, son contundentes, el INEGI reportó a través de la Encuesta Nacional sobre disponibilidad y uso de tecnologías de la información en los hogares, que nuestro país, cuenta con más de 97 millones de usuarios de internet, lo más alarmante en esta cifra es que las niñas y los niños mexicanos están accediendo a su primer dispositivo móvil en promedio a los 8 o a los 9 años y en el Estado de México, tenemos 1.5 millones de personas que tienen entre 10 y 14 años, por lo que se vuelven potenciales, víctimas de una cultura que pone poco cuidado en la protección de sus datos personales y su privacidad.</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Informes del extinto instituto nacional de acceso a la información pública y protección de datos personales, señalan que las denuncias por vulneración de datos personales estaban creciendo exponencialmente y lo más preocupante era que el sector educativo y las redes sociales, fueron los principales focos de alerta.</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La iniciativa que hoy pongo a consideración, busca transformar el aula en un espacio de seguridad digital y el objetivo es ampliar el alcance del artículo 60 de la Ley de Educación del Estado de México para establecer de manera expresa, la obligación de incorporar contenidos de seguridad digital, protección de datos personales y privacidad dentro de los planes y programas de estudio mediante cursos y talleres permanentes adecuados a cada nivel educativo.</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Con esta reforma, se busca consolidar una cultura de prevención y respeto a los derechos digitales y el uso responsable de la tecnología, contribuyendo a la formación integral de la población y al fortalecimiento de una sociedad digital más segura e informada y para evitar un costo a las escuelas, lo que buscamos es que nuestro sistema educativo estatal y cada plantel, logren acuerdos con especialistas que puedan proporcionar esos cursos, programas y talleres para que las niñas, niños y adolescentes estén mejores preparados para enfrentar este nuevo capitalismo de datos.</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lastRenderedPageBreak/>
        <w:tab/>
        <w:t>Es importante reconocer que los ciberdelincuentes no distinguen regiones y que poner las infancias al frente, debe ser nuestra prioridad, por eso, es necesario reconocer que proteger los datos de una niña o de un niño, es proteger su libertad; es decirles que su cuerpo, su imagen y su información les pertenecen sólo a ellos.</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Muchas gracias Presidenta.</w:t>
      </w:r>
    </w:p>
    <w:p w:rsidR="00A81E89" w:rsidRPr="00CB38AA" w:rsidRDefault="00A81E89" w:rsidP="00DF6EEA">
      <w:pPr>
        <w:pStyle w:val="Sinespaciado"/>
        <w:jc w:val="both"/>
        <w:rPr>
          <w:rFonts w:ascii="Times New Roman" w:hAnsi="Times New Roman" w:cs="Times New Roman"/>
          <w:sz w:val="24"/>
          <w:szCs w:val="24"/>
        </w:rPr>
      </w:pPr>
    </w:p>
    <w:p w:rsidR="00A81E89" w:rsidRPr="00CB38AA" w:rsidRDefault="00A81E89" w:rsidP="00DF6EEA">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(Se inserta documento)</w:t>
      </w:r>
    </w:p>
    <w:p w:rsidR="00A81E89" w:rsidRPr="00CB38AA" w:rsidRDefault="00A81E89" w:rsidP="00DF6EEA">
      <w:pPr>
        <w:spacing w:after="0" w:line="240" w:lineRule="auto"/>
        <w:jc w:val="center"/>
        <w:rPr>
          <w:rFonts w:ascii="Times New Roman" w:hAnsi="Times New Roman" w:cs="Times New Roman"/>
          <w:sz w:val="24"/>
          <w:szCs w:val="24"/>
        </w:rPr>
      </w:pPr>
    </w:p>
    <w:p w:rsidR="00F548AB" w:rsidRPr="00CB38AA" w:rsidRDefault="00F548AB"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sz w:val="24"/>
          <w:szCs w:val="24"/>
        </w:rPr>
        <w:t>GRUPO PARLAMENTARIO DEL PARTIDO VERDE ECOLOGISTA DE MEXICO</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sz w:val="24"/>
          <w:szCs w:val="24"/>
        </w:rPr>
        <w:t>“2026. Año del Humanismo Mexicano en el Estado de México”.</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right"/>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Toluca de Lerdo, Estado de México, a </w:t>
      </w:r>
      <w:r w:rsidRPr="00CB38AA">
        <w:rPr>
          <w:rFonts w:ascii="Times New Roman" w:eastAsia="Times New Roman" w:hAnsi="Times New Roman" w:cs="Times New Roman"/>
          <w:sz w:val="24"/>
          <w:szCs w:val="24"/>
          <w:u w:val="single" w:color="000000"/>
        </w:rPr>
        <w:t xml:space="preserve">    </w:t>
      </w:r>
      <w:r w:rsidRPr="00CB38AA">
        <w:rPr>
          <w:rFonts w:ascii="Times New Roman" w:eastAsia="Times New Roman" w:hAnsi="Times New Roman" w:cs="Times New Roman"/>
          <w:sz w:val="24"/>
          <w:szCs w:val="24"/>
        </w:rPr>
        <w:t xml:space="preserve"> </w:t>
      </w:r>
      <w:r w:rsidRPr="00CB38AA">
        <w:rPr>
          <w:rFonts w:ascii="Times New Roman" w:eastAsia="Arial" w:hAnsi="Times New Roman" w:cs="Times New Roman"/>
          <w:sz w:val="24"/>
          <w:szCs w:val="24"/>
        </w:rPr>
        <w:t xml:space="preserve">de </w:t>
      </w:r>
      <w:r w:rsidRPr="00CB38AA">
        <w:rPr>
          <w:rFonts w:ascii="Times New Roman" w:eastAsia="Times New Roman" w:hAnsi="Times New Roman" w:cs="Times New Roman"/>
          <w:sz w:val="24"/>
          <w:szCs w:val="24"/>
          <w:u w:val="single" w:color="000000"/>
        </w:rPr>
        <w:t xml:space="preserve">    </w:t>
      </w:r>
      <w:r w:rsidRPr="00CB38AA">
        <w:rPr>
          <w:rFonts w:ascii="Times New Roman" w:eastAsia="Times New Roman" w:hAnsi="Times New Roman" w:cs="Times New Roman"/>
          <w:sz w:val="24"/>
          <w:szCs w:val="24"/>
        </w:rPr>
        <w:t xml:space="preserve"> </w:t>
      </w:r>
      <w:r w:rsidRPr="00CB38AA">
        <w:rPr>
          <w:rFonts w:ascii="Times New Roman" w:eastAsia="Arial" w:hAnsi="Times New Roman" w:cs="Times New Roman"/>
          <w:sz w:val="24"/>
          <w:szCs w:val="24"/>
        </w:rPr>
        <w:t>de 2026.</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rPr>
          <w:rFonts w:ascii="Times New Roman" w:eastAsia="Arial" w:hAnsi="Times New Roman" w:cs="Times New Roman"/>
          <w:b/>
          <w:sz w:val="24"/>
          <w:szCs w:val="24"/>
        </w:rPr>
      </w:pPr>
      <w:r w:rsidRPr="00CB38AA">
        <w:rPr>
          <w:rFonts w:ascii="Times New Roman" w:eastAsia="Arial" w:hAnsi="Times New Roman" w:cs="Times New Roman"/>
          <w:b/>
          <w:sz w:val="24"/>
          <w:szCs w:val="24"/>
        </w:rPr>
        <w:t>DIP. MARTHA AZUCENA CAMACHO REYNOSO</w:t>
      </w:r>
    </w:p>
    <w:p w:rsidR="00F548AB" w:rsidRPr="00CB38AA" w:rsidRDefault="00F548AB"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PRESIDENTA DE LA MESA DIRECTIVA</w:t>
      </w:r>
    </w:p>
    <w:p w:rsidR="00F548AB" w:rsidRPr="00CB38AA" w:rsidRDefault="00F548AB" w:rsidP="00DF6EEA">
      <w:pPr>
        <w:spacing w:after="0" w:line="240" w:lineRule="auto"/>
        <w:rPr>
          <w:rFonts w:ascii="Times New Roman" w:eastAsia="Arial" w:hAnsi="Times New Roman" w:cs="Times New Roman"/>
          <w:b/>
          <w:sz w:val="24"/>
          <w:szCs w:val="24"/>
        </w:rPr>
      </w:pPr>
      <w:r w:rsidRPr="00CB38AA">
        <w:rPr>
          <w:rFonts w:ascii="Times New Roman" w:eastAsia="Arial" w:hAnsi="Times New Roman" w:cs="Times New Roman"/>
          <w:b/>
          <w:sz w:val="24"/>
          <w:szCs w:val="24"/>
        </w:rPr>
        <w:t>LXII LEGISLATURA DEL H. PODER LEGISLATIVO</w:t>
      </w:r>
    </w:p>
    <w:p w:rsidR="00F548AB" w:rsidRPr="00CB38AA" w:rsidRDefault="00F548AB"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DEL ESTADO LIBRE Y SOBERANO DE MÉXICO</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rPr>
          <w:rFonts w:ascii="Times New Roman" w:eastAsia="Arial" w:hAnsi="Times New Roman" w:cs="Times New Roman"/>
          <w:b/>
          <w:sz w:val="24"/>
          <w:szCs w:val="24"/>
        </w:rPr>
      </w:pPr>
      <w:r w:rsidRPr="00CB38AA">
        <w:rPr>
          <w:rFonts w:ascii="Times New Roman" w:eastAsia="Arial" w:hAnsi="Times New Roman" w:cs="Times New Roman"/>
          <w:b/>
          <w:sz w:val="24"/>
          <w:szCs w:val="24"/>
        </w:rPr>
        <w:t>P R E S E N T E</w:t>
      </w:r>
    </w:p>
    <w:p w:rsidR="00F548AB" w:rsidRPr="00CB38AA" w:rsidRDefault="00F548AB"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Honorable Asamblea:</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Quienes suscriben </w:t>
      </w:r>
      <w:r w:rsidRPr="00CB38AA">
        <w:rPr>
          <w:rFonts w:ascii="Times New Roman" w:eastAsia="Arial" w:hAnsi="Times New Roman" w:cs="Times New Roman"/>
          <w:b/>
          <w:sz w:val="24"/>
          <w:szCs w:val="24"/>
        </w:rPr>
        <w:t>JOSÉ ALBERTO COUTTOLENC BUENTELLO</w:t>
      </w:r>
      <w:r w:rsidRPr="00CB38AA">
        <w:rPr>
          <w:rFonts w:ascii="Times New Roman" w:eastAsia="Arial" w:hAnsi="Times New Roman" w:cs="Times New Roman"/>
          <w:sz w:val="24"/>
          <w:szCs w:val="24"/>
        </w:rPr>
        <w:t xml:space="preserve">, </w:t>
      </w:r>
      <w:r w:rsidRPr="00CB38AA">
        <w:rPr>
          <w:rFonts w:ascii="Times New Roman" w:eastAsia="Arial" w:hAnsi="Times New Roman" w:cs="Times New Roman"/>
          <w:b/>
          <w:sz w:val="24"/>
          <w:szCs w:val="24"/>
        </w:rPr>
        <w:t xml:space="preserve">HÉCTOR RAÚL GARCÍA GONZÁLEZ, HONORIA ARELLANO OCAMPO, ALEJANDRA FIGUEROA ADAME, GLORIA VANESSA LINARES ZETINA, CARLOS ALBERTO LÓPEZ IMM, ISAÍAS PELÁEZ SORIA, ITZEL GUADALUPE PÉREZ CORREA Y MIRIAM SILVA MATA </w:t>
      </w:r>
      <w:r w:rsidRPr="00CB38AA">
        <w:rPr>
          <w:rFonts w:ascii="Times New Roman" w:eastAsia="Arial" w:hAnsi="Times New Roman" w:cs="Times New Roman"/>
          <w:sz w:val="24"/>
          <w:szCs w:val="24"/>
        </w:rPr>
        <w:t xml:space="preserve">diputadas y diputados integrantes del </w:t>
      </w:r>
      <w:r w:rsidRPr="00CB38AA">
        <w:rPr>
          <w:rFonts w:ascii="Times New Roman" w:eastAsia="Arial" w:hAnsi="Times New Roman" w:cs="Times New Roman"/>
          <w:b/>
          <w:sz w:val="24"/>
          <w:szCs w:val="24"/>
        </w:rPr>
        <w:t xml:space="preserve">GRUPO PARLAMENTARIO DEL PARTIDO VERDE ECOLOGISTA DE MÉXICO </w:t>
      </w:r>
      <w:r w:rsidRPr="00CB38AA">
        <w:rPr>
          <w:rFonts w:ascii="Times New Roman" w:eastAsia="Arial" w:hAnsi="Times New Roman" w:cs="Times New Roman"/>
          <w:sz w:val="24"/>
          <w:szCs w:val="24"/>
        </w:rPr>
        <w:t xml:space="preserve">en la LXII Legislatura del Estado de México, con fundamento en lo dispuesto por los artículos 6 y 116 de la Constitución Política de los Estados Unidos Mexicanos; 51 fracción II, 57 y 61 fracción I de la Constitución Política del Estado Libre y Soberano de México; 28 fracción I, 30, 38 fracción I, 79 y 81 de la Ley Orgánica del Poder Legislativo del Estado Libre y Soberano de México, sometemos a consideración de este Órgano Legislativo, la siguiente </w:t>
      </w:r>
      <w:r w:rsidRPr="00CB38AA">
        <w:rPr>
          <w:rFonts w:ascii="Times New Roman" w:eastAsia="Arial" w:hAnsi="Times New Roman" w:cs="Times New Roman"/>
          <w:b/>
          <w:sz w:val="24"/>
          <w:szCs w:val="24"/>
        </w:rPr>
        <w:t xml:space="preserve">INICIATIVA CON PROYECTO POR EL QUE SE REFORMA EL ARTÍCULO 60 DE LA LEY DE EDUCACIÓN DEL ESTADO DE MÉXICO, </w:t>
      </w:r>
      <w:r w:rsidRPr="00CB38AA">
        <w:rPr>
          <w:rFonts w:ascii="Times New Roman" w:eastAsia="Arial" w:hAnsi="Times New Roman" w:cs="Times New Roman"/>
          <w:sz w:val="24"/>
          <w:szCs w:val="24"/>
        </w:rPr>
        <w:t>con sustento en la siguiente:</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EXPOSICIÓN DE MOTIVOS</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En los últimos años hemos asistido a una transformación en la vida cotidiana: la tecnología y la inteligencia artificial han penetrado en ámbitos insospechados; la socióloga norteamericana Soshana Zuboff advirtió desde 2020 sobre una transformación en marcha que ponía en riesgo nuestros datos personales y que suponía una nueva forma de explotación en el modelo capitalista, una transformación tan radical que podría compararse con lo acaecido en la revolución industrial, pero, a diferencia de aquella, que explotaba los recursos naturales, esta nueva pone énfasis en la propia experiencia humana y la mercantiliza. A esta nueva fase capitalista la socióloga la llamó: capitalismo de la vigilancia.</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Según la visión de Zuboff, al incorporar la tecnología y la inteligencia artificial paulatinamente y bajo la premisa de mejorar y facilitar nuestras condiciones de vida, hemos dejado de ver los riesgos </w:t>
      </w:r>
      <w:r w:rsidRPr="00CB38AA">
        <w:rPr>
          <w:rFonts w:ascii="Times New Roman" w:eastAsia="Arial" w:hAnsi="Times New Roman" w:cs="Times New Roman"/>
          <w:sz w:val="24"/>
          <w:szCs w:val="24"/>
        </w:rPr>
        <w:lastRenderedPageBreak/>
        <w:t>que incorpora este nuevo capitalismo de la vigilancia, aquí un extracto que sustenta dicha aseveración:</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i/>
          <w:sz w:val="24"/>
          <w:szCs w:val="24"/>
        </w:rPr>
        <w:t>El capitalismo de la vigilancia reclama unilateralmente para sí la experiencia humana, entendiéndola como materia prima gratuita que puede traducir en datos de comportamiento. Aunque algunos de dichos datos se utilizan para mejorar productos o servicios, el resto es considerado como un excedente conductual, privativo («propiedad») de las propias empresas capitalistas de la vigilancia y se usa como insumo de procesos avanzados de producción conocidos como inteligencia de máquinas, con los que se fabrican productos predictivos que prevén lo que cualquiera de ustedes hará ahora, en breve y más adelante. (Zuboff, 2020; p. 17-18)</w:t>
      </w:r>
      <w:r w:rsidRPr="00CB38AA">
        <w:rPr>
          <w:rFonts w:ascii="Times New Roman" w:eastAsia="Arial" w:hAnsi="Times New Roman" w:cs="Times New Roman"/>
          <w:b/>
          <w:i/>
          <w:sz w:val="24"/>
          <w:szCs w:val="24"/>
          <w:vertAlign w:val="superscript"/>
        </w:rPr>
        <w:t>1</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Esto significa que todas nuestras actividades, en línea o cerca de aparatos inteligentes, son susceptibles de ser recopiladas en forma de datos para venderlos al mercado.</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Para hacer más evidente el riesgo que corren nuestros datos, sirve como ejemplo la obra denominada “Privacidad es poder, datos, vigilancia y libertad en la era digital” (2021), autoría de la filósofa española Carissa Véliz, donde expone la interacción de una persona en su vida cotidiana con distintos dispositivos, teniendo como particularidad que aparatos electrónicos, como el reloj digital –entre otros-, guardan una gran cantidad de datos que van desde la cantidad de pasos realizados en el día, hasta la compilación de datos como peso, edad, sexo, localización y más, que más allá de cumplir con el arrojo de datos para nuestro conocimiento personal, los mismos son susceptibles de ser vendidos a empresas farmacéuticas, empresarios del deporte, entre otros</w:t>
      </w:r>
    </w:p>
    <w:p w:rsidR="00F548AB" w:rsidRPr="00CB38AA" w:rsidRDefault="00F548AB" w:rsidP="00DF6EEA">
      <w:pPr>
        <w:spacing w:after="0" w:line="240" w:lineRule="auto"/>
        <w:jc w:val="both"/>
        <w:rPr>
          <w:rFonts w:ascii="Times New Roman" w:eastAsia="Arial" w:hAnsi="Times New Roman" w:cs="Times New Roman"/>
          <w:sz w:val="24"/>
          <w:szCs w:val="24"/>
        </w:rPr>
      </w:pPr>
    </w:p>
    <w:p w:rsidR="00F548AB" w:rsidRPr="00CB38AA" w:rsidRDefault="00F548AB" w:rsidP="00DF6EEA">
      <w:pPr>
        <w:spacing w:after="0" w:line="240" w:lineRule="auto"/>
        <w:jc w:val="both"/>
        <w:rPr>
          <w:rFonts w:ascii="Times New Roman" w:eastAsia="Times New Roman" w:hAnsi="Times New Roman" w:cs="Times New Roman"/>
          <w:sz w:val="24"/>
          <w:szCs w:val="24"/>
        </w:rPr>
      </w:pPr>
      <w:r w:rsidRPr="00CB38AA">
        <w:rPr>
          <w:rFonts w:ascii="Times New Roman" w:eastAsia="Arial" w:hAnsi="Times New Roman" w:cs="Times New Roman"/>
          <w:sz w:val="24"/>
          <w:szCs w:val="24"/>
          <w:vertAlign w:val="superscript"/>
        </w:rPr>
        <w:t>1</w:t>
      </w:r>
      <w:r w:rsidRPr="00CB38AA">
        <w:rPr>
          <w:rFonts w:ascii="Times New Roman" w:eastAsia="Arial" w:hAnsi="Times New Roman" w:cs="Times New Roman"/>
          <w:sz w:val="24"/>
          <w:szCs w:val="24"/>
        </w:rPr>
        <w:t xml:space="preserve"> Zuboff, Soshana. (2020). La era del capitalismo de la vigilancia. La lucha por un futuro humano frente a las nuevas fronteras del poder. Paidós </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Otro ejemplo en la obra de Véliz, lo son las pantallas planas, pues estas recopilan información y, en algunos casos, tienen la posibilidad de hacer capturas de pantalla sobre lo último que vimos en el día, las cuales son enviadas a distintos centros de la marca; quedando de esta manera susceptibles nuestros datos para la venta en plataformas de streaming, por poner un ejemplo.</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Es así como, de esta manera, la filósofa española evidencia la cantidad de datos que recopilan los aparatos inteligentes, los mismos que sirven de mercancía para grandes compañías, que permiten vendernos cosas o predecir la forma en la que consumimos y, lo peor, pueden incidir en la forma en la que participamos en la democracia, debilitando con ello las instituciones y colocando de esta manera en riesgo a todo el sistema.</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No obstante, este no es el único peligro, también existe un mercado, al que se le conoce como alternativo o negro, el cual consiste en la compraventa de datos personales, un negocio que también resulta muy lucrativo, pues algunos datos presentados por una organización de la sociedad civil llamada </w:t>
      </w:r>
      <w:r w:rsidRPr="00CB38AA">
        <w:rPr>
          <w:rFonts w:ascii="Times New Roman" w:eastAsia="Arial" w:hAnsi="Times New Roman" w:cs="Times New Roman"/>
          <w:i/>
          <w:sz w:val="24"/>
          <w:szCs w:val="24"/>
        </w:rPr>
        <w:t xml:space="preserve">Red para la ciberseguridad </w:t>
      </w:r>
      <w:r w:rsidRPr="00CB38AA">
        <w:rPr>
          <w:rFonts w:ascii="Times New Roman" w:eastAsia="Arial" w:hAnsi="Times New Roman" w:cs="Times New Roman"/>
          <w:sz w:val="24"/>
          <w:szCs w:val="24"/>
        </w:rPr>
        <w:t>señalan que el costo de nuestros datos personales oscila en los siguientes costos: nombre completo: $203 pesos, fecha de nacimiento: $162 pesos, lugar de nacimiento: $143 pesos, número de teléfono: $220 y firma electrónica: $235 pesos.</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Aunado a estos costos, se tiene que algunos de los datos más sensibles o que pueden llevar a fraudes resultan más caros, por ejemplo, los datos de la tarjeta de débito cuestan $1,493.25 pesos, las cuentas de PayPal llegan a valer hasta $6,054 pesos, las cuentas de Amazon $222 pesos, las </w:t>
      </w:r>
      <w:r w:rsidRPr="00CB38AA">
        <w:rPr>
          <w:rFonts w:ascii="Times New Roman" w:eastAsia="Arial" w:hAnsi="Times New Roman" w:cs="Times New Roman"/>
          <w:sz w:val="24"/>
          <w:szCs w:val="24"/>
        </w:rPr>
        <w:lastRenderedPageBreak/>
        <w:t>contraseñas en Apple y Spotify $202 pesos, y los datos en las redes sociales rondan entre los $96 y $121 pesos.</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Ante dicha situación, es que los organismos de protección de datos en el mundo enfrentan este tipo de retos, sobre todo, porque muchos aparatos ya tienen plataformas o redes sociales previamente cargadas, es decir, ya están ahí cuando compramos el dispositivo, por lo que se vuelve complicado fortalecer una cultura de la protección de datos, en donde cada individuo entienda que al estar conectado a la red es un nodo que, a su vez, permite conectar, a través de él, a otras personas (Véliz, 2021).</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Con respecto a lo anterior, es importante conocer qué plataformas son las que más datos personales recopilan, en ese sentido, en primer lugar, está Facebook, que recopila hasta 86% de datos personales, le sigue Instagram, con 55% de datos personales recabados.</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Vale la pena señalar que ambas plataformas son propiedad de Meta, de Mark Zuckerberg.</w:t>
      </w:r>
      <w:r w:rsidRPr="00CB38AA">
        <w:rPr>
          <w:rFonts w:ascii="Times New Roman" w:eastAsia="Arial" w:hAnsi="Times New Roman" w:cs="Times New Roman"/>
          <w:sz w:val="24"/>
          <w:szCs w:val="24"/>
          <w:vertAlign w:val="superscript"/>
        </w:rPr>
        <w:t>2</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Otra empresa que recopila datos personales es Spotify, con 35.29% de datos personales recabados y cuyo CEO fue señalado de invertir en empresas de tecnología militar. Netflix recaba 26.47% de datos personales y Amazon 23.53%. </w:t>
      </w:r>
      <w:r w:rsidRPr="00CB38AA">
        <w:rPr>
          <w:rFonts w:ascii="Times New Roman" w:eastAsia="Arial" w:hAnsi="Times New Roman" w:cs="Times New Roman"/>
          <w:sz w:val="24"/>
          <w:szCs w:val="24"/>
          <w:vertAlign w:val="superscript"/>
        </w:rPr>
        <w:t>3</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Hoy, miles de niñas, niños y adolescentes tienen acceso a esas plataformas y redes sociales; por ello, resulta urgente prepararlos académicamente para hacer frente a los nuevos retos que enfrentan con el auge de la inteligencia artificial.</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No menos importante es advertir que, aun con las advertencias respecto a las nuevas tecnologías, como los aparatos inteligentes o la inteligencia artificial generativa, que también se entrena con datos personales, continúa existiendo una alta posibilidad de que nuestra información termine en manos de compañías que quieran lucrar con ella, en el mejor de los casos, o en manos de defraudadores o delincuentes, en el peor; existiendo además un riesgo para la democracia misma.</w:t>
      </w:r>
    </w:p>
    <w:p w:rsidR="00F548AB" w:rsidRPr="00CB38AA" w:rsidRDefault="00F548AB" w:rsidP="00DF6EEA">
      <w:pPr>
        <w:spacing w:after="0" w:line="240" w:lineRule="auto"/>
        <w:jc w:val="both"/>
        <w:rPr>
          <w:rFonts w:ascii="Times New Roman" w:eastAsia="Arial"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vertAlign w:val="superscript"/>
        </w:rPr>
        <w:t>2</w:t>
      </w:r>
      <w:r w:rsidRPr="00CB38AA">
        <w:rPr>
          <w:rFonts w:ascii="Times New Roman" w:eastAsia="Arial" w:hAnsi="Times New Roman" w:cs="Times New Roman"/>
          <w:sz w:val="24"/>
          <w:szCs w:val="24"/>
        </w:rPr>
        <w:t xml:space="preserve"> Efe. 14 de julio de 2025. </w:t>
      </w:r>
      <w:r w:rsidRPr="00CB38AA">
        <w:rPr>
          <w:rFonts w:ascii="Times New Roman" w:eastAsia="Arial" w:hAnsi="Times New Roman" w:cs="Times New Roman"/>
          <w:i/>
          <w:sz w:val="24"/>
          <w:szCs w:val="24"/>
        </w:rPr>
        <w:t xml:space="preserve">¿Te preocupa quién tiene tu información? Estas son las apps que más saben sobre nosotros. </w:t>
      </w:r>
      <w:r w:rsidRPr="00CB38AA">
        <w:rPr>
          <w:rFonts w:ascii="Times New Roman" w:eastAsia="Arial" w:hAnsi="Times New Roman" w:cs="Times New Roman"/>
          <w:sz w:val="24"/>
          <w:szCs w:val="24"/>
        </w:rPr>
        <w:t xml:space="preserve">El Sol de México. Véase en: </w:t>
      </w:r>
      <w:r w:rsidRPr="00CB38AA">
        <w:rPr>
          <w:rFonts w:ascii="Times New Roman" w:eastAsia="Arial" w:hAnsi="Times New Roman" w:cs="Times New Roman"/>
          <w:sz w:val="24"/>
          <w:szCs w:val="24"/>
          <w:u w:val="single" w:color="0000FF"/>
        </w:rPr>
        <w:t>https://oem.com.mx/elsoldemexico/tendencias/cuales-son-las-apps-que-mas-informacion-recopilan-de-sus-</w:t>
      </w:r>
      <w:r w:rsidRPr="00CB38AA">
        <w:rPr>
          <w:rFonts w:ascii="Times New Roman" w:eastAsia="Arial" w:hAnsi="Times New Roman" w:cs="Times New Roman"/>
          <w:sz w:val="24"/>
          <w:szCs w:val="24"/>
        </w:rPr>
        <w:t xml:space="preserve"> </w:t>
      </w:r>
      <w:r w:rsidRPr="00CB38AA">
        <w:rPr>
          <w:rFonts w:ascii="Times New Roman" w:eastAsia="Arial" w:hAnsi="Times New Roman" w:cs="Times New Roman"/>
          <w:sz w:val="24"/>
          <w:szCs w:val="24"/>
          <w:u w:val="single" w:color="0000FF"/>
        </w:rPr>
        <w:t>usuarios-24745537</w:t>
      </w:r>
    </w:p>
    <w:p w:rsidR="00F548AB" w:rsidRPr="00CB38AA" w:rsidRDefault="00F548AB" w:rsidP="00DF6EEA">
      <w:pPr>
        <w:spacing w:after="0" w:line="240" w:lineRule="auto"/>
        <w:jc w:val="both"/>
        <w:rPr>
          <w:rFonts w:ascii="Times New Roman" w:eastAsia="Times New Roman" w:hAnsi="Times New Roman" w:cs="Times New Roman"/>
          <w:sz w:val="24"/>
          <w:szCs w:val="24"/>
        </w:rPr>
      </w:pPr>
      <w:r w:rsidRPr="00CB38AA">
        <w:rPr>
          <w:rFonts w:ascii="Times New Roman" w:eastAsia="Arial" w:hAnsi="Times New Roman" w:cs="Times New Roman"/>
          <w:sz w:val="24"/>
          <w:szCs w:val="24"/>
          <w:vertAlign w:val="superscript"/>
        </w:rPr>
        <w:t>3</w:t>
      </w:r>
      <w:r w:rsidRPr="00CB38AA">
        <w:rPr>
          <w:rFonts w:ascii="Times New Roman" w:eastAsia="Arial" w:hAnsi="Times New Roman" w:cs="Times New Roman"/>
          <w:sz w:val="24"/>
          <w:szCs w:val="24"/>
        </w:rPr>
        <w:t xml:space="preserve"> Galeano, S. 16 de julio de 2021. </w:t>
      </w:r>
      <w:r w:rsidRPr="00CB38AA">
        <w:rPr>
          <w:rFonts w:ascii="Times New Roman" w:eastAsia="Arial" w:hAnsi="Times New Roman" w:cs="Times New Roman"/>
          <w:i/>
          <w:sz w:val="24"/>
          <w:szCs w:val="24"/>
        </w:rPr>
        <w:t xml:space="preserve">Qué empresas saben más sobre ti: estos son los datos que recopilan las grandes marcas. </w:t>
      </w:r>
      <w:r w:rsidRPr="00CB38AA">
        <w:rPr>
          <w:rFonts w:ascii="Times New Roman" w:eastAsia="Arial" w:hAnsi="Times New Roman" w:cs="Times New Roman"/>
          <w:sz w:val="24"/>
          <w:szCs w:val="24"/>
        </w:rPr>
        <w:t xml:space="preserve">Marketing 4e Commerce. Véase en: </w:t>
      </w:r>
      <w:r w:rsidRPr="00CB38AA">
        <w:rPr>
          <w:rFonts w:ascii="Times New Roman" w:eastAsia="Arial" w:hAnsi="Times New Roman" w:cs="Times New Roman"/>
          <w:sz w:val="24"/>
          <w:szCs w:val="24"/>
          <w:u w:val="single" w:color="0000FF"/>
        </w:rPr>
        <w:t>https://marketing4ecommerce.mx/datos-que-recopilan-las-grandes-marcas/</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Un texto revelador al respecto es “Ciberleviatán”. En “El colapso de la democracia liberal frente a la revolución digital” (2019), de José María Lassalle, en el texto se plantea una pregunta que debería guiar no solo el desarrollo ético de la inteligencia artificial, sino su uso y la responsabilidad que tiene la democracia liberal para hacer frente a estos nuevos desarrollos: “¿Aloja todavía la democracia liberal capacidad para provocar debates públicos que impulsen políticas que controlen el desarrollo de la tecnología e introduzcan protocolos éticos que salvaguarden los principios fundadores del humanismo?” (p.18).</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Ya tenemos ejemplos de empresas que han sido llevadas a juicio por intervenir en procesos electorales, como Cambridge Analytica, una empresa que compiló información de usuarios de </w:t>
      </w:r>
      <w:r w:rsidRPr="00CB38AA">
        <w:rPr>
          <w:rFonts w:ascii="Times New Roman" w:eastAsia="Arial" w:hAnsi="Times New Roman" w:cs="Times New Roman"/>
          <w:sz w:val="24"/>
          <w:szCs w:val="24"/>
        </w:rPr>
        <w:lastRenderedPageBreak/>
        <w:t>Facebook para intervenir en la forma en la que votaron. No es un tema menor, ya que está en riesgo la forma en la que organizamos el espacio público.</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Frente a este escenario, resulta insuficiente concebir la alfabetización digital únicamente como la enseñanza del uso de herramientas tecnológicas. La educación digital debe entenderse como un proceso integral que forme a las personas para interactuar de manera segura, ética y responsable en entornos digitales, fortaleciendo el ejercicio de sus derechos y la protección de su información personal.</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Por ello, la presente propuesta tiene como objetivo ampliar el alcance del artículo 60 de la Ley de Educación del Estado de México, a efecto de establecer de manera expresa la obligación de incorporar contenidos de seguridad digital, protección de datos personales y privacidad dentro de los planes y programas de estudio, mediante cursos y talleres permanentes, adecuados a cada nivel educativo.</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Times New Roman" w:hAnsi="Times New Roman" w:cs="Times New Roman"/>
          <w:sz w:val="24"/>
          <w:szCs w:val="24"/>
        </w:rPr>
      </w:pPr>
      <w:r w:rsidRPr="00CB38AA">
        <w:rPr>
          <w:rFonts w:ascii="Times New Roman" w:eastAsia="Arial" w:hAnsi="Times New Roman" w:cs="Times New Roman"/>
          <w:sz w:val="24"/>
          <w:szCs w:val="24"/>
        </w:rPr>
        <w:t>Con esta reforma se busca consolidar una cultura de prevención, respeto a los derechos digitales y uso responsable de la tecnología, contribuyendo a la formación integral de la población y al fortalecimiento de una sociedad digital más segura e informada.</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Para evitar la alteración del plan y los programas oficiales de estudio, los talleres deben implementarse bajo el principio de complementariedad, no de sustitución. Esto se logra mediante los siguientes mecanismos:</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1. Enfoque transversal</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Los contenidos de seguridad digital, protección de datos personales y privacidad se integran de forma transversal, es decir:</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numPr>
          <w:ilvl w:val="0"/>
          <w:numId w:val="11"/>
        </w:numPr>
        <w:spacing w:after="0" w:line="240" w:lineRule="auto"/>
        <w:ind w:hanging="720"/>
        <w:contextualSpacing/>
        <w:rPr>
          <w:rFonts w:ascii="Times New Roman" w:eastAsia="Arial" w:hAnsi="Times New Roman" w:cs="Times New Roman"/>
          <w:sz w:val="24"/>
          <w:szCs w:val="24"/>
        </w:rPr>
      </w:pPr>
      <w:r w:rsidRPr="00CB38AA">
        <w:rPr>
          <w:rFonts w:ascii="Times New Roman" w:eastAsia="Arial" w:hAnsi="Times New Roman" w:cs="Times New Roman"/>
          <w:sz w:val="24"/>
          <w:szCs w:val="24"/>
        </w:rPr>
        <w:t>No sustituyen asignaturas existentes.</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rPr>
          <w:rFonts w:ascii="Times New Roman" w:eastAsia="Arial" w:hAnsi="Times New Roman" w:cs="Times New Roman"/>
          <w:sz w:val="24"/>
          <w:szCs w:val="24"/>
        </w:rPr>
      </w:pPr>
      <w:r w:rsidRPr="00CB38AA">
        <w:rPr>
          <w:rFonts w:ascii="Times New Roman" w:eastAsia="Verdana" w:hAnsi="Times New Roman" w:cs="Times New Roman"/>
          <w:sz w:val="24"/>
          <w:szCs w:val="24"/>
        </w:rPr>
        <w:t>•</w:t>
      </w:r>
      <w:r w:rsidRPr="00CB38AA">
        <w:rPr>
          <w:rFonts w:ascii="Times New Roman" w:eastAsia="Verdana" w:hAnsi="Times New Roman" w:cs="Times New Roman"/>
          <w:sz w:val="24"/>
          <w:szCs w:val="24"/>
        </w:rPr>
        <w:tab/>
      </w:r>
      <w:r w:rsidRPr="00CB38AA">
        <w:rPr>
          <w:rFonts w:ascii="Times New Roman" w:eastAsia="Arial" w:hAnsi="Times New Roman" w:cs="Times New Roman"/>
          <w:sz w:val="24"/>
          <w:szCs w:val="24"/>
        </w:rPr>
        <w:t>Se incorporan como contenidos complementarios dentro de materias ya existentes como:</w:t>
      </w:r>
    </w:p>
    <w:p w:rsidR="00F548AB" w:rsidRPr="00CB38AA" w:rsidRDefault="00F548AB" w:rsidP="00DF6EEA">
      <w:pPr>
        <w:spacing w:after="0" w:line="240" w:lineRule="auto"/>
        <w:rPr>
          <w:rFonts w:ascii="Times New Roman" w:eastAsia="Courier New" w:hAnsi="Times New Roman" w:cs="Times New Roman"/>
          <w:sz w:val="24"/>
          <w:szCs w:val="24"/>
        </w:rPr>
      </w:pPr>
    </w:p>
    <w:p w:rsidR="00F548AB" w:rsidRPr="00CB38AA" w:rsidRDefault="00F548AB" w:rsidP="00DF6EEA">
      <w:pPr>
        <w:spacing w:after="0" w:line="240" w:lineRule="auto"/>
        <w:rPr>
          <w:rFonts w:ascii="Times New Roman" w:eastAsia="Arial" w:hAnsi="Times New Roman" w:cs="Times New Roman"/>
          <w:sz w:val="24"/>
          <w:szCs w:val="24"/>
        </w:rPr>
      </w:pPr>
      <w:r w:rsidRPr="00CB38AA">
        <w:rPr>
          <w:rFonts w:ascii="Times New Roman" w:eastAsia="Courier New" w:hAnsi="Times New Roman" w:cs="Times New Roman"/>
          <w:sz w:val="24"/>
          <w:szCs w:val="24"/>
        </w:rPr>
        <w:t xml:space="preserve">o </w:t>
      </w:r>
      <w:r w:rsidRPr="00CB38AA">
        <w:rPr>
          <w:rFonts w:ascii="Times New Roman" w:eastAsia="Arial" w:hAnsi="Times New Roman" w:cs="Times New Roman"/>
          <w:b/>
          <w:sz w:val="24"/>
          <w:szCs w:val="24"/>
        </w:rPr>
        <w:t>Formación Cívica y Ética</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rPr>
          <w:rFonts w:ascii="Times New Roman" w:eastAsia="Arial" w:hAnsi="Times New Roman" w:cs="Times New Roman"/>
          <w:sz w:val="24"/>
          <w:szCs w:val="24"/>
        </w:rPr>
      </w:pPr>
      <w:r w:rsidRPr="00CB38AA">
        <w:rPr>
          <w:rFonts w:ascii="Times New Roman" w:eastAsia="Courier New" w:hAnsi="Times New Roman" w:cs="Times New Roman"/>
          <w:sz w:val="24"/>
          <w:szCs w:val="24"/>
        </w:rPr>
        <w:t xml:space="preserve">o </w:t>
      </w:r>
      <w:r w:rsidRPr="00CB38AA">
        <w:rPr>
          <w:rFonts w:ascii="Times New Roman" w:eastAsia="Arial" w:hAnsi="Times New Roman" w:cs="Times New Roman"/>
          <w:b/>
          <w:sz w:val="24"/>
          <w:szCs w:val="24"/>
        </w:rPr>
        <w:t>Tecnología</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rPr>
          <w:rFonts w:ascii="Times New Roman" w:eastAsia="Arial" w:hAnsi="Times New Roman" w:cs="Times New Roman"/>
          <w:sz w:val="24"/>
          <w:szCs w:val="24"/>
        </w:rPr>
      </w:pPr>
      <w:r w:rsidRPr="00CB38AA">
        <w:rPr>
          <w:rFonts w:ascii="Times New Roman" w:eastAsia="Courier New" w:hAnsi="Times New Roman" w:cs="Times New Roman"/>
          <w:sz w:val="24"/>
          <w:szCs w:val="24"/>
        </w:rPr>
        <w:t xml:space="preserve">o </w:t>
      </w:r>
      <w:r w:rsidRPr="00CB38AA">
        <w:rPr>
          <w:rFonts w:ascii="Times New Roman" w:eastAsia="Arial" w:hAnsi="Times New Roman" w:cs="Times New Roman"/>
          <w:b/>
          <w:sz w:val="24"/>
          <w:szCs w:val="24"/>
        </w:rPr>
        <w:t>Tutoría</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rPr>
          <w:rFonts w:ascii="Times New Roman" w:eastAsia="Arial" w:hAnsi="Times New Roman" w:cs="Times New Roman"/>
          <w:sz w:val="24"/>
          <w:szCs w:val="24"/>
        </w:rPr>
      </w:pPr>
      <w:r w:rsidRPr="00CB38AA">
        <w:rPr>
          <w:rFonts w:ascii="Times New Roman" w:eastAsia="Courier New" w:hAnsi="Times New Roman" w:cs="Times New Roman"/>
          <w:sz w:val="24"/>
          <w:szCs w:val="24"/>
        </w:rPr>
        <w:t xml:space="preserve">o </w:t>
      </w:r>
      <w:r w:rsidRPr="00CB38AA">
        <w:rPr>
          <w:rFonts w:ascii="Times New Roman" w:eastAsia="Arial" w:hAnsi="Times New Roman" w:cs="Times New Roman"/>
          <w:b/>
          <w:sz w:val="24"/>
          <w:szCs w:val="24"/>
        </w:rPr>
        <w:t>Orientación educativa</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Verdana" w:hAnsi="Times New Roman" w:cs="Times New Roman"/>
          <w:sz w:val="24"/>
          <w:szCs w:val="24"/>
        </w:rPr>
        <w:t>•</w:t>
      </w:r>
      <w:r w:rsidRPr="00CB38AA">
        <w:rPr>
          <w:rFonts w:ascii="Times New Roman" w:eastAsia="Verdana" w:hAnsi="Times New Roman" w:cs="Times New Roman"/>
          <w:sz w:val="24"/>
          <w:szCs w:val="24"/>
        </w:rPr>
        <w:tab/>
      </w:r>
      <w:r w:rsidRPr="00CB38AA">
        <w:rPr>
          <w:rFonts w:ascii="Times New Roman" w:eastAsia="Arial" w:hAnsi="Times New Roman" w:cs="Times New Roman"/>
          <w:sz w:val="24"/>
          <w:szCs w:val="24"/>
        </w:rPr>
        <w:t>Se abordan mediante actividades prácticas, proyectos o sesiones específicas, sin modificar la carga horaria base.</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2.  Modalidad modular y flexible</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Los talleres se estructuran en módulos independientes (por ejemplo: 2 a 4 sesiones cortas por ciclo escolar); permiten:</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numPr>
          <w:ilvl w:val="0"/>
          <w:numId w:val="11"/>
        </w:numPr>
        <w:spacing w:after="0" w:line="240" w:lineRule="auto"/>
        <w:contextualSpacing/>
        <w:rPr>
          <w:rFonts w:ascii="Times New Roman" w:eastAsia="Arial" w:hAnsi="Times New Roman" w:cs="Times New Roman"/>
          <w:sz w:val="24"/>
          <w:szCs w:val="24"/>
        </w:rPr>
      </w:pPr>
      <w:r w:rsidRPr="00CB38AA">
        <w:rPr>
          <w:rFonts w:ascii="Times New Roman" w:eastAsia="Arial" w:hAnsi="Times New Roman" w:cs="Times New Roman"/>
          <w:sz w:val="24"/>
          <w:szCs w:val="24"/>
        </w:rPr>
        <w:t>Programarlos en semanas de reforzamiento académico.</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numPr>
          <w:ilvl w:val="0"/>
          <w:numId w:val="11"/>
        </w:numPr>
        <w:spacing w:after="0" w:line="240" w:lineRule="auto"/>
        <w:contextualSpacing/>
        <w:rPr>
          <w:rFonts w:ascii="Times New Roman" w:eastAsia="Arial" w:hAnsi="Times New Roman" w:cs="Times New Roman"/>
          <w:sz w:val="24"/>
          <w:szCs w:val="24"/>
        </w:rPr>
      </w:pPr>
      <w:r w:rsidRPr="00CB38AA">
        <w:rPr>
          <w:rFonts w:ascii="Times New Roman" w:eastAsia="Arial" w:hAnsi="Times New Roman" w:cs="Times New Roman"/>
          <w:sz w:val="24"/>
          <w:szCs w:val="24"/>
        </w:rPr>
        <w:t>Impartirlos en periodos destinados a actividades extracurriculares.</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numPr>
          <w:ilvl w:val="0"/>
          <w:numId w:val="11"/>
        </w:numPr>
        <w:spacing w:after="0" w:line="240" w:lineRule="auto"/>
        <w:contextualSpacing/>
        <w:rPr>
          <w:rFonts w:ascii="Times New Roman" w:eastAsia="Arial" w:hAnsi="Times New Roman" w:cs="Times New Roman"/>
          <w:sz w:val="24"/>
          <w:szCs w:val="24"/>
        </w:rPr>
      </w:pPr>
      <w:r w:rsidRPr="00CB38AA">
        <w:rPr>
          <w:rFonts w:ascii="Times New Roman" w:eastAsia="Arial" w:hAnsi="Times New Roman" w:cs="Times New Roman"/>
          <w:sz w:val="24"/>
          <w:szCs w:val="24"/>
        </w:rPr>
        <w:t>Evitar la creación de nuevas materias obligatorias.</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3. Uso de tiempos institucionales ya existentes</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Los talleres pueden impartirse en:</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numPr>
          <w:ilvl w:val="0"/>
          <w:numId w:val="11"/>
        </w:numPr>
        <w:spacing w:after="0" w:line="240" w:lineRule="auto"/>
        <w:contextualSpacing/>
        <w:rPr>
          <w:rFonts w:ascii="Times New Roman" w:eastAsia="Times New Roman" w:hAnsi="Times New Roman" w:cs="Times New Roman"/>
          <w:sz w:val="24"/>
          <w:szCs w:val="24"/>
        </w:rPr>
      </w:pPr>
      <w:r w:rsidRPr="00CB38AA">
        <w:rPr>
          <w:rFonts w:ascii="Times New Roman" w:eastAsia="Arial" w:hAnsi="Times New Roman" w:cs="Times New Roman"/>
          <w:sz w:val="24"/>
          <w:szCs w:val="24"/>
        </w:rPr>
        <w:t>Horas de tutoría.</w:t>
      </w:r>
    </w:p>
    <w:p w:rsidR="00F548AB" w:rsidRPr="00CB38AA" w:rsidRDefault="00F548AB" w:rsidP="00DF6EEA">
      <w:pPr>
        <w:numPr>
          <w:ilvl w:val="0"/>
          <w:numId w:val="11"/>
        </w:numPr>
        <w:spacing w:after="0" w:line="240" w:lineRule="auto"/>
        <w:contextualSpacing/>
        <w:rPr>
          <w:rFonts w:ascii="Times New Roman" w:eastAsia="Arial" w:hAnsi="Times New Roman" w:cs="Times New Roman"/>
          <w:sz w:val="24"/>
          <w:szCs w:val="24"/>
        </w:rPr>
      </w:pPr>
      <w:r w:rsidRPr="00CB38AA">
        <w:rPr>
          <w:rFonts w:ascii="Times New Roman" w:eastAsia="Arial" w:hAnsi="Times New Roman" w:cs="Times New Roman"/>
          <w:sz w:val="24"/>
          <w:szCs w:val="24"/>
        </w:rPr>
        <w:t>Jornadas académicas, semanas culturales o tecnológicas.</w:t>
      </w:r>
    </w:p>
    <w:p w:rsidR="00F548AB" w:rsidRPr="00CB38AA" w:rsidRDefault="00F548AB" w:rsidP="00DF6EEA">
      <w:pPr>
        <w:numPr>
          <w:ilvl w:val="0"/>
          <w:numId w:val="11"/>
        </w:numPr>
        <w:spacing w:after="0" w:line="240" w:lineRule="auto"/>
        <w:contextualSpacing/>
        <w:rPr>
          <w:rFonts w:ascii="Times New Roman" w:eastAsia="Arial" w:hAnsi="Times New Roman" w:cs="Times New Roman"/>
          <w:sz w:val="24"/>
          <w:szCs w:val="24"/>
        </w:rPr>
      </w:pPr>
      <w:r w:rsidRPr="00CB38AA">
        <w:rPr>
          <w:rFonts w:ascii="Times New Roman" w:eastAsia="Arial" w:hAnsi="Times New Roman" w:cs="Times New Roman"/>
          <w:sz w:val="24"/>
          <w:szCs w:val="24"/>
        </w:rPr>
        <w:t>Espacios destinados a capacitación y formación integral.</w:t>
      </w:r>
    </w:p>
    <w:p w:rsidR="00F548AB" w:rsidRPr="00CB38AA" w:rsidRDefault="00F548AB" w:rsidP="00DF6EEA">
      <w:pPr>
        <w:numPr>
          <w:ilvl w:val="0"/>
          <w:numId w:val="11"/>
        </w:numPr>
        <w:spacing w:after="0" w:line="240" w:lineRule="auto"/>
        <w:contextualSpacing/>
        <w:rPr>
          <w:rFonts w:ascii="Times New Roman" w:eastAsia="Arial" w:hAnsi="Times New Roman" w:cs="Times New Roman"/>
          <w:sz w:val="24"/>
          <w:szCs w:val="24"/>
        </w:rPr>
      </w:pPr>
      <w:r w:rsidRPr="00CB38AA">
        <w:rPr>
          <w:rFonts w:ascii="Times New Roman" w:eastAsia="Arial" w:hAnsi="Times New Roman" w:cs="Times New Roman"/>
          <w:sz w:val="24"/>
          <w:szCs w:val="24"/>
        </w:rPr>
        <w:t>Esto evita cualquier impacto directo en el calendario escolar oficial.</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Con la intención de contar con mayores elementos, se hace un estudio comparativo entre el texto de la norma vigente y el que la reforma propone modificar, como se muestra a continuación:</w:t>
      </w:r>
    </w:p>
    <w:p w:rsidR="00F548AB" w:rsidRPr="00CB38AA" w:rsidRDefault="00F548AB" w:rsidP="00DF6EEA">
      <w:pPr>
        <w:spacing w:after="0" w:line="240" w:lineRule="auto"/>
        <w:rPr>
          <w:rFonts w:ascii="Times New Roman" w:eastAsia="Times New Roman" w:hAnsi="Times New Roman" w:cs="Times New Roman"/>
          <w:sz w:val="24"/>
          <w:szCs w:val="24"/>
        </w:rPr>
      </w:pPr>
    </w:p>
    <w:tbl>
      <w:tblPr>
        <w:tblW w:w="0" w:type="auto"/>
        <w:tblInd w:w="99" w:type="dxa"/>
        <w:tblLayout w:type="fixed"/>
        <w:tblCellMar>
          <w:left w:w="0" w:type="dxa"/>
          <w:right w:w="0" w:type="dxa"/>
        </w:tblCellMar>
        <w:tblLook w:val="01E0" w:firstRow="1" w:lastRow="1" w:firstColumn="1" w:lastColumn="1" w:noHBand="0" w:noVBand="0"/>
      </w:tblPr>
      <w:tblGrid>
        <w:gridCol w:w="4694"/>
        <w:gridCol w:w="4656"/>
      </w:tblGrid>
      <w:tr w:rsidR="00F548AB" w:rsidRPr="00CB38AA" w:rsidTr="00AF7815">
        <w:trPr>
          <w:trHeight w:val="20"/>
        </w:trPr>
        <w:tc>
          <w:tcPr>
            <w:tcW w:w="9350" w:type="dxa"/>
            <w:gridSpan w:val="2"/>
            <w:tcBorders>
              <w:top w:val="single" w:sz="5" w:space="0" w:color="BEBEBE"/>
              <w:left w:val="single" w:sz="5" w:space="0" w:color="BEBEBE"/>
              <w:bottom w:val="single" w:sz="5" w:space="0" w:color="BEBEBE"/>
              <w:right w:val="single" w:sz="5" w:space="0" w:color="BEBEBE"/>
            </w:tcBorders>
            <w:shd w:val="clear" w:color="auto" w:fill="BEBEBE"/>
          </w:tcPr>
          <w:p w:rsidR="00F548AB" w:rsidRPr="00CB38AA" w:rsidRDefault="00F548AB"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LEY DE EDUCACIÓN DEL ESTADO DE MÉXICO</w:t>
            </w:r>
          </w:p>
        </w:tc>
      </w:tr>
      <w:tr w:rsidR="00F548AB" w:rsidRPr="00CB38AA" w:rsidTr="00AF7815">
        <w:trPr>
          <w:trHeight w:val="20"/>
        </w:trPr>
        <w:tc>
          <w:tcPr>
            <w:tcW w:w="4694" w:type="dxa"/>
            <w:tcBorders>
              <w:top w:val="single" w:sz="5" w:space="0" w:color="BEBEBE"/>
              <w:left w:val="single" w:sz="5" w:space="0" w:color="BEBEBE"/>
              <w:bottom w:val="single" w:sz="5" w:space="0" w:color="BEBEBE"/>
              <w:right w:val="single" w:sz="5" w:space="0" w:color="BEBEBE"/>
            </w:tcBorders>
            <w:shd w:val="clear" w:color="auto" w:fill="F1F1F1"/>
          </w:tcPr>
          <w:p w:rsidR="00F548AB" w:rsidRPr="00CB38AA" w:rsidRDefault="00F548AB"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LEY VIGENTE</w:t>
            </w:r>
          </w:p>
        </w:tc>
        <w:tc>
          <w:tcPr>
            <w:tcW w:w="4656" w:type="dxa"/>
            <w:tcBorders>
              <w:top w:val="single" w:sz="5" w:space="0" w:color="BEBEBE"/>
              <w:left w:val="single" w:sz="5" w:space="0" w:color="BEBEBE"/>
              <w:bottom w:val="single" w:sz="5" w:space="0" w:color="BEBEBE"/>
              <w:right w:val="single" w:sz="5" w:space="0" w:color="BEBEBE"/>
            </w:tcBorders>
            <w:shd w:val="clear" w:color="auto" w:fill="F1F1F1"/>
          </w:tcPr>
          <w:p w:rsidR="00F548AB" w:rsidRPr="00CB38AA" w:rsidRDefault="00F548AB"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INICIATIVA</w:t>
            </w:r>
          </w:p>
        </w:tc>
      </w:tr>
      <w:tr w:rsidR="00F548AB" w:rsidRPr="00CB38AA" w:rsidTr="00AF7815">
        <w:trPr>
          <w:trHeight w:val="1392"/>
        </w:trPr>
        <w:tc>
          <w:tcPr>
            <w:tcW w:w="4694" w:type="dxa"/>
            <w:tcBorders>
              <w:top w:val="single" w:sz="5" w:space="0" w:color="BEBEBE"/>
              <w:left w:val="single" w:sz="5" w:space="0" w:color="BEBEBE"/>
              <w:right w:val="single" w:sz="5" w:space="0" w:color="BEBEBE"/>
            </w:tcBorders>
          </w:tcPr>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60. </w:t>
            </w:r>
            <w:r w:rsidRPr="00CB38AA">
              <w:rPr>
                <w:rFonts w:ascii="Times New Roman" w:eastAsia="Arial" w:hAnsi="Times New Roman" w:cs="Times New Roman"/>
                <w:sz w:val="24"/>
                <w:szCs w:val="24"/>
              </w:rPr>
              <w:t>La autoridad educativa estatal promoverá acciones para combatir la brecha digital en el Estado de México, con el impulso</w:t>
            </w:r>
          </w:p>
        </w:tc>
        <w:tc>
          <w:tcPr>
            <w:tcW w:w="4656" w:type="dxa"/>
            <w:tcBorders>
              <w:top w:val="single" w:sz="5" w:space="0" w:color="BEBEBE"/>
              <w:left w:val="single" w:sz="5" w:space="0" w:color="BEBEBE"/>
              <w:right w:val="single" w:sz="5" w:space="0" w:color="BEBEBE"/>
            </w:tcBorders>
          </w:tcPr>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60. </w:t>
            </w:r>
            <w:r w:rsidRPr="00CB38AA">
              <w:rPr>
                <w:rFonts w:ascii="Times New Roman" w:eastAsia="Arial" w:hAnsi="Times New Roman" w:cs="Times New Roman"/>
                <w:sz w:val="24"/>
                <w:szCs w:val="24"/>
              </w:rPr>
              <w:t xml:space="preserve">La autoridad educativa estatal promoverá acciones para combatir la brecha digital en el Estado de México, </w:t>
            </w:r>
            <w:r w:rsidRPr="00CB38AA">
              <w:rPr>
                <w:rFonts w:ascii="Times New Roman" w:eastAsia="Arial" w:hAnsi="Times New Roman" w:cs="Times New Roman"/>
                <w:strike/>
                <w:sz w:val="24"/>
                <w:szCs w:val="24"/>
              </w:rPr>
              <w:t>con</w:t>
            </w:r>
            <w:r w:rsidRPr="00CB38AA">
              <w:rPr>
                <w:rFonts w:ascii="Times New Roman" w:eastAsia="Times New Roman" w:hAnsi="Times New Roman" w:cs="Times New Roman"/>
                <w:strike/>
                <w:sz w:val="24"/>
                <w:szCs w:val="24"/>
              </w:rPr>
              <w:t xml:space="preserve"> </w:t>
            </w:r>
            <w:r w:rsidRPr="00CB38AA">
              <w:rPr>
                <w:rFonts w:ascii="Times New Roman" w:eastAsia="Arial" w:hAnsi="Times New Roman" w:cs="Times New Roman"/>
                <w:b/>
                <w:sz w:val="24"/>
                <w:szCs w:val="24"/>
              </w:rPr>
              <w:t xml:space="preserve">mediante </w:t>
            </w:r>
            <w:r w:rsidRPr="00CB38AA">
              <w:rPr>
                <w:rFonts w:ascii="Times New Roman" w:eastAsia="Arial" w:hAnsi="Times New Roman" w:cs="Times New Roman"/>
                <w:sz w:val="24"/>
                <w:szCs w:val="24"/>
              </w:rPr>
              <w:t>el</w:t>
            </w:r>
          </w:p>
        </w:tc>
      </w:tr>
      <w:tr w:rsidR="00F548AB" w:rsidRPr="00CB38AA" w:rsidTr="00AF7815">
        <w:trPr>
          <w:trHeight w:val="20"/>
        </w:trPr>
        <w:tc>
          <w:tcPr>
            <w:tcW w:w="4694" w:type="dxa"/>
            <w:vMerge w:val="restart"/>
            <w:tcBorders>
              <w:top w:val="nil"/>
              <w:left w:val="single" w:sz="5" w:space="0" w:color="BEBEBE"/>
              <w:right w:val="single" w:sz="5" w:space="0" w:color="BEBEBE"/>
            </w:tcBorders>
          </w:tcPr>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permanente de estrategias de alfabetización digital para toda la población.</w:t>
            </w:r>
          </w:p>
        </w:tc>
        <w:tc>
          <w:tcPr>
            <w:tcW w:w="4656" w:type="dxa"/>
            <w:tcBorders>
              <w:top w:val="nil"/>
              <w:left w:val="single" w:sz="5" w:space="0" w:color="BEBEBE"/>
              <w:bottom w:val="nil"/>
              <w:right w:val="single" w:sz="5" w:space="0" w:color="BEBEBE"/>
            </w:tcBorders>
          </w:tcPr>
          <w:p w:rsidR="00F548AB" w:rsidRPr="00CB38AA" w:rsidRDefault="00F548AB"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impulso permanente de estrategias de</w:t>
            </w:r>
          </w:p>
        </w:tc>
      </w:tr>
      <w:tr w:rsidR="00F548AB" w:rsidRPr="00CB38AA" w:rsidTr="00AF7815">
        <w:trPr>
          <w:trHeight w:val="20"/>
        </w:trPr>
        <w:tc>
          <w:tcPr>
            <w:tcW w:w="4694" w:type="dxa"/>
            <w:vMerge/>
            <w:tcBorders>
              <w:left w:val="single" w:sz="5" w:space="0" w:color="BEBEBE"/>
              <w:bottom w:val="single" w:sz="5" w:space="0" w:color="BEBEBE"/>
              <w:right w:val="single" w:sz="5" w:space="0" w:color="BEBEBE"/>
            </w:tcBorders>
          </w:tcPr>
          <w:p w:rsidR="00F548AB" w:rsidRPr="00CB38AA" w:rsidRDefault="00F548AB" w:rsidP="00DF6EEA">
            <w:pPr>
              <w:spacing w:after="0" w:line="240" w:lineRule="auto"/>
              <w:rPr>
                <w:rFonts w:ascii="Times New Roman" w:eastAsia="Arial" w:hAnsi="Times New Roman" w:cs="Times New Roman"/>
                <w:sz w:val="24"/>
                <w:szCs w:val="24"/>
              </w:rPr>
            </w:pPr>
          </w:p>
        </w:tc>
        <w:tc>
          <w:tcPr>
            <w:tcW w:w="4656" w:type="dxa"/>
            <w:tcBorders>
              <w:top w:val="nil"/>
              <w:left w:val="single" w:sz="5" w:space="0" w:color="BEBEBE"/>
              <w:bottom w:val="single" w:sz="5" w:space="0" w:color="BEBEBE"/>
              <w:right w:val="single" w:sz="5" w:space="0" w:color="BEBEBE"/>
            </w:tcBorders>
          </w:tcPr>
          <w:p w:rsidR="00F548AB" w:rsidRPr="00CB38AA" w:rsidRDefault="00F548AB"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alfabetización digital para toda la población.</w:t>
            </w:r>
          </w:p>
        </w:tc>
      </w:tr>
      <w:tr w:rsidR="00F548AB" w:rsidRPr="00CB38AA" w:rsidTr="00AF7815">
        <w:trPr>
          <w:trHeight w:val="3324"/>
        </w:trPr>
        <w:tc>
          <w:tcPr>
            <w:tcW w:w="4694" w:type="dxa"/>
            <w:tcBorders>
              <w:top w:val="single" w:sz="5" w:space="0" w:color="BEBEBE"/>
              <w:left w:val="single" w:sz="5" w:space="0" w:color="BEBEBE"/>
              <w:right w:val="single" w:sz="5" w:space="0" w:color="BEBEBE"/>
            </w:tcBorders>
          </w:tcPr>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 autoridad educativa estatal promoverá la formación y educación digital, utilizando para ello los espacios de las instituciones públicas disponibles en cada comunidad; e incluso, los recursos tecnológicos con que cuentan las instituciones educativas, bajo el principio de que las escuelas son del pueblo y pueden ser utilizadas por toda la población. Se tomarán en consideración los tiempos de atención y aprendizaje pertinentes para la población.</w:t>
            </w:r>
          </w:p>
        </w:tc>
        <w:tc>
          <w:tcPr>
            <w:tcW w:w="4656" w:type="dxa"/>
            <w:tcBorders>
              <w:top w:val="single" w:sz="5" w:space="0" w:color="BEBEBE"/>
              <w:left w:val="single" w:sz="5" w:space="0" w:color="BEBEBE"/>
              <w:right w:val="single" w:sz="5" w:space="0" w:color="BEBEBE"/>
            </w:tcBorders>
          </w:tcPr>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La autoridad educativa estatal promoverá la formación y educación digital, utilizando para ello los espacios de las instituciones públicas disponibles en cada comunidad; así como los recursos tecnológicos con que cuentan las instituciones educativas, bajo el principio de que las escuelas son del pueblo y pueden ser utilizadas por toda la población, </w:t>
            </w:r>
            <w:r w:rsidRPr="00CB38AA">
              <w:rPr>
                <w:rFonts w:ascii="Times New Roman" w:eastAsia="Arial" w:hAnsi="Times New Roman" w:cs="Times New Roman"/>
                <w:strike/>
                <w:sz w:val="24"/>
                <w:szCs w:val="24"/>
              </w:rPr>
              <w:t>Se</w:t>
            </w:r>
            <w:r w:rsidRPr="00CB38AA">
              <w:rPr>
                <w:rFonts w:ascii="Times New Roman" w:eastAsia="Times New Roman" w:hAnsi="Times New Roman" w:cs="Times New Roman"/>
                <w:strike/>
                <w:sz w:val="24"/>
                <w:szCs w:val="24"/>
              </w:rPr>
              <w:t xml:space="preserve"> </w:t>
            </w:r>
            <w:r w:rsidRPr="00CB38AA">
              <w:rPr>
                <w:rFonts w:ascii="Times New Roman" w:eastAsia="Arial" w:hAnsi="Times New Roman" w:cs="Times New Roman"/>
                <w:strike/>
                <w:sz w:val="24"/>
                <w:szCs w:val="24"/>
              </w:rPr>
              <w:t>tomarán</w:t>
            </w:r>
            <w:r w:rsidRPr="00CB38AA">
              <w:rPr>
                <w:rFonts w:ascii="Times New Roman" w:eastAsia="Times New Roman" w:hAnsi="Times New Roman" w:cs="Times New Roman"/>
                <w:strike/>
                <w:sz w:val="24"/>
                <w:szCs w:val="24"/>
              </w:rPr>
              <w:t xml:space="preserve"> </w:t>
            </w:r>
            <w:r w:rsidRPr="00CB38AA">
              <w:rPr>
                <w:rFonts w:ascii="Times New Roman" w:eastAsia="Arial" w:hAnsi="Times New Roman" w:cs="Times New Roman"/>
                <w:strike/>
                <w:sz w:val="24"/>
                <w:szCs w:val="24"/>
              </w:rPr>
              <w:t>en</w:t>
            </w:r>
            <w:r w:rsidRPr="00CB38AA">
              <w:rPr>
                <w:rFonts w:ascii="Times New Roman" w:eastAsia="Arial" w:hAnsi="Times New Roman" w:cs="Times New Roman"/>
                <w:sz w:val="24"/>
                <w:szCs w:val="24"/>
              </w:rPr>
              <w:t xml:space="preserve"> </w:t>
            </w:r>
            <w:r w:rsidRPr="00CB38AA">
              <w:rPr>
                <w:rFonts w:ascii="Times New Roman" w:eastAsia="Arial" w:hAnsi="Times New Roman" w:cs="Times New Roman"/>
                <w:strike/>
                <w:sz w:val="24"/>
                <w:szCs w:val="24"/>
              </w:rPr>
              <w:t>consideración</w:t>
            </w:r>
            <w:r w:rsidRPr="00CB38AA">
              <w:rPr>
                <w:rFonts w:ascii="Times New Roman" w:eastAsia="Arial" w:hAnsi="Times New Roman" w:cs="Times New Roman"/>
                <w:sz w:val="24"/>
                <w:szCs w:val="24"/>
              </w:rPr>
              <w:t xml:space="preserve"> </w:t>
            </w:r>
            <w:r w:rsidRPr="00CB38AA">
              <w:rPr>
                <w:rFonts w:ascii="Times New Roman" w:eastAsia="Arial" w:hAnsi="Times New Roman" w:cs="Times New Roman"/>
                <w:b/>
                <w:sz w:val="24"/>
                <w:szCs w:val="24"/>
              </w:rPr>
              <w:t xml:space="preserve">considerando </w:t>
            </w:r>
            <w:r w:rsidRPr="00CB38AA">
              <w:rPr>
                <w:rFonts w:ascii="Times New Roman" w:eastAsia="Arial" w:hAnsi="Times New Roman" w:cs="Times New Roman"/>
                <w:sz w:val="24"/>
                <w:szCs w:val="24"/>
              </w:rPr>
              <w:t>los tiempos de atención y aprendizaje pertinentes para cada sector de la población.</w:t>
            </w:r>
          </w:p>
        </w:tc>
      </w:tr>
      <w:tr w:rsidR="00F548AB" w:rsidRPr="00CB38AA" w:rsidTr="00AF7815">
        <w:trPr>
          <w:trHeight w:val="276"/>
        </w:trPr>
        <w:tc>
          <w:tcPr>
            <w:tcW w:w="4694" w:type="dxa"/>
            <w:vMerge w:val="restart"/>
            <w:tcBorders>
              <w:top w:val="single" w:sz="5" w:space="0" w:color="BEBEBE"/>
              <w:left w:val="single" w:sz="5" w:space="0" w:color="BEBEBE"/>
              <w:right w:val="single" w:sz="5" w:space="0" w:color="BEBEBE"/>
            </w:tcBorders>
          </w:tcPr>
          <w:p w:rsidR="00F548AB" w:rsidRPr="00CB38AA" w:rsidRDefault="00F548AB"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Sin correlativo</w:t>
            </w:r>
          </w:p>
        </w:tc>
        <w:tc>
          <w:tcPr>
            <w:tcW w:w="4656" w:type="dxa"/>
            <w:vMerge w:val="restart"/>
            <w:tcBorders>
              <w:top w:val="single" w:sz="5" w:space="0" w:color="BEBEBE"/>
              <w:left w:val="single" w:sz="5" w:space="0" w:color="BEBEBE"/>
              <w:right w:val="single" w:sz="5" w:space="0" w:color="BEBEBE"/>
            </w:tcBorders>
          </w:tcPr>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La alfabetización y la educación digital comprenderán no solo el aprendizaje del uso técnico de las tecnologías de la información y la comunicación, sino también el desarrollo de</w:t>
            </w: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habilidades, conocimientos y actitudes orientadas al uso seguro, responsable, ético y crítico de dichas tecnologías, incluyendo la prevención de riesgos digitales, el respeto a la privacidad y la protección de los datos personales.</w:t>
            </w:r>
          </w:p>
        </w:tc>
      </w:tr>
      <w:tr w:rsidR="00F548AB" w:rsidRPr="00CB38AA" w:rsidTr="00AF7815">
        <w:trPr>
          <w:trHeight w:val="276"/>
        </w:trPr>
        <w:tc>
          <w:tcPr>
            <w:tcW w:w="4694" w:type="dxa"/>
            <w:vMerge/>
            <w:tcBorders>
              <w:left w:val="single" w:sz="5" w:space="0" w:color="BEBEBE"/>
              <w:right w:val="single" w:sz="5" w:space="0" w:color="BEBEBE"/>
            </w:tcBorders>
          </w:tcPr>
          <w:p w:rsidR="00F548AB" w:rsidRPr="00CB38AA" w:rsidRDefault="00F548AB" w:rsidP="00DF6EEA">
            <w:pPr>
              <w:spacing w:after="0" w:line="240" w:lineRule="auto"/>
              <w:rPr>
                <w:rFonts w:ascii="Times New Roman" w:eastAsia="Times New Roman" w:hAnsi="Times New Roman" w:cs="Times New Roman"/>
                <w:sz w:val="24"/>
                <w:szCs w:val="24"/>
              </w:rPr>
            </w:pPr>
          </w:p>
        </w:tc>
        <w:tc>
          <w:tcPr>
            <w:tcW w:w="4656" w:type="dxa"/>
            <w:vMerge/>
            <w:tcBorders>
              <w:left w:val="single" w:sz="5" w:space="0" w:color="BEBEBE"/>
              <w:right w:val="single" w:sz="5" w:space="0" w:color="BEBEBE"/>
            </w:tcBorders>
          </w:tcPr>
          <w:p w:rsidR="00F548AB" w:rsidRPr="00CB38AA" w:rsidRDefault="00F548AB" w:rsidP="00DF6EEA">
            <w:pPr>
              <w:spacing w:after="0" w:line="240" w:lineRule="auto"/>
              <w:rPr>
                <w:rFonts w:ascii="Times New Roman" w:eastAsia="Times New Roman" w:hAnsi="Times New Roman" w:cs="Times New Roman"/>
                <w:sz w:val="24"/>
                <w:szCs w:val="24"/>
              </w:rPr>
            </w:pPr>
          </w:p>
        </w:tc>
      </w:tr>
      <w:tr w:rsidR="00F548AB" w:rsidRPr="00CB38AA" w:rsidTr="00AF7815">
        <w:trPr>
          <w:trHeight w:val="276"/>
        </w:trPr>
        <w:tc>
          <w:tcPr>
            <w:tcW w:w="4694" w:type="dxa"/>
            <w:vMerge/>
            <w:tcBorders>
              <w:left w:val="single" w:sz="5" w:space="0" w:color="BEBEBE"/>
              <w:right w:val="single" w:sz="5" w:space="0" w:color="BEBEBE"/>
            </w:tcBorders>
          </w:tcPr>
          <w:p w:rsidR="00F548AB" w:rsidRPr="00CB38AA" w:rsidRDefault="00F548AB" w:rsidP="00DF6EEA">
            <w:pPr>
              <w:spacing w:after="0" w:line="240" w:lineRule="auto"/>
              <w:rPr>
                <w:rFonts w:ascii="Times New Roman" w:eastAsia="Times New Roman" w:hAnsi="Times New Roman" w:cs="Times New Roman"/>
                <w:sz w:val="24"/>
                <w:szCs w:val="24"/>
              </w:rPr>
            </w:pPr>
          </w:p>
        </w:tc>
        <w:tc>
          <w:tcPr>
            <w:tcW w:w="4656" w:type="dxa"/>
            <w:vMerge/>
            <w:tcBorders>
              <w:left w:val="single" w:sz="5" w:space="0" w:color="BEBEBE"/>
              <w:right w:val="single" w:sz="5" w:space="0" w:color="BEBEBE"/>
            </w:tcBorders>
          </w:tcPr>
          <w:p w:rsidR="00F548AB" w:rsidRPr="00CB38AA" w:rsidRDefault="00F548AB" w:rsidP="00DF6EEA">
            <w:pPr>
              <w:spacing w:after="0" w:line="240" w:lineRule="auto"/>
              <w:rPr>
                <w:rFonts w:ascii="Times New Roman" w:eastAsia="Times New Roman" w:hAnsi="Times New Roman" w:cs="Times New Roman"/>
                <w:sz w:val="24"/>
                <w:szCs w:val="24"/>
              </w:rPr>
            </w:pPr>
          </w:p>
        </w:tc>
      </w:tr>
      <w:tr w:rsidR="00F548AB" w:rsidRPr="00CB38AA" w:rsidTr="00AF7815">
        <w:trPr>
          <w:trHeight w:val="276"/>
        </w:trPr>
        <w:tc>
          <w:tcPr>
            <w:tcW w:w="4694" w:type="dxa"/>
            <w:vMerge/>
            <w:tcBorders>
              <w:left w:val="single" w:sz="5" w:space="0" w:color="BEBEBE"/>
              <w:bottom w:val="single" w:sz="5" w:space="0" w:color="BEBEBE"/>
              <w:right w:val="single" w:sz="5" w:space="0" w:color="BEBEBE"/>
            </w:tcBorders>
          </w:tcPr>
          <w:p w:rsidR="00F548AB" w:rsidRPr="00CB38AA" w:rsidRDefault="00F548AB" w:rsidP="00DF6EEA">
            <w:pPr>
              <w:spacing w:after="0" w:line="240" w:lineRule="auto"/>
              <w:rPr>
                <w:rFonts w:ascii="Times New Roman" w:eastAsia="Times New Roman" w:hAnsi="Times New Roman" w:cs="Times New Roman"/>
                <w:sz w:val="24"/>
                <w:szCs w:val="24"/>
              </w:rPr>
            </w:pPr>
          </w:p>
        </w:tc>
        <w:tc>
          <w:tcPr>
            <w:tcW w:w="4656" w:type="dxa"/>
            <w:vMerge/>
            <w:tcBorders>
              <w:left w:val="single" w:sz="5" w:space="0" w:color="BEBEBE"/>
              <w:bottom w:val="single" w:sz="5" w:space="0" w:color="BEBEBE"/>
              <w:right w:val="single" w:sz="5" w:space="0" w:color="BEBEBE"/>
            </w:tcBorders>
          </w:tcPr>
          <w:p w:rsidR="00F548AB" w:rsidRPr="00CB38AA" w:rsidRDefault="00F548AB" w:rsidP="00DF6EEA">
            <w:pPr>
              <w:spacing w:after="0" w:line="240" w:lineRule="auto"/>
              <w:rPr>
                <w:rFonts w:ascii="Times New Roman" w:eastAsia="Times New Roman" w:hAnsi="Times New Roman" w:cs="Times New Roman"/>
                <w:sz w:val="24"/>
                <w:szCs w:val="24"/>
              </w:rPr>
            </w:pPr>
          </w:p>
        </w:tc>
      </w:tr>
      <w:tr w:rsidR="00F548AB" w:rsidRPr="00CB38AA" w:rsidTr="00AF7815">
        <w:trPr>
          <w:trHeight w:val="276"/>
        </w:trPr>
        <w:tc>
          <w:tcPr>
            <w:tcW w:w="4694" w:type="dxa"/>
            <w:vMerge w:val="restart"/>
            <w:tcBorders>
              <w:top w:val="single" w:sz="5" w:space="0" w:color="BEBEBE"/>
              <w:left w:val="single" w:sz="5" w:space="0" w:color="BEBEBE"/>
              <w:right w:val="single" w:sz="5" w:space="0" w:color="BEBEBE"/>
            </w:tcBorders>
          </w:tcPr>
          <w:p w:rsidR="00F548AB" w:rsidRPr="00CB38AA" w:rsidRDefault="00F548AB"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lastRenderedPageBreak/>
              <w:t>Sin correlativo</w:t>
            </w:r>
          </w:p>
        </w:tc>
        <w:tc>
          <w:tcPr>
            <w:tcW w:w="4656" w:type="dxa"/>
            <w:vMerge w:val="restart"/>
            <w:tcBorders>
              <w:top w:val="single" w:sz="5" w:space="0" w:color="BEBEBE"/>
              <w:left w:val="single" w:sz="5" w:space="0" w:color="BEBEBE"/>
              <w:right w:val="single" w:sz="5" w:space="0" w:color="BEBEBE"/>
            </w:tcBorders>
          </w:tcPr>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Para el cumplimiento de lo anterior, la autoridad educativa estatal deberá diseñar, implementar y garantizar de manera permanente cursos, programas y talleres en materia de seguridad digital, protección de datos personales y privacidad, los cuales deberán incorporarse de forma progresiva, obligatoria y transversal en los planes y programas de estudio de los distintos niveles educativos, atendiendo a la edad, contexto social y necesidades de la comunidad educativa.</w:t>
            </w:r>
          </w:p>
        </w:tc>
      </w:tr>
      <w:tr w:rsidR="00F548AB" w:rsidRPr="00CB38AA" w:rsidTr="00AF7815">
        <w:trPr>
          <w:trHeight w:val="276"/>
        </w:trPr>
        <w:tc>
          <w:tcPr>
            <w:tcW w:w="4694" w:type="dxa"/>
            <w:vMerge/>
            <w:tcBorders>
              <w:left w:val="single" w:sz="5" w:space="0" w:color="BEBEBE"/>
              <w:right w:val="single" w:sz="5" w:space="0" w:color="BEBEBE"/>
            </w:tcBorders>
          </w:tcPr>
          <w:p w:rsidR="00F548AB" w:rsidRPr="00CB38AA" w:rsidRDefault="00F548AB" w:rsidP="00DF6EEA">
            <w:pPr>
              <w:spacing w:after="0" w:line="240" w:lineRule="auto"/>
              <w:rPr>
                <w:rFonts w:ascii="Times New Roman" w:eastAsia="Times New Roman" w:hAnsi="Times New Roman" w:cs="Times New Roman"/>
                <w:sz w:val="24"/>
                <w:szCs w:val="24"/>
              </w:rPr>
            </w:pPr>
          </w:p>
        </w:tc>
        <w:tc>
          <w:tcPr>
            <w:tcW w:w="4656" w:type="dxa"/>
            <w:vMerge/>
            <w:tcBorders>
              <w:left w:val="single" w:sz="5" w:space="0" w:color="BEBEBE"/>
              <w:right w:val="single" w:sz="5" w:space="0" w:color="BEBEBE"/>
            </w:tcBorders>
          </w:tcPr>
          <w:p w:rsidR="00F548AB" w:rsidRPr="00CB38AA" w:rsidRDefault="00F548AB" w:rsidP="00DF6EEA">
            <w:pPr>
              <w:spacing w:after="0" w:line="240" w:lineRule="auto"/>
              <w:rPr>
                <w:rFonts w:ascii="Times New Roman" w:eastAsia="Times New Roman" w:hAnsi="Times New Roman" w:cs="Times New Roman"/>
                <w:sz w:val="24"/>
                <w:szCs w:val="24"/>
              </w:rPr>
            </w:pPr>
          </w:p>
        </w:tc>
      </w:tr>
      <w:tr w:rsidR="00F548AB" w:rsidRPr="00CB38AA" w:rsidTr="00AF7815">
        <w:trPr>
          <w:trHeight w:val="276"/>
        </w:trPr>
        <w:tc>
          <w:tcPr>
            <w:tcW w:w="4694" w:type="dxa"/>
            <w:vMerge/>
            <w:tcBorders>
              <w:left w:val="single" w:sz="5" w:space="0" w:color="BEBEBE"/>
              <w:right w:val="single" w:sz="5" w:space="0" w:color="BEBEBE"/>
            </w:tcBorders>
          </w:tcPr>
          <w:p w:rsidR="00F548AB" w:rsidRPr="00CB38AA" w:rsidRDefault="00F548AB" w:rsidP="00DF6EEA">
            <w:pPr>
              <w:spacing w:after="0" w:line="240" w:lineRule="auto"/>
              <w:rPr>
                <w:rFonts w:ascii="Times New Roman" w:eastAsia="Times New Roman" w:hAnsi="Times New Roman" w:cs="Times New Roman"/>
                <w:sz w:val="24"/>
                <w:szCs w:val="24"/>
              </w:rPr>
            </w:pPr>
          </w:p>
        </w:tc>
        <w:tc>
          <w:tcPr>
            <w:tcW w:w="4656" w:type="dxa"/>
            <w:vMerge/>
            <w:tcBorders>
              <w:left w:val="single" w:sz="5" w:space="0" w:color="BEBEBE"/>
              <w:right w:val="single" w:sz="5" w:space="0" w:color="BEBEBE"/>
            </w:tcBorders>
          </w:tcPr>
          <w:p w:rsidR="00F548AB" w:rsidRPr="00CB38AA" w:rsidRDefault="00F548AB" w:rsidP="00DF6EEA">
            <w:pPr>
              <w:spacing w:after="0" w:line="240" w:lineRule="auto"/>
              <w:rPr>
                <w:rFonts w:ascii="Times New Roman" w:eastAsia="Times New Roman" w:hAnsi="Times New Roman" w:cs="Times New Roman"/>
                <w:sz w:val="24"/>
                <w:szCs w:val="24"/>
              </w:rPr>
            </w:pPr>
          </w:p>
        </w:tc>
      </w:tr>
      <w:tr w:rsidR="00F548AB" w:rsidRPr="00CB38AA" w:rsidTr="00AF7815">
        <w:trPr>
          <w:trHeight w:val="276"/>
        </w:trPr>
        <w:tc>
          <w:tcPr>
            <w:tcW w:w="4694" w:type="dxa"/>
            <w:vMerge/>
            <w:tcBorders>
              <w:left w:val="single" w:sz="5" w:space="0" w:color="BEBEBE"/>
              <w:right w:val="single" w:sz="5" w:space="0" w:color="BEBEBE"/>
            </w:tcBorders>
          </w:tcPr>
          <w:p w:rsidR="00F548AB" w:rsidRPr="00CB38AA" w:rsidRDefault="00F548AB" w:rsidP="00DF6EEA">
            <w:pPr>
              <w:spacing w:after="0" w:line="240" w:lineRule="auto"/>
              <w:rPr>
                <w:rFonts w:ascii="Times New Roman" w:eastAsia="Times New Roman" w:hAnsi="Times New Roman" w:cs="Times New Roman"/>
                <w:sz w:val="24"/>
                <w:szCs w:val="24"/>
              </w:rPr>
            </w:pPr>
          </w:p>
        </w:tc>
        <w:tc>
          <w:tcPr>
            <w:tcW w:w="4656" w:type="dxa"/>
            <w:vMerge/>
            <w:tcBorders>
              <w:left w:val="single" w:sz="5" w:space="0" w:color="BEBEBE"/>
              <w:right w:val="single" w:sz="5" w:space="0" w:color="BEBEBE"/>
            </w:tcBorders>
          </w:tcPr>
          <w:p w:rsidR="00F548AB" w:rsidRPr="00CB38AA" w:rsidRDefault="00F548AB" w:rsidP="00DF6EEA">
            <w:pPr>
              <w:spacing w:after="0" w:line="240" w:lineRule="auto"/>
              <w:rPr>
                <w:rFonts w:ascii="Times New Roman" w:eastAsia="Times New Roman" w:hAnsi="Times New Roman" w:cs="Times New Roman"/>
                <w:sz w:val="24"/>
                <w:szCs w:val="24"/>
              </w:rPr>
            </w:pPr>
          </w:p>
        </w:tc>
      </w:tr>
      <w:tr w:rsidR="00F548AB" w:rsidRPr="00CB38AA" w:rsidTr="00AF7815">
        <w:trPr>
          <w:trHeight w:val="276"/>
        </w:trPr>
        <w:tc>
          <w:tcPr>
            <w:tcW w:w="4694" w:type="dxa"/>
            <w:vMerge/>
            <w:tcBorders>
              <w:left w:val="single" w:sz="5" w:space="0" w:color="BEBEBE"/>
              <w:bottom w:val="single" w:sz="5" w:space="0" w:color="BEBEBE"/>
              <w:right w:val="single" w:sz="5" w:space="0" w:color="BEBEBE"/>
            </w:tcBorders>
          </w:tcPr>
          <w:p w:rsidR="00F548AB" w:rsidRPr="00CB38AA" w:rsidRDefault="00F548AB" w:rsidP="00DF6EEA">
            <w:pPr>
              <w:spacing w:after="0" w:line="240" w:lineRule="auto"/>
              <w:rPr>
                <w:rFonts w:ascii="Times New Roman" w:eastAsia="Times New Roman" w:hAnsi="Times New Roman" w:cs="Times New Roman"/>
                <w:sz w:val="24"/>
                <w:szCs w:val="24"/>
              </w:rPr>
            </w:pPr>
          </w:p>
        </w:tc>
        <w:tc>
          <w:tcPr>
            <w:tcW w:w="4656" w:type="dxa"/>
            <w:vMerge/>
            <w:tcBorders>
              <w:left w:val="single" w:sz="5" w:space="0" w:color="BEBEBE"/>
              <w:bottom w:val="single" w:sz="5" w:space="0" w:color="BEBEBE"/>
              <w:right w:val="single" w:sz="5" w:space="0" w:color="BEBEBE"/>
            </w:tcBorders>
          </w:tcPr>
          <w:p w:rsidR="00F548AB" w:rsidRPr="00CB38AA" w:rsidRDefault="00F548AB" w:rsidP="00DF6EEA">
            <w:pPr>
              <w:spacing w:after="0" w:line="240" w:lineRule="auto"/>
              <w:rPr>
                <w:rFonts w:ascii="Times New Roman" w:eastAsia="Times New Roman" w:hAnsi="Times New Roman" w:cs="Times New Roman"/>
                <w:sz w:val="24"/>
                <w:szCs w:val="24"/>
              </w:rPr>
            </w:pPr>
          </w:p>
        </w:tc>
      </w:tr>
      <w:tr w:rsidR="00F548AB" w:rsidRPr="00CB38AA" w:rsidTr="00AF7815">
        <w:trPr>
          <w:trHeight w:val="20"/>
        </w:trPr>
        <w:tc>
          <w:tcPr>
            <w:tcW w:w="4694" w:type="dxa"/>
            <w:tcBorders>
              <w:top w:val="single" w:sz="5" w:space="0" w:color="BEBEBE"/>
              <w:left w:val="single" w:sz="5" w:space="0" w:color="BEBEBE"/>
              <w:bottom w:val="single" w:sz="5" w:space="0" w:color="BEBEBE"/>
              <w:right w:val="single" w:sz="5" w:space="0" w:color="BEBEBE"/>
            </w:tcBorders>
          </w:tcPr>
          <w:p w:rsidR="00F548AB" w:rsidRPr="00CB38AA" w:rsidRDefault="00F548AB"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Sin correlativo</w:t>
            </w:r>
          </w:p>
        </w:tc>
        <w:tc>
          <w:tcPr>
            <w:tcW w:w="4656" w:type="dxa"/>
            <w:tcBorders>
              <w:top w:val="single" w:sz="5" w:space="0" w:color="BEBEBE"/>
              <w:left w:val="single" w:sz="5" w:space="0" w:color="BEBEBE"/>
              <w:bottom w:val="single" w:sz="5" w:space="0" w:color="BEBEBE"/>
              <w:right w:val="single" w:sz="5" w:space="0" w:color="BEBEBE"/>
            </w:tcBorders>
          </w:tcPr>
          <w:p w:rsidR="00F548AB" w:rsidRPr="00CB38AA" w:rsidRDefault="00F548AB" w:rsidP="00DF6EEA">
            <w:pPr>
              <w:spacing w:after="0" w:line="240" w:lineRule="auto"/>
              <w:rPr>
                <w:rFonts w:ascii="Times New Roman" w:eastAsia="Arial" w:hAnsi="Times New Roman" w:cs="Times New Roman"/>
                <w:b/>
                <w:sz w:val="24"/>
                <w:szCs w:val="24"/>
              </w:rPr>
            </w:pPr>
            <w:r w:rsidRPr="00CB38AA">
              <w:rPr>
                <w:rFonts w:ascii="Times New Roman" w:eastAsia="Arial" w:hAnsi="Times New Roman" w:cs="Times New Roman"/>
                <w:b/>
                <w:sz w:val="24"/>
                <w:szCs w:val="24"/>
              </w:rPr>
              <w:t>Asimismo, dichas acciones deberán fomentar</w:t>
            </w: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una cultura de respeto a los derechos digitales, la prevención de conductas que vulneren la identidad, integridad o información personal de las personas, así como el uso consciente y responsable de las plataformas tecnológicas y digitales.</w:t>
            </w:r>
          </w:p>
          <w:p w:rsidR="00F548AB" w:rsidRPr="00CB38AA" w:rsidRDefault="00F548AB" w:rsidP="00DF6EEA">
            <w:pPr>
              <w:spacing w:after="0" w:line="240" w:lineRule="auto"/>
              <w:rPr>
                <w:rFonts w:ascii="Times New Roman" w:eastAsia="Arial" w:hAnsi="Times New Roman" w:cs="Times New Roman"/>
                <w:sz w:val="24"/>
                <w:szCs w:val="24"/>
              </w:rPr>
            </w:pPr>
          </w:p>
        </w:tc>
      </w:tr>
    </w:tbl>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Por lo anteriormente expuesto, fundamentado y motivado, sometemos a la consideración de este H. Poder Legislativo del Estado de México, para su análisis, discusión y, en su caso, aprobación, la siguiente: </w:t>
      </w:r>
      <w:r w:rsidRPr="00CB38AA">
        <w:rPr>
          <w:rFonts w:ascii="Times New Roman" w:eastAsia="Arial" w:hAnsi="Times New Roman" w:cs="Times New Roman"/>
          <w:b/>
          <w:sz w:val="24"/>
          <w:szCs w:val="24"/>
        </w:rPr>
        <w:t>INICIATIVA CON PROYECTO DE DECRETO POR EL QUE SE REFORMA EL ARTÍCULO 60 DE LA LEY DE EDUCACIÓN DEL ESTADO DE MÉXICO.</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A T E N T A M E N T E</w:t>
      </w:r>
    </w:p>
    <w:p w:rsidR="00F548AB" w:rsidRPr="00CB38AA" w:rsidRDefault="00F548AB" w:rsidP="00DF6EEA">
      <w:pPr>
        <w:spacing w:after="0" w:line="240" w:lineRule="auto"/>
        <w:jc w:val="center"/>
        <w:rPr>
          <w:rFonts w:ascii="Times New Roman" w:eastAsia="Arial" w:hAnsi="Times New Roman" w:cs="Times New Roman"/>
          <w:b/>
          <w:sz w:val="24"/>
          <w:szCs w:val="24"/>
        </w:rPr>
      </w:pPr>
      <w:r w:rsidRPr="00CB38AA">
        <w:rPr>
          <w:rFonts w:ascii="Times New Roman" w:eastAsia="Arial" w:hAnsi="Times New Roman" w:cs="Times New Roman"/>
          <w:b/>
          <w:sz w:val="24"/>
          <w:szCs w:val="24"/>
        </w:rPr>
        <w:t>DIP. JOSÉ ALBERTO COUTTOLENC BUENTELLO</w:t>
      </w:r>
    </w:p>
    <w:p w:rsidR="00F548AB" w:rsidRPr="00CB38AA" w:rsidRDefault="00F548AB"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sz w:val="24"/>
          <w:szCs w:val="24"/>
        </w:rPr>
        <w:t>COORDINADOR DEL GRUPO PARLAMENTARIO DEL</w:t>
      </w:r>
    </w:p>
    <w:p w:rsidR="00F548AB" w:rsidRPr="00CB38AA" w:rsidRDefault="00F548AB" w:rsidP="00DF6EEA">
      <w:pPr>
        <w:spacing w:after="0" w:line="240" w:lineRule="auto"/>
        <w:jc w:val="center"/>
        <w:rPr>
          <w:rFonts w:ascii="Times New Roman" w:eastAsia="Times New Roman" w:hAnsi="Times New Roman" w:cs="Times New Roman"/>
          <w:sz w:val="24"/>
          <w:szCs w:val="24"/>
        </w:rPr>
      </w:pPr>
      <w:r w:rsidRPr="00CB38AA">
        <w:rPr>
          <w:rFonts w:ascii="Times New Roman" w:eastAsia="Arial" w:hAnsi="Times New Roman" w:cs="Times New Roman"/>
          <w:sz w:val="24"/>
          <w:szCs w:val="24"/>
        </w:rPr>
        <w:t>PARTIDO VERDE ECOLOGISTA DE MÉXICO</w:t>
      </w:r>
    </w:p>
    <w:p w:rsidR="00F548AB" w:rsidRPr="00CB38AA" w:rsidRDefault="00F548AB" w:rsidP="00DF6EEA">
      <w:pPr>
        <w:spacing w:after="0" w:line="240" w:lineRule="auto"/>
        <w:jc w:val="both"/>
        <w:rPr>
          <w:rFonts w:ascii="Times New Roman" w:eastAsia="Arial" w:hAnsi="Times New Roman" w:cs="Times New Roman"/>
          <w:b/>
          <w:sz w:val="24"/>
          <w:szCs w:val="24"/>
        </w:rPr>
      </w:pPr>
    </w:p>
    <w:p w:rsidR="00F548AB" w:rsidRPr="00CB38AA" w:rsidRDefault="00F548AB" w:rsidP="00DF6EEA">
      <w:pPr>
        <w:spacing w:after="0" w:line="240" w:lineRule="auto"/>
        <w:jc w:val="both"/>
        <w:rPr>
          <w:rFonts w:ascii="Times New Roman" w:eastAsia="Arial" w:hAnsi="Times New Roman" w:cs="Times New Roman"/>
          <w:b/>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Times New Roman" w:hAnsi="Times New Roman" w:cs="Times New Roman"/>
          <w:noProof/>
          <w:sz w:val="24"/>
          <w:szCs w:val="24"/>
        </w:rPr>
        <mc:AlternateContent>
          <mc:Choice Requires="wpg">
            <w:drawing>
              <wp:anchor distT="0" distB="0" distL="114300" distR="114300" simplePos="0" relativeHeight="251668480" behindDoc="1" locked="0" layoutInCell="1" allowOverlap="1">
                <wp:simplePos x="0" y="0"/>
                <wp:positionH relativeFrom="page">
                  <wp:posOffset>2421255</wp:posOffset>
                </wp:positionH>
                <wp:positionV relativeFrom="paragraph">
                  <wp:posOffset>184785</wp:posOffset>
                </wp:positionV>
                <wp:extent cx="339090" cy="0"/>
                <wp:effectExtent l="11430" t="10795" r="11430" b="8255"/>
                <wp:wrapNone/>
                <wp:docPr id="34" name="Grupo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9090" cy="0"/>
                          <a:chOff x="3813" y="291"/>
                          <a:chExt cx="534" cy="0"/>
                        </a:xfrm>
                      </wpg:grpSpPr>
                      <wps:wsp>
                        <wps:cNvPr id="35" name="Freeform 35"/>
                        <wps:cNvSpPr>
                          <a:spLocks/>
                        </wps:cNvSpPr>
                        <wps:spPr bwMode="auto">
                          <a:xfrm>
                            <a:off x="3813" y="291"/>
                            <a:ext cx="534" cy="0"/>
                          </a:xfrm>
                          <a:custGeom>
                            <a:avLst/>
                            <a:gdLst>
                              <a:gd name="T0" fmla="+- 0 3813 3813"/>
                              <a:gd name="T1" fmla="*/ T0 w 534"/>
                              <a:gd name="T2" fmla="+- 0 4347 3813"/>
                              <a:gd name="T3" fmla="*/ T2 w 534"/>
                            </a:gdLst>
                            <a:ahLst/>
                            <a:cxnLst>
                              <a:cxn ang="0">
                                <a:pos x="T1" y="0"/>
                              </a:cxn>
                              <a:cxn ang="0">
                                <a:pos x="T3" y="0"/>
                              </a:cxn>
                            </a:cxnLst>
                            <a:rect l="0" t="0" r="r" b="b"/>
                            <a:pathLst>
                              <a:path w="534">
                                <a:moveTo>
                                  <a:pt x="0" y="0"/>
                                </a:moveTo>
                                <a:lnTo>
                                  <a:pt x="534" y="0"/>
                                </a:lnTo>
                              </a:path>
                            </a:pathLst>
                          </a:custGeom>
                          <a:noFill/>
                          <a:ln w="1354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12466E2" id="Grupo 34" o:spid="_x0000_s1026" style="position:absolute;margin-left:190.65pt;margin-top:14.55pt;width:26.7pt;height:0;z-index:-251648000;mso-position-horizontal-relative:page" coordorigin="3813,291" coordsize="5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">
                <v:shape id="Freeform 35" o:spid="_x0000_s1027" style="position:absolute;left:3813;top:291;width:534;height:0;visibility:visible;mso-wrap-style:square;v-text-anchor:top" coordsize="5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" path="m,l534,e" filled="f" strokeweight=".37617mm">
                  <v:path arrowok="t" o:connecttype="custom" o:connectlocs="0,0;534,0" o:connectangles="0,0"/>
                </v:shape>
                <w10:wrap anchorx="page"/>
              </v:group>
            </w:pict>
          </mc:Fallback>
        </mc:AlternateContent>
      </w:r>
      <w:r w:rsidRPr="00CB38AA">
        <w:rPr>
          <w:rFonts w:ascii="Times New Roman" w:eastAsia="Arial" w:hAnsi="Times New Roman" w:cs="Times New Roman"/>
          <w:b/>
          <w:sz w:val="24"/>
          <w:szCs w:val="24"/>
        </w:rPr>
        <w:t>DECRETO NÚMERO</w:t>
      </w:r>
    </w:p>
    <w:p w:rsidR="00F548AB" w:rsidRPr="00CB38AA" w:rsidRDefault="00F548AB" w:rsidP="00DF6EEA">
      <w:pPr>
        <w:spacing w:after="0" w:line="240" w:lineRule="auto"/>
        <w:rPr>
          <w:rFonts w:ascii="Times New Roman" w:eastAsia="Arial" w:hAnsi="Times New Roman" w:cs="Times New Roman"/>
          <w:b/>
          <w:sz w:val="24"/>
          <w:szCs w:val="24"/>
        </w:rPr>
      </w:pPr>
      <w:r w:rsidRPr="00CB38AA">
        <w:rPr>
          <w:rFonts w:ascii="Times New Roman" w:eastAsia="Arial" w:hAnsi="Times New Roman" w:cs="Times New Roman"/>
          <w:b/>
          <w:sz w:val="24"/>
          <w:szCs w:val="24"/>
        </w:rPr>
        <w:t>LA LXII LEGISLATURA DEL ESTADO DE MÉXICO</w:t>
      </w:r>
    </w:p>
    <w:p w:rsidR="00F548AB" w:rsidRPr="00CB38AA" w:rsidRDefault="00F548AB"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DECRETA:</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ÚNICO. </w:t>
      </w:r>
      <w:r w:rsidRPr="00CB38AA">
        <w:rPr>
          <w:rFonts w:ascii="Times New Roman" w:eastAsia="Arial" w:hAnsi="Times New Roman" w:cs="Times New Roman"/>
          <w:sz w:val="24"/>
          <w:szCs w:val="24"/>
        </w:rPr>
        <w:t>Se reforma el artículo 60 de la Ley de Educación del Estado de México, para quedar como sigue:</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LEY DE EDUCACIÓN DEL ESTADO DE MÉXICO</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60. </w:t>
      </w:r>
      <w:r w:rsidRPr="00CB38AA">
        <w:rPr>
          <w:rFonts w:ascii="Times New Roman" w:eastAsia="Arial" w:hAnsi="Times New Roman" w:cs="Times New Roman"/>
          <w:sz w:val="24"/>
          <w:szCs w:val="24"/>
        </w:rPr>
        <w:t xml:space="preserve">La autoridad educativa estatal promoverá acciones para combatir la brecha digital en el Estado de México, </w:t>
      </w:r>
      <w:r w:rsidRPr="00CB38AA">
        <w:rPr>
          <w:rFonts w:ascii="Times New Roman" w:eastAsia="Arial" w:hAnsi="Times New Roman" w:cs="Times New Roman"/>
          <w:b/>
          <w:sz w:val="24"/>
          <w:szCs w:val="24"/>
        </w:rPr>
        <w:t xml:space="preserve">mediante </w:t>
      </w:r>
      <w:r w:rsidRPr="00CB38AA">
        <w:rPr>
          <w:rFonts w:ascii="Times New Roman" w:eastAsia="Arial" w:hAnsi="Times New Roman" w:cs="Times New Roman"/>
          <w:sz w:val="24"/>
          <w:szCs w:val="24"/>
        </w:rPr>
        <w:t>el impulso permanente de estrategias de alfabetización digital para toda la población.</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La autoridad educativa estatal promoverá la formación y educación digital, utilizando para ello los espacios de las instituciones públicas disponibles en cada comunidad; así como los recursos tecnológicos con que cuentan las instituciones educativas, bajo el principio de que las escuelas son </w:t>
      </w:r>
      <w:r w:rsidRPr="00CB38AA">
        <w:rPr>
          <w:rFonts w:ascii="Times New Roman" w:eastAsia="Arial" w:hAnsi="Times New Roman" w:cs="Times New Roman"/>
          <w:sz w:val="24"/>
          <w:szCs w:val="24"/>
        </w:rPr>
        <w:lastRenderedPageBreak/>
        <w:t xml:space="preserve">del pueblo y pueden ser utilizadas por toda la población, </w:t>
      </w:r>
      <w:r w:rsidRPr="00CB38AA">
        <w:rPr>
          <w:rFonts w:ascii="Times New Roman" w:eastAsia="Arial" w:hAnsi="Times New Roman" w:cs="Times New Roman"/>
          <w:b/>
          <w:sz w:val="24"/>
          <w:szCs w:val="24"/>
        </w:rPr>
        <w:t xml:space="preserve">considerando </w:t>
      </w:r>
      <w:r w:rsidRPr="00CB38AA">
        <w:rPr>
          <w:rFonts w:ascii="Times New Roman" w:eastAsia="Arial" w:hAnsi="Times New Roman" w:cs="Times New Roman"/>
          <w:sz w:val="24"/>
          <w:szCs w:val="24"/>
        </w:rPr>
        <w:t>los tiempos de atención y aprendizaje pertinentes para cada sector de la población.</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La alfabetización y la educación digital comprenderán no solo el aprendizaje del uso técnico de las tecnologías de la información y la comunicación, sino también el desarrollo de habilidades, conocimientos y actitudes orientadas al uso seguro, responsable, ético y crítico de dichas tecnologías, incluyendo la prevención de riesgos digitales, el respeto a la privacidad y la protección de los datos personales.</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Para el cumplimiento de lo anterior, la autoridad educativa estatal deberá diseñar, implementar y garantizar de manera permanente cursos, programas y talleres en materia de seguridad digital, protección de datos personales y privacidad, los cuales deberán incorporarse de forma progresiva, obligatoria y transversal en los planes y programas de estudio de los distintos niveles educativos, atendiendo a la edad, contexto social y necesidades de la comunidad educativa.</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Asimismo, dichas acciones deberán fomentar una cultura de respeto a los derechos digitales, la prevención de conductas que vulneren la identidad, integridad o información personal de las personas, así como el uso consciente y responsable de las plataformas tecnológicas y digitales.</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TRANSITORIOS</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PRIMERO. </w:t>
      </w:r>
      <w:r w:rsidRPr="00CB38AA">
        <w:rPr>
          <w:rFonts w:ascii="Times New Roman" w:eastAsia="Arial" w:hAnsi="Times New Roman" w:cs="Times New Roman"/>
          <w:sz w:val="24"/>
          <w:szCs w:val="24"/>
        </w:rPr>
        <w:t>Publíquese el presente Decreto en el Periódico Oficial “Gaceta de Gobierno”.</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SEGUNDO. </w:t>
      </w:r>
      <w:r w:rsidRPr="00CB38AA">
        <w:rPr>
          <w:rFonts w:ascii="Times New Roman" w:eastAsia="Arial" w:hAnsi="Times New Roman" w:cs="Times New Roman"/>
          <w:sz w:val="24"/>
          <w:szCs w:val="24"/>
        </w:rPr>
        <w:t>El presente Decreto entrará en vigor al día siguiente de su publicación en el Periódico Oficial “Gaceta del Gobierno” del Estado de México.</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TERCERO. </w:t>
      </w:r>
      <w:r w:rsidRPr="00CB38AA">
        <w:rPr>
          <w:rFonts w:ascii="Times New Roman" w:eastAsia="Arial" w:hAnsi="Times New Roman" w:cs="Times New Roman"/>
          <w:sz w:val="24"/>
          <w:szCs w:val="24"/>
        </w:rPr>
        <w:t>La autoridad educativa estatal contará con un plazo máximo de ciento ochenta días naturales, contados a partir de la entrada en vigor del presente Decreto, para diseñar, emitir y adecuar los lineamientos, programas, cursos y talleres permanentes en materia de seguridad digital, protección de datos personales y privacidad a que se refiere el Artículo 60 de la Ley de Educación del Estado de México.</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CUARTO. </w:t>
      </w:r>
      <w:r w:rsidRPr="00CB38AA">
        <w:rPr>
          <w:rFonts w:ascii="Times New Roman" w:eastAsia="Arial" w:hAnsi="Times New Roman" w:cs="Times New Roman"/>
          <w:sz w:val="24"/>
          <w:szCs w:val="24"/>
        </w:rPr>
        <w:t>La incorporación de los cursos, programas y talleres previstos en el Artículo 60 se realizará de manera progresiva y transversal en los planes y programas de estudio de los distintos niveles, atendiendo educativos a la disponibilidad presupuestal, infraestructura tecnológica y capacidades institucionales, sin que ello implique la suspensión o afectación de los contenidos educativos vigentes.</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QUINTO. </w:t>
      </w:r>
      <w:r w:rsidRPr="00CB38AA">
        <w:rPr>
          <w:rFonts w:ascii="Times New Roman" w:eastAsia="Arial" w:hAnsi="Times New Roman" w:cs="Times New Roman"/>
          <w:sz w:val="24"/>
          <w:szCs w:val="24"/>
        </w:rPr>
        <w:t>La autoridad educativa estatal deberá promover la capacitación y actualización permanente del personal docente y administrativo en materia de educación</w:t>
      </w:r>
      <w:r w:rsidRPr="00CB38AA">
        <w:rPr>
          <w:rFonts w:ascii="Times New Roman" w:eastAsia="Times New Roman" w:hAnsi="Times New Roman" w:cs="Times New Roman"/>
          <w:sz w:val="24"/>
          <w:szCs w:val="24"/>
        </w:rPr>
        <w:t xml:space="preserve"> </w:t>
      </w:r>
      <w:r w:rsidRPr="00CB38AA">
        <w:rPr>
          <w:rFonts w:ascii="Times New Roman" w:eastAsia="Arial" w:hAnsi="Times New Roman" w:cs="Times New Roman"/>
          <w:sz w:val="24"/>
          <w:szCs w:val="24"/>
        </w:rPr>
        <w:t>digital, seguridad digital, protección de datos personales y privacidad, a fin de garantizar la correcta implementación de lo dispuesto en el presente Decreto.</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SEXTO. </w:t>
      </w:r>
      <w:r w:rsidRPr="00CB38AA">
        <w:rPr>
          <w:rFonts w:ascii="Times New Roman" w:eastAsia="Arial" w:hAnsi="Times New Roman" w:cs="Times New Roman"/>
          <w:sz w:val="24"/>
          <w:szCs w:val="24"/>
        </w:rPr>
        <w:t xml:space="preserve">La autoridad educativa estatal deberá promover la capacitación y actualización permanente del personal docente y administrativo en materia de educación digital, </w:t>
      </w:r>
      <w:r w:rsidRPr="00CB38AA">
        <w:rPr>
          <w:rFonts w:ascii="Times New Roman" w:eastAsia="Arial" w:hAnsi="Times New Roman" w:cs="Times New Roman"/>
          <w:sz w:val="24"/>
          <w:szCs w:val="24"/>
        </w:rPr>
        <w:lastRenderedPageBreak/>
        <w:t>seguridad digital, protección de datos personales y privacidad, a fin de garantizar la correcta implementación de lo dispuesto en el presente Decreto.</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 persona titular del Poder Ejecutivo lo tendrá por entendido, haciendo que se publique y se cumpla.</w:t>
      </w:r>
    </w:p>
    <w:p w:rsidR="00F548AB" w:rsidRPr="00CB38AA" w:rsidRDefault="00F548AB" w:rsidP="00DF6EEA">
      <w:pPr>
        <w:spacing w:after="0" w:line="240" w:lineRule="auto"/>
        <w:rPr>
          <w:rFonts w:ascii="Times New Roman" w:eastAsia="Times New Roman" w:hAnsi="Times New Roman" w:cs="Times New Roman"/>
          <w:sz w:val="24"/>
          <w:szCs w:val="24"/>
        </w:rPr>
      </w:pPr>
    </w:p>
    <w:p w:rsidR="00F548AB" w:rsidRPr="00CB38AA" w:rsidRDefault="00F548AB"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Dado en el Palacio del Poder Legislativo, en la Ciudad de Toluca, Capital del Estado de México, a los </w:t>
      </w:r>
      <w:r w:rsidRPr="00CB38AA">
        <w:rPr>
          <w:rFonts w:ascii="Times New Roman" w:eastAsia="Times New Roman" w:hAnsi="Times New Roman" w:cs="Times New Roman"/>
          <w:sz w:val="24"/>
          <w:szCs w:val="24"/>
          <w:u w:val="single" w:color="000000"/>
        </w:rPr>
        <w:t xml:space="preserve">    </w:t>
      </w:r>
      <w:r w:rsidRPr="00CB38AA">
        <w:rPr>
          <w:rFonts w:ascii="Times New Roman" w:eastAsia="Times New Roman" w:hAnsi="Times New Roman" w:cs="Times New Roman"/>
          <w:sz w:val="24"/>
          <w:szCs w:val="24"/>
        </w:rPr>
        <w:t xml:space="preserve"> </w:t>
      </w:r>
      <w:r w:rsidRPr="00CB38AA">
        <w:rPr>
          <w:rFonts w:ascii="Times New Roman" w:eastAsia="Arial" w:hAnsi="Times New Roman" w:cs="Times New Roman"/>
          <w:sz w:val="24"/>
          <w:szCs w:val="24"/>
        </w:rPr>
        <w:t xml:space="preserve">días del mes </w:t>
      </w:r>
      <w:r w:rsidRPr="00CB38AA">
        <w:rPr>
          <w:rFonts w:ascii="Times New Roman" w:eastAsia="Times New Roman" w:hAnsi="Times New Roman" w:cs="Times New Roman"/>
          <w:sz w:val="24"/>
          <w:szCs w:val="24"/>
          <w:u w:val="single" w:color="000000"/>
        </w:rPr>
        <w:t xml:space="preserve">    </w:t>
      </w:r>
      <w:r w:rsidRPr="00CB38AA">
        <w:rPr>
          <w:rFonts w:ascii="Times New Roman" w:eastAsia="Times New Roman" w:hAnsi="Times New Roman" w:cs="Times New Roman"/>
          <w:sz w:val="24"/>
          <w:szCs w:val="24"/>
        </w:rPr>
        <w:t xml:space="preserve"> </w:t>
      </w:r>
      <w:r w:rsidRPr="00CB38AA">
        <w:rPr>
          <w:rFonts w:ascii="Times New Roman" w:eastAsia="Arial" w:hAnsi="Times New Roman" w:cs="Times New Roman"/>
          <w:sz w:val="24"/>
          <w:szCs w:val="24"/>
        </w:rPr>
        <w:t>del año dos mil veintiséis.</w:t>
      </w:r>
    </w:p>
    <w:p w:rsidR="00A81E89" w:rsidRPr="00CB38AA" w:rsidRDefault="00A81E89" w:rsidP="00DF6EEA">
      <w:pPr>
        <w:spacing w:after="0" w:line="240" w:lineRule="auto"/>
        <w:jc w:val="center"/>
        <w:rPr>
          <w:rFonts w:ascii="Times New Roman" w:hAnsi="Times New Roman" w:cs="Times New Roman"/>
          <w:sz w:val="24"/>
          <w:szCs w:val="24"/>
        </w:rPr>
      </w:pPr>
    </w:p>
    <w:p w:rsidR="00A81E89" w:rsidRPr="00CB38AA" w:rsidRDefault="00A81E89" w:rsidP="00DF6EEA">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(Fin del documento)</w:t>
      </w:r>
    </w:p>
    <w:p w:rsidR="00A81E89" w:rsidRPr="00CB38AA" w:rsidRDefault="00A81E89" w:rsidP="00DF6EEA">
      <w:pPr>
        <w:spacing w:after="0" w:line="240" w:lineRule="auto"/>
        <w:jc w:val="center"/>
        <w:rPr>
          <w:rFonts w:ascii="Times New Roman" w:hAnsi="Times New Roman" w:cs="Times New Roman"/>
          <w:sz w:val="24"/>
          <w:szCs w:val="24"/>
        </w:rPr>
      </w:pP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PRESIDENTA DIP. MARTHA AZUCENA CAMACHO REYNOSO. Gracias diputada Alejandra Figueroa Adame.</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Se registra la iniciativa y se remite a las Comisiones Legislativas de Educación, Cultura, Ciencia, Tecnología e Innovación y de Transparencia, Acceso a la Información Pública y Protección de Datos Personales para su estudio y dictamen.</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En acatamiento al punto número 16 la diputada Sofía Martínez Molina, presenta en nombre del Grupo Parlamentario del Partido del Trabajo, iniciativa con proyecto de decreto por el que se adiciona un párrafo al artículo 5 de la Constitución Política del Estado Libre y Soberano de México, y se incorpora el artículo 289 Quater del Código Financiero del Estado de México y Municipios y el artículo 28 Bis de la Ley Orgánica Municipal del Estado de México en materia de presupuesto de participativo.</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DIP. SOFÍA MARTÍNEZ MOLINA. Con el permiso de la Presidenta de la Mesa Directiva, diputada Martha Azucena Reynoso Camacho, compañeras diputadas, compañeros diputados que integramos la “LXII” Legislatura del Estado de México, saludo respetuosamente a los medios de comunicación presentes; así como al público en general, que nos sigue de manera presencial y en plataformas digitales.</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la que suscribe, diputada Sofía Martínez Molina, integrante del Grupo Parlamentario del Partido del Trabajo.</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Hablar de Municipios, es hablar del primer rostro del Estado, frente al pueblo, en el municipio donde la gente toca la puerta, donde se vive la realidad cotidiana, donde se conocen de primera mano las carencias; pero también la fuerza organizativa de nuestras comunidades.</w:t>
      </w:r>
    </w:p>
    <w:p w:rsidR="00A35DFE" w:rsidRPr="00CB38AA" w:rsidRDefault="00A35DFE" w:rsidP="00DF6EEA">
      <w:pPr>
        <w:spacing w:after="0" w:line="240" w:lineRule="auto"/>
        <w:ind w:firstLine="708"/>
        <w:jc w:val="both"/>
        <w:rPr>
          <w:rFonts w:ascii="Times New Roman" w:hAnsi="Times New Roman" w:cs="Times New Roman"/>
          <w:sz w:val="24"/>
          <w:szCs w:val="24"/>
        </w:rPr>
      </w:pPr>
      <w:r w:rsidRPr="00CB38AA">
        <w:rPr>
          <w:rFonts w:ascii="Times New Roman" w:hAnsi="Times New Roman" w:cs="Times New Roman"/>
          <w:sz w:val="24"/>
          <w:szCs w:val="24"/>
        </w:rPr>
        <w:t>La Cuarta Transformación nos ha enseñado algo fundamental, el poder no se administra desde arriba, se construye desde abajo; gobernar no es imponer decisiones; sino escuchar y caminar junto al pueblo.</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Durante muchos años, las decisiones sobre el uso de los recursos públicos se tomaron desde los escritorios, lejos de la realidad de la gente, se decidió por el pueblo, sin el pueblo y hoy sabemos que eso no funciona, porque lo nuevo no siempre es lo bueno, lo bueno es que el pueblo decida, para que la acción gubernamental refleje verdaderamente los intereses colectivos es indispensable fortalecer la participación ciudadana de manera vinculante, no simulada, ni decorativa.</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No basta con escuchar opiniones si éstas no se traducen en decisiones reales; en el Estado de México se han impulsado mecanismos como el Cabildo Abierto, el Cabildo Juvenil; sin embargo, no se ha logrado incorporar de manera efectiva la voluntad popular en la planeación y en la ejecución de políticas municipales.</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Por ello, hoy proponemos dar un paso firme hacia la democratización real del poder local, reconociendo mecanismos que permitan a la ciudadanía decidir directamente sobre el destino de los recursos públicos.</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La Constitución Política de los Estados Unidos Mexicanos, en su artículo 115 faculta a los a los ayuntamientos para garantizar la participación ciudadana y el artículo 25 del Pacto </w:t>
      </w:r>
      <w:r w:rsidRPr="00CB38AA">
        <w:rPr>
          <w:rFonts w:ascii="Times New Roman" w:hAnsi="Times New Roman" w:cs="Times New Roman"/>
          <w:sz w:val="24"/>
          <w:szCs w:val="24"/>
        </w:rPr>
        <w:lastRenderedPageBreak/>
        <w:t>Internacional de Derechos Civiles y Políticos reconoce el derecho de la ciudadanía a participar en la conducción de los asuntos públicos.</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En virtud de lo anterior, la presente iniciativa propone incorporar el presupuesto participativo en la legislación del Estado de México como una herramienta que garantice que sea el pueblo quien defina prioridades del desarrollo municipal.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El presupuesto participativo, permite que las y los ciudadanos identifiquen las necesidades de su entorno, formulen proyectos y decidan mediante consulta pública cuáles deben financiarse con recursos públicos, como lo dice el ideal de nuestro movimiento, pongamos el gobierno al servicio de la gente.</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Sin embargo, al no contar con reconocimiento en la normatividad estatal, este mecanismo perdió continuidad. Hoy 11 entidades federativas y la Ciudad de México reconocen el presupuesto participativo en su legislación, siendo este último referente nacional; en el Estado de México resulta urgente avanzar en este sentido, especialmente cuando los indicadores de participación ciudadana muestran una tendencia preocupante.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Frente a esta realidad, el presupuesto participativo se presenta como una respuesta clara y transformadora, que acerca al gobierno, al pueblo y fortalece la confianza en las instituciones, atendiendo la exigencia legítima de las y los mexiquenses de participar de manera real y determinante en la vida pública.</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Se somete a consideración de esta Honorable Legislatura la presente iniciativa para su análisis, discusión y, en su caso, aprobación.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Unidad Nacional, todo el poder al pueblo.</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Es cuanto Presidenta.</w:t>
      </w:r>
    </w:p>
    <w:p w:rsidR="00B51B16" w:rsidRPr="00CB38AA" w:rsidRDefault="00B51B16" w:rsidP="00DF6EEA">
      <w:pPr>
        <w:pStyle w:val="Sinespaciado"/>
        <w:jc w:val="both"/>
        <w:rPr>
          <w:rFonts w:ascii="Times New Roman" w:hAnsi="Times New Roman" w:cs="Times New Roman"/>
          <w:sz w:val="24"/>
          <w:szCs w:val="24"/>
        </w:rPr>
      </w:pPr>
    </w:p>
    <w:p w:rsidR="00B51B16" w:rsidRPr="00CB38AA" w:rsidRDefault="00B51B16" w:rsidP="00DF6EEA">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(Se inserta documento)</w:t>
      </w:r>
    </w:p>
    <w:p w:rsidR="00B51B16" w:rsidRPr="00CB38AA" w:rsidRDefault="00B51B16" w:rsidP="00DF6EEA">
      <w:pPr>
        <w:spacing w:after="0" w:line="240" w:lineRule="auto"/>
        <w:jc w:val="center"/>
        <w:rPr>
          <w:rFonts w:ascii="Times New Roman" w:hAnsi="Times New Roman" w:cs="Times New Roman"/>
          <w:sz w:val="24"/>
          <w:szCs w:val="24"/>
        </w:rPr>
      </w:pPr>
    </w:p>
    <w:p w:rsidR="00AF7815" w:rsidRPr="00CB38AA" w:rsidRDefault="00AF7815" w:rsidP="00DF6EEA">
      <w:pPr>
        <w:spacing w:after="0" w:line="240" w:lineRule="auto"/>
        <w:jc w:val="both"/>
        <w:rPr>
          <w:rFonts w:ascii="Times New Roman" w:eastAsia="Times New Roman" w:hAnsi="Times New Roman" w:cs="Times New Roman"/>
          <w:b/>
          <w:sz w:val="24"/>
          <w:szCs w:val="24"/>
        </w:rPr>
      </w:pPr>
      <w:r w:rsidRPr="00CB38AA">
        <w:rPr>
          <w:rFonts w:ascii="Times New Roman" w:eastAsia="Times New Roman" w:hAnsi="Times New Roman" w:cs="Times New Roman"/>
          <w:b/>
          <w:sz w:val="24"/>
          <w:szCs w:val="24"/>
        </w:rPr>
        <w:t>CONGRESO</w:t>
      </w:r>
    </w:p>
    <w:p w:rsidR="00AF7815" w:rsidRPr="00CB38AA" w:rsidRDefault="00AF7815" w:rsidP="00DF6EEA">
      <w:pPr>
        <w:spacing w:after="0" w:line="240" w:lineRule="auto"/>
        <w:jc w:val="both"/>
        <w:rPr>
          <w:rFonts w:ascii="Times New Roman" w:eastAsia="Times New Roman" w:hAnsi="Times New Roman" w:cs="Times New Roman"/>
          <w:b/>
          <w:sz w:val="24"/>
          <w:szCs w:val="24"/>
        </w:rPr>
      </w:pPr>
      <w:r w:rsidRPr="00CB38AA">
        <w:rPr>
          <w:rFonts w:ascii="Times New Roman" w:eastAsia="Times New Roman" w:hAnsi="Times New Roman" w:cs="Times New Roman"/>
          <w:b/>
          <w:sz w:val="24"/>
          <w:szCs w:val="24"/>
        </w:rPr>
        <w:t>ESTADO DE MÉXICO</w:t>
      </w:r>
    </w:p>
    <w:p w:rsidR="00AF7815" w:rsidRPr="00CB38AA" w:rsidRDefault="00AF7815" w:rsidP="00DF6EEA">
      <w:pPr>
        <w:spacing w:after="0" w:line="240" w:lineRule="auto"/>
        <w:jc w:val="center"/>
        <w:rPr>
          <w:rFonts w:ascii="Times New Roman" w:eastAsia="Times New Roman" w:hAnsi="Times New Roman" w:cs="Times New Roman"/>
          <w:b/>
          <w:sz w:val="24"/>
          <w:szCs w:val="24"/>
        </w:rPr>
      </w:pPr>
    </w:p>
    <w:p w:rsidR="00AF7815" w:rsidRPr="00CB38AA" w:rsidRDefault="00AF7815" w:rsidP="00DF6EEA">
      <w:pPr>
        <w:spacing w:after="0" w:line="240" w:lineRule="auto"/>
        <w:ind w:left="4963"/>
        <w:jc w:val="both"/>
        <w:rPr>
          <w:rFonts w:ascii="Times New Roman" w:eastAsia="Times New Roman" w:hAnsi="Times New Roman" w:cs="Times New Roman"/>
          <w:b/>
          <w:sz w:val="24"/>
          <w:szCs w:val="24"/>
        </w:rPr>
      </w:pPr>
      <w:r w:rsidRPr="00CB38AA">
        <w:rPr>
          <w:rFonts w:ascii="Times New Roman" w:eastAsia="Times New Roman" w:hAnsi="Times New Roman" w:cs="Times New Roman"/>
          <w:b/>
          <w:sz w:val="24"/>
          <w:szCs w:val="24"/>
        </w:rPr>
        <w:t>DIP. SOFÍA MARTÍNEZ MOLINA</w:t>
      </w:r>
    </w:p>
    <w:p w:rsidR="00AF7815" w:rsidRPr="00CB38AA" w:rsidRDefault="00AF7815" w:rsidP="00DF6EEA">
      <w:pPr>
        <w:spacing w:after="0" w:line="240" w:lineRule="auto"/>
        <w:ind w:left="4963"/>
        <w:jc w:val="both"/>
        <w:rPr>
          <w:rFonts w:ascii="Times New Roman" w:eastAsia="Times New Roman" w:hAnsi="Times New Roman" w:cs="Times New Roman"/>
          <w:sz w:val="24"/>
          <w:szCs w:val="24"/>
        </w:rPr>
      </w:pPr>
      <w:r w:rsidRPr="00CB38AA">
        <w:rPr>
          <w:rFonts w:ascii="Times New Roman" w:eastAsia="Times New Roman" w:hAnsi="Times New Roman" w:cs="Times New Roman"/>
          <w:sz w:val="24"/>
          <w:szCs w:val="24"/>
        </w:rPr>
        <w:t>Distrito 45, Almoloya de Juárez</w:t>
      </w:r>
    </w:p>
    <w:p w:rsidR="00AF7815" w:rsidRPr="00CB38AA" w:rsidRDefault="00AF7815" w:rsidP="00DF6EEA">
      <w:pPr>
        <w:spacing w:after="0" w:line="240" w:lineRule="auto"/>
        <w:jc w:val="center"/>
        <w:rPr>
          <w:rFonts w:ascii="Times New Roman" w:eastAsia="Times New Roman" w:hAnsi="Times New Roman" w:cs="Times New Roman"/>
          <w:sz w:val="24"/>
          <w:szCs w:val="24"/>
        </w:rPr>
      </w:pPr>
    </w:p>
    <w:p w:rsidR="00AF7815" w:rsidRPr="00CB38AA" w:rsidRDefault="00AF7815" w:rsidP="00DF6EEA">
      <w:pPr>
        <w:spacing w:after="0" w:line="240" w:lineRule="auto"/>
        <w:jc w:val="center"/>
        <w:rPr>
          <w:rFonts w:ascii="Times New Roman" w:eastAsia="Times New Roman" w:hAnsi="Times New Roman" w:cs="Times New Roman"/>
          <w:sz w:val="24"/>
          <w:szCs w:val="24"/>
        </w:rPr>
      </w:pPr>
      <w:r w:rsidRPr="00CB38AA">
        <w:rPr>
          <w:rFonts w:ascii="Times New Roman" w:eastAsia="Times New Roman" w:hAnsi="Times New Roman" w:cs="Times New Roman"/>
          <w:sz w:val="24"/>
          <w:szCs w:val="24"/>
        </w:rPr>
        <w:t>“2026, Año del Humanismo Mexicano en el Estado de México”</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right"/>
        <w:rPr>
          <w:rFonts w:ascii="Times New Roman" w:eastAsia="Arial" w:hAnsi="Times New Roman" w:cs="Times New Roman"/>
          <w:sz w:val="24"/>
          <w:szCs w:val="24"/>
        </w:rPr>
      </w:pPr>
      <w:r w:rsidRPr="00CB38AA">
        <w:rPr>
          <w:rFonts w:ascii="Times New Roman" w:eastAsia="Arial" w:hAnsi="Times New Roman" w:cs="Times New Roman"/>
          <w:sz w:val="24"/>
          <w:szCs w:val="24"/>
        </w:rPr>
        <w:t>Toluca de Lerdo, México, a 05 de Febrero de 2026</w:t>
      </w:r>
    </w:p>
    <w:p w:rsidR="00AF7815" w:rsidRPr="00CB38AA" w:rsidRDefault="00AF7815" w:rsidP="00DF6EEA">
      <w:pPr>
        <w:spacing w:after="0" w:line="240" w:lineRule="auto"/>
        <w:jc w:val="right"/>
        <w:rPr>
          <w:rFonts w:ascii="Times New Roman" w:eastAsia="Arial" w:hAnsi="Times New Roman" w:cs="Times New Roman"/>
          <w:sz w:val="24"/>
          <w:szCs w:val="24"/>
        </w:rPr>
      </w:pPr>
      <w:r w:rsidRPr="00CB38AA">
        <w:rPr>
          <w:rFonts w:ascii="Times New Roman" w:eastAsia="Arial" w:hAnsi="Times New Roman" w:cs="Times New Roman"/>
          <w:sz w:val="24"/>
          <w:szCs w:val="24"/>
        </w:rPr>
        <w:t>No. de Oficio: LXII/DL45/003/26</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rPr>
          <w:rFonts w:ascii="Times New Roman" w:eastAsia="Arial" w:hAnsi="Times New Roman" w:cs="Times New Roman"/>
          <w:b/>
          <w:sz w:val="24"/>
          <w:szCs w:val="24"/>
        </w:rPr>
      </w:pPr>
      <w:r w:rsidRPr="00CB38AA">
        <w:rPr>
          <w:rFonts w:ascii="Times New Roman" w:eastAsia="Arial" w:hAnsi="Times New Roman" w:cs="Times New Roman"/>
          <w:b/>
          <w:sz w:val="24"/>
          <w:szCs w:val="24"/>
        </w:rPr>
        <w:t>DIPUTADA MARTHA AZUCENA CAMACHO REYNOSO</w:t>
      </w:r>
    </w:p>
    <w:p w:rsidR="00AF796D" w:rsidRPr="00CB38AA" w:rsidRDefault="00AF7815" w:rsidP="00DF6EEA">
      <w:pPr>
        <w:spacing w:after="0" w:line="240" w:lineRule="auto"/>
        <w:rPr>
          <w:rFonts w:ascii="Times New Roman" w:eastAsia="Arial" w:hAnsi="Times New Roman" w:cs="Times New Roman"/>
          <w:b/>
          <w:sz w:val="24"/>
          <w:szCs w:val="24"/>
        </w:rPr>
      </w:pPr>
      <w:r w:rsidRPr="00CB38AA">
        <w:rPr>
          <w:rFonts w:ascii="Times New Roman" w:eastAsia="Arial" w:hAnsi="Times New Roman" w:cs="Times New Roman"/>
          <w:b/>
          <w:sz w:val="24"/>
          <w:szCs w:val="24"/>
        </w:rPr>
        <w:t>PRESIDENTA DE LA MESA DIRECTIVA</w:t>
      </w:r>
    </w:p>
    <w:p w:rsidR="00AF7815" w:rsidRPr="00CB38AA" w:rsidRDefault="00AF7815" w:rsidP="00DF6EEA">
      <w:pPr>
        <w:spacing w:after="0" w:line="240" w:lineRule="auto"/>
        <w:rPr>
          <w:rFonts w:ascii="Times New Roman" w:eastAsia="Arial" w:hAnsi="Times New Roman" w:cs="Times New Roman"/>
          <w:b/>
          <w:sz w:val="24"/>
          <w:szCs w:val="24"/>
        </w:rPr>
      </w:pPr>
      <w:r w:rsidRPr="00CB38AA">
        <w:rPr>
          <w:rFonts w:ascii="Times New Roman" w:eastAsia="Arial" w:hAnsi="Times New Roman" w:cs="Times New Roman"/>
          <w:b/>
          <w:sz w:val="24"/>
          <w:szCs w:val="24"/>
        </w:rPr>
        <w:t>DE LA</w:t>
      </w:r>
      <w:r w:rsidR="00AF796D" w:rsidRPr="00CB38AA">
        <w:rPr>
          <w:rFonts w:ascii="Times New Roman" w:eastAsia="Arial" w:hAnsi="Times New Roman" w:cs="Times New Roman"/>
          <w:b/>
          <w:sz w:val="24"/>
          <w:szCs w:val="24"/>
        </w:rPr>
        <w:t xml:space="preserve"> </w:t>
      </w:r>
      <w:r w:rsidRPr="00CB38AA">
        <w:rPr>
          <w:rFonts w:ascii="Times New Roman" w:eastAsia="Arial" w:hAnsi="Times New Roman" w:cs="Times New Roman"/>
          <w:b/>
          <w:sz w:val="24"/>
          <w:szCs w:val="24"/>
        </w:rPr>
        <w:t>LXII LEGISLATURA DEL ESTADO DE MÉXICO</w:t>
      </w:r>
    </w:p>
    <w:p w:rsidR="00AF7815" w:rsidRPr="00CB38AA" w:rsidRDefault="00AF781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P R E S E N T E</w:t>
      </w:r>
    </w:p>
    <w:p w:rsidR="00AF7815" w:rsidRPr="00CB38AA" w:rsidRDefault="00AF7815" w:rsidP="00DF6EEA">
      <w:pPr>
        <w:spacing w:after="0" w:line="240" w:lineRule="auto"/>
        <w:jc w:val="both"/>
        <w:rPr>
          <w:rFonts w:ascii="Times New Roman" w:eastAsia="Arial"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La que suscribe, Diputada Sofía Martínez Molina, integrante del Grupo Parlamentario del Partido del Trabajo en la LXII Legislatura del Estado de México, con fundamento en lo dispuesto por los artículos 116 de la Constitución Política de los Estados Unidos Mexicanos; 51, fracción II; 57 y 61, fracción I de la Constitución Política del Estado Libre y Soberano del Estado de México; 28, fracción I; 30, 38, fracción II, 79 y 81 de la Ley Orgánica del Poder Legislativo del Estado Libre y Soberano del Estado de México, así como 68 y 70 del Reglamento del Poder Legislativo del Estado de México, someto a la consideración de esta Honorable Legislatura la siguiente </w:t>
      </w:r>
      <w:r w:rsidRPr="00CB38AA">
        <w:rPr>
          <w:rFonts w:ascii="Times New Roman" w:eastAsia="Arial" w:hAnsi="Times New Roman" w:cs="Times New Roman"/>
          <w:b/>
          <w:sz w:val="24"/>
          <w:szCs w:val="24"/>
        </w:rPr>
        <w:t xml:space="preserve">Iniciativa con Proyecto de Decreto por el que se adiciona un párrafo al artículo 5 de la Constitución Política </w:t>
      </w:r>
      <w:r w:rsidRPr="00CB38AA">
        <w:rPr>
          <w:rFonts w:ascii="Times New Roman" w:eastAsia="Arial" w:hAnsi="Times New Roman" w:cs="Times New Roman"/>
          <w:b/>
          <w:sz w:val="24"/>
          <w:szCs w:val="24"/>
        </w:rPr>
        <w:lastRenderedPageBreak/>
        <w:t>del Estado Libre y Soberano del Estado de México, y se incorporan el artículo 289 Quáter del Código Financiero del Estado de México y Municipios y el artículo 28 Bis de la Ley Orgánica Municipal del Estado de México, en materia de presupuesto participativo</w:t>
      </w:r>
      <w:r w:rsidRPr="00CB38AA">
        <w:rPr>
          <w:rFonts w:ascii="Times New Roman" w:eastAsia="Arial" w:hAnsi="Times New Roman" w:cs="Times New Roman"/>
          <w:sz w:val="24"/>
          <w:szCs w:val="24"/>
        </w:rPr>
        <w:t>; de conformidad con la siguiente:</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EXPOSICIÓN DE MOTIVOS</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Times New Roman" w:hAnsi="Times New Roman" w:cs="Times New Roman"/>
          <w:sz w:val="24"/>
          <w:szCs w:val="24"/>
        </w:rPr>
      </w:pPr>
      <w:r w:rsidRPr="00CB38AA">
        <w:rPr>
          <w:rFonts w:ascii="Times New Roman" w:eastAsia="Arial" w:hAnsi="Times New Roman" w:cs="Times New Roman"/>
          <w:sz w:val="24"/>
          <w:szCs w:val="24"/>
        </w:rPr>
        <w:t>El municipio se sitúa como el nivel de gobierno más cercano a la comunidad, constituyendo un punto estratégico en el que autoridades y ciudadanos pueden colaborar para identificar los desafíos que enfrenta cada localidad y desarrollar estrategias que respondan específicamente a sus necesidades.</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Para que la acción gubernamental refleje los intereses de la población, resulta fundamental fortalecer la participación ciudadana a través de mecanismos que permitan a cada integrante de la comunidad participar de manera vinculante en la gestión municipal.</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En los municipios del Estado de México, la participación ciudadana ha avanzado mediante instrumentos consultivos, como el Cabildo Abierto y el Cabildo Juvenil, los cuales, si bien facilitan la comunicación y la expresión de opiniones, no han logrado integrar adecuadamente la voluntad de la población en las estrategias del ayuntamiento.</w:t>
      </w:r>
      <w:r w:rsidRPr="00CB38AA">
        <w:rPr>
          <w:rFonts w:ascii="Times New Roman" w:eastAsia="Arial" w:hAnsi="Times New Roman" w:cs="Times New Roman"/>
          <w:sz w:val="24"/>
          <w:szCs w:val="24"/>
          <w:vertAlign w:val="superscript"/>
        </w:rPr>
        <w:t>1</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Lo anterior pone en evidencia la importancia de reconocer nuevas herramientas que permitan a la comunidad participar de forma decisiva en la administración municipal, asegurando que la opinión de cada persona se considere desde el diseño hasta la ejecución de las obras financiadas con recursos públicos.</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El derecho a formar parte en la gestión municipal encuentra sustento en el artículo 115, fracción II, de la Constitución Política de los Estados Unidos Mexicanos, que faculta a los ayuntamientos para expedir normas de carácter general y “asegurar la participación ciudadana y vecinal”; así como en el artículo 25 del Pacto Internacional de Derechos Civiles y Políticos, ratificado por México, que reconoce el derecho de la ciudadanía a “participar en la dirección de los asuntos públicos”.</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En virtud de lo anterior, la presente iniciativa propone incorporar el presupuesto participativo en la legislación del Estado de México, como un mecanismo que garantiza la participación directa de todos los sectores de la comunidad en la planeación municipal.</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Con este mecanismo, los ciudadanos identifican las necesidades de su entorno, formulan propuestas de proyectos y eligen mediante consulta ciudadana cuáles financiar con recursos públicos, de modo que la inversión municipal atienda los problemas reales de la comunidad.</w:t>
      </w:r>
    </w:p>
    <w:p w:rsidR="00AF7815" w:rsidRPr="00CB38AA" w:rsidRDefault="00AF7815" w:rsidP="00DF6EEA">
      <w:pPr>
        <w:spacing w:after="0" w:line="240" w:lineRule="auto"/>
        <w:jc w:val="both"/>
        <w:rPr>
          <w:rFonts w:ascii="Times New Roman" w:eastAsia="Arial" w:hAnsi="Times New Roman" w:cs="Times New Roman"/>
          <w:sz w:val="24"/>
          <w:szCs w:val="24"/>
        </w:rPr>
      </w:pPr>
    </w:p>
    <w:p w:rsidR="00AF7815" w:rsidRPr="00CB38AA" w:rsidRDefault="00AF7815" w:rsidP="00DF6EEA">
      <w:pPr>
        <w:spacing w:after="0" w:line="240" w:lineRule="auto"/>
        <w:jc w:val="both"/>
        <w:rPr>
          <w:rFonts w:ascii="Times New Roman" w:eastAsia="Times New Roman" w:hAnsi="Times New Roman" w:cs="Times New Roman"/>
          <w:sz w:val="24"/>
          <w:szCs w:val="24"/>
        </w:rPr>
      </w:pPr>
      <w:r w:rsidRPr="00CB38AA">
        <w:rPr>
          <w:rFonts w:ascii="Times New Roman" w:eastAsia="Arial" w:hAnsi="Times New Roman" w:cs="Times New Roman"/>
          <w:sz w:val="24"/>
          <w:szCs w:val="24"/>
          <w:vertAlign w:val="superscript"/>
        </w:rPr>
        <w:t>1</w:t>
      </w:r>
      <w:r w:rsidRPr="00CB38AA">
        <w:rPr>
          <w:rFonts w:ascii="Times New Roman" w:eastAsia="Arial" w:hAnsi="Times New Roman" w:cs="Times New Roman"/>
          <w:sz w:val="24"/>
          <w:szCs w:val="24"/>
        </w:rPr>
        <w:t xml:space="preserve"> El artículo 28 de la Ley Orgánica Municipal del Estado de México establece que el cabildo abierto y el cabildo juvenil son modalidades de sesión del Ayuntamiento en las que la participación ciudadana se ejerce “con derecho a voz, pero sin voto”.</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El presupuesto participativo surgió en el año de 1989 en Porto Alegre, Brasil, como respuesta a la distribución desigual de recursos públicos que limitaba el acceso a servicios básicos en diversas comunidades</w:t>
      </w:r>
      <w:r w:rsidRPr="00CB38AA">
        <w:rPr>
          <w:rFonts w:ascii="Times New Roman" w:eastAsia="Arial" w:hAnsi="Times New Roman" w:cs="Times New Roman"/>
          <w:sz w:val="24"/>
          <w:szCs w:val="24"/>
          <w:vertAlign w:val="superscript"/>
        </w:rPr>
        <w:t>2</w:t>
      </w:r>
      <w:r w:rsidRPr="00CB38AA">
        <w:rPr>
          <w:rFonts w:ascii="Times New Roman" w:eastAsia="Arial" w:hAnsi="Times New Roman" w:cs="Times New Roman"/>
          <w:sz w:val="24"/>
          <w:szCs w:val="24"/>
        </w:rPr>
        <w:t>.</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lastRenderedPageBreak/>
        <w:t>Para corregir dicha situación, el gobierno municipal estableció foros regionales donde el plan de inversiones era sometido a discusión y votación, con la participación de la población y de los órganos de la alcaldía, con el fin de definir las obras y servicios a implementar conforme a las necesidades de cada región.</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Los vecinos elegían consejeros y delegados que representaban sus intereses ante las autoridades municipales, estos representantes eran responsables de supervisar el cumplimiento de los acuerdos adoptados a lo largo del proceso participativo.</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Acto seguido, el gobierno municipal realizaba el análisis técnico y financiero de los proyectos definidos en los foros y, tras verificar su procedencia, se incorporaba dentro del presupuesto municipal para su ejecución.</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En Porto Alegre, este mecanismo permitió mejorar el acceso a servicios básicos en las zonas con mayor índice de marginalidad, así como el fortalecimiento de la organización comunitaria y la consolidación de prácticas más claras en la gestión de los recursos públicos.</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Los resultados favorables alcanzados tras su aplicación, contribuyeron a que el presupuesto participativo se aplicará en más municipios de Brasil y, eventualmente, fuera adoptado por otros gobiernos alrededor del mundo</w:t>
      </w:r>
      <w:r w:rsidRPr="00CB38AA">
        <w:rPr>
          <w:rFonts w:ascii="Times New Roman" w:eastAsia="Arial" w:hAnsi="Times New Roman" w:cs="Times New Roman"/>
          <w:sz w:val="24"/>
          <w:szCs w:val="24"/>
          <w:vertAlign w:val="superscript"/>
        </w:rPr>
        <w:t>3</w:t>
      </w:r>
      <w:r w:rsidRPr="00CB38AA">
        <w:rPr>
          <w:rFonts w:ascii="Times New Roman" w:eastAsia="Arial" w:hAnsi="Times New Roman" w:cs="Times New Roman"/>
          <w:sz w:val="24"/>
          <w:szCs w:val="24"/>
        </w:rPr>
        <w:t>, consolidándose como un instrumento eficaz para alinear la administración municipal con los asuntos que las personas consideran esenciales para el desarrollo del entorno local.</w:t>
      </w:r>
    </w:p>
    <w:p w:rsidR="00AF7815" w:rsidRPr="00CB38AA" w:rsidRDefault="00AF7815" w:rsidP="00DF6EEA">
      <w:pPr>
        <w:spacing w:after="0" w:line="240" w:lineRule="auto"/>
        <w:jc w:val="both"/>
        <w:rPr>
          <w:rFonts w:ascii="Times New Roman" w:eastAsia="Arial" w:hAnsi="Times New Roman" w:cs="Times New Roman"/>
          <w:sz w:val="24"/>
          <w:szCs w:val="24"/>
        </w:rPr>
      </w:pPr>
    </w:p>
    <w:p w:rsidR="00AF7815" w:rsidRPr="00CB38AA" w:rsidRDefault="00AF7815" w:rsidP="00DF6EEA">
      <w:pPr>
        <w:spacing w:after="0" w:line="240" w:lineRule="auto"/>
        <w:jc w:val="both"/>
        <w:rPr>
          <w:rFonts w:ascii="Times New Roman" w:eastAsia="Times New Roman" w:hAnsi="Times New Roman" w:cs="Times New Roman"/>
          <w:sz w:val="24"/>
          <w:szCs w:val="24"/>
        </w:rPr>
      </w:pPr>
      <w:r w:rsidRPr="00CB38AA">
        <w:rPr>
          <w:rFonts w:ascii="Times New Roman" w:eastAsia="Arial" w:hAnsi="Times New Roman" w:cs="Times New Roman"/>
          <w:sz w:val="24"/>
          <w:szCs w:val="24"/>
          <w:vertAlign w:val="superscript"/>
        </w:rPr>
        <w:t>2</w:t>
      </w:r>
      <w:r w:rsidRPr="00CB38AA">
        <w:rPr>
          <w:rFonts w:ascii="Times New Roman" w:eastAsia="Arial" w:hAnsi="Times New Roman" w:cs="Times New Roman"/>
          <w:sz w:val="24"/>
          <w:szCs w:val="24"/>
        </w:rPr>
        <w:t xml:space="preserve"> Vanina Signorelli, Gisela, “El rol de los territorios populares en el presupuesto participativo de las ciudades de Porto Alegre y Rosario”, </w:t>
      </w:r>
      <w:r w:rsidRPr="00CB38AA">
        <w:rPr>
          <w:rFonts w:ascii="Times New Roman" w:eastAsia="Arial" w:hAnsi="Times New Roman" w:cs="Times New Roman"/>
          <w:i/>
          <w:sz w:val="24"/>
          <w:szCs w:val="24"/>
        </w:rPr>
        <w:t>América Latina Hoy</w:t>
      </w:r>
      <w:r w:rsidRPr="00CB38AA">
        <w:rPr>
          <w:rFonts w:ascii="Times New Roman" w:eastAsia="Arial" w:hAnsi="Times New Roman" w:cs="Times New Roman"/>
          <w:sz w:val="24"/>
          <w:szCs w:val="24"/>
        </w:rPr>
        <w:t>, Brasil, vol. 72, abril de 2016, p. 122, en https://doi.org/10.14201/alh201672103128</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El alcance internacional del presupuesto participativo corresponde a una transformación en la relación entre el Estado y la sociedad, al pasar de un modelo en el que las decisiones son tomadas principalmente por las autoridades a uno que incorpora la participación de quienes viven cotidianamente la realidad de su comunidad.</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En el caso de México, varios municipios han implementado el presupuesto participativo en diferentes momentos, sin embargo no existe consenso sobre cuál fue el primero ni en qué año exacto surgió. Algunos registros indican experiencias similares desde 1970 en Tepic, Nayarit, las cuales incorporaron la opinión ciudadana en la gestión local, aunque bajo esquemas distintos a los que tiempos después definirían al presupuesto participativo.</w:t>
      </w:r>
      <w:r w:rsidRPr="00CB38AA">
        <w:rPr>
          <w:rFonts w:ascii="Times New Roman" w:eastAsia="Arial" w:hAnsi="Times New Roman" w:cs="Times New Roman"/>
          <w:sz w:val="24"/>
          <w:szCs w:val="24"/>
          <w:vertAlign w:val="superscript"/>
        </w:rPr>
        <w:t>4</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Fue a partir del año 2001, cuando este sistema adquiere mayor relevancia en el debate público nacional y comienza a implementarse en distintas alcaldías del centro del país</w:t>
      </w:r>
      <w:r w:rsidRPr="00CB38AA">
        <w:rPr>
          <w:rFonts w:ascii="Times New Roman" w:eastAsia="Arial" w:hAnsi="Times New Roman" w:cs="Times New Roman"/>
          <w:sz w:val="24"/>
          <w:szCs w:val="24"/>
          <w:vertAlign w:val="superscript"/>
        </w:rPr>
        <w:t>5</w:t>
      </w:r>
      <w:r w:rsidRPr="00CB38AA">
        <w:rPr>
          <w:rFonts w:ascii="Times New Roman" w:eastAsia="Arial" w:hAnsi="Times New Roman" w:cs="Times New Roman"/>
          <w:sz w:val="24"/>
          <w:szCs w:val="24"/>
        </w:rPr>
        <w:t>, lo cual obedeció en parte, a la presión de organizaciones civiles que demandaban mayor incidencia en las decisiones públicas.</w:t>
      </w:r>
    </w:p>
    <w:p w:rsidR="00AF7815" w:rsidRPr="00CB38AA" w:rsidRDefault="00AF7815" w:rsidP="00DF6EEA">
      <w:pPr>
        <w:spacing w:after="0" w:line="240" w:lineRule="auto"/>
        <w:jc w:val="both"/>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En el Estado de México, la primera experiencia de presupuesto participativo se desarrolló en Ecatepec de Morelos durante la administración municipal 2006-2009</w:t>
      </w:r>
      <w:r w:rsidRPr="00CB38AA">
        <w:rPr>
          <w:rFonts w:ascii="Times New Roman" w:eastAsia="Arial" w:hAnsi="Times New Roman" w:cs="Times New Roman"/>
          <w:sz w:val="24"/>
          <w:szCs w:val="24"/>
          <w:vertAlign w:val="superscript"/>
        </w:rPr>
        <w:t>6</w:t>
      </w:r>
      <w:r w:rsidRPr="00CB38AA">
        <w:rPr>
          <w:rFonts w:ascii="Times New Roman" w:eastAsia="Arial" w:hAnsi="Times New Roman" w:cs="Times New Roman"/>
          <w:sz w:val="24"/>
          <w:szCs w:val="24"/>
        </w:rPr>
        <w:t>, mediante un manual operativo que establece las etapas del proceso, desde la convocatoria pública hasta el seguimiento ciudadano de los proyectos</w:t>
      </w:r>
      <w:r w:rsidRPr="00CB38AA">
        <w:rPr>
          <w:rFonts w:ascii="Times New Roman" w:eastAsia="Arial" w:hAnsi="Times New Roman" w:cs="Times New Roman"/>
          <w:sz w:val="24"/>
          <w:szCs w:val="24"/>
          <w:vertAlign w:val="superscript"/>
        </w:rPr>
        <w:t>7</w:t>
      </w:r>
      <w:r w:rsidRPr="00CB38AA">
        <w:rPr>
          <w:rFonts w:ascii="Times New Roman" w:eastAsia="Arial" w:hAnsi="Times New Roman" w:cs="Times New Roman"/>
          <w:sz w:val="24"/>
          <w:szCs w:val="24"/>
        </w:rPr>
        <w:t>, lo que dio certeza sobre el respeto y la ejecución de los acuerdos alcanzados.</w:t>
      </w:r>
    </w:p>
    <w:p w:rsidR="00AF7815" w:rsidRPr="00CB38AA" w:rsidRDefault="00AF7815" w:rsidP="00DF6EEA">
      <w:pPr>
        <w:spacing w:after="0" w:line="240" w:lineRule="auto"/>
        <w:jc w:val="both"/>
        <w:rPr>
          <w:rFonts w:ascii="Times New Roman" w:eastAsia="Arial"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vertAlign w:val="superscript"/>
        </w:rPr>
        <w:lastRenderedPageBreak/>
        <w:t>3</w:t>
      </w:r>
      <w:r w:rsidRPr="00CB38AA">
        <w:rPr>
          <w:rFonts w:ascii="Times New Roman" w:eastAsia="Arial" w:hAnsi="Times New Roman" w:cs="Times New Roman"/>
          <w:sz w:val="24"/>
          <w:szCs w:val="24"/>
        </w:rPr>
        <w:t xml:space="preserve"> Gaspar Pérez, Natalia., </w:t>
      </w:r>
      <w:r w:rsidRPr="00CB38AA">
        <w:rPr>
          <w:rFonts w:ascii="Times New Roman" w:eastAsia="Arial" w:hAnsi="Times New Roman" w:cs="Times New Roman"/>
          <w:i/>
          <w:sz w:val="24"/>
          <w:szCs w:val="24"/>
        </w:rPr>
        <w:t xml:space="preserve">et al. </w:t>
      </w:r>
      <w:r w:rsidRPr="00CB38AA">
        <w:rPr>
          <w:rFonts w:ascii="Times New Roman" w:eastAsia="Arial" w:hAnsi="Times New Roman" w:cs="Times New Roman"/>
          <w:sz w:val="24"/>
          <w:szCs w:val="24"/>
        </w:rPr>
        <w:t xml:space="preserve">(2021) “El presupuesto participativo, la experiencia de Porto Alegre y la Ciudad de México” </w:t>
      </w:r>
      <w:r w:rsidRPr="00CB38AA">
        <w:rPr>
          <w:rFonts w:ascii="Times New Roman" w:eastAsia="Arial" w:hAnsi="Times New Roman" w:cs="Times New Roman"/>
          <w:i/>
          <w:sz w:val="24"/>
          <w:szCs w:val="24"/>
        </w:rPr>
        <w:t>Analéctica</w:t>
      </w:r>
      <w:r w:rsidRPr="00CB38AA">
        <w:rPr>
          <w:rFonts w:ascii="Times New Roman" w:eastAsia="Arial" w:hAnsi="Times New Roman" w:cs="Times New Roman"/>
          <w:sz w:val="24"/>
          <w:szCs w:val="24"/>
        </w:rPr>
        <w:t>, vol. 8, núm. 49, noviembre de 2021, p. 20, en https://doi.org/10.5281/zenodo.5821933</w:t>
      </w: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vertAlign w:val="superscript"/>
        </w:rPr>
        <w:t>4</w:t>
      </w:r>
      <w:r w:rsidRPr="00CB38AA">
        <w:rPr>
          <w:rFonts w:ascii="Times New Roman" w:eastAsia="Arial" w:hAnsi="Times New Roman" w:cs="Times New Roman"/>
          <w:sz w:val="24"/>
          <w:szCs w:val="24"/>
        </w:rPr>
        <w:t xml:space="preserve"> Garcés Rubalcava, Diego Alonso, </w:t>
      </w:r>
      <w:r w:rsidRPr="00CB38AA">
        <w:rPr>
          <w:rFonts w:ascii="Times New Roman" w:eastAsia="Arial" w:hAnsi="Times New Roman" w:cs="Times New Roman"/>
          <w:i/>
          <w:sz w:val="24"/>
          <w:szCs w:val="24"/>
        </w:rPr>
        <w:t>Diagnóstico del presupuesto participativo como herramienta de construcción colectiva municipal en el Estado de México 2016-2019: sugerencias para su implementación</w:t>
      </w:r>
      <w:r w:rsidRPr="00CB38AA">
        <w:rPr>
          <w:rFonts w:ascii="Times New Roman" w:eastAsia="Arial" w:hAnsi="Times New Roman" w:cs="Times New Roman"/>
          <w:sz w:val="24"/>
          <w:szCs w:val="24"/>
        </w:rPr>
        <w:t>, México, Instituto Hacendario del Estado de México, 2021, pp. 68-69, en https://ihaem.edomex.gob.mx/sites/ihaem.edomex.gob.mx/files/files/PUBLICACIONES/LIBROS/Diagnostico_arm ado%20ELECTRONICO.pdf</w:t>
      </w: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vertAlign w:val="superscript"/>
        </w:rPr>
        <w:t>5</w:t>
      </w:r>
      <w:r w:rsidRPr="00CB38AA">
        <w:rPr>
          <w:rFonts w:ascii="Times New Roman" w:eastAsia="Arial" w:hAnsi="Times New Roman" w:cs="Times New Roman"/>
          <w:sz w:val="24"/>
          <w:szCs w:val="24"/>
        </w:rPr>
        <w:t xml:space="preserve"> </w:t>
      </w:r>
      <w:r w:rsidRPr="00CB38AA">
        <w:rPr>
          <w:rFonts w:ascii="Times New Roman" w:eastAsia="Arial" w:hAnsi="Times New Roman" w:cs="Times New Roman"/>
          <w:i/>
          <w:sz w:val="24"/>
          <w:szCs w:val="24"/>
        </w:rPr>
        <w:t>Ídem</w:t>
      </w:r>
      <w:r w:rsidRPr="00CB38AA">
        <w:rPr>
          <w:rFonts w:ascii="Times New Roman" w:eastAsia="Arial" w:hAnsi="Times New Roman" w:cs="Times New Roman"/>
          <w:sz w:val="24"/>
          <w:szCs w:val="24"/>
        </w:rPr>
        <w:t>.</w:t>
      </w: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vertAlign w:val="superscript"/>
        </w:rPr>
        <w:t>6</w:t>
      </w:r>
      <w:r w:rsidRPr="00CB38AA">
        <w:rPr>
          <w:rFonts w:ascii="Times New Roman" w:eastAsia="Arial" w:hAnsi="Times New Roman" w:cs="Times New Roman"/>
          <w:sz w:val="24"/>
          <w:szCs w:val="24"/>
        </w:rPr>
        <w:t xml:space="preserve"> </w:t>
      </w:r>
      <w:r w:rsidRPr="00CB38AA">
        <w:rPr>
          <w:rFonts w:ascii="Times New Roman" w:eastAsia="Arial" w:hAnsi="Times New Roman" w:cs="Times New Roman"/>
          <w:i/>
          <w:sz w:val="24"/>
          <w:szCs w:val="24"/>
        </w:rPr>
        <w:t>Ibídem</w:t>
      </w:r>
      <w:r w:rsidRPr="00CB38AA">
        <w:rPr>
          <w:rFonts w:ascii="Times New Roman" w:eastAsia="Arial" w:hAnsi="Times New Roman" w:cs="Times New Roman"/>
          <w:sz w:val="24"/>
          <w:szCs w:val="24"/>
        </w:rPr>
        <w:t>, p. 76.</w:t>
      </w:r>
    </w:p>
    <w:p w:rsidR="00AF7815" w:rsidRPr="00CB38AA" w:rsidRDefault="00AF7815" w:rsidP="00DF6EEA">
      <w:pPr>
        <w:spacing w:after="0" w:line="240" w:lineRule="auto"/>
        <w:jc w:val="both"/>
        <w:rPr>
          <w:rFonts w:ascii="Times New Roman" w:eastAsia="Arial"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El ejercicio de Ecatepec involucró 632 asambleas</w:t>
      </w:r>
      <w:r w:rsidRPr="00CB38AA">
        <w:rPr>
          <w:rFonts w:ascii="Times New Roman" w:eastAsia="Arial" w:hAnsi="Times New Roman" w:cs="Times New Roman"/>
          <w:sz w:val="24"/>
          <w:szCs w:val="24"/>
          <w:vertAlign w:val="superscript"/>
        </w:rPr>
        <w:t>8</w:t>
      </w:r>
      <w:r w:rsidRPr="00CB38AA">
        <w:rPr>
          <w:rFonts w:ascii="Times New Roman" w:eastAsia="Arial" w:hAnsi="Times New Roman" w:cs="Times New Roman"/>
          <w:sz w:val="24"/>
          <w:szCs w:val="24"/>
        </w:rPr>
        <w:t>, con la participación de aproximadamente 13,950 habitantes</w:t>
      </w:r>
      <w:r w:rsidRPr="00CB38AA">
        <w:rPr>
          <w:rFonts w:ascii="Times New Roman" w:eastAsia="Arial" w:hAnsi="Times New Roman" w:cs="Times New Roman"/>
          <w:sz w:val="24"/>
          <w:szCs w:val="24"/>
          <w:vertAlign w:val="superscript"/>
        </w:rPr>
        <w:t>9</w:t>
      </w:r>
      <w:r w:rsidRPr="00CB38AA">
        <w:rPr>
          <w:rFonts w:ascii="Times New Roman" w:eastAsia="Arial" w:hAnsi="Times New Roman" w:cs="Times New Roman"/>
          <w:sz w:val="24"/>
          <w:szCs w:val="24"/>
        </w:rPr>
        <w:t>, que elaboraron diagnósticos de sus colonias y eligieron comisionados para que representaran los intereses comunitarios ante las autoridades.</w:t>
      </w:r>
    </w:p>
    <w:p w:rsidR="00AF7815" w:rsidRPr="00CB38AA" w:rsidRDefault="00AF7815" w:rsidP="00DF6EEA">
      <w:pPr>
        <w:spacing w:after="0" w:line="240" w:lineRule="auto"/>
        <w:jc w:val="both"/>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Las propuestas formuladas por la ciudadanía fueron revisadas por las dependencias municipales encargadas del proceso participativo, conforme a criterios normativos y presupuestales, de modo que únicamente aquellas compatibles con las capacidades del ayuntamiento fueron integradas al ejercicio fiscal correspondiente.</w:t>
      </w:r>
      <w:r w:rsidRPr="00CB38AA">
        <w:rPr>
          <w:rFonts w:ascii="Times New Roman" w:eastAsia="Arial" w:hAnsi="Times New Roman" w:cs="Times New Roman"/>
          <w:sz w:val="24"/>
          <w:szCs w:val="24"/>
          <w:vertAlign w:val="superscript"/>
        </w:rPr>
        <w:t>10</w:t>
      </w:r>
    </w:p>
    <w:p w:rsidR="00AF7815" w:rsidRPr="00CB38AA" w:rsidRDefault="00AF7815" w:rsidP="00DF6EEA">
      <w:pPr>
        <w:spacing w:after="0" w:line="240" w:lineRule="auto"/>
        <w:jc w:val="both"/>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Los recursos asignados para el 2008 sumaron 237 millones</w:t>
      </w:r>
      <w:r w:rsidRPr="00CB38AA">
        <w:rPr>
          <w:rFonts w:ascii="Times New Roman" w:eastAsia="Arial" w:hAnsi="Times New Roman" w:cs="Times New Roman"/>
          <w:sz w:val="24"/>
          <w:szCs w:val="24"/>
          <w:vertAlign w:val="superscript"/>
        </w:rPr>
        <w:t>11</w:t>
      </w:r>
      <w:r w:rsidRPr="00CB38AA">
        <w:rPr>
          <w:rFonts w:ascii="Times New Roman" w:eastAsia="Arial" w:hAnsi="Times New Roman" w:cs="Times New Roman"/>
          <w:sz w:val="24"/>
          <w:szCs w:val="24"/>
        </w:rPr>
        <w:t xml:space="preserve"> de pesos para ejecutar proyectos en 316 colonias</w:t>
      </w:r>
      <w:r w:rsidRPr="00CB38AA">
        <w:rPr>
          <w:rFonts w:ascii="Times New Roman" w:eastAsia="Arial" w:hAnsi="Times New Roman" w:cs="Times New Roman"/>
          <w:sz w:val="24"/>
          <w:szCs w:val="24"/>
          <w:vertAlign w:val="superscript"/>
        </w:rPr>
        <w:t>12</w:t>
      </w:r>
      <w:r w:rsidRPr="00CB38AA">
        <w:rPr>
          <w:rFonts w:ascii="Times New Roman" w:eastAsia="Arial" w:hAnsi="Times New Roman" w:cs="Times New Roman"/>
          <w:sz w:val="24"/>
          <w:szCs w:val="24"/>
        </w:rPr>
        <w:t>. La implementación contó con la supervisión activa de las comisiones vecinales que dieron seguimiento puntual al desarrollo de las obras y verificaron el uso adecuado de los recursos.</w:t>
      </w:r>
    </w:p>
    <w:p w:rsidR="00AF7815" w:rsidRPr="00CB38AA" w:rsidRDefault="00AF7815" w:rsidP="00DF6EEA">
      <w:pPr>
        <w:spacing w:after="0" w:line="240" w:lineRule="auto"/>
        <w:jc w:val="both"/>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Entre las obras ejecutadas destacan las acciones en materia de seguridad pública, parques y jardines, pavimentaciones y repavimentaciones, guarniciones y banquetas, así como regularización de las tierras, que otorgaron certeza patrimonial a miles de familias.</w:t>
      </w:r>
      <w:r w:rsidRPr="00CB38AA">
        <w:rPr>
          <w:rFonts w:ascii="Times New Roman" w:eastAsia="Arial" w:hAnsi="Times New Roman" w:cs="Times New Roman"/>
          <w:sz w:val="24"/>
          <w:szCs w:val="24"/>
          <w:vertAlign w:val="superscript"/>
        </w:rPr>
        <w:t>13</w:t>
      </w:r>
    </w:p>
    <w:p w:rsidR="00AF7815" w:rsidRPr="00CB38AA" w:rsidRDefault="00AF7815" w:rsidP="00DF6EEA">
      <w:pPr>
        <w:spacing w:after="0" w:line="240" w:lineRule="auto"/>
        <w:jc w:val="both"/>
        <w:rPr>
          <w:rFonts w:ascii="Times New Roman" w:eastAsia="Arial"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vertAlign w:val="superscript"/>
        </w:rPr>
        <w:t>7</w:t>
      </w:r>
      <w:r w:rsidRPr="00CB38AA">
        <w:rPr>
          <w:rFonts w:ascii="Times New Roman" w:eastAsia="Arial" w:hAnsi="Times New Roman" w:cs="Times New Roman"/>
          <w:sz w:val="24"/>
          <w:szCs w:val="24"/>
        </w:rPr>
        <w:t xml:space="preserve"> Ramírez García, Gabriel, “El presupuesto participativo, experiencia del municipio de Ecatepec de Morelos”, en Briseño Becerra, Carlos Alberto (coord.), Presupuesto participativo. Herramienta para la democracia, México, Congreso del Estado de Jalisco e Instituto Electoral y de Participación Ciudadana de Jalisco, 2011, p. 119, en</w:t>
      </w:r>
      <w:hyperlink r:id="rId31">
        <w:r w:rsidRPr="00CB38AA">
          <w:rPr>
            <w:rFonts w:ascii="Times New Roman" w:eastAsia="Arial" w:hAnsi="Times New Roman" w:cs="Times New Roman"/>
            <w:sz w:val="24"/>
            <w:szCs w:val="24"/>
          </w:rPr>
          <w:t xml:space="preserve"> https://www.iepcjalisco.org.mx/sites/default/files/unidad-editorial/publicaciones/presupuesto_participativo._herram</w:t>
        </w:r>
      </w:hyperlink>
      <w:r w:rsidRPr="00CB38AA">
        <w:rPr>
          <w:rFonts w:ascii="Times New Roman" w:eastAsia="Arial" w:hAnsi="Times New Roman" w:cs="Times New Roman"/>
          <w:sz w:val="24"/>
          <w:szCs w:val="24"/>
        </w:rPr>
        <w:t xml:space="preserve"> ienta_para_la_democracia.pdf</w:t>
      </w: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vertAlign w:val="superscript"/>
        </w:rPr>
        <w:t>8</w:t>
      </w:r>
      <w:r w:rsidRPr="00CB38AA">
        <w:rPr>
          <w:rFonts w:ascii="Times New Roman" w:eastAsia="Arial" w:hAnsi="Times New Roman" w:cs="Times New Roman"/>
          <w:sz w:val="24"/>
          <w:szCs w:val="24"/>
        </w:rPr>
        <w:t xml:space="preserve"> Ruiz Sánchez, Salvador, </w:t>
      </w:r>
      <w:r w:rsidRPr="00CB38AA">
        <w:rPr>
          <w:rFonts w:ascii="Times New Roman" w:eastAsia="Arial" w:hAnsi="Times New Roman" w:cs="Times New Roman"/>
          <w:i/>
          <w:sz w:val="24"/>
          <w:szCs w:val="24"/>
        </w:rPr>
        <w:t>Presupuesto y participación ciudadana en el municipio de Ecatepec de Morelos, Estado de México: evaluación de una experiencia y propuestas para mejorar su calidad (2007-2008)</w:t>
      </w:r>
      <w:r w:rsidRPr="00CB38AA">
        <w:rPr>
          <w:rFonts w:ascii="Times New Roman" w:eastAsia="Arial" w:hAnsi="Times New Roman" w:cs="Times New Roman"/>
          <w:sz w:val="24"/>
          <w:szCs w:val="24"/>
        </w:rPr>
        <w:t>, Tesis (maestro en gobierno y asuntos públicos), México, Universidad Nacional Autónoma de México, Programa de Posgrado en Ciencias Políticas y Sociales, 2010, p. 54, en https://tesiunamdocumentos.dgb.unam.mx/ptd2010/enero/0653070/Index.html</w:t>
      </w: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vertAlign w:val="superscript"/>
        </w:rPr>
        <w:t>9</w:t>
      </w:r>
      <w:r w:rsidRPr="00CB38AA">
        <w:rPr>
          <w:rFonts w:ascii="Times New Roman" w:eastAsia="Arial" w:hAnsi="Times New Roman" w:cs="Times New Roman"/>
          <w:sz w:val="24"/>
          <w:szCs w:val="24"/>
        </w:rPr>
        <w:t xml:space="preserve"> </w:t>
      </w:r>
      <w:r w:rsidRPr="00CB38AA">
        <w:rPr>
          <w:rFonts w:ascii="Times New Roman" w:eastAsia="Arial" w:hAnsi="Times New Roman" w:cs="Times New Roman"/>
          <w:i/>
          <w:sz w:val="24"/>
          <w:szCs w:val="24"/>
        </w:rPr>
        <w:t>Ibídem</w:t>
      </w:r>
      <w:r w:rsidRPr="00CB38AA">
        <w:rPr>
          <w:rFonts w:ascii="Times New Roman" w:eastAsia="Arial" w:hAnsi="Times New Roman" w:cs="Times New Roman"/>
          <w:sz w:val="24"/>
          <w:szCs w:val="24"/>
        </w:rPr>
        <w:t>, p. 57.</w:t>
      </w: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vertAlign w:val="superscript"/>
        </w:rPr>
        <w:t>10</w:t>
      </w:r>
      <w:r w:rsidRPr="00CB38AA">
        <w:rPr>
          <w:rFonts w:ascii="Times New Roman" w:eastAsia="Arial" w:hAnsi="Times New Roman" w:cs="Times New Roman"/>
          <w:sz w:val="24"/>
          <w:szCs w:val="24"/>
        </w:rPr>
        <w:t xml:space="preserve"> </w:t>
      </w:r>
      <w:r w:rsidRPr="00CB38AA">
        <w:rPr>
          <w:rFonts w:ascii="Times New Roman" w:eastAsia="Arial" w:hAnsi="Times New Roman" w:cs="Times New Roman"/>
          <w:i/>
          <w:sz w:val="24"/>
          <w:szCs w:val="24"/>
        </w:rPr>
        <w:t>Ibídem</w:t>
      </w:r>
      <w:r w:rsidRPr="00CB38AA">
        <w:rPr>
          <w:rFonts w:ascii="Times New Roman" w:eastAsia="Arial" w:hAnsi="Times New Roman" w:cs="Times New Roman"/>
          <w:sz w:val="24"/>
          <w:szCs w:val="24"/>
        </w:rPr>
        <w:t>, pp. 44-45.</w:t>
      </w: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vertAlign w:val="superscript"/>
        </w:rPr>
        <w:t>11</w:t>
      </w:r>
      <w:r w:rsidRPr="00CB38AA">
        <w:rPr>
          <w:rFonts w:ascii="Times New Roman" w:eastAsia="Arial" w:hAnsi="Times New Roman" w:cs="Times New Roman"/>
          <w:sz w:val="24"/>
          <w:szCs w:val="24"/>
        </w:rPr>
        <w:t xml:space="preserve"> </w:t>
      </w:r>
      <w:r w:rsidRPr="00CB38AA">
        <w:rPr>
          <w:rFonts w:ascii="Times New Roman" w:eastAsia="Arial" w:hAnsi="Times New Roman" w:cs="Times New Roman"/>
          <w:i/>
          <w:sz w:val="24"/>
          <w:szCs w:val="24"/>
        </w:rPr>
        <w:t>Ibídem</w:t>
      </w:r>
      <w:r w:rsidRPr="00CB38AA">
        <w:rPr>
          <w:rFonts w:ascii="Times New Roman" w:eastAsia="Arial" w:hAnsi="Times New Roman" w:cs="Times New Roman"/>
          <w:sz w:val="24"/>
          <w:szCs w:val="24"/>
        </w:rPr>
        <w:t>, p. 73.</w:t>
      </w:r>
    </w:p>
    <w:p w:rsidR="00AF7815" w:rsidRPr="00CB38AA" w:rsidRDefault="00AF7815" w:rsidP="00DF6EEA">
      <w:pPr>
        <w:spacing w:after="0" w:line="240" w:lineRule="auto"/>
        <w:jc w:val="both"/>
        <w:rPr>
          <w:rFonts w:ascii="Times New Roman" w:eastAsia="Times New Roman" w:hAnsi="Times New Roman" w:cs="Times New Roman"/>
          <w:sz w:val="24"/>
          <w:szCs w:val="24"/>
        </w:rPr>
      </w:pPr>
      <w:r w:rsidRPr="00CB38AA">
        <w:rPr>
          <w:rFonts w:ascii="Times New Roman" w:eastAsia="Arial" w:hAnsi="Times New Roman" w:cs="Times New Roman"/>
          <w:sz w:val="24"/>
          <w:szCs w:val="24"/>
          <w:vertAlign w:val="superscript"/>
        </w:rPr>
        <w:t>12</w:t>
      </w:r>
      <w:r w:rsidRPr="00CB38AA">
        <w:rPr>
          <w:rFonts w:ascii="Times New Roman" w:eastAsia="Arial" w:hAnsi="Times New Roman" w:cs="Times New Roman"/>
          <w:sz w:val="24"/>
          <w:szCs w:val="24"/>
        </w:rPr>
        <w:t xml:space="preserve"> </w:t>
      </w:r>
      <w:r w:rsidRPr="00CB38AA">
        <w:rPr>
          <w:rFonts w:ascii="Times New Roman" w:eastAsia="Arial" w:hAnsi="Times New Roman" w:cs="Times New Roman"/>
          <w:i/>
          <w:sz w:val="24"/>
          <w:szCs w:val="24"/>
        </w:rPr>
        <w:t>Ibídem</w:t>
      </w:r>
      <w:r w:rsidRPr="00CB38AA">
        <w:rPr>
          <w:rFonts w:ascii="Times New Roman" w:eastAsia="Arial" w:hAnsi="Times New Roman" w:cs="Times New Roman"/>
          <w:sz w:val="24"/>
          <w:szCs w:val="24"/>
        </w:rPr>
        <w:t>, p. 58.</w:t>
      </w:r>
    </w:p>
    <w:p w:rsidR="00AF7815" w:rsidRPr="00CB38AA" w:rsidRDefault="00AF7815" w:rsidP="00DF6EEA">
      <w:pPr>
        <w:spacing w:after="0" w:line="240" w:lineRule="auto"/>
        <w:jc w:val="both"/>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Posteriormente, el presupuesto participativo se aplicó en Naucalpan y Tlalnepantla durante 2014, y en Metepec durante el periodo 2016-2018.</w:t>
      </w:r>
      <w:r w:rsidRPr="00CB38AA">
        <w:rPr>
          <w:rFonts w:ascii="Times New Roman" w:eastAsia="Arial" w:hAnsi="Times New Roman" w:cs="Times New Roman"/>
          <w:sz w:val="24"/>
          <w:szCs w:val="24"/>
          <w:vertAlign w:val="superscript"/>
        </w:rPr>
        <w:t>14</w:t>
      </w:r>
    </w:p>
    <w:p w:rsidR="00AF7815" w:rsidRPr="00CB38AA" w:rsidRDefault="00AF7815" w:rsidP="00DF6EEA">
      <w:pPr>
        <w:spacing w:after="0" w:line="240" w:lineRule="auto"/>
        <w:jc w:val="both"/>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Sin embargo, al no contar con reconocimiento en la normativa estatal, la operatividad del presupuesto participativo ha quedado sujeta a la iniciativa de cada ayuntamiento, lo que impidió su continuidad una vez que concluyeron los periodos de gobierno que lo impulsaron.</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A pesar de que su aplicación no ha sido constante, las experiencias desarrolladas en la entidad sentaron un precedente al demostrar que los ayuntamientos mexiquenses poseen la capacidad técnica y administrativa para implementar el presupuesto participativo, así como también, la ciudadanía ha mostrado interés por participar activamente en su municipio.</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Actualmente, once entidades federativas y la Ciudad de México reconocen el presupuesto participativo en su legislación</w:t>
      </w:r>
      <w:r w:rsidRPr="00CB38AA">
        <w:rPr>
          <w:rFonts w:ascii="Times New Roman" w:eastAsia="Arial" w:hAnsi="Times New Roman" w:cs="Times New Roman"/>
          <w:sz w:val="24"/>
          <w:szCs w:val="24"/>
          <w:vertAlign w:val="superscript"/>
        </w:rPr>
        <w:t>15</w:t>
      </w:r>
      <w:r w:rsidRPr="00CB38AA">
        <w:rPr>
          <w:rFonts w:ascii="Times New Roman" w:eastAsia="Arial" w:hAnsi="Times New Roman" w:cs="Times New Roman"/>
          <w:sz w:val="24"/>
          <w:szCs w:val="24"/>
        </w:rPr>
        <w:t>, siendo la experiencia capitalina, el modelo más sobresaliente al operar de manera uniforme en todo su territorio desde el 2011.</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En la Ciudad de México, los habitantes deciden sobre el 4% del presupuesto anual de las demarcaciones territoriales, recursos que se administran de manera independiente de otros programas gubernamentales.</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La distribución de los recursos se realiza conforme a un esquema que toma en cuenta criterios objetivos de cada territorio para atender principalmente la desigualdad, considerando población, índice de marginación y la incidencia delictiva.</w:t>
      </w:r>
    </w:p>
    <w:p w:rsidR="00AF7815" w:rsidRPr="00CB38AA" w:rsidRDefault="00AF7815" w:rsidP="00DF6EEA">
      <w:pPr>
        <w:spacing w:after="0" w:line="240" w:lineRule="auto"/>
        <w:jc w:val="both"/>
        <w:rPr>
          <w:rFonts w:ascii="Times New Roman" w:eastAsia="Arial"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vertAlign w:val="superscript"/>
        </w:rPr>
        <w:t>13</w:t>
      </w:r>
      <w:r w:rsidRPr="00CB38AA">
        <w:rPr>
          <w:rFonts w:ascii="Times New Roman" w:eastAsia="Arial" w:hAnsi="Times New Roman" w:cs="Times New Roman"/>
          <w:sz w:val="24"/>
          <w:szCs w:val="24"/>
        </w:rPr>
        <w:t xml:space="preserve"> Ramírez García, Gabriel, </w:t>
      </w:r>
      <w:r w:rsidRPr="00CB38AA">
        <w:rPr>
          <w:rFonts w:ascii="Times New Roman" w:eastAsia="Arial" w:hAnsi="Times New Roman" w:cs="Times New Roman"/>
          <w:i/>
          <w:sz w:val="24"/>
          <w:szCs w:val="24"/>
        </w:rPr>
        <w:t xml:space="preserve">Op. cit., </w:t>
      </w:r>
      <w:r w:rsidRPr="00CB38AA">
        <w:rPr>
          <w:rFonts w:ascii="Times New Roman" w:eastAsia="Arial" w:hAnsi="Times New Roman" w:cs="Times New Roman"/>
          <w:sz w:val="24"/>
          <w:szCs w:val="24"/>
        </w:rPr>
        <w:t>nota 7, pp. 119-120.</w:t>
      </w: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vertAlign w:val="superscript"/>
        </w:rPr>
        <w:t>14</w:t>
      </w:r>
      <w:r w:rsidRPr="00CB38AA">
        <w:rPr>
          <w:rFonts w:ascii="Times New Roman" w:eastAsia="Arial" w:hAnsi="Times New Roman" w:cs="Times New Roman"/>
          <w:sz w:val="24"/>
          <w:szCs w:val="24"/>
        </w:rPr>
        <w:t xml:space="preserve"> Garcés Rubalcava, Diego Alonso, </w:t>
      </w:r>
      <w:r w:rsidRPr="00CB38AA">
        <w:rPr>
          <w:rFonts w:ascii="Times New Roman" w:eastAsia="Arial" w:hAnsi="Times New Roman" w:cs="Times New Roman"/>
          <w:i/>
          <w:sz w:val="24"/>
          <w:szCs w:val="24"/>
        </w:rPr>
        <w:t>Op. cit.</w:t>
      </w:r>
      <w:r w:rsidRPr="00CB38AA">
        <w:rPr>
          <w:rFonts w:ascii="Times New Roman" w:eastAsia="Arial" w:hAnsi="Times New Roman" w:cs="Times New Roman"/>
          <w:sz w:val="24"/>
          <w:szCs w:val="24"/>
        </w:rPr>
        <w:t>, nota 4, p. 123.</w:t>
      </w:r>
    </w:p>
    <w:p w:rsidR="00AF7815" w:rsidRPr="00CB38AA" w:rsidRDefault="00AF7815" w:rsidP="00DF6EEA">
      <w:pPr>
        <w:spacing w:after="0" w:line="240" w:lineRule="auto"/>
        <w:jc w:val="both"/>
        <w:rPr>
          <w:rFonts w:ascii="Times New Roman" w:eastAsia="Times New Roman" w:hAnsi="Times New Roman" w:cs="Times New Roman"/>
          <w:sz w:val="24"/>
          <w:szCs w:val="24"/>
        </w:rPr>
      </w:pPr>
      <w:r w:rsidRPr="00CB38AA">
        <w:rPr>
          <w:rFonts w:ascii="Times New Roman" w:eastAsia="Arial" w:hAnsi="Times New Roman" w:cs="Times New Roman"/>
          <w:sz w:val="24"/>
          <w:szCs w:val="24"/>
          <w:vertAlign w:val="superscript"/>
        </w:rPr>
        <w:t>15</w:t>
      </w:r>
      <w:r w:rsidRPr="00CB38AA">
        <w:rPr>
          <w:rFonts w:ascii="Times New Roman" w:eastAsia="Arial" w:hAnsi="Times New Roman" w:cs="Times New Roman"/>
          <w:sz w:val="24"/>
          <w:szCs w:val="24"/>
        </w:rPr>
        <w:t xml:space="preserve"> Morales Gómez, Danitza, “La legislación nacional sobre la participación ciudadana en México”, </w:t>
      </w:r>
      <w:r w:rsidRPr="00CB38AA">
        <w:rPr>
          <w:rFonts w:ascii="Times New Roman" w:eastAsia="Arial" w:hAnsi="Times New Roman" w:cs="Times New Roman"/>
          <w:i/>
          <w:sz w:val="24"/>
          <w:szCs w:val="24"/>
        </w:rPr>
        <w:t>DE JURE</w:t>
      </w:r>
      <w:r w:rsidRPr="00CB38AA">
        <w:rPr>
          <w:rFonts w:ascii="Times New Roman" w:eastAsia="Arial" w:hAnsi="Times New Roman" w:cs="Times New Roman"/>
          <w:sz w:val="24"/>
          <w:szCs w:val="24"/>
        </w:rPr>
        <w:t>, año 23, cuarta época, núm. 15, Colima, Instituto Universitario de Investigaciones Jurídicas de la Universidad de Colima, mayo de 2023, p. 39, en https://revistasacademicas.ucol.mx/index.php/dejure/article/view/1265</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Los recursos se asignan de manera que las zonas con mayores deficiencias reciban atención prioritaria, sin negar el derecho de todas las comunidades a participar.</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 organización general del presupuesto participativo corresponde al Instituto Electoral de la Ciudad de México, órgano autónomo responsable de convocar, coordinar y garantizar la legalidad e imparcialidad de las distintas fases del mecanismo.</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El Instituto Electoral promueve la celebración de Asambleas comunitarias en las que la población identifica las problemáticas y prioridades de su entorno, a partir de las cuales cualquier habitante podrá formular propuestas. Los acuerdos y el listado de dichas problemáticas quedarán asentados en un acta, la cual deberá ser remitida al Instituto Electoral.</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Las propuestas recibidas son evaluadas por un órgano dictaminador que comprueban su validez técnica y financiera, así como su beneficio comunitario, y las iniciativas que cumplen los criterios establecidos son turnadas al Instituto Electoral para someterse a consulta ciudadana, proceso que permite a la población determinar qué proyectos serán incorporados a la demarcación territorial correspondiente.</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Una vez realizada la consulta, el Instituto Electoral convoca a una asamblea de información y selección en cada unidad territorial para dar a conocer los proyectos seleccionados y formalizar la constitución del Comité de Ejecución y del Comité de Vigilancia de la respectiva unidad territorial, comisiones que incluyen representación vecinal y se encargan de coordinar la gestión técnico-administrativa de las obras junto con las autoridades municipales.</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lastRenderedPageBreak/>
        <w:t>La ejecución de los proyectos seleccionados se realiza por los Comités de Ejecución en coordinación con las instancias municipales competentes, mientras que el Comité de Vigilancia ejerce supervisión ciudadana continua sobre las obras y la correcta aplicación de los recursos.</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En cada unidad territorial, el Instituto Electoral convoca a asambleas de evaluación y rendición de cuentas, cuantas veces sea necesario, para informar sobre el avance de los proyectos y la ejecución del gasto, permitiendo que la comunidad consulte los informes periódicos, formule observaciones y valide el cumplimiento de los compromisos adoptados.</w:t>
      </w:r>
      <w:r w:rsidRPr="00CB38AA">
        <w:rPr>
          <w:rFonts w:ascii="Times New Roman" w:eastAsia="Arial" w:hAnsi="Times New Roman" w:cs="Times New Roman"/>
          <w:sz w:val="24"/>
          <w:szCs w:val="24"/>
          <w:vertAlign w:val="superscript"/>
        </w:rPr>
        <w:t>16</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Durante la Consulta de Presupuesto Participativo 2025, el Instituto Electoral de la Ciudad de México recibió 22,702 propuestas ciudadanas y se emitieron 295,549 votos, equivalentes al 4.04 % de la Lista Nominal de electores, registrándose además la inclusión efectiva de niñas, niños, adolescentes, comunidades indígenas y otros sectores tradicionalmente alejados de los mecanismos democráticos convencionales.</w:t>
      </w:r>
      <w:r w:rsidRPr="00CB38AA">
        <w:rPr>
          <w:rFonts w:ascii="Times New Roman" w:eastAsia="Arial" w:hAnsi="Times New Roman" w:cs="Times New Roman"/>
          <w:sz w:val="24"/>
          <w:szCs w:val="24"/>
          <w:vertAlign w:val="superscript"/>
        </w:rPr>
        <w:t>17</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El modelo implementado en la Ciudad de México se constituye como un referente para nuestra entidad al demostrar que es posible integrar la participación ciudadana de manera efectiva, permanente y vinculante, generando canales claros de comunicación entre la sociedad y las autoridades.</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En el Estado de México resulta particularmente urgente consolidar el presupuesto participativo, sobre todo si consideramos que los indicadores de participación ciudadana muestran una tendencia preocupante.</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Según los resultados de la Métrica de Gobierno Abierto, elaborada por El Colegio de México, el Índice de Participación del Estado de México mostró un valor de 0.41 en 2019, 0.35 en 2021 y 0.32 en 2023, reflejando un bajo nivel de participación ciudadana en la conducción de los asuntos públicos.</w:t>
      </w:r>
      <w:r w:rsidRPr="00CB38AA">
        <w:rPr>
          <w:rFonts w:ascii="Times New Roman" w:eastAsia="Arial" w:hAnsi="Times New Roman" w:cs="Times New Roman"/>
          <w:sz w:val="24"/>
          <w:szCs w:val="24"/>
          <w:vertAlign w:val="superscript"/>
        </w:rPr>
        <w:t>18</w:t>
      </w:r>
    </w:p>
    <w:p w:rsidR="00AF7815" w:rsidRPr="00CB38AA" w:rsidRDefault="00AF7815" w:rsidP="00DF6EEA">
      <w:pPr>
        <w:spacing w:after="0" w:line="240" w:lineRule="auto"/>
        <w:rPr>
          <w:rFonts w:ascii="Times New Roman" w:eastAsia="Arial"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vertAlign w:val="superscript"/>
        </w:rPr>
        <w:t>16</w:t>
      </w:r>
      <w:r w:rsidRPr="00CB38AA">
        <w:rPr>
          <w:rFonts w:ascii="Times New Roman" w:eastAsia="Arial" w:hAnsi="Times New Roman" w:cs="Times New Roman"/>
          <w:sz w:val="24"/>
          <w:szCs w:val="24"/>
        </w:rPr>
        <w:t xml:space="preserve"> Congreso de la Ciudad de México, Ley de Participación Ciudadana de la Ciudad de México, Ciudad de </w:t>
      </w:r>
      <w:hyperlink r:id="rId32">
        <w:r w:rsidRPr="00CB38AA">
          <w:rPr>
            <w:rFonts w:ascii="Times New Roman" w:eastAsia="Arial" w:hAnsi="Times New Roman" w:cs="Times New Roman"/>
            <w:sz w:val="24"/>
            <w:szCs w:val="24"/>
          </w:rPr>
          <w:t>México, en https://www.consejeria.cdmx.gob.mx/</w:t>
        </w:r>
      </w:hyperlink>
    </w:p>
    <w:p w:rsidR="00AF7815" w:rsidRPr="00CB38AA" w:rsidRDefault="00AF7815" w:rsidP="00DF6EEA">
      <w:pPr>
        <w:spacing w:after="0" w:line="240" w:lineRule="auto"/>
        <w:jc w:val="both"/>
        <w:rPr>
          <w:rFonts w:ascii="Times New Roman" w:eastAsia="Times New Roman" w:hAnsi="Times New Roman" w:cs="Times New Roman"/>
          <w:sz w:val="24"/>
          <w:szCs w:val="24"/>
        </w:rPr>
      </w:pPr>
      <w:r w:rsidRPr="00CB38AA">
        <w:rPr>
          <w:rFonts w:ascii="Times New Roman" w:eastAsia="Arial" w:hAnsi="Times New Roman" w:cs="Times New Roman"/>
          <w:sz w:val="24"/>
          <w:szCs w:val="24"/>
          <w:vertAlign w:val="superscript"/>
        </w:rPr>
        <w:t>17</w:t>
      </w:r>
      <w:r w:rsidRPr="00CB38AA">
        <w:rPr>
          <w:rFonts w:ascii="Times New Roman" w:eastAsia="Arial" w:hAnsi="Times New Roman" w:cs="Times New Roman"/>
          <w:sz w:val="24"/>
          <w:szCs w:val="24"/>
        </w:rPr>
        <w:t xml:space="preserve"> “Consulta de Presupuesto Participativo 2025 supera nivel de participación”, en </w:t>
      </w:r>
      <w:hyperlink r:id="rId33">
        <w:r w:rsidRPr="00CB38AA">
          <w:rPr>
            <w:rFonts w:ascii="Times New Roman" w:eastAsia="Arial" w:hAnsi="Times New Roman" w:cs="Times New Roman"/>
            <w:sz w:val="24"/>
            <w:szCs w:val="24"/>
          </w:rPr>
          <w:t>https://www.iecm.mx/consulta-de-presupuesto-participativo-2025-supera-nivel-de-participacion/</w:t>
        </w:r>
      </w:hyperlink>
      <w:r w:rsidRPr="00CB38AA">
        <w:rPr>
          <w:rFonts w:ascii="Times New Roman" w:eastAsia="Arial" w:hAnsi="Times New Roman" w:cs="Times New Roman"/>
          <w:sz w:val="24"/>
          <w:szCs w:val="24"/>
        </w:rPr>
        <w:t xml:space="preserve"> (consultado el 8 de diciembre de 2025).</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 falta de participación vinculante ha ocasionado que las decisiones sobre inversión pública se tomen únicamente conforme a criterios definidos por las autoridades, sin considerar la voluntad ciudadana.</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Como resultado, se han financiado obras y proyectos que no responden a las necesidades reales de la población, incrementando la brecha entre ciudadanos y gobernantes.</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Esto se confirma a partir de los resultados de la Encuesta Nacional de Calidad e Impacto Gubernamental (ENCIG) 2023, elaborada por el INEGI, en la cual la evaluación general de los servicios públicos básicos en el Estado de México alcanzó únicamente el 43.2%, mientras que el nivel de satisfacción con los servicios básicos provistos por los gobiernos municipales se ubicó en apenas 35%, lo que posiciona a la entidad en el lugar 29 a nivel nacional, de acuerdo con la opinión pública registrada.</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lastRenderedPageBreak/>
        <w:t>La baja valoración de los servicios municipales reflejada en estos datos guarda una relación directa con los niveles de confianza institucional, ya que los gobiernos municipales registran apenas 40.8% de aprobación en la entidad, lo que evidencia una percepción ciudadana desfavorable respecto de su capacidad para atender eficazmente las necesidades colectivas.</w:t>
      </w:r>
      <w:r w:rsidRPr="00CB38AA">
        <w:rPr>
          <w:rFonts w:ascii="Times New Roman" w:eastAsia="Arial" w:hAnsi="Times New Roman" w:cs="Times New Roman"/>
          <w:sz w:val="24"/>
          <w:szCs w:val="24"/>
          <w:vertAlign w:val="superscript"/>
        </w:rPr>
        <w:t>19</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Ante este escenario, resulta imperativo reconocer el presupuesto participativo como un derecho de las y los mexiquenses en la Constitución Local, en la Ley Orgánica Municipal y en el Código Financiero del Estado de México, en estricto apego a los principios fundamentales que rigen al municipio.</w:t>
      </w:r>
    </w:p>
    <w:p w:rsidR="00AF7815" w:rsidRPr="00CB38AA" w:rsidRDefault="00AF7815" w:rsidP="00DF6EEA">
      <w:pPr>
        <w:spacing w:after="0" w:line="240" w:lineRule="auto"/>
        <w:rPr>
          <w:rFonts w:ascii="Times New Roman" w:eastAsia="Arial"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vertAlign w:val="superscript"/>
        </w:rPr>
        <w:t>18</w:t>
      </w:r>
      <w:r w:rsidRPr="00CB38AA">
        <w:rPr>
          <w:rFonts w:ascii="Times New Roman" w:eastAsia="Arial" w:hAnsi="Times New Roman" w:cs="Times New Roman"/>
          <w:sz w:val="24"/>
          <w:szCs w:val="24"/>
        </w:rPr>
        <w:t xml:space="preserve"> El Colegio de México, “Métrica de Gobierno Abierto 2023”, en https://colmex.shinyapps.io/metrica_gobierno_abierto_2023/ (consultado el 14 de enero de 2026).</w:t>
      </w:r>
    </w:p>
    <w:p w:rsidR="00AF7815" w:rsidRPr="00CB38AA" w:rsidRDefault="00AF7815" w:rsidP="00DF6EEA">
      <w:pPr>
        <w:spacing w:after="0" w:line="240" w:lineRule="auto"/>
        <w:jc w:val="both"/>
        <w:rPr>
          <w:rFonts w:ascii="Times New Roman" w:eastAsia="Times New Roman" w:hAnsi="Times New Roman" w:cs="Times New Roman"/>
          <w:sz w:val="24"/>
          <w:szCs w:val="24"/>
        </w:rPr>
      </w:pPr>
      <w:r w:rsidRPr="00CB38AA">
        <w:rPr>
          <w:rFonts w:ascii="Times New Roman" w:eastAsia="Arial" w:hAnsi="Times New Roman" w:cs="Times New Roman"/>
          <w:sz w:val="24"/>
          <w:szCs w:val="24"/>
          <w:vertAlign w:val="superscript"/>
        </w:rPr>
        <w:t>19</w:t>
      </w:r>
      <w:r w:rsidRPr="00CB38AA">
        <w:rPr>
          <w:rFonts w:ascii="Times New Roman" w:eastAsia="Arial" w:hAnsi="Times New Roman" w:cs="Times New Roman"/>
          <w:sz w:val="24"/>
          <w:szCs w:val="24"/>
        </w:rPr>
        <w:t xml:space="preserve"> Instituto Nacional de Estadística y Geografía (INEGI), “Encuesta Nacional de Calidad e Impacto Gubernamental (ENCIG) 2023” en </w:t>
      </w:r>
      <w:hyperlink r:id="rId34">
        <w:r w:rsidRPr="00CB38AA">
          <w:rPr>
            <w:rFonts w:ascii="Times New Roman" w:eastAsia="Arial" w:hAnsi="Times New Roman" w:cs="Times New Roman"/>
            <w:sz w:val="24"/>
            <w:szCs w:val="24"/>
          </w:rPr>
          <w:t>https://www.inegi.org.mx/programas/encig/2023/</w:t>
        </w:r>
      </w:hyperlink>
      <w:r w:rsidRPr="00CB38AA">
        <w:rPr>
          <w:rFonts w:ascii="Times New Roman" w:eastAsia="Arial" w:hAnsi="Times New Roman" w:cs="Times New Roman"/>
          <w:sz w:val="24"/>
          <w:szCs w:val="24"/>
        </w:rPr>
        <w:t xml:space="preserve"> (consultado el 19 de enero de 2026).</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sz w:val="24"/>
          <w:szCs w:val="24"/>
        </w:rPr>
        <w:t>Con el propósito de facilitar la comprensión del contenido y alcance de las modificaciones propuestas, se presenta la siguiente tabla:</w:t>
      </w:r>
    </w:p>
    <w:p w:rsidR="00AF7815" w:rsidRPr="00CB38AA" w:rsidRDefault="00AF7815" w:rsidP="00DF6EEA">
      <w:pPr>
        <w:spacing w:after="0" w:line="240" w:lineRule="auto"/>
        <w:rPr>
          <w:rFonts w:ascii="Times New Roman" w:eastAsia="Times New Roman" w:hAnsi="Times New Roman" w:cs="Times New Roman"/>
          <w:sz w:val="24"/>
          <w:szCs w:val="24"/>
        </w:rPr>
      </w:pPr>
    </w:p>
    <w:tbl>
      <w:tblPr>
        <w:tblW w:w="0" w:type="auto"/>
        <w:jc w:val="center"/>
        <w:tblLayout w:type="fixed"/>
        <w:tblCellMar>
          <w:left w:w="0" w:type="dxa"/>
          <w:right w:w="0" w:type="dxa"/>
        </w:tblCellMar>
        <w:tblLook w:val="01E0" w:firstRow="1" w:lastRow="1" w:firstColumn="1" w:lastColumn="1" w:noHBand="0" w:noVBand="0"/>
      </w:tblPr>
      <w:tblGrid>
        <w:gridCol w:w="1618"/>
        <w:gridCol w:w="2775"/>
        <w:gridCol w:w="4675"/>
      </w:tblGrid>
      <w:tr w:rsidR="00AF7815" w:rsidRPr="00CB38AA" w:rsidTr="00AF7815">
        <w:trPr>
          <w:trHeight w:val="15"/>
          <w:jc w:val="center"/>
        </w:trPr>
        <w:tc>
          <w:tcPr>
            <w:tcW w:w="1618" w:type="dxa"/>
            <w:tcBorders>
              <w:top w:val="single" w:sz="6" w:space="0" w:color="000000"/>
              <w:left w:val="single" w:sz="6" w:space="0" w:color="000000"/>
              <w:bottom w:val="single" w:sz="6" w:space="0" w:color="000000"/>
              <w:right w:val="single" w:sz="6" w:space="0" w:color="000000"/>
            </w:tcBorders>
            <w:shd w:val="clear" w:color="auto" w:fill="EFEFEF"/>
          </w:tcPr>
          <w:p w:rsidR="00AF7815" w:rsidRPr="00CB38AA" w:rsidRDefault="00AF7815" w:rsidP="00DF6EEA">
            <w:pPr>
              <w:spacing w:after="0" w:line="240" w:lineRule="auto"/>
              <w:jc w:val="center"/>
              <w:rPr>
                <w:rFonts w:ascii="Times New Roman" w:eastAsia="Times New Roman" w:hAnsi="Times New Roman" w:cs="Times New Roman"/>
                <w:sz w:val="24"/>
                <w:szCs w:val="24"/>
              </w:rPr>
            </w:pPr>
          </w:p>
          <w:p w:rsidR="00AF7815" w:rsidRPr="00CB38AA" w:rsidRDefault="00AF7815"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Ordenamiento</w:t>
            </w:r>
          </w:p>
        </w:tc>
        <w:tc>
          <w:tcPr>
            <w:tcW w:w="2775" w:type="dxa"/>
            <w:tcBorders>
              <w:top w:val="single" w:sz="6" w:space="0" w:color="000000"/>
              <w:left w:val="single" w:sz="6" w:space="0" w:color="000000"/>
              <w:bottom w:val="single" w:sz="6" w:space="0" w:color="000000"/>
              <w:right w:val="single" w:sz="6" w:space="0" w:color="000000"/>
            </w:tcBorders>
            <w:shd w:val="clear" w:color="auto" w:fill="EFEFEF"/>
          </w:tcPr>
          <w:p w:rsidR="00AF7815" w:rsidRPr="00CB38AA" w:rsidRDefault="00AF7815" w:rsidP="00DF6EEA">
            <w:pPr>
              <w:spacing w:after="0" w:line="240" w:lineRule="auto"/>
              <w:jc w:val="center"/>
              <w:rPr>
                <w:rFonts w:ascii="Times New Roman" w:eastAsia="Times New Roman" w:hAnsi="Times New Roman" w:cs="Times New Roman"/>
                <w:sz w:val="24"/>
                <w:szCs w:val="24"/>
              </w:rPr>
            </w:pPr>
          </w:p>
          <w:p w:rsidR="00AF7815" w:rsidRPr="00CB38AA" w:rsidRDefault="00AF7815"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Objeto de la reforma</w:t>
            </w:r>
          </w:p>
        </w:tc>
        <w:tc>
          <w:tcPr>
            <w:tcW w:w="4675" w:type="dxa"/>
            <w:tcBorders>
              <w:top w:val="single" w:sz="6" w:space="0" w:color="000000"/>
              <w:left w:val="single" w:sz="6" w:space="0" w:color="000000"/>
              <w:bottom w:val="single" w:sz="6" w:space="0" w:color="000000"/>
              <w:right w:val="single" w:sz="6" w:space="0" w:color="000000"/>
            </w:tcBorders>
            <w:shd w:val="clear" w:color="auto" w:fill="EFEFEF"/>
          </w:tcPr>
          <w:p w:rsidR="00AF7815" w:rsidRPr="00CB38AA" w:rsidRDefault="00AF7815" w:rsidP="00DF6EEA">
            <w:pPr>
              <w:spacing w:after="0" w:line="240" w:lineRule="auto"/>
              <w:jc w:val="center"/>
              <w:rPr>
                <w:rFonts w:ascii="Times New Roman" w:eastAsia="Times New Roman" w:hAnsi="Times New Roman" w:cs="Times New Roman"/>
                <w:sz w:val="24"/>
                <w:szCs w:val="24"/>
              </w:rPr>
            </w:pPr>
          </w:p>
          <w:p w:rsidR="00AF7815" w:rsidRPr="00CB38AA" w:rsidRDefault="00AF7815"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Contenido de la modificación (texto propuesto)</w:t>
            </w:r>
          </w:p>
        </w:tc>
      </w:tr>
      <w:tr w:rsidR="00AF7815" w:rsidRPr="00CB38AA" w:rsidTr="00AF7815">
        <w:trPr>
          <w:trHeight w:val="15"/>
          <w:jc w:val="center"/>
        </w:trPr>
        <w:tc>
          <w:tcPr>
            <w:tcW w:w="1618" w:type="dxa"/>
            <w:tcBorders>
              <w:top w:val="single" w:sz="6" w:space="0" w:color="000000"/>
              <w:left w:val="single" w:sz="6" w:space="0" w:color="000000"/>
              <w:right w:val="single" w:sz="6" w:space="0" w:color="000000"/>
            </w:tcBorders>
          </w:tcPr>
          <w:p w:rsidR="00AF7815" w:rsidRPr="00CB38AA" w:rsidRDefault="00AF7815" w:rsidP="00DF6EEA">
            <w:pPr>
              <w:spacing w:after="0" w:line="240" w:lineRule="auto"/>
              <w:jc w:val="both"/>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Constitución Política del Estado Libre y Soberano de México, </w:t>
            </w:r>
            <w:r w:rsidRPr="00CB38AA">
              <w:rPr>
                <w:rFonts w:ascii="Times New Roman" w:eastAsia="Arial" w:hAnsi="Times New Roman" w:cs="Times New Roman"/>
                <w:b/>
                <w:i/>
                <w:sz w:val="24"/>
                <w:szCs w:val="24"/>
              </w:rPr>
              <w:t>adición de un nuevo párrafo al artículo 5.</w:t>
            </w:r>
          </w:p>
        </w:tc>
        <w:tc>
          <w:tcPr>
            <w:tcW w:w="2775" w:type="dxa"/>
            <w:tcBorders>
              <w:top w:val="single" w:sz="6" w:space="0" w:color="000000"/>
              <w:left w:val="single" w:sz="6" w:space="0" w:color="000000"/>
              <w:right w:val="single" w:sz="6" w:space="0" w:color="000000"/>
            </w:tcBorders>
          </w:tcPr>
          <w:p w:rsidR="00AF7815" w:rsidRPr="00CB38AA" w:rsidRDefault="00AF7815" w:rsidP="00DF6EEA">
            <w:pPr>
              <w:spacing w:after="0" w:line="240" w:lineRule="auto"/>
              <w:jc w:val="both"/>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Sentar las bases para que la participación ciudadana en las decisiones municipales deje de ser solo consultiva y adquiera carácter vinculante, asegurando que las decisiones sobre el uso de recursos públicos en su comunidad integren la voluntad ciudadana de manera vinculante.</w:t>
            </w:r>
          </w:p>
        </w:tc>
        <w:tc>
          <w:tcPr>
            <w:tcW w:w="4675" w:type="dxa"/>
            <w:tcBorders>
              <w:top w:val="single" w:sz="6" w:space="0" w:color="000000"/>
              <w:left w:val="single" w:sz="6" w:space="0" w:color="000000"/>
              <w:right w:val="single" w:sz="6" w:space="0" w:color="000000"/>
            </w:tcBorders>
          </w:tcPr>
          <w:p w:rsidR="00AF7815" w:rsidRPr="00CB38AA" w:rsidRDefault="00AF7815" w:rsidP="00DF6EEA">
            <w:pPr>
              <w:spacing w:after="0" w:line="240" w:lineRule="auto"/>
              <w:jc w:val="both"/>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i/>
                <w:sz w:val="24"/>
                <w:szCs w:val="24"/>
              </w:rPr>
              <w:t>Artículo 5.- ... ... ...</w:t>
            </w:r>
          </w:p>
          <w:p w:rsidR="00AF7815" w:rsidRPr="00CB38AA" w:rsidRDefault="00AF7815" w:rsidP="00DF6EEA">
            <w:pPr>
              <w:spacing w:after="0" w:line="240" w:lineRule="auto"/>
              <w:jc w:val="both"/>
              <w:rPr>
                <w:rFonts w:ascii="Times New Roman" w:eastAsia="Arial" w:hAnsi="Times New Roman" w:cs="Times New Roman"/>
                <w:i/>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i/>
                <w:sz w:val="24"/>
                <w:szCs w:val="24"/>
              </w:rPr>
              <w:t>En el Estado de México se reconoce el presupuesto participativo como un derecho, mediante el cual todas las personas podrán participar de manera directa en la definición, ejecución y supervisión de una parte del presupuesto público municipal destinada a proyectos de interés colectivo.</w:t>
            </w:r>
          </w:p>
          <w:p w:rsidR="00AF7815" w:rsidRPr="00CB38AA" w:rsidRDefault="00AF7815" w:rsidP="00DF6EEA">
            <w:pPr>
              <w:spacing w:after="0" w:line="240" w:lineRule="auto"/>
              <w:jc w:val="both"/>
              <w:rPr>
                <w:rFonts w:ascii="Times New Roman" w:eastAsia="Arial" w:hAnsi="Times New Roman" w:cs="Times New Roman"/>
                <w:i/>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i/>
                <w:sz w:val="24"/>
                <w:szCs w:val="24"/>
              </w:rPr>
              <w:t>...</w:t>
            </w:r>
          </w:p>
        </w:tc>
      </w:tr>
      <w:tr w:rsidR="00AF7815" w:rsidRPr="00CB38AA" w:rsidTr="00AF7815">
        <w:trPr>
          <w:trHeight w:val="15"/>
          <w:jc w:val="center"/>
        </w:trPr>
        <w:tc>
          <w:tcPr>
            <w:tcW w:w="1618" w:type="dxa"/>
            <w:tcBorders>
              <w:top w:val="single" w:sz="6" w:space="0" w:color="000000"/>
              <w:left w:val="single" w:sz="6" w:space="0" w:color="000000"/>
              <w:right w:val="single" w:sz="6" w:space="0" w:color="000000"/>
            </w:tcBorders>
          </w:tcPr>
          <w:p w:rsidR="00AF7815" w:rsidRPr="00CB38AA" w:rsidRDefault="00AF7815" w:rsidP="00DF6EEA">
            <w:pPr>
              <w:spacing w:after="0" w:line="240" w:lineRule="auto"/>
              <w:jc w:val="both"/>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Código Financiero del Estado de México y Municipios, </w:t>
            </w:r>
            <w:r w:rsidRPr="00CB38AA">
              <w:rPr>
                <w:rFonts w:ascii="Times New Roman" w:eastAsia="Arial" w:hAnsi="Times New Roman" w:cs="Times New Roman"/>
                <w:b/>
                <w:i/>
                <w:sz w:val="24"/>
                <w:szCs w:val="24"/>
              </w:rPr>
              <w:t>adición del artículo 289 Quáter.</w:t>
            </w:r>
          </w:p>
        </w:tc>
        <w:tc>
          <w:tcPr>
            <w:tcW w:w="2775" w:type="dxa"/>
            <w:tcBorders>
              <w:top w:val="single" w:sz="6" w:space="0" w:color="000000"/>
              <w:left w:val="single" w:sz="6" w:space="0" w:color="000000"/>
              <w:right w:val="single" w:sz="6" w:space="0" w:color="000000"/>
            </w:tcBorders>
          </w:tcPr>
          <w:p w:rsidR="00AF7815" w:rsidRPr="00CB38AA" w:rsidRDefault="00AF7815" w:rsidP="00DF6EEA">
            <w:pPr>
              <w:spacing w:after="0" w:line="240" w:lineRule="auto"/>
              <w:jc w:val="both"/>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Evitar que la participación ciudadana quede sin efectos prácticos, asegurando que los proyectos definidos con la comunidad puedan reflejarse en el presupuesto municipal y llevarse a cabo, siempre que sean viables.</w:t>
            </w:r>
          </w:p>
        </w:tc>
        <w:tc>
          <w:tcPr>
            <w:tcW w:w="4675" w:type="dxa"/>
            <w:tcBorders>
              <w:top w:val="single" w:sz="6" w:space="0" w:color="000000"/>
              <w:left w:val="single" w:sz="6" w:space="0" w:color="000000"/>
              <w:right w:val="single" w:sz="6" w:space="0" w:color="000000"/>
            </w:tcBorders>
          </w:tcPr>
          <w:p w:rsidR="00AF7815" w:rsidRPr="00CB38AA" w:rsidRDefault="00AF7815" w:rsidP="00DF6EEA">
            <w:pPr>
              <w:spacing w:after="0" w:line="240" w:lineRule="auto"/>
              <w:jc w:val="both"/>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i/>
                <w:sz w:val="24"/>
                <w:szCs w:val="24"/>
              </w:rPr>
              <w:t>Artículo 289 Quáter.-</w:t>
            </w:r>
          </w:p>
          <w:p w:rsidR="00AF7815" w:rsidRPr="00CB38AA" w:rsidRDefault="00AF7815" w:rsidP="00DF6EEA">
            <w:pPr>
              <w:spacing w:after="0" w:line="240" w:lineRule="auto"/>
              <w:jc w:val="both"/>
              <w:rPr>
                <w:rFonts w:ascii="Times New Roman" w:eastAsia="Arial" w:hAnsi="Times New Roman" w:cs="Times New Roman"/>
                <w:i/>
                <w:sz w:val="24"/>
                <w:szCs w:val="24"/>
              </w:rPr>
            </w:pPr>
          </w:p>
          <w:p w:rsidR="00AF7815" w:rsidRPr="00CB38AA" w:rsidRDefault="00AF7815" w:rsidP="00DF6EEA">
            <w:pPr>
              <w:spacing w:after="0" w:line="240" w:lineRule="auto"/>
              <w:jc w:val="both"/>
              <w:rPr>
                <w:rFonts w:ascii="Times New Roman" w:eastAsia="Arial" w:hAnsi="Times New Roman" w:cs="Times New Roman"/>
                <w:i/>
                <w:sz w:val="24"/>
                <w:szCs w:val="24"/>
              </w:rPr>
            </w:pPr>
            <w:r w:rsidRPr="00CB38AA">
              <w:rPr>
                <w:rFonts w:ascii="Times New Roman" w:eastAsia="Arial" w:hAnsi="Times New Roman" w:cs="Times New Roman"/>
                <w:i/>
                <w:sz w:val="24"/>
                <w:szCs w:val="24"/>
              </w:rPr>
              <w:t>Los proyectos derivados del presupuesto participativo serán considerados para su incorporación al Presupuesto de Egresos del ejercicio fiscal correspondiente, una vez acreditada su viabilidad técnica, financiera y legal.</w:t>
            </w:r>
          </w:p>
          <w:p w:rsidR="00AF7815" w:rsidRPr="00CB38AA" w:rsidRDefault="00AF7815" w:rsidP="00DF6EEA">
            <w:pPr>
              <w:spacing w:after="0" w:line="240" w:lineRule="auto"/>
              <w:jc w:val="both"/>
              <w:rPr>
                <w:rFonts w:ascii="Times New Roman" w:eastAsia="Arial"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i/>
                <w:sz w:val="24"/>
                <w:szCs w:val="24"/>
              </w:rPr>
              <w:t>La ejecución de los proyectos estará a cargo de la autoridad municipal y contará con supervisión ciudadana.</w:t>
            </w:r>
          </w:p>
        </w:tc>
      </w:tr>
      <w:tr w:rsidR="00AF7815" w:rsidRPr="00CB38AA" w:rsidTr="00AF7815">
        <w:trPr>
          <w:trHeight w:val="15"/>
          <w:jc w:val="center"/>
        </w:trPr>
        <w:tc>
          <w:tcPr>
            <w:tcW w:w="1618" w:type="dxa"/>
            <w:tcBorders>
              <w:top w:val="single" w:sz="6" w:space="0" w:color="000000"/>
              <w:left w:val="single" w:sz="6" w:space="0" w:color="000000"/>
              <w:right w:val="single" w:sz="6" w:space="0" w:color="000000"/>
            </w:tcBorders>
          </w:tcPr>
          <w:p w:rsidR="00AF7815" w:rsidRPr="00CB38AA" w:rsidRDefault="00AF7815" w:rsidP="00DF6EEA">
            <w:pPr>
              <w:spacing w:after="0" w:line="240" w:lineRule="auto"/>
              <w:jc w:val="both"/>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lastRenderedPageBreak/>
              <w:t xml:space="preserve">Ley Orgánica Municipal del Estado de México, </w:t>
            </w:r>
            <w:r w:rsidRPr="00CB38AA">
              <w:rPr>
                <w:rFonts w:ascii="Times New Roman" w:eastAsia="Arial" w:hAnsi="Times New Roman" w:cs="Times New Roman"/>
                <w:b/>
                <w:i/>
                <w:sz w:val="24"/>
                <w:szCs w:val="24"/>
              </w:rPr>
              <w:t>adición del artículo 28 Bis.</w:t>
            </w:r>
          </w:p>
        </w:tc>
        <w:tc>
          <w:tcPr>
            <w:tcW w:w="2775" w:type="dxa"/>
            <w:tcBorders>
              <w:top w:val="single" w:sz="6" w:space="0" w:color="000000"/>
              <w:left w:val="single" w:sz="6" w:space="0" w:color="000000"/>
              <w:right w:val="single" w:sz="6" w:space="0" w:color="000000"/>
            </w:tcBorders>
          </w:tcPr>
          <w:p w:rsidR="00AF7815" w:rsidRPr="00CB38AA" w:rsidRDefault="00AF7815" w:rsidP="00DF6EEA">
            <w:pPr>
              <w:spacing w:after="0" w:line="240" w:lineRule="auto"/>
              <w:jc w:val="both"/>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lastRenderedPageBreak/>
              <w:t>Facultar a los ayuntamientos para incorporar el presupuesto participativo en la planeación y ejecución del gasto municipal, permitiendo la participación ciudadana en la definición, priorización y supervisión de proyectos de beneficio colectivo, mediante procedimientos sujetos a rendición de cuentas, con la posibilidad de celebrar convenios de colaboración institucional para garantizar la transparencia y legalidad del proceso.</w:t>
            </w:r>
          </w:p>
        </w:tc>
        <w:tc>
          <w:tcPr>
            <w:tcW w:w="4675" w:type="dxa"/>
            <w:tcBorders>
              <w:top w:val="single" w:sz="6" w:space="0" w:color="000000"/>
              <w:left w:val="single" w:sz="6" w:space="0" w:color="000000"/>
              <w:right w:val="single" w:sz="6" w:space="0" w:color="000000"/>
            </w:tcBorders>
          </w:tcPr>
          <w:p w:rsidR="00AF7815" w:rsidRPr="00CB38AA" w:rsidRDefault="00AF7815" w:rsidP="00DF6EEA">
            <w:pPr>
              <w:spacing w:after="0" w:line="240" w:lineRule="auto"/>
              <w:jc w:val="both"/>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b/>
                <w:i/>
                <w:sz w:val="24"/>
                <w:szCs w:val="24"/>
              </w:rPr>
            </w:pPr>
            <w:r w:rsidRPr="00CB38AA">
              <w:rPr>
                <w:rFonts w:ascii="Times New Roman" w:eastAsia="Arial" w:hAnsi="Times New Roman" w:cs="Times New Roman"/>
                <w:b/>
                <w:i/>
                <w:sz w:val="24"/>
                <w:szCs w:val="24"/>
              </w:rPr>
              <w:lastRenderedPageBreak/>
              <w:t>Artículo 28 Bis.-</w:t>
            </w:r>
          </w:p>
          <w:p w:rsidR="00AF7815" w:rsidRPr="00CB38AA" w:rsidRDefault="00AF7815" w:rsidP="00DF6EEA">
            <w:pPr>
              <w:spacing w:after="0" w:line="240" w:lineRule="auto"/>
              <w:jc w:val="both"/>
              <w:rPr>
                <w:rFonts w:ascii="Times New Roman" w:eastAsia="Arial"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i/>
                <w:sz w:val="24"/>
                <w:szCs w:val="24"/>
              </w:rPr>
              <w:t>Los ayuntamientos podrán incorporar el presupuesto participativo en la planeación y ejecución del gasto municipal, a fin de permitir la participación ciudadana en la definición, priorización y supervisión de proyectos de beneficio colectivo.</w:t>
            </w:r>
          </w:p>
          <w:p w:rsidR="00AF7815" w:rsidRPr="00CB38AA" w:rsidRDefault="00AF7815" w:rsidP="00DF6EEA">
            <w:pPr>
              <w:spacing w:after="0" w:line="240" w:lineRule="auto"/>
              <w:jc w:val="both"/>
              <w:rPr>
                <w:rFonts w:ascii="Times New Roman" w:eastAsia="Arial" w:hAnsi="Times New Roman" w:cs="Times New Roman"/>
                <w:i/>
                <w:sz w:val="24"/>
                <w:szCs w:val="24"/>
              </w:rPr>
            </w:pPr>
          </w:p>
          <w:p w:rsidR="00AF7815" w:rsidRPr="00CB38AA" w:rsidRDefault="00AF7815" w:rsidP="00DF6EEA">
            <w:pPr>
              <w:spacing w:after="0" w:line="240" w:lineRule="auto"/>
              <w:jc w:val="both"/>
              <w:rPr>
                <w:rFonts w:ascii="Times New Roman" w:eastAsia="Times New Roman" w:hAnsi="Times New Roman" w:cs="Times New Roman"/>
                <w:sz w:val="24"/>
                <w:szCs w:val="24"/>
              </w:rPr>
            </w:pPr>
            <w:r w:rsidRPr="00CB38AA">
              <w:rPr>
                <w:rFonts w:ascii="Times New Roman" w:eastAsia="Arial" w:hAnsi="Times New Roman" w:cs="Times New Roman"/>
                <w:i/>
                <w:sz w:val="24"/>
                <w:szCs w:val="24"/>
              </w:rPr>
              <w:t>Para tal efecto, podrán asignar recursos específicos y establecer procedimientos transparentes y sujetos a rendición de cuentas.</w:t>
            </w:r>
          </w:p>
          <w:p w:rsidR="00AF7815" w:rsidRPr="00CB38AA" w:rsidRDefault="00AF7815" w:rsidP="00DF6EEA">
            <w:pPr>
              <w:spacing w:after="0" w:line="240" w:lineRule="auto"/>
              <w:jc w:val="both"/>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i/>
                <w:sz w:val="24"/>
                <w:szCs w:val="24"/>
              </w:rPr>
              <w:t>Asimismo, podrán celebrar convenios de colaboración con el Instituto Electoral del Estado de México u otras instancias competentes para apoyar los procesos de consulta y seguimiento de los proyectos.</w:t>
            </w:r>
          </w:p>
        </w:tc>
      </w:tr>
    </w:tbl>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El presupuesto participativo tiene como finalidad acercar el gobierno a la ciudadanía, permitiendo que las decisiones públicas se construyan desde las comunidades.</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A través de este mecanismo, el ejercicio del gasto público se orienta a prioridades definidas por la propia población, fortaleciendo una gestión pública más cercana, transparente y enfocada al bienestar colectivo.</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Con ello, no sólo se mejora la calidad de vida de la población mexiquense, sino también la experiencia de quienes transitan, </w:t>
      </w:r>
      <w:proofErr w:type="gramStart"/>
      <w:r w:rsidRPr="00CB38AA">
        <w:rPr>
          <w:rFonts w:ascii="Times New Roman" w:eastAsia="Arial" w:hAnsi="Times New Roman" w:cs="Times New Roman"/>
          <w:sz w:val="24"/>
          <w:szCs w:val="24"/>
        </w:rPr>
        <w:t>trabajan</w:t>
      </w:r>
      <w:proofErr w:type="gramEnd"/>
      <w:r w:rsidRPr="00CB38AA">
        <w:rPr>
          <w:rFonts w:ascii="Times New Roman" w:eastAsia="Arial" w:hAnsi="Times New Roman" w:cs="Times New Roman"/>
          <w:sz w:val="24"/>
          <w:szCs w:val="24"/>
        </w:rPr>
        <w:t xml:space="preserve"> o visitan diariamente los municipios del Estado de México, consolidando entornos más ordenados, accesibles, seguros y funcionales para todas las personas.</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En atención a la exigencia de las y los mexiquenses por una participación verdaderamente determinante y efectiva, se somete a consideración de esta Honorable Legislatura la presente iniciativa para su análisis, discusión y, en su caso, aprobación en sus términos.</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ATENTAMENTE</w:t>
      </w:r>
    </w:p>
    <w:p w:rsidR="00AF7815" w:rsidRPr="00CB38AA" w:rsidRDefault="00AF7815"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DIPUTADA SOFÍA MARTÍNEZ MOLINA</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rPr>
          <w:rFonts w:ascii="Times New Roman" w:eastAsia="Times New Roman" w:hAnsi="Times New Roman" w:cs="Times New Roman"/>
          <w:sz w:val="24"/>
          <w:szCs w:val="24"/>
        </w:rPr>
      </w:pPr>
      <w:r w:rsidRPr="00CB38AA">
        <w:rPr>
          <w:rFonts w:ascii="Times New Roman" w:eastAsia="Arial" w:hAnsi="Times New Roman" w:cs="Times New Roman"/>
          <w:sz w:val="24"/>
          <w:szCs w:val="24"/>
        </w:rPr>
        <w:t>C.c.p. Dip. Óscar González Yáñez, Coordinador del Grupo Parlamentario del PT.</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DECRETO NÚMERO:</w:t>
      </w:r>
    </w:p>
    <w:p w:rsidR="00AF7815" w:rsidRPr="00CB38AA" w:rsidRDefault="00AF7815" w:rsidP="00DF6EEA">
      <w:pPr>
        <w:spacing w:after="0" w:line="240" w:lineRule="auto"/>
        <w:jc w:val="both"/>
        <w:rPr>
          <w:rFonts w:ascii="Times New Roman" w:eastAsia="Arial" w:hAnsi="Times New Roman" w:cs="Times New Roman"/>
          <w:b/>
          <w:sz w:val="24"/>
          <w:szCs w:val="24"/>
        </w:rPr>
      </w:pPr>
      <w:r w:rsidRPr="00CB38AA">
        <w:rPr>
          <w:rFonts w:ascii="Times New Roman" w:eastAsia="Arial" w:hAnsi="Times New Roman" w:cs="Times New Roman"/>
          <w:b/>
          <w:sz w:val="24"/>
          <w:szCs w:val="24"/>
        </w:rPr>
        <w:t>LA H. “LXII” LEGISLATURA DEL ESTADO DE MÉXICO</w:t>
      </w: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DECRETA:</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ÚNICO. </w:t>
      </w:r>
      <w:r w:rsidRPr="00CB38AA">
        <w:rPr>
          <w:rFonts w:ascii="Times New Roman" w:eastAsia="Arial" w:hAnsi="Times New Roman" w:cs="Times New Roman"/>
          <w:sz w:val="24"/>
          <w:szCs w:val="24"/>
        </w:rPr>
        <w:t xml:space="preserve">– Se adiciona un párrafo al Artículo 5 de la Constitución Política del Estado Libre y Soberano de México, para incorporarse después del párrafo que reconoce el derecho a un buen gobierno y antes del relativo al establecimiento de políticas públicas inclusivas de desarrollo </w:t>
      </w:r>
      <w:r w:rsidRPr="00CB38AA">
        <w:rPr>
          <w:rFonts w:ascii="Times New Roman" w:eastAsia="Arial" w:hAnsi="Times New Roman" w:cs="Times New Roman"/>
          <w:sz w:val="24"/>
          <w:szCs w:val="24"/>
        </w:rPr>
        <w:lastRenderedPageBreak/>
        <w:t>social; se incorpora el Artículo 289 Quáter del Código Financiero del Estado de México y el Artículo 28 Bis de la Ley Orgánica Municipal del Estado de México, para quedar como sigue:</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CONSTITUCIÓN POLÍTICA DEL ESTADO LIBRE Y SOBERANO DE MÉXICO TÍTULO SEGUNDO. De los principios constitucionales, los derechos humanos</w:t>
      </w:r>
    </w:p>
    <w:p w:rsidR="00AF7815" w:rsidRPr="00CB38AA" w:rsidRDefault="00AF7815"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y sus garantías</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5.- </w:t>
      </w:r>
      <w:r w:rsidRPr="00CB38AA">
        <w:rPr>
          <w:rFonts w:ascii="Times New Roman" w:eastAsia="Arial" w:hAnsi="Times New Roman" w:cs="Times New Roman"/>
          <w:sz w:val="24"/>
          <w:szCs w:val="24"/>
        </w:rPr>
        <w:t>... ... …</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En el Estado de México se reconoce el presupuesto participativo como un derecho, mediante el cual todas las personas podrán participar de manera directa en la definición, ejecución y supervisión de una parte del presupuesto público municipal destinada a proyectos de interés colectivo.</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w:t>
      </w:r>
    </w:p>
    <w:p w:rsidR="00AF7815" w:rsidRPr="00CB38AA" w:rsidRDefault="00AF7815" w:rsidP="00DF6EEA">
      <w:pPr>
        <w:spacing w:after="0" w:line="240" w:lineRule="auto"/>
        <w:jc w:val="both"/>
        <w:rPr>
          <w:rFonts w:ascii="Times New Roman" w:eastAsia="Times New Roman" w:hAnsi="Times New Roman" w:cs="Times New Roman"/>
          <w:sz w:val="24"/>
          <w:szCs w:val="24"/>
        </w:rPr>
      </w:pPr>
    </w:p>
    <w:p w:rsidR="00027737" w:rsidRPr="00CB38AA" w:rsidRDefault="00027737" w:rsidP="00DF6EEA">
      <w:pPr>
        <w:spacing w:after="0" w:line="240" w:lineRule="auto"/>
        <w:jc w:val="both"/>
        <w:rPr>
          <w:rFonts w:ascii="Times New Roman" w:eastAsia="Times New Roman" w:hAnsi="Times New Roman" w:cs="Times New Roman"/>
          <w:sz w:val="24"/>
          <w:szCs w:val="24"/>
        </w:rPr>
      </w:pPr>
    </w:p>
    <w:p w:rsidR="00AF7815" w:rsidRPr="00CB38AA" w:rsidRDefault="00AF7815" w:rsidP="00DF6EEA">
      <w:pPr>
        <w:spacing w:after="0" w:line="240" w:lineRule="auto"/>
        <w:jc w:val="center"/>
        <w:rPr>
          <w:rFonts w:ascii="Times New Roman" w:eastAsia="Arial" w:hAnsi="Times New Roman" w:cs="Times New Roman"/>
          <w:b/>
          <w:sz w:val="24"/>
          <w:szCs w:val="24"/>
        </w:rPr>
      </w:pPr>
      <w:r w:rsidRPr="00CB38AA">
        <w:rPr>
          <w:rFonts w:ascii="Times New Roman" w:eastAsia="Arial" w:hAnsi="Times New Roman" w:cs="Times New Roman"/>
          <w:b/>
          <w:sz w:val="24"/>
          <w:szCs w:val="24"/>
        </w:rPr>
        <w:t>CÓDIGO FINANCIERO DEL ESTADO DE MÉXICO Y MUNICIPIOS</w:t>
      </w:r>
    </w:p>
    <w:p w:rsidR="00AF7815" w:rsidRPr="00CB38AA" w:rsidRDefault="00AF7815" w:rsidP="00DF6EEA">
      <w:pPr>
        <w:spacing w:after="0" w:line="240" w:lineRule="auto"/>
        <w:rPr>
          <w:rFonts w:ascii="Times New Roman" w:eastAsia="Arial" w:hAnsi="Times New Roman" w:cs="Times New Roman"/>
          <w:b/>
          <w:sz w:val="24"/>
          <w:szCs w:val="24"/>
        </w:rPr>
      </w:pPr>
    </w:p>
    <w:p w:rsidR="00AF7815" w:rsidRPr="00CB38AA" w:rsidRDefault="00AF7815" w:rsidP="00DF6EEA">
      <w:pPr>
        <w:spacing w:after="0" w:line="240" w:lineRule="auto"/>
        <w:jc w:val="center"/>
        <w:rPr>
          <w:rFonts w:ascii="Times New Roman" w:eastAsia="Arial" w:hAnsi="Times New Roman" w:cs="Times New Roman"/>
          <w:b/>
          <w:sz w:val="24"/>
          <w:szCs w:val="24"/>
        </w:rPr>
      </w:pPr>
      <w:r w:rsidRPr="00CB38AA">
        <w:rPr>
          <w:rFonts w:ascii="Times New Roman" w:eastAsia="Arial" w:hAnsi="Times New Roman" w:cs="Times New Roman"/>
          <w:b/>
          <w:sz w:val="24"/>
          <w:szCs w:val="24"/>
        </w:rPr>
        <w:t>TÍTULO NOVENO. Del Presupuesto de Egresos</w:t>
      </w:r>
    </w:p>
    <w:p w:rsidR="00AF7815" w:rsidRPr="00CB38AA" w:rsidRDefault="00AF7815" w:rsidP="00DF6EEA">
      <w:pPr>
        <w:spacing w:after="0" w:line="240" w:lineRule="auto"/>
        <w:jc w:val="center"/>
        <w:rPr>
          <w:rFonts w:ascii="Times New Roman" w:eastAsia="Arial" w:hAnsi="Times New Roman" w:cs="Times New Roman"/>
          <w:sz w:val="24"/>
          <w:szCs w:val="24"/>
        </w:rPr>
      </w:pPr>
    </w:p>
    <w:p w:rsidR="00AF7815" w:rsidRPr="00CB38AA" w:rsidRDefault="00AF7815"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CAPÍTULO PRIMERO. Disposiciones generales</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289 Quáter. </w:t>
      </w:r>
      <w:r w:rsidRPr="00CB38AA">
        <w:rPr>
          <w:rFonts w:ascii="Times New Roman" w:eastAsia="Arial" w:hAnsi="Times New Roman" w:cs="Times New Roman"/>
          <w:sz w:val="24"/>
          <w:szCs w:val="24"/>
        </w:rPr>
        <w:t>Los proyectos derivados del presupuesto participativo serán considerados para su incorporación al Presupuesto de Egresos del ejercicio fiscal correspondiente, una vez acreditada su viabilidad técnica, financiera y legal.</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La ejecución de los proyectos estará a cargo de la autoridad municipal y contará con supervisión ciudadana.</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center"/>
        <w:rPr>
          <w:rFonts w:ascii="Times New Roman" w:eastAsia="Arial" w:hAnsi="Times New Roman" w:cs="Times New Roman"/>
          <w:b/>
          <w:sz w:val="24"/>
          <w:szCs w:val="24"/>
        </w:rPr>
      </w:pPr>
      <w:r w:rsidRPr="00CB38AA">
        <w:rPr>
          <w:rFonts w:ascii="Times New Roman" w:eastAsia="Arial" w:hAnsi="Times New Roman" w:cs="Times New Roman"/>
          <w:b/>
          <w:sz w:val="24"/>
          <w:szCs w:val="24"/>
        </w:rPr>
        <w:t>LEY ORGÁNICA MUNICIPAL DEL ESTADO DE MÉXICO</w:t>
      </w:r>
    </w:p>
    <w:p w:rsidR="00AF7815" w:rsidRPr="00CB38AA" w:rsidRDefault="00AF7815" w:rsidP="00DF6EEA">
      <w:pPr>
        <w:spacing w:after="0" w:line="240" w:lineRule="auto"/>
        <w:jc w:val="center"/>
        <w:rPr>
          <w:rFonts w:ascii="Times New Roman" w:eastAsia="Arial" w:hAnsi="Times New Roman" w:cs="Times New Roman"/>
          <w:b/>
          <w:sz w:val="24"/>
          <w:szCs w:val="24"/>
        </w:rPr>
      </w:pPr>
    </w:p>
    <w:p w:rsidR="00AF7815" w:rsidRPr="00CB38AA" w:rsidRDefault="00AF7815"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CAPÍTULO SEGUNDO. Funcionamiento de los Ayuntamientos</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Artículo 28 Bis. </w:t>
      </w:r>
      <w:r w:rsidRPr="00CB38AA">
        <w:rPr>
          <w:rFonts w:ascii="Times New Roman" w:eastAsia="Arial" w:hAnsi="Times New Roman" w:cs="Times New Roman"/>
          <w:sz w:val="24"/>
          <w:szCs w:val="24"/>
        </w:rPr>
        <w:t>Los ayuntamientos podrán incorporar el presupuesto participativo en la planeación y ejecución del gasto municipal, a fin de permitir la participación ciudadana en la definición, priorización y supervisión de proyectos de beneficio colectivo.</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Para tal efecto, podrán asignar recursos específicos y establecer procedimientos transparentes y sujetos a rendición de cuentas.</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Times New Roman" w:hAnsi="Times New Roman" w:cs="Times New Roman"/>
          <w:sz w:val="24"/>
          <w:szCs w:val="24"/>
        </w:rPr>
      </w:pPr>
      <w:r w:rsidRPr="00CB38AA">
        <w:rPr>
          <w:rFonts w:ascii="Times New Roman" w:eastAsia="Arial" w:hAnsi="Times New Roman" w:cs="Times New Roman"/>
          <w:sz w:val="24"/>
          <w:szCs w:val="24"/>
        </w:rPr>
        <w:t>Asimismo, podrán celebrar convenios de colaboración con el Instituto Electoral del Estado de México u otras instancias competentes para apoyar los procesos de consulta y seguimiento de los proyectos.</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TRANSITORIOS</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PRIMERO. </w:t>
      </w:r>
      <w:r w:rsidRPr="00CB38AA">
        <w:rPr>
          <w:rFonts w:ascii="Times New Roman" w:eastAsia="Arial" w:hAnsi="Times New Roman" w:cs="Times New Roman"/>
          <w:sz w:val="24"/>
          <w:szCs w:val="24"/>
        </w:rPr>
        <w:t>– Publíquese el presente decreto en el Periódico Oficial “Gaceta del Gobierno”.</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lastRenderedPageBreak/>
        <w:t xml:space="preserve">SEGUNDO. </w:t>
      </w:r>
      <w:r w:rsidRPr="00CB38AA">
        <w:rPr>
          <w:rFonts w:ascii="Times New Roman" w:eastAsia="Arial" w:hAnsi="Times New Roman" w:cs="Times New Roman"/>
          <w:sz w:val="24"/>
          <w:szCs w:val="24"/>
        </w:rPr>
        <w:t>– El presente decreto entrará en vigor al día siguiente de su publicación en el Periódico Oficial “Gaceta del Gobierno”.</w:t>
      </w:r>
    </w:p>
    <w:p w:rsidR="00AF7815" w:rsidRPr="00CB38AA" w:rsidRDefault="00AF7815" w:rsidP="00DF6EEA">
      <w:pPr>
        <w:spacing w:after="0" w:line="240" w:lineRule="auto"/>
        <w:rPr>
          <w:rFonts w:ascii="Times New Roman" w:eastAsia="Times New Roman" w:hAnsi="Times New Roman" w:cs="Times New Roman"/>
          <w:sz w:val="24"/>
          <w:szCs w:val="24"/>
        </w:rPr>
      </w:pPr>
    </w:p>
    <w:p w:rsidR="00AF7815" w:rsidRPr="00CB38AA" w:rsidRDefault="00AF7815" w:rsidP="00DF6EEA">
      <w:pPr>
        <w:spacing w:after="0" w:line="240" w:lineRule="auto"/>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Dado en el Palacio del Poder Legislativo en Toluca de Lerdo, Estado de México, a los </w:t>
      </w:r>
      <w:r w:rsidRPr="00CB38AA">
        <w:rPr>
          <w:rFonts w:ascii="Times New Roman" w:eastAsia="Arial" w:hAnsi="Times New Roman" w:cs="Times New Roman"/>
          <w:sz w:val="24"/>
          <w:szCs w:val="24"/>
          <w:u w:val="single" w:color="000000"/>
        </w:rPr>
        <w:tab/>
        <w:t xml:space="preserve"> </w:t>
      </w:r>
      <w:r w:rsidRPr="00CB38AA">
        <w:rPr>
          <w:rFonts w:ascii="Times New Roman" w:eastAsia="Arial" w:hAnsi="Times New Roman" w:cs="Times New Roman"/>
          <w:sz w:val="24"/>
          <w:szCs w:val="24"/>
        </w:rPr>
        <w:t>días del mes de del año dos mil veintiséis.</w:t>
      </w:r>
    </w:p>
    <w:p w:rsidR="00B51B16" w:rsidRPr="00CB38AA" w:rsidRDefault="00B51B16" w:rsidP="00DF6EEA">
      <w:pPr>
        <w:spacing w:after="0" w:line="240" w:lineRule="auto"/>
        <w:jc w:val="center"/>
        <w:rPr>
          <w:rFonts w:ascii="Times New Roman" w:hAnsi="Times New Roman" w:cs="Times New Roman"/>
          <w:sz w:val="24"/>
          <w:szCs w:val="24"/>
        </w:rPr>
      </w:pPr>
    </w:p>
    <w:p w:rsidR="00B51B16" w:rsidRPr="00CB38AA" w:rsidRDefault="00B51B16" w:rsidP="00DF6EEA">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(Fin del documento)</w:t>
      </w:r>
    </w:p>
    <w:p w:rsidR="00B51B16" w:rsidRPr="00CB38AA" w:rsidRDefault="00B51B16" w:rsidP="00DF6EEA">
      <w:pPr>
        <w:spacing w:after="0" w:line="240" w:lineRule="auto"/>
        <w:jc w:val="center"/>
        <w:rPr>
          <w:rFonts w:ascii="Times New Roman" w:hAnsi="Times New Roman" w:cs="Times New Roman"/>
          <w:sz w:val="24"/>
          <w:szCs w:val="24"/>
        </w:rPr>
      </w:pP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PRESIDENTA DIP. MARTHA AZUCENA CAMACHO REYNOSO. Gracias diputada Sofía Martínez Molina.</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Se registra la iniciativa y se remite a las Comisiones Legislativas de Gobernación y Puntos Constitucionales; de Planeación y Gasto Público; de Finanzas Públicas para su estudio y dictamen;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De conformidad con el punto 17, la diputada Lilia Urbina Salazar presenta, en nombre del Grupo Parlamentario del Partido Revolucionario Institucional, iniciativa con proyecto de decreto por el que se adicionan diversas disposiciones a la Ley de Turismo Sostenible y Desarrollo Artesanal del Estado de México, para crear una Defensoría Estatal del Turista que oriente y proteja los derechos de los excursionistas, visitantes y turistas.</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DIP. LILIA URBINA SALAZAR. Muchas gracias, nuevamente muy buenas tardes.</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Con la venia de la Presidenta de la Mesa Directiva, diputada Martha Azucena Camacho Reynoso. Compañeras y compañeros diputados, a los medios de comunicación y a los mexiquenses que siguen los trabajos de esta soberanía a través de las redes digitales y los canales oficiales.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En ejercicio de las funciones que la Constitución y las leyes del Estado me confieren, someto a consideración de esta Soberanía la siguiente iniciativa con Proyecto de Decreto por el que se adicionan diversas disposiciones a la Ley del Turismo Sostenible y Desarrollo Artesanal del Estado de México, para crear una Defensoría Estatal del Turista que oriente y proteja los derechos de los excursionistas, visitantes y turistas, conforme a la siguiente:</w:t>
      </w:r>
    </w:p>
    <w:p w:rsidR="00A35DFE" w:rsidRPr="00CB38AA" w:rsidRDefault="00A35DFE" w:rsidP="00DF6EEA">
      <w:pPr>
        <w:pStyle w:val="Sinespaciado"/>
        <w:jc w:val="center"/>
        <w:rPr>
          <w:rFonts w:ascii="Times New Roman" w:hAnsi="Times New Roman" w:cs="Times New Roman"/>
          <w:sz w:val="24"/>
          <w:szCs w:val="24"/>
        </w:rPr>
      </w:pPr>
      <w:r w:rsidRPr="00CB38AA">
        <w:rPr>
          <w:rFonts w:ascii="Times New Roman" w:hAnsi="Times New Roman" w:cs="Times New Roman"/>
          <w:sz w:val="24"/>
          <w:szCs w:val="24"/>
        </w:rPr>
        <w:t>EXPOSICIÓN DE MOTIVOS</w:t>
      </w:r>
    </w:p>
    <w:p w:rsidR="00A35DFE" w:rsidRPr="00CB38AA" w:rsidRDefault="00A35DFE" w:rsidP="00DF6EEA">
      <w:pPr>
        <w:pStyle w:val="Sinespaciado"/>
        <w:ind w:firstLine="709"/>
        <w:jc w:val="both"/>
        <w:rPr>
          <w:rFonts w:ascii="Times New Roman" w:hAnsi="Times New Roman" w:cs="Times New Roman"/>
          <w:sz w:val="24"/>
          <w:szCs w:val="24"/>
        </w:rPr>
      </w:pPr>
      <w:r w:rsidRPr="00CB38AA">
        <w:rPr>
          <w:rFonts w:ascii="Times New Roman" w:hAnsi="Times New Roman" w:cs="Times New Roman"/>
          <w:sz w:val="24"/>
          <w:szCs w:val="24"/>
        </w:rPr>
        <w:t xml:space="preserve">Hoy quiero hablar del turismo con una mirada completa como economía, sí, pero sobre todo como personas, porque detrás de cada visitante hay una familia que ahorró para viajar, una pareja que eligió nuestros pueblos mágicos para descansar, un extranjero que viene a conocer nuestra historia, una familia que visita un museo y cuando algo sale mal, ya sea un abuso, un fraude, un extravío, un accidente, una extorsión, un delito, ese turista no sólo se enfrenta a un problema, se enfrenta al miedo, a la incertidumbre de no saber a quién acudir.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En el Estado de México, promovemos destinos, tenemos riqueza cultural, rutas, pueblos mágicos y pueblos con encanto; pero hoy la pregunta es clara ¿Qué respuesta institucional le damos al turista cuando necesita una ayuda inmediata? Orientación, acompañamiento y defensa. Hoy esa respuesta es dispersa, por eso, esta iniciativa propone crear una Defensoría Estatal del Turista como una institución especializada para atender, orientar, canalizar y acompañar al visitante con rapidez, con empatía y con certeza.</w:t>
      </w:r>
    </w:p>
    <w:p w:rsidR="00A35DFE" w:rsidRPr="00CB38AA" w:rsidRDefault="00A35DFE" w:rsidP="00DF6EEA">
      <w:pPr>
        <w:pStyle w:val="Sinespaciado"/>
        <w:ind w:firstLine="709"/>
        <w:jc w:val="both"/>
        <w:rPr>
          <w:rFonts w:ascii="Times New Roman" w:hAnsi="Times New Roman" w:cs="Times New Roman"/>
          <w:sz w:val="24"/>
          <w:szCs w:val="24"/>
        </w:rPr>
      </w:pPr>
      <w:r w:rsidRPr="00CB38AA">
        <w:rPr>
          <w:rFonts w:ascii="Times New Roman" w:hAnsi="Times New Roman" w:cs="Times New Roman"/>
          <w:sz w:val="24"/>
          <w:szCs w:val="24"/>
        </w:rPr>
        <w:t xml:space="preserve">La intención es hacer sentir al visitante como si estuviese en su casa, porque un visitante bien valorado, no sólo se va con una buena experiencia, se va con una historia que recomienda. Cuando el turista percibe riesgo, cambia su decisión, no viene, no regresa o no recomienda.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Esta iniciativa no es reactiva, es preventiva porque una Defensoría del Turista no sustituye a las fiscalías ni a las policías, lo que hace es cerrar un vacío crítico, una ventanilla especializada, que actúe rápido, que sepa orientar, que pueda conciliar y que acompañe a la víctima para que, en su caso, no se pierda en la burocracia.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Las cifras son claras, en el 2022, la Entidad aportó alrededor del 8.6% del PIB Turístico Nacional, posicionándose como el segundo estado con mayor contribución turística en todo el país, sólo por detrás de la Ciudad de México, este aporte equivale aproximadamente a 169 mil millones </w:t>
      </w:r>
      <w:r w:rsidRPr="00CB38AA">
        <w:rPr>
          <w:rFonts w:ascii="Times New Roman" w:hAnsi="Times New Roman" w:cs="Times New Roman"/>
          <w:sz w:val="24"/>
          <w:szCs w:val="24"/>
        </w:rPr>
        <w:lastRenderedPageBreak/>
        <w:t>de pesos generados por la actividad turística al año y para el PIB del Estado representa el 8.2% del PIB Turístico.</w:t>
      </w:r>
    </w:p>
    <w:p w:rsidR="00A35DFE" w:rsidRPr="00CB38AA" w:rsidRDefault="00A35DFE" w:rsidP="00DF6EEA">
      <w:pPr>
        <w:pStyle w:val="Sinespaciado"/>
        <w:ind w:firstLine="709"/>
        <w:jc w:val="both"/>
        <w:rPr>
          <w:rFonts w:ascii="Times New Roman" w:hAnsi="Times New Roman" w:cs="Times New Roman"/>
          <w:sz w:val="24"/>
          <w:szCs w:val="24"/>
        </w:rPr>
      </w:pPr>
      <w:r w:rsidRPr="00CB38AA">
        <w:rPr>
          <w:rFonts w:ascii="Times New Roman" w:hAnsi="Times New Roman" w:cs="Times New Roman"/>
          <w:sz w:val="24"/>
          <w:szCs w:val="24"/>
        </w:rPr>
        <w:t xml:space="preserve">Además, nos aproximamos a un momento que nos exige preparación el Mundial FIFA 2026, un mega evento que va a disparar la movilidad como turístico y presión sobre los servicios, hay fuentes que publican una derrama económica de miles de millones de dólares en nuestro país siendo un coanfitrión, es un contexto de alta afluencia quien no tiene una institución de protección deja al visitante en vulnerabilidad.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Por eso, desde el Grupo Parlamentario del PRI y su visión de sensibilidad social, pero también de fortalecer la seguridad, proponemos una defensoría del turista para que el Estado de México esté listo, no sólo de recibir turistas, sino de responder cuando más lo necesiten.</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Un Estado que cuida al turista se cuida a sí mismo, cuida su reputación, su economía local, sus empleos, cuida a sus prestadores de servicio responsables y sobre todo, cuida a la persona que llega confiando.</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Es cu</w:t>
      </w:r>
      <w:r w:rsidR="00695B1E" w:rsidRPr="00CB38AA">
        <w:rPr>
          <w:rFonts w:ascii="Times New Roman" w:hAnsi="Times New Roman" w:cs="Times New Roman"/>
          <w:sz w:val="24"/>
          <w:szCs w:val="24"/>
        </w:rPr>
        <w:t>a</w:t>
      </w:r>
      <w:r w:rsidRPr="00CB38AA">
        <w:rPr>
          <w:rFonts w:ascii="Times New Roman" w:hAnsi="Times New Roman" w:cs="Times New Roman"/>
          <w:sz w:val="24"/>
          <w:szCs w:val="24"/>
        </w:rPr>
        <w:t>nto. Muchísimas gracias.</w:t>
      </w:r>
    </w:p>
    <w:p w:rsidR="0013616E" w:rsidRPr="00CB38AA" w:rsidRDefault="0013616E" w:rsidP="00DF6EEA">
      <w:pPr>
        <w:pStyle w:val="Sinespaciado"/>
        <w:jc w:val="both"/>
        <w:rPr>
          <w:rFonts w:ascii="Times New Roman" w:hAnsi="Times New Roman" w:cs="Times New Roman"/>
          <w:sz w:val="24"/>
          <w:szCs w:val="24"/>
        </w:rPr>
      </w:pPr>
    </w:p>
    <w:p w:rsidR="0013616E" w:rsidRPr="00CB38AA" w:rsidRDefault="0013616E" w:rsidP="00DF6EEA">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(Se inserta documento)</w:t>
      </w:r>
    </w:p>
    <w:p w:rsidR="0013616E" w:rsidRPr="00CB38AA" w:rsidRDefault="0013616E" w:rsidP="00DF6EEA">
      <w:pPr>
        <w:spacing w:after="0" w:line="240" w:lineRule="auto"/>
        <w:jc w:val="center"/>
        <w:rPr>
          <w:rFonts w:ascii="Times New Roman" w:hAnsi="Times New Roman" w:cs="Times New Roman"/>
          <w:sz w:val="24"/>
          <w:szCs w:val="24"/>
        </w:rPr>
      </w:pPr>
    </w:p>
    <w:p w:rsidR="00854A73" w:rsidRPr="00CB38AA" w:rsidRDefault="00854A73" w:rsidP="00390777">
      <w:pPr>
        <w:pStyle w:val="Textoindependiente"/>
        <w:jc w:val="right"/>
        <w:rPr>
          <w:rFonts w:ascii="Times New Roman" w:hAnsi="Times New Roman" w:cs="Times New Roman"/>
        </w:rPr>
      </w:pPr>
      <w:r w:rsidRPr="00CB38AA">
        <w:rPr>
          <w:rFonts w:ascii="Times New Roman" w:hAnsi="Times New Roman" w:cs="Times New Roman"/>
        </w:rPr>
        <w:t>Dip. Ana Lilia</w:t>
      </w:r>
    </w:p>
    <w:p w:rsidR="00854A73" w:rsidRPr="00CB38AA" w:rsidRDefault="00854A73" w:rsidP="00390777">
      <w:pPr>
        <w:pStyle w:val="Textoindependiente"/>
        <w:jc w:val="right"/>
        <w:rPr>
          <w:rFonts w:ascii="Times New Roman" w:hAnsi="Times New Roman" w:cs="Times New Roman"/>
        </w:rPr>
      </w:pPr>
      <w:r w:rsidRPr="00CB38AA">
        <w:rPr>
          <w:rFonts w:ascii="Times New Roman" w:hAnsi="Times New Roman" w:cs="Times New Roman"/>
        </w:rPr>
        <w:t>Urbina Salazar</w:t>
      </w:r>
    </w:p>
    <w:p w:rsidR="00854A73" w:rsidRPr="00CB38AA" w:rsidRDefault="00854A73" w:rsidP="00DF6EEA">
      <w:pPr>
        <w:pStyle w:val="Textoindependiente"/>
        <w:rPr>
          <w:rFonts w:ascii="Times New Roman" w:hAnsi="Times New Roman" w:cs="Times New Roman"/>
        </w:rPr>
      </w:pPr>
    </w:p>
    <w:p w:rsidR="00854A73" w:rsidRPr="00CB38AA" w:rsidRDefault="00854A73" w:rsidP="00DF6EEA">
      <w:pPr>
        <w:pStyle w:val="Textoindependiente"/>
        <w:ind w:left="3836"/>
        <w:rPr>
          <w:rFonts w:ascii="Times New Roman" w:hAnsi="Times New Roman" w:cs="Times New Roman"/>
        </w:rPr>
      </w:pPr>
      <w:r w:rsidRPr="00CB38AA">
        <w:rPr>
          <w:rFonts w:ascii="Times New Roman" w:hAnsi="Times New Roman" w:cs="Times New Roman"/>
        </w:rPr>
        <w:t>Toluca, Estado de México, a 11 de febrero de 2026.</w:t>
      </w:r>
    </w:p>
    <w:p w:rsidR="00854A73" w:rsidRPr="00CB38AA" w:rsidRDefault="00854A73" w:rsidP="00DF6EEA">
      <w:pPr>
        <w:pStyle w:val="Textoindependiente"/>
        <w:rPr>
          <w:rFonts w:ascii="Times New Roman" w:hAnsi="Times New Roman" w:cs="Times New Roman"/>
        </w:rPr>
      </w:pPr>
    </w:p>
    <w:p w:rsidR="00854A73" w:rsidRPr="00CB38AA" w:rsidRDefault="00854A73" w:rsidP="00DF6EEA">
      <w:pPr>
        <w:spacing w:after="0" w:line="240" w:lineRule="auto"/>
        <w:rPr>
          <w:rFonts w:ascii="Times New Roman" w:hAnsi="Times New Roman" w:cs="Times New Roman"/>
          <w:b/>
          <w:sz w:val="24"/>
          <w:szCs w:val="24"/>
        </w:rPr>
      </w:pPr>
      <w:r w:rsidRPr="00CB38AA">
        <w:rPr>
          <w:rFonts w:ascii="Times New Roman" w:hAnsi="Times New Roman" w:cs="Times New Roman"/>
          <w:b/>
          <w:sz w:val="24"/>
          <w:szCs w:val="24"/>
        </w:rPr>
        <w:t>DIPUTADA MARTHA AZUCENA CAMACHO REYNOSO</w:t>
      </w:r>
    </w:p>
    <w:p w:rsidR="00854A73" w:rsidRPr="00CB38AA" w:rsidRDefault="00854A73" w:rsidP="00DF6EEA">
      <w:pPr>
        <w:spacing w:after="0" w:line="240" w:lineRule="auto"/>
        <w:rPr>
          <w:rFonts w:ascii="Times New Roman" w:hAnsi="Times New Roman" w:cs="Times New Roman"/>
          <w:b/>
          <w:sz w:val="24"/>
          <w:szCs w:val="24"/>
        </w:rPr>
      </w:pPr>
      <w:r w:rsidRPr="00CB38AA">
        <w:rPr>
          <w:rFonts w:ascii="Times New Roman" w:hAnsi="Times New Roman" w:cs="Times New Roman"/>
          <w:b/>
          <w:sz w:val="24"/>
          <w:szCs w:val="24"/>
        </w:rPr>
        <w:t>PRESIDENTA DE LA H. “LXII” LEGISLATURA DEL</w:t>
      </w:r>
    </w:p>
    <w:p w:rsidR="00854A73" w:rsidRPr="00CB38AA" w:rsidRDefault="00854A73" w:rsidP="00DF6EEA">
      <w:pPr>
        <w:spacing w:after="0" w:line="240" w:lineRule="auto"/>
        <w:rPr>
          <w:rFonts w:ascii="Times New Roman" w:hAnsi="Times New Roman" w:cs="Times New Roman"/>
          <w:b/>
          <w:sz w:val="24"/>
          <w:szCs w:val="24"/>
        </w:rPr>
      </w:pPr>
      <w:r w:rsidRPr="00CB38AA">
        <w:rPr>
          <w:rFonts w:ascii="Times New Roman" w:hAnsi="Times New Roman" w:cs="Times New Roman"/>
          <w:b/>
          <w:sz w:val="24"/>
          <w:szCs w:val="24"/>
        </w:rPr>
        <w:t>CONGRESO DEL ESTADO DE MÉXICO</w:t>
      </w:r>
    </w:p>
    <w:p w:rsidR="00854A73" w:rsidRPr="00CB38AA" w:rsidRDefault="00854A73" w:rsidP="00DF6EEA">
      <w:pPr>
        <w:spacing w:after="0" w:line="240" w:lineRule="auto"/>
        <w:rPr>
          <w:rFonts w:ascii="Times New Roman" w:hAnsi="Times New Roman" w:cs="Times New Roman"/>
          <w:b/>
          <w:sz w:val="24"/>
          <w:szCs w:val="24"/>
        </w:rPr>
      </w:pPr>
      <w:r w:rsidRPr="00CB38AA">
        <w:rPr>
          <w:rFonts w:ascii="Times New Roman" w:hAnsi="Times New Roman" w:cs="Times New Roman"/>
          <w:b/>
          <w:sz w:val="24"/>
          <w:szCs w:val="24"/>
        </w:rPr>
        <w:t>P R E S E N T E</w:t>
      </w:r>
    </w:p>
    <w:p w:rsidR="00854A73" w:rsidRPr="00CB38AA" w:rsidRDefault="00854A73" w:rsidP="00DF6EEA">
      <w:pPr>
        <w:pStyle w:val="Textoindependiente"/>
        <w:rPr>
          <w:rFonts w:ascii="Times New Roman" w:hAnsi="Times New Roman" w:cs="Times New Roman"/>
          <w:b/>
        </w:rPr>
      </w:pPr>
    </w:p>
    <w:p w:rsidR="00854A73" w:rsidRPr="00CB38AA" w:rsidRDefault="00854A73"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 xml:space="preserve">La que suscribe, </w:t>
      </w:r>
      <w:r w:rsidRPr="00CB38AA">
        <w:rPr>
          <w:rFonts w:ascii="Times New Roman" w:hAnsi="Times New Roman" w:cs="Times New Roman"/>
          <w:b/>
          <w:sz w:val="24"/>
          <w:szCs w:val="24"/>
        </w:rPr>
        <w:t xml:space="preserve">diputada Lilia Urbina Salazar, integrante del Grupo Parlamentario del Partido Revolucionario Institucional </w:t>
      </w:r>
      <w:r w:rsidRPr="00CB38AA">
        <w:rPr>
          <w:rFonts w:ascii="Times New Roman" w:hAnsi="Times New Roman" w:cs="Times New Roman"/>
          <w:sz w:val="24"/>
          <w:szCs w:val="24"/>
        </w:rPr>
        <w:t xml:space="preserve">en la LXII Legislatura del Congreso del Estado de México, con fundamento en los artículos 51, fracción II, 57 y 61, fracción I, de la Constitución Política del Estado Libre y Soberano de México; 28, fracción I, y 38, fracción I, de la Ley Orgánica del Poder Legislativo del Estado Libre y Soberano de México; así como 68 del Reglamento del Poder Legislativo del Estado Libre y Soberano de México, someto a consideración de este órgano legislativo, la presente </w:t>
      </w:r>
      <w:r w:rsidRPr="00CB38AA">
        <w:rPr>
          <w:rFonts w:ascii="Times New Roman" w:hAnsi="Times New Roman" w:cs="Times New Roman"/>
          <w:b/>
          <w:sz w:val="24"/>
          <w:szCs w:val="24"/>
        </w:rPr>
        <w:t>Iniciativa con proyecto de decreto por el que se adicionan diversas disposiciones a la Ley de Turismo Sostenible y Desarrollo Artesanal del Estado de México, para crear una Defensoría Estatal del Turista que oriente y proteja los derechos de excursionistas, visitantes y turistas</w:t>
      </w:r>
      <w:r w:rsidRPr="00CB38AA">
        <w:rPr>
          <w:rFonts w:ascii="Times New Roman" w:hAnsi="Times New Roman" w:cs="Times New Roman"/>
          <w:sz w:val="24"/>
          <w:szCs w:val="24"/>
        </w:rPr>
        <w:t>, conforme a la siguiente:</w:t>
      </w:r>
    </w:p>
    <w:p w:rsidR="00854A73" w:rsidRPr="00CB38AA" w:rsidRDefault="00854A73" w:rsidP="00DF6EEA">
      <w:pPr>
        <w:pStyle w:val="Textoindependiente"/>
        <w:rPr>
          <w:rFonts w:ascii="Times New Roman" w:hAnsi="Times New Roman" w:cs="Times New Roman"/>
        </w:rPr>
      </w:pPr>
    </w:p>
    <w:p w:rsidR="00854A73" w:rsidRPr="00CB38AA" w:rsidRDefault="00854A73" w:rsidP="00DF6EEA">
      <w:pPr>
        <w:spacing w:after="0" w:line="240" w:lineRule="auto"/>
        <w:ind w:left="5"/>
        <w:jc w:val="center"/>
        <w:rPr>
          <w:rFonts w:ascii="Times New Roman" w:hAnsi="Times New Roman" w:cs="Times New Roman"/>
          <w:b/>
          <w:sz w:val="24"/>
          <w:szCs w:val="24"/>
        </w:rPr>
      </w:pPr>
      <w:r w:rsidRPr="00CB38AA">
        <w:rPr>
          <w:rFonts w:ascii="Times New Roman" w:hAnsi="Times New Roman" w:cs="Times New Roman"/>
          <w:b/>
          <w:sz w:val="24"/>
          <w:szCs w:val="24"/>
        </w:rPr>
        <w:t>E X P O S I C I Ó N D E M O T I V O S</w:t>
      </w:r>
    </w:p>
    <w:p w:rsidR="00854A73" w:rsidRPr="00CB38AA" w:rsidRDefault="00854A73" w:rsidP="00DF6EEA">
      <w:pPr>
        <w:pStyle w:val="Textoindependiente"/>
        <w:rPr>
          <w:rFonts w:ascii="Times New Roman" w:hAnsi="Times New Roman" w:cs="Times New Roman"/>
          <w:b/>
        </w:rPr>
      </w:pPr>
    </w:p>
    <w:p w:rsidR="00854A73" w:rsidRPr="00CB38AA" w:rsidRDefault="00854A73" w:rsidP="00DF6EEA">
      <w:pPr>
        <w:pStyle w:val="Prrafodelista"/>
        <w:numPr>
          <w:ilvl w:val="0"/>
          <w:numId w:val="15"/>
        </w:numPr>
        <w:ind w:left="199" w:right="0" w:hanging="199"/>
        <w:rPr>
          <w:rFonts w:ascii="Times New Roman" w:hAnsi="Times New Roman" w:cs="Times New Roman"/>
          <w:b/>
          <w:sz w:val="24"/>
          <w:szCs w:val="24"/>
        </w:rPr>
      </w:pPr>
      <w:r w:rsidRPr="00CB38AA">
        <w:rPr>
          <w:rFonts w:ascii="Times New Roman" w:hAnsi="Times New Roman" w:cs="Times New Roman"/>
          <w:b/>
          <w:sz w:val="24"/>
          <w:szCs w:val="24"/>
        </w:rPr>
        <w:t>Relevancia económica del turismo en el Estado de México</w:t>
      </w:r>
    </w:p>
    <w:p w:rsidR="00854A73" w:rsidRPr="00CB38AA" w:rsidRDefault="00854A73" w:rsidP="00DF6EEA">
      <w:pPr>
        <w:pStyle w:val="Textoindependiente"/>
        <w:rPr>
          <w:rFonts w:ascii="Times New Roman" w:hAnsi="Times New Roman" w:cs="Times New Roman"/>
          <w:b/>
        </w:rPr>
      </w:pPr>
    </w:p>
    <w:p w:rsidR="00854A73" w:rsidRPr="00CB38AA" w:rsidRDefault="00854A73" w:rsidP="00DF6EEA">
      <w:pPr>
        <w:pStyle w:val="Textoindependiente"/>
        <w:jc w:val="both"/>
        <w:rPr>
          <w:rFonts w:ascii="Times New Roman" w:hAnsi="Times New Roman" w:cs="Times New Roman"/>
        </w:rPr>
      </w:pPr>
      <w:r w:rsidRPr="00CB38AA">
        <w:rPr>
          <w:rFonts w:ascii="Times New Roman" w:hAnsi="Times New Roman" w:cs="Times New Roman"/>
        </w:rPr>
        <w:t>En el Estado de México, el turismo representa cerca del 8.2% del PIB estatal.</w:t>
      </w:r>
      <w:r w:rsidRPr="00CB38AA">
        <w:rPr>
          <w:rFonts w:ascii="Times New Roman" w:hAnsi="Times New Roman" w:cs="Times New Roman"/>
          <w:vertAlign w:val="superscript"/>
        </w:rPr>
        <w:t>1</w:t>
      </w:r>
      <w:r w:rsidRPr="00CB38AA">
        <w:rPr>
          <w:rFonts w:ascii="Times New Roman" w:hAnsi="Times New Roman" w:cs="Times New Roman"/>
        </w:rPr>
        <w:t xml:space="preserve"> Ello no sólo confirma su peso estratégico en la economía mexiquense, sino que acredita que, lejos de ser marginal, es un motor económico cuya competitividad, continuidad y sostenibilidad deben asegurarse.</w:t>
      </w:r>
    </w:p>
    <w:p w:rsidR="00854A73" w:rsidRPr="00CB38AA" w:rsidRDefault="00854A73" w:rsidP="00DF6EEA">
      <w:pPr>
        <w:pStyle w:val="Textoindependiente"/>
        <w:rPr>
          <w:rFonts w:ascii="Times New Roman" w:hAnsi="Times New Roman" w:cs="Times New Roman"/>
        </w:rPr>
      </w:pPr>
    </w:p>
    <w:p w:rsidR="00854A73" w:rsidRPr="00CB38AA" w:rsidRDefault="00854A73"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vertAlign w:val="superscript"/>
        </w:rPr>
        <w:t>1</w:t>
      </w:r>
      <w:r w:rsidRPr="00CB38AA">
        <w:rPr>
          <w:rFonts w:ascii="Times New Roman" w:hAnsi="Times New Roman" w:cs="Times New Roman"/>
          <w:sz w:val="24"/>
          <w:szCs w:val="24"/>
        </w:rPr>
        <w:t xml:space="preserve"> El Sol de Toluca (OEM). “El turismo en el Estado de México: un pilar económico y un destino en crecimiento.” Disponible en: https://oem.com.mx/elsoldetoluca/turismo/el-turismo-en-el-estado-de- mexico-un-pilar-economico-y-un-destino-en-crecimiento-22473741</w:t>
      </w:r>
    </w:p>
    <w:p w:rsidR="00854A73" w:rsidRPr="00CB38AA" w:rsidRDefault="00854A73" w:rsidP="00DF6EEA">
      <w:pPr>
        <w:pStyle w:val="Textoindependiente"/>
        <w:rPr>
          <w:rFonts w:ascii="Times New Roman" w:hAnsi="Times New Roman" w:cs="Times New Roman"/>
        </w:rPr>
      </w:pPr>
    </w:p>
    <w:p w:rsidR="00854A73" w:rsidRPr="00CB38AA" w:rsidRDefault="00854A73" w:rsidP="00DF6EEA">
      <w:pPr>
        <w:pStyle w:val="Textoindependiente"/>
        <w:rPr>
          <w:rFonts w:ascii="Times New Roman" w:hAnsi="Times New Roman" w:cs="Times New Roman"/>
        </w:rPr>
      </w:pPr>
      <w:r w:rsidRPr="00CB38AA">
        <w:rPr>
          <w:rFonts w:ascii="Times New Roman" w:hAnsi="Times New Roman" w:cs="Times New Roman"/>
          <w:noProof/>
        </w:rPr>
        <w:drawing>
          <wp:anchor distT="0" distB="0" distL="0" distR="0" simplePos="0" relativeHeight="251670528" behindDoc="1" locked="0" layoutInCell="1" allowOverlap="1" wp14:anchorId="5D17EB3E" wp14:editId="79A89292">
            <wp:simplePos x="0" y="0"/>
            <wp:positionH relativeFrom="page">
              <wp:posOffset>1933575</wp:posOffset>
            </wp:positionH>
            <wp:positionV relativeFrom="paragraph">
              <wp:posOffset>50165</wp:posOffset>
            </wp:positionV>
            <wp:extent cx="3916680" cy="2165350"/>
            <wp:effectExtent l="0" t="0" r="7620" b="635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35" cstate="print"/>
                    <a:stretch>
                      <a:fillRect/>
                    </a:stretch>
                  </pic:blipFill>
                  <pic:spPr>
                    <a:xfrm>
                      <a:off x="0" y="0"/>
                      <a:ext cx="3916680" cy="2165350"/>
                    </a:xfrm>
                    <a:prstGeom prst="rect">
                      <a:avLst/>
                    </a:prstGeom>
                  </pic:spPr>
                </pic:pic>
              </a:graphicData>
            </a:graphic>
          </wp:anchor>
        </w:drawing>
      </w:r>
    </w:p>
    <w:p w:rsidR="00854A73" w:rsidRPr="00CB38AA" w:rsidRDefault="00854A73" w:rsidP="00DF6EEA">
      <w:pPr>
        <w:spacing w:after="0" w:line="240" w:lineRule="auto"/>
        <w:ind w:left="872"/>
        <w:rPr>
          <w:rFonts w:ascii="Times New Roman" w:hAnsi="Times New Roman" w:cs="Times New Roman"/>
          <w:sz w:val="24"/>
          <w:szCs w:val="24"/>
        </w:rPr>
      </w:pPr>
      <w:r w:rsidRPr="00CB38AA">
        <w:rPr>
          <w:rFonts w:ascii="Times New Roman" w:hAnsi="Times New Roman" w:cs="Times New Roman"/>
          <w:sz w:val="24"/>
          <w:szCs w:val="24"/>
        </w:rPr>
        <w:t>Fuente: El PIB turístico estatal y municipal 2018-2022 en México una aproximación. Mayo 2024</w:t>
      </w:r>
    </w:p>
    <w:p w:rsidR="00854A73" w:rsidRPr="00CB38AA" w:rsidRDefault="00854A73" w:rsidP="00DF6EEA">
      <w:pPr>
        <w:pStyle w:val="Textoindependiente"/>
        <w:rPr>
          <w:rFonts w:ascii="Times New Roman" w:hAnsi="Times New Roman" w:cs="Times New Roman"/>
        </w:rPr>
      </w:pPr>
    </w:p>
    <w:p w:rsidR="00854A73" w:rsidRPr="00CB38AA" w:rsidRDefault="00854A73" w:rsidP="00DF6EEA">
      <w:pPr>
        <w:pStyle w:val="Textoindependiente"/>
        <w:jc w:val="both"/>
        <w:rPr>
          <w:rFonts w:ascii="Times New Roman" w:hAnsi="Times New Roman" w:cs="Times New Roman"/>
        </w:rPr>
      </w:pPr>
      <w:r w:rsidRPr="00CB38AA">
        <w:rPr>
          <w:rFonts w:ascii="Times New Roman" w:hAnsi="Times New Roman" w:cs="Times New Roman"/>
        </w:rPr>
        <w:t>Además, en 2022, la entidad aportó alrededor del 8.6% del PIB turístico nacional, posicionándose como el segundo estado con mayor contribución turística en el país, sólo por detrás de la Ciudad de México. Este aporte equivale a aproximadamente 169 mil millones de pesos generados por la actividad turística en un año.</w:t>
      </w:r>
      <w:r w:rsidRPr="00CB38AA">
        <w:rPr>
          <w:rFonts w:ascii="Times New Roman" w:hAnsi="Times New Roman" w:cs="Times New Roman"/>
          <w:vertAlign w:val="superscript"/>
        </w:rPr>
        <w:t>2</w:t>
      </w:r>
    </w:p>
    <w:p w:rsidR="00854A73" w:rsidRPr="00CB38AA" w:rsidRDefault="00854A73" w:rsidP="00DF6EEA">
      <w:pPr>
        <w:pStyle w:val="Textoindependiente"/>
        <w:rPr>
          <w:rFonts w:ascii="Times New Roman" w:hAnsi="Times New Roman" w:cs="Times New Roman"/>
        </w:rPr>
      </w:pPr>
      <w:r w:rsidRPr="00CB38AA">
        <w:rPr>
          <w:rFonts w:ascii="Times New Roman" w:hAnsi="Times New Roman" w:cs="Times New Roman"/>
          <w:noProof/>
        </w:rPr>
        <w:drawing>
          <wp:anchor distT="0" distB="0" distL="0" distR="0" simplePos="0" relativeHeight="251671552" behindDoc="1" locked="0" layoutInCell="1" allowOverlap="1" wp14:anchorId="530BDE34" wp14:editId="095851C7">
            <wp:simplePos x="0" y="0"/>
            <wp:positionH relativeFrom="page">
              <wp:posOffset>1943100</wp:posOffset>
            </wp:positionH>
            <wp:positionV relativeFrom="paragraph">
              <wp:posOffset>201295</wp:posOffset>
            </wp:positionV>
            <wp:extent cx="3888105" cy="2159635"/>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36" cstate="print"/>
                    <a:stretch>
                      <a:fillRect/>
                    </a:stretch>
                  </pic:blipFill>
                  <pic:spPr>
                    <a:xfrm>
                      <a:off x="0" y="0"/>
                      <a:ext cx="3888105" cy="2159635"/>
                    </a:xfrm>
                    <a:prstGeom prst="rect">
                      <a:avLst/>
                    </a:prstGeom>
                  </pic:spPr>
                </pic:pic>
              </a:graphicData>
            </a:graphic>
          </wp:anchor>
        </w:drawing>
      </w:r>
    </w:p>
    <w:p w:rsidR="00854A73" w:rsidRPr="00CB38AA" w:rsidRDefault="00854A73" w:rsidP="00DF6EEA">
      <w:pPr>
        <w:spacing w:after="0" w:line="240" w:lineRule="auto"/>
        <w:ind w:left="872"/>
        <w:rPr>
          <w:rFonts w:ascii="Times New Roman" w:hAnsi="Times New Roman" w:cs="Times New Roman"/>
          <w:sz w:val="24"/>
          <w:szCs w:val="24"/>
        </w:rPr>
      </w:pPr>
      <w:r w:rsidRPr="00CB38AA">
        <w:rPr>
          <w:rFonts w:ascii="Times New Roman" w:hAnsi="Times New Roman" w:cs="Times New Roman"/>
          <w:sz w:val="24"/>
          <w:szCs w:val="24"/>
        </w:rPr>
        <w:t>Fuente: El PIB turístico estatal y municipal 2018-2022 en México una aproximación. Mayo 2024</w:t>
      </w:r>
    </w:p>
    <w:p w:rsidR="00854A73" w:rsidRPr="00CB38AA" w:rsidRDefault="00854A73" w:rsidP="00DF6EEA">
      <w:pPr>
        <w:pStyle w:val="Textoindependiente"/>
        <w:rPr>
          <w:rFonts w:ascii="Times New Roman" w:hAnsi="Times New Roman" w:cs="Times New Roman"/>
        </w:rPr>
      </w:pPr>
    </w:p>
    <w:p w:rsidR="00854A73" w:rsidRPr="00CB38AA" w:rsidRDefault="00854A73" w:rsidP="00DF6EEA">
      <w:pPr>
        <w:spacing w:after="0" w:line="240" w:lineRule="auto"/>
        <w:rPr>
          <w:rFonts w:ascii="Times New Roman" w:hAnsi="Times New Roman" w:cs="Times New Roman"/>
          <w:sz w:val="24"/>
          <w:szCs w:val="24"/>
        </w:rPr>
      </w:pPr>
      <w:r w:rsidRPr="00CB38AA">
        <w:rPr>
          <w:rFonts w:ascii="Times New Roman" w:hAnsi="Times New Roman" w:cs="Times New Roman"/>
          <w:sz w:val="24"/>
          <w:szCs w:val="24"/>
          <w:vertAlign w:val="superscript"/>
        </w:rPr>
        <w:t>2</w:t>
      </w:r>
      <w:r w:rsidRPr="00CB38AA">
        <w:rPr>
          <w:rFonts w:ascii="Times New Roman" w:hAnsi="Times New Roman" w:cs="Times New Roman"/>
          <w:sz w:val="24"/>
          <w:szCs w:val="24"/>
        </w:rPr>
        <w:t xml:space="preserve"> El Sol de Toluca (OEM). “El turismo en el Estado de México: un pilar económico y un destino en crecimiento.”</w:t>
      </w:r>
    </w:p>
    <w:p w:rsidR="00854A73" w:rsidRPr="00CB38AA" w:rsidRDefault="00854A73" w:rsidP="00DF6EEA">
      <w:pPr>
        <w:pStyle w:val="Textoindependiente"/>
        <w:rPr>
          <w:rFonts w:ascii="Times New Roman" w:hAnsi="Times New Roman" w:cs="Times New Roman"/>
        </w:rPr>
      </w:pPr>
    </w:p>
    <w:p w:rsidR="00854A73" w:rsidRPr="00CB38AA" w:rsidRDefault="00854A73" w:rsidP="00DF6EEA">
      <w:pPr>
        <w:pStyle w:val="Textoindependiente"/>
        <w:jc w:val="both"/>
        <w:rPr>
          <w:rFonts w:ascii="Times New Roman" w:hAnsi="Times New Roman" w:cs="Times New Roman"/>
        </w:rPr>
      </w:pPr>
      <w:r w:rsidRPr="00CB38AA">
        <w:rPr>
          <w:rFonts w:ascii="Times New Roman" w:hAnsi="Times New Roman" w:cs="Times New Roman"/>
        </w:rPr>
        <w:t>En consecuencia, es importante resaltar que la contribución turística del Estado de México es notable y justifica medidas que preserven y amplíen su efecto multiplicador sobre el empleo, la microempresa y las cadenas locales de valor.</w:t>
      </w:r>
      <w:r w:rsidRPr="00CB38AA">
        <w:rPr>
          <w:rFonts w:ascii="Times New Roman" w:hAnsi="Times New Roman" w:cs="Times New Roman"/>
          <w:vertAlign w:val="superscript"/>
        </w:rPr>
        <w:t>3</w:t>
      </w:r>
    </w:p>
    <w:p w:rsidR="00854A73" w:rsidRPr="00CB38AA" w:rsidRDefault="00854A73" w:rsidP="00DF6EEA">
      <w:pPr>
        <w:pStyle w:val="Textoindependiente"/>
        <w:rPr>
          <w:rFonts w:ascii="Times New Roman" w:hAnsi="Times New Roman" w:cs="Times New Roman"/>
        </w:rPr>
      </w:pPr>
    </w:p>
    <w:p w:rsidR="00854A73" w:rsidRPr="00CB38AA" w:rsidRDefault="00854A73" w:rsidP="00DF6EEA">
      <w:pPr>
        <w:pStyle w:val="Prrafodelista"/>
        <w:numPr>
          <w:ilvl w:val="0"/>
          <w:numId w:val="15"/>
        </w:numPr>
        <w:ind w:left="265" w:right="0" w:hanging="265"/>
        <w:rPr>
          <w:rFonts w:ascii="Times New Roman" w:hAnsi="Times New Roman" w:cs="Times New Roman"/>
          <w:b/>
          <w:sz w:val="24"/>
          <w:szCs w:val="24"/>
        </w:rPr>
      </w:pPr>
      <w:r w:rsidRPr="00CB38AA">
        <w:rPr>
          <w:rFonts w:ascii="Times New Roman" w:hAnsi="Times New Roman" w:cs="Times New Roman"/>
          <w:b/>
          <w:sz w:val="24"/>
          <w:szCs w:val="24"/>
        </w:rPr>
        <w:t>Crecimiento de la afluencia turística y vocación</w:t>
      </w:r>
    </w:p>
    <w:p w:rsidR="00854A73" w:rsidRPr="00CB38AA" w:rsidRDefault="00854A73" w:rsidP="00DF6EEA">
      <w:pPr>
        <w:pStyle w:val="Textoindependiente"/>
        <w:rPr>
          <w:rFonts w:ascii="Times New Roman" w:hAnsi="Times New Roman" w:cs="Times New Roman"/>
          <w:b/>
        </w:rPr>
      </w:pPr>
    </w:p>
    <w:p w:rsidR="00854A73" w:rsidRPr="00CB38AA" w:rsidRDefault="00854A73" w:rsidP="00DF6EEA">
      <w:pPr>
        <w:pStyle w:val="Textoindependiente"/>
        <w:jc w:val="both"/>
        <w:rPr>
          <w:rFonts w:ascii="Times New Roman" w:hAnsi="Times New Roman" w:cs="Times New Roman"/>
        </w:rPr>
      </w:pPr>
      <w:r w:rsidRPr="00CB38AA">
        <w:rPr>
          <w:rFonts w:ascii="Times New Roman" w:hAnsi="Times New Roman" w:cs="Times New Roman"/>
        </w:rPr>
        <w:t xml:space="preserve">En años recientes, la afluencia turística al Estado de México ha mostrado un crecimiento sostenido, especialmente en municipios con denominaciones especiales como Pueblos Mágicos (federales) y </w:t>
      </w:r>
      <w:r w:rsidRPr="00CB38AA">
        <w:rPr>
          <w:rFonts w:ascii="Times New Roman" w:hAnsi="Times New Roman" w:cs="Times New Roman"/>
        </w:rPr>
        <w:lastRenderedPageBreak/>
        <w:t>Pueblos con Encanto (estatales). La riqueza cultural, histórica y natural de la entidad, ofrece una combinación de patrimonio arqueológico, virreinal, paisajes naturales y festividades tradicionales (desde Teotihuacán hasta los volcanes) que atrae cada año a millones de visitantes.</w:t>
      </w:r>
    </w:p>
    <w:p w:rsidR="00854A73" w:rsidRPr="00CB38AA" w:rsidRDefault="00854A73" w:rsidP="00DF6EEA">
      <w:pPr>
        <w:pStyle w:val="Textoindependiente"/>
        <w:rPr>
          <w:rFonts w:ascii="Times New Roman" w:hAnsi="Times New Roman" w:cs="Times New Roman"/>
        </w:rPr>
      </w:pPr>
    </w:p>
    <w:p w:rsidR="00854A73" w:rsidRPr="00CB38AA" w:rsidRDefault="00854A73" w:rsidP="00DF6EEA">
      <w:pPr>
        <w:pStyle w:val="Textoindependiente"/>
        <w:jc w:val="both"/>
        <w:rPr>
          <w:rFonts w:ascii="Times New Roman" w:hAnsi="Times New Roman" w:cs="Times New Roman"/>
        </w:rPr>
      </w:pPr>
      <w:r w:rsidRPr="00CB38AA">
        <w:rPr>
          <w:rFonts w:ascii="Times New Roman" w:hAnsi="Times New Roman" w:cs="Times New Roman"/>
        </w:rPr>
        <w:t>Tan sólo en el último año, más de 5.5 millones de personas visitaron el Estado de México, generando una derrama económica superior a los 8 mil 600 millones de pesos.</w:t>
      </w:r>
      <w:r w:rsidRPr="00CB38AA">
        <w:rPr>
          <w:rFonts w:ascii="Times New Roman" w:hAnsi="Times New Roman" w:cs="Times New Roman"/>
          <w:vertAlign w:val="superscript"/>
        </w:rPr>
        <w:t>4</w:t>
      </w:r>
      <w:r w:rsidRPr="00CB38AA">
        <w:rPr>
          <w:rFonts w:ascii="Times New Roman" w:hAnsi="Times New Roman" w:cs="Times New Roman"/>
        </w:rPr>
        <w:t xml:space="preserve"> Gran parte de esa demanda se concentra en los 12 Pueblos Mágicos mexiquenses (Valle de Bravo, Malinalco, El Oro, Metepec, Aculco, Tepotzotlán, entre otros)</w:t>
      </w:r>
      <w:r w:rsidRPr="00CB38AA">
        <w:rPr>
          <w:rFonts w:ascii="Times New Roman" w:hAnsi="Times New Roman" w:cs="Times New Roman"/>
          <w:vertAlign w:val="superscript"/>
        </w:rPr>
        <w:t>5</w:t>
      </w:r>
      <w:r w:rsidRPr="00CB38AA">
        <w:rPr>
          <w:rFonts w:ascii="Times New Roman" w:hAnsi="Times New Roman" w:cs="Times New Roman"/>
        </w:rPr>
        <w:t xml:space="preserve"> y en decenas de Pueblos con Encanto distribuidos por toda la geografía estatal.</w:t>
      </w:r>
    </w:p>
    <w:p w:rsidR="00854A73" w:rsidRPr="00CB38AA" w:rsidRDefault="00854A73" w:rsidP="00DF6EEA">
      <w:pPr>
        <w:pStyle w:val="Textoindependiente"/>
        <w:rPr>
          <w:rFonts w:ascii="Times New Roman" w:hAnsi="Times New Roman" w:cs="Times New Roman"/>
        </w:rPr>
      </w:pPr>
    </w:p>
    <w:p w:rsidR="00854A73" w:rsidRPr="00CB38AA" w:rsidRDefault="00854A73" w:rsidP="00DF6EEA">
      <w:pPr>
        <w:pStyle w:val="Textoindependiente"/>
        <w:jc w:val="both"/>
        <w:rPr>
          <w:rFonts w:ascii="Times New Roman" w:hAnsi="Times New Roman" w:cs="Times New Roman"/>
        </w:rPr>
      </w:pPr>
      <w:r w:rsidRPr="00CB38AA">
        <w:rPr>
          <w:rFonts w:ascii="Times New Roman" w:hAnsi="Times New Roman" w:cs="Times New Roman"/>
        </w:rPr>
        <w:t>Las autoridades estatales reportan incrementos en la llegada de turistas a estos destinos, lo que fortalece economías locales, impulsa microempresas turísticas y contribuye a la conservación de tradiciones culturales. Sin embargo, el crecimiento demanda mayores retos en materia de seguridad, calidad de servicios e infraestructura, y exige mecanismos especializados para garantizar experiencias de viaje seguras, satisfactorias y ordenadas.</w:t>
      </w:r>
    </w:p>
    <w:p w:rsidR="00854A73" w:rsidRPr="00CB38AA" w:rsidRDefault="00854A73" w:rsidP="00DF6EEA">
      <w:pPr>
        <w:pStyle w:val="Textoindependiente"/>
        <w:rPr>
          <w:rFonts w:ascii="Times New Roman" w:hAnsi="Times New Roman" w:cs="Times New Roman"/>
        </w:rPr>
      </w:pPr>
    </w:p>
    <w:p w:rsidR="00854A73" w:rsidRPr="00CB38AA" w:rsidRDefault="00854A73" w:rsidP="00DF6EEA">
      <w:pPr>
        <w:spacing w:after="0" w:line="240" w:lineRule="auto"/>
        <w:rPr>
          <w:rFonts w:ascii="Times New Roman" w:hAnsi="Times New Roman" w:cs="Times New Roman"/>
          <w:sz w:val="24"/>
          <w:szCs w:val="24"/>
        </w:rPr>
      </w:pPr>
      <w:r w:rsidRPr="00CB38AA">
        <w:rPr>
          <w:rFonts w:ascii="Times New Roman" w:hAnsi="Times New Roman" w:cs="Times New Roman"/>
          <w:sz w:val="24"/>
          <w:szCs w:val="24"/>
          <w:vertAlign w:val="superscript"/>
        </w:rPr>
        <w:t>3</w:t>
      </w:r>
      <w:r w:rsidRPr="00CB38AA">
        <w:rPr>
          <w:rFonts w:ascii="Times New Roman" w:hAnsi="Times New Roman" w:cs="Times New Roman"/>
          <w:sz w:val="24"/>
          <w:szCs w:val="24"/>
        </w:rPr>
        <w:t xml:space="preserve"> Secretaría de Turismo y DATATUR 360. El PIB turístico estatal y municipal 2018-2022 en México una aproximación. Mayo 2024. Disponible en: https://</w:t>
      </w:r>
      <w:hyperlink r:id="rId37">
        <w:r w:rsidRPr="00CB38AA">
          <w:rPr>
            <w:rFonts w:ascii="Times New Roman" w:hAnsi="Times New Roman" w:cs="Times New Roman"/>
            <w:sz w:val="24"/>
            <w:szCs w:val="24"/>
          </w:rPr>
          <w:t>www.datatur.sectur.gob.mx/Documentos%20compartidos/Aproximacion_al_PIB_Turistico_Estatal</w:t>
        </w:r>
      </w:hyperlink>
    </w:p>
    <w:p w:rsidR="00854A73" w:rsidRPr="00CB38AA" w:rsidRDefault="00854A73" w:rsidP="00DF6EEA">
      <w:pPr>
        <w:spacing w:after="0" w:line="240" w:lineRule="auto"/>
        <w:rPr>
          <w:rFonts w:ascii="Times New Roman" w:hAnsi="Times New Roman" w:cs="Times New Roman"/>
          <w:sz w:val="24"/>
          <w:szCs w:val="24"/>
        </w:rPr>
      </w:pPr>
      <w:r w:rsidRPr="00CB38AA">
        <w:rPr>
          <w:rFonts w:ascii="Times New Roman" w:hAnsi="Times New Roman" w:cs="Times New Roman"/>
          <w:sz w:val="24"/>
          <w:szCs w:val="24"/>
        </w:rPr>
        <w:t>_y_Municipal.pdf_2018-2022.pdf</w:t>
      </w:r>
    </w:p>
    <w:p w:rsidR="00854A73" w:rsidRPr="00CB38AA" w:rsidRDefault="00854A73" w:rsidP="00DF6EEA">
      <w:pPr>
        <w:spacing w:after="0" w:line="240" w:lineRule="auto"/>
        <w:rPr>
          <w:rFonts w:ascii="Times New Roman" w:hAnsi="Times New Roman" w:cs="Times New Roman"/>
          <w:sz w:val="24"/>
          <w:szCs w:val="24"/>
        </w:rPr>
      </w:pPr>
      <w:r w:rsidRPr="00CB38AA">
        <w:rPr>
          <w:rFonts w:ascii="Times New Roman" w:hAnsi="Times New Roman" w:cs="Times New Roman"/>
          <w:sz w:val="24"/>
          <w:szCs w:val="24"/>
          <w:vertAlign w:val="superscript"/>
        </w:rPr>
        <w:t>4</w:t>
      </w:r>
      <w:r w:rsidRPr="00CB38AA">
        <w:rPr>
          <w:rFonts w:ascii="Times New Roman" w:hAnsi="Times New Roman" w:cs="Times New Roman"/>
          <w:sz w:val="24"/>
          <w:szCs w:val="24"/>
        </w:rPr>
        <w:t xml:space="preserve"> El Sol de Toluca (OEM). “El turismo en el Estado de México: un pilar económico y un destino en crecimiento.”</w:t>
      </w:r>
    </w:p>
    <w:p w:rsidR="00854A73" w:rsidRPr="00CB38AA" w:rsidRDefault="00854A73" w:rsidP="00DF6EEA">
      <w:pPr>
        <w:spacing w:after="0" w:line="240" w:lineRule="auto"/>
        <w:rPr>
          <w:rFonts w:ascii="Times New Roman" w:hAnsi="Times New Roman" w:cs="Times New Roman"/>
          <w:sz w:val="24"/>
          <w:szCs w:val="24"/>
        </w:rPr>
      </w:pPr>
      <w:r w:rsidRPr="00CB38AA">
        <w:rPr>
          <w:rFonts w:ascii="Times New Roman" w:hAnsi="Times New Roman" w:cs="Times New Roman"/>
          <w:sz w:val="24"/>
          <w:szCs w:val="24"/>
          <w:vertAlign w:val="superscript"/>
        </w:rPr>
        <w:t>5</w:t>
      </w:r>
      <w:r w:rsidRPr="00CB38AA">
        <w:rPr>
          <w:rFonts w:ascii="Times New Roman" w:hAnsi="Times New Roman" w:cs="Times New Roman"/>
          <w:sz w:val="24"/>
          <w:szCs w:val="24"/>
        </w:rPr>
        <w:tab/>
        <w:t>Gobierno</w:t>
      </w:r>
      <w:r w:rsidRPr="00CB38AA">
        <w:rPr>
          <w:rFonts w:ascii="Times New Roman" w:hAnsi="Times New Roman" w:cs="Times New Roman"/>
          <w:sz w:val="24"/>
          <w:szCs w:val="24"/>
        </w:rPr>
        <w:tab/>
        <w:t>del</w:t>
      </w:r>
      <w:r w:rsidRPr="00CB38AA">
        <w:rPr>
          <w:rFonts w:ascii="Times New Roman" w:hAnsi="Times New Roman" w:cs="Times New Roman"/>
          <w:sz w:val="24"/>
          <w:szCs w:val="24"/>
        </w:rPr>
        <w:tab/>
        <w:t>Estado</w:t>
      </w:r>
      <w:r w:rsidRPr="00CB38AA">
        <w:rPr>
          <w:rFonts w:ascii="Times New Roman" w:hAnsi="Times New Roman" w:cs="Times New Roman"/>
          <w:sz w:val="24"/>
          <w:szCs w:val="24"/>
        </w:rPr>
        <w:tab/>
        <w:t>de</w:t>
      </w:r>
      <w:r w:rsidRPr="00CB38AA">
        <w:rPr>
          <w:rFonts w:ascii="Times New Roman" w:hAnsi="Times New Roman" w:cs="Times New Roman"/>
          <w:sz w:val="24"/>
          <w:szCs w:val="24"/>
        </w:rPr>
        <w:tab/>
        <w:t>México</w:t>
      </w:r>
      <w:r w:rsidRPr="00CB38AA">
        <w:rPr>
          <w:rFonts w:ascii="Times New Roman" w:hAnsi="Times New Roman" w:cs="Times New Roman"/>
          <w:sz w:val="24"/>
          <w:szCs w:val="24"/>
        </w:rPr>
        <w:tab/>
        <w:t>-</w:t>
      </w:r>
      <w:r w:rsidRPr="00CB38AA">
        <w:rPr>
          <w:rFonts w:ascii="Times New Roman" w:hAnsi="Times New Roman" w:cs="Times New Roman"/>
          <w:sz w:val="24"/>
          <w:szCs w:val="24"/>
        </w:rPr>
        <w:tab/>
        <w:t>Turismo.</w:t>
      </w:r>
      <w:r w:rsidRPr="00CB38AA">
        <w:rPr>
          <w:rFonts w:ascii="Times New Roman" w:hAnsi="Times New Roman" w:cs="Times New Roman"/>
          <w:sz w:val="24"/>
          <w:szCs w:val="24"/>
        </w:rPr>
        <w:tab/>
        <w:t>Pueblos</w:t>
      </w:r>
      <w:r w:rsidRPr="00CB38AA">
        <w:rPr>
          <w:rFonts w:ascii="Times New Roman" w:hAnsi="Times New Roman" w:cs="Times New Roman"/>
          <w:sz w:val="24"/>
          <w:szCs w:val="24"/>
        </w:rPr>
        <w:tab/>
        <w:t>Mágicos: https://turismo.edomex.gob.mx/pueblos_magicos</w:t>
      </w:r>
    </w:p>
    <w:p w:rsidR="00854A73" w:rsidRPr="00CB38AA" w:rsidRDefault="00854A73" w:rsidP="00DF6EEA">
      <w:pPr>
        <w:pStyle w:val="Textoindependiente"/>
        <w:rPr>
          <w:rFonts w:ascii="Times New Roman" w:hAnsi="Times New Roman" w:cs="Times New Roman"/>
        </w:rPr>
      </w:pPr>
    </w:p>
    <w:p w:rsidR="00854A73" w:rsidRPr="00CB38AA" w:rsidRDefault="00854A73" w:rsidP="00DF6EEA">
      <w:pPr>
        <w:pStyle w:val="Prrafodelista"/>
        <w:numPr>
          <w:ilvl w:val="0"/>
          <w:numId w:val="15"/>
        </w:numPr>
        <w:ind w:left="332" w:right="0" w:hanging="332"/>
        <w:rPr>
          <w:rFonts w:ascii="Times New Roman" w:hAnsi="Times New Roman" w:cs="Times New Roman"/>
          <w:b/>
          <w:sz w:val="24"/>
          <w:szCs w:val="24"/>
        </w:rPr>
      </w:pPr>
      <w:r w:rsidRPr="00CB38AA">
        <w:rPr>
          <w:rFonts w:ascii="Times New Roman" w:hAnsi="Times New Roman" w:cs="Times New Roman"/>
          <w:b/>
          <w:sz w:val="24"/>
          <w:szCs w:val="24"/>
        </w:rPr>
        <w:t>Mundial FIFA 2026: derrame territorial y preparación integral</w:t>
      </w:r>
    </w:p>
    <w:p w:rsidR="00854A73" w:rsidRPr="00CB38AA" w:rsidRDefault="00854A73" w:rsidP="00DF6EEA">
      <w:pPr>
        <w:pStyle w:val="Textoindependiente"/>
        <w:rPr>
          <w:rFonts w:ascii="Times New Roman" w:hAnsi="Times New Roman" w:cs="Times New Roman"/>
          <w:b/>
        </w:rPr>
      </w:pPr>
    </w:p>
    <w:p w:rsidR="00854A73" w:rsidRPr="00CB38AA" w:rsidRDefault="00854A73" w:rsidP="00DF6EEA">
      <w:pPr>
        <w:pStyle w:val="Textoindependiente"/>
        <w:jc w:val="both"/>
        <w:rPr>
          <w:rFonts w:ascii="Times New Roman" w:hAnsi="Times New Roman" w:cs="Times New Roman"/>
        </w:rPr>
      </w:pPr>
      <w:r w:rsidRPr="00CB38AA">
        <w:rPr>
          <w:rFonts w:ascii="Times New Roman" w:hAnsi="Times New Roman" w:cs="Times New Roman"/>
        </w:rPr>
        <w:t>El Mundial FIFA 2026, en el que México es coanfitrión con Estados Unidos y Canadá, representará un estímulo extraordinario de demanda turística para México: se estima que el país podría recibir más de 5 millones de visitantes durante el evento,</w:t>
      </w:r>
      <w:r w:rsidRPr="00CB38AA">
        <w:rPr>
          <w:rFonts w:ascii="Times New Roman" w:hAnsi="Times New Roman" w:cs="Times New Roman"/>
          <w:vertAlign w:val="superscript"/>
        </w:rPr>
        <w:t>6</w:t>
      </w:r>
      <w:r w:rsidRPr="00CB38AA">
        <w:rPr>
          <w:rFonts w:ascii="Times New Roman" w:hAnsi="Times New Roman" w:cs="Times New Roman"/>
        </w:rPr>
        <w:t xml:space="preserve"> lo que implicará una importante derrama económica de entre 1.8 y 3 mil millones de dólares.</w:t>
      </w:r>
      <w:r w:rsidRPr="00CB38AA">
        <w:rPr>
          <w:rFonts w:ascii="Times New Roman" w:hAnsi="Times New Roman" w:cs="Times New Roman"/>
          <w:vertAlign w:val="superscript"/>
        </w:rPr>
        <w:t>7</w:t>
      </w:r>
    </w:p>
    <w:p w:rsidR="00854A73" w:rsidRPr="00CB38AA" w:rsidRDefault="00854A73" w:rsidP="00DF6EEA">
      <w:pPr>
        <w:pStyle w:val="Textoindependiente"/>
        <w:rPr>
          <w:rFonts w:ascii="Times New Roman" w:hAnsi="Times New Roman" w:cs="Times New Roman"/>
        </w:rPr>
      </w:pPr>
    </w:p>
    <w:p w:rsidR="00854A73" w:rsidRPr="00CB38AA" w:rsidRDefault="00854A73" w:rsidP="00DF6EEA">
      <w:pPr>
        <w:pStyle w:val="Textoindependiente"/>
        <w:jc w:val="both"/>
        <w:rPr>
          <w:rFonts w:ascii="Times New Roman" w:hAnsi="Times New Roman" w:cs="Times New Roman"/>
        </w:rPr>
      </w:pPr>
      <w:r w:rsidRPr="00CB38AA">
        <w:rPr>
          <w:rFonts w:ascii="Times New Roman" w:hAnsi="Times New Roman" w:cs="Times New Roman"/>
        </w:rPr>
        <w:t xml:space="preserve">Es relevante mencionar que, en mega eventos deportivos, el impacto económico no se limita a las ciudades sede: por razones de capacidad hotelera, precios, logística y preferencias de experiencia, una parte sustancial del gasto se redistribuye hacia territorios cercanos, fenómeno conocido como derrame regional o </w:t>
      </w:r>
      <w:r w:rsidRPr="00CB38AA">
        <w:rPr>
          <w:rFonts w:ascii="Times New Roman" w:hAnsi="Times New Roman" w:cs="Times New Roman"/>
          <w:i/>
        </w:rPr>
        <w:t>spillover</w:t>
      </w:r>
      <w:r w:rsidRPr="00CB38AA">
        <w:rPr>
          <w:rFonts w:ascii="Times New Roman" w:hAnsi="Times New Roman" w:cs="Times New Roman"/>
        </w:rPr>
        <w:t>. Estudios comparados, incluido un análisis del FMI sobre el anterior mundial FIFA de Qatar 2022, muestran que una proporción relevante de espectadores se aloja fuera del núcleo urbano y se traslada a los eventos, generando beneficios en áreas adyacentes.</w:t>
      </w:r>
      <w:r w:rsidRPr="00CB38AA">
        <w:rPr>
          <w:rFonts w:ascii="Times New Roman" w:hAnsi="Times New Roman" w:cs="Times New Roman"/>
          <w:vertAlign w:val="superscript"/>
        </w:rPr>
        <w:t>8</w:t>
      </w:r>
    </w:p>
    <w:p w:rsidR="00854A73" w:rsidRPr="00CB38AA" w:rsidRDefault="00854A73" w:rsidP="00DF6EEA">
      <w:pPr>
        <w:pStyle w:val="Textoindependiente"/>
        <w:rPr>
          <w:rFonts w:ascii="Times New Roman" w:hAnsi="Times New Roman" w:cs="Times New Roman"/>
        </w:rPr>
      </w:pPr>
    </w:p>
    <w:p w:rsidR="00854A73" w:rsidRPr="00CB38AA" w:rsidRDefault="00854A73" w:rsidP="00DF6EEA">
      <w:pPr>
        <w:pStyle w:val="Textoindependiente"/>
        <w:jc w:val="both"/>
        <w:rPr>
          <w:rFonts w:ascii="Times New Roman" w:hAnsi="Times New Roman" w:cs="Times New Roman"/>
        </w:rPr>
      </w:pPr>
      <w:r w:rsidRPr="00CB38AA">
        <w:rPr>
          <w:rFonts w:ascii="Times New Roman" w:hAnsi="Times New Roman" w:cs="Times New Roman"/>
        </w:rPr>
        <w:t>En la Zona Metropolitana del Valle de México, esta dinámica económica constituye una enorme oportunidad. Por proximidad, oferta turística consolidada, y sus múltiples corredores culturales y arqueológicos, el Estado de México actúa como extensión natural de la Ciudad de México.</w:t>
      </w:r>
    </w:p>
    <w:p w:rsidR="00854A73" w:rsidRPr="00CB38AA" w:rsidRDefault="00854A73" w:rsidP="00DF6EEA">
      <w:pPr>
        <w:pStyle w:val="Textoindependiente"/>
        <w:rPr>
          <w:rFonts w:ascii="Times New Roman" w:hAnsi="Times New Roman" w:cs="Times New Roman"/>
        </w:rPr>
      </w:pPr>
      <w:r w:rsidRPr="00CB38AA">
        <w:rPr>
          <w:rFonts w:ascii="Times New Roman" w:hAnsi="Times New Roman" w:cs="Times New Roman"/>
          <w:noProof/>
        </w:rPr>
        <mc:AlternateContent>
          <mc:Choice Requires="wps">
            <w:drawing>
              <wp:anchor distT="0" distB="0" distL="0" distR="0" simplePos="0" relativeHeight="251674624" behindDoc="1" locked="0" layoutInCell="1" allowOverlap="1" wp14:anchorId="36A10955" wp14:editId="5AEFD306">
                <wp:simplePos x="0" y="0"/>
                <wp:positionH relativeFrom="page">
                  <wp:posOffset>914400</wp:posOffset>
                </wp:positionH>
                <wp:positionV relativeFrom="paragraph">
                  <wp:posOffset>292864</wp:posOffset>
                </wp:positionV>
                <wp:extent cx="1828800" cy="9525"/>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4"/>
                              </a:lnTo>
                              <a:lnTo>
                                <a:pt x="1828800" y="9144"/>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DA9D321" id="Graphic 10" o:spid="_x0000_s1026" style="position:absolute;margin-left:1in;margin-top:23.05pt;width:2in;height:.75pt;z-index:-251641856;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" path="m1828800,l,,,9144r1828800,l1828800,xe" fillcolor="black" stroked="f">
                <v:path arrowok="t"/>
                <w10:wrap type="topAndBottom" anchorx="page"/>
              </v:shape>
            </w:pict>
          </mc:Fallback>
        </mc:AlternateContent>
      </w:r>
    </w:p>
    <w:p w:rsidR="00854A73" w:rsidRPr="00CB38AA" w:rsidRDefault="00854A73"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vertAlign w:val="superscript"/>
        </w:rPr>
        <w:t>6</w:t>
      </w:r>
      <w:r w:rsidRPr="00CB38AA">
        <w:rPr>
          <w:rFonts w:ascii="Times New Roman" w:hAnsi="Times New Roman" w:cs="Times New Roman"/>
          <w:sz w:val="24"/>
          <w:szCs w:val="24"/>
        </w:rPr>
        <w:t xml:space="preserve"> U.S. International Trade Administration (trade.gov). “Mexico World Cup 2026 Opportunities.” https://</w:t>
      </w:r>
      <w:hyperlink r:id="rId38">
        <w:r w:rsidRPr="00CB38AA">
          <w:rPr>
            <w:rFonts w:ascii="Times New Roman" w:hAnsi="Times New Roman" w:cs="Times New Roman"/>
            <w:sz w:val="24"/>
            <w:szCs w:val="24"/>
          </w:rPr>
          <w:t>www.trade.gov/market-intelligence/mexico-world-cup-2026-opportunities</w:t>
        </w:r>
      </w:hyperlink>
    </w:p>
    <w:p w:rsidR="00854A73" w:rsidRPr="00CB38AA" w:rsidRDefault="00854A73"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vertAlign w:val="superscript"/>
        </w:rPr>
        <w:t>7</w:t>
      </w:r>
      <w:r w:rsidRPr="00CB38AA">
        <w:rPr>
          <w:rFonts w:ascii="Times New Roman" w:hAnsi="Times New Roman" w:cs="Times New Roman"/>
          <w:sz w:val="24"/>
          <w:szCs w:val="24"/>
        </w:rPr>
        <w:t xml:space="preserve"> Los mexicanos se vuelcan con el Mundial 2026. El País.</w:t>
      </w:r>
    </w:p>
    <w:p w:rsidR="00854A73" w:rsidRPr="00CB38AA" w:rsidRDefault="00854A73"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vertAlign w:val="superscript"/>
        </w:rPr>
        <w:lastRenderedPageBreak/>
        <w:t>8</w:t>
      </w:r>
      <w:r w:rsidRPr="00CB38AA">
        <w:rPr>
          <w:rFonts w:ascii="Times New Roman" w:hAnsi="Times New Roman" w:cs="Times New Roman"/>
          <w:sz w:val="24"/>
          <w:szCs w:val="24"/>
        </w:rPr>
        <w:t xml:space="preserve"> Fondo Monetario Internacional. “2022 FIFA World Cup: Economic Impact on Qatar and Regional Spillovers” (Selected Issues Paper SIP/2024/011). https://</w:t>
      </w:r>
      <w:hyperlink r:id="rId39">
        <w:r w:rsidRPr="00CB38AA">
          <w:rPr>
            <w:rFonts w:ascii="Times New Roman" w:hAnsi="Times New Roman" w:cs="Times New Roman"/>
            <w:sz w:val="24"/>
            <w:szCs w:val="24"/>
          </w:rPr>
          <w:t>www.imf.org/-/media/files/publications/selected-</w:t>
        </w:r>
      </w:hyperlink>
      <w:r w:rsidRPr="00CB38AA">
        <w:rPr>
          <w:rFonts w:ascii="Times New Roman" w:hAnsi="Times New Roman" w:cs="Times New Roman"/>
          <w:sz w:val="24"/>
          <w:szCs w:val="24"/>
        </w:rPr>
        <w:t xml:space="preserve"> issues-papers/2024/english/sipea2024011.pdf</w:t>
      </w:r>
    </w:p>
    <w:p w:rsidR="00854A73" w:rsidRPr="00CB38AA" w:rsidRDefault="00854A73" w:rsidP="00DF6EEA">
      <w:pPr>
        <w:pStyle w:val="Textoindependiente"/>
        <w:rPr>
          <w:rFonts w:ascii="Times New Roman" w:hAnsi="Times New Roman" w:cs="Times New Roman"/>
        </w:rPr>
      </w:pPr>
    </w:p>
    <w:p w:rsidR="00854A73" w:rsidRPr="00CB38AA" w:rsidRDefault="00854A73" w:rsidP="00DF6EEA">
      <w:pPr>
        <w:pStyle w:val="Textoindependiente"/>
        <w:jc w:val="both"/>
        <w:rPr>
          <w:rFonts w:ascii="Times New Roman" w:hAnsi="Times New Roman" w:cs="Times New Roman"/>
        </w:rPr>
      </w:pPr>
      <w:r w:rsidRPr="00CB38AA">
        <w:rPr>
          <w:rFonts w:ascii="Times New Roman" w:hAnsi="Times New Roman" w:cs="Times New Roman"/>
        </w:rPr>
        <w:t>A este cuadro se suma un componente decisivo: el turismo cultural y arqueológico, altamente demandado por el visitante extranjero. Entre enero y julio de 2024, los museos y zonas arqueológicas de México recibieron a más de 11.47 millones de visitantes, de los cuales 25.8% fueron internacionales, lo que evidencia el peso del mercado extranjero en este tipo de atractivos.</w:t>
      </w:r>
      <w:r w:rsidRPr="00CB38AA">
        <w:rPr>
          <w:rFonts w:ascii="Times New Roman" w:hAnsi="Times New Roman" w:cs="Times New Roman"/>
          <w:vertAlign w:val="superscript"/>
        </w:rPr>
        <w:t>9</w:t>
      </w:r>
    </w:p>
    <w:p w:rsidR="00854A73" w:rsidRPr="00CB38AA" w:rsidRDefault="00854A73" w:rsidP="00DF6EEA">
      <w:pPr>
        <w:pStyle w:val="Textoindependiente"/>
        <w:rPr>
          <w:rFonts w:ascii="Times New Roman" w:hAnsi="Times New Roman" w:cs="Times New Roman"/>
        </w:rPr>
      </w:pPr>
    </w:p>
    <w:p w:rsidR="00854A73" w:rsidRPr="00CB38AA" w:rsidRDefault="00854A73" w:rsidP="00DF6EEA">
      <w:pPr>
        <w:pStyle w:val="Textoindependiente"/>
        <w:jc w:val="both"/>
        <w:rPr>
          <w:rFonts w:ascii="Times New Roman" w:hAnsi="Times New Roman" w:cs="Times New Roman"/>
        </w:rPr>
      </w:pPr>
      <w:r w:rsidRPr="00CB38AA">
        <w:rPr>
          <w:rFonts w:ascii="Times New Roman" w:hAnsi="Times New Roman" w:cs="Times New Roman"/>
        </w:rPr>
        <w:t>Teotihuacán y su circuito cultural, junto con otros sitios patrimoniales y destinos de estancia corta en el Estado de México, son imanes naturales para visitantes que asisten a un evento global y buscan excursiones icónicas fuera de la sede. Las estadísticas oficiales del Instituto Nacional de Antropología e Historia (INAH) permiten no sólo monitorear estos flujos por entidad y por sitio, sino que facilitan la planeación basada en evidencia.</w:t>
      </w:r>
      <w:r w:rsidRPr="00CB38AA">
        <w:rPr>
          <w:rFonts w:ascii="Times New Roman" w:hAnsi="Times New Roman" w:cs="Times New Roman"/>
          <w:vertAlign w:val="superscript"/>
        </w:rPr>
        <w:t>10</w:t>
      </w:r>
    </w:p>
    <w:p w:rsidR="00854A73" w:rsidRPr="00CB38AA" w:rsidRDefault="00854A73" w:rsidP="00DF6EEA">
      <w:pPr>
        <w:pStyle w:val="Textoindependiente"/>
        <w:rPr>
          <w:rFonts w:ascii="Times New Roman" w:hAnsi="Times New Roman" w:cs="Times New Roman"/>
        </w:rPr>
      </w:pPr>
    </w:p>
    <w:p w:rsidR="00854A73" w:rsidRPr="00CB38AA" w:rsidRDefault="00854A73" w:rsidP="00DF6EEA">
      <w:pPr>
        <w:pStyle w:val="Textoindependiente"/>
        <w:jc w:val="both"/>
        <w:rPr>
          <w:rFonts w:ascii="Times New Roman" w:hAnsi="Times New Roman" w:cs="Times New Roman"/>
        </w:rPr>
      </w:pPr>
      <w:r w:rsidRPr="00CB38AA">
        <w:rPr>
          <w:rFonts w:ascii="Times New Roman" w:hAnsi="Times New Roman" w:cs="Times New Roman"/>
        </w:rPr>
        <w:t>Frente al aumento de visitantes y de visibilidad internacional, también crece la exposición a fraudes, abusos en la prestación de servicios, conflictos de consumo, extravíos, accidentes y delitos oportunistas, con costos inmediatos para los destinos. De ahí la conveniencia de contar con instituciones especializadas en la materia.</w:t>
      </w:r>
    </w:p>
    <w:p w:rsidR="00854A73" w:rsidRPr="00CB38AA" w:rsidRDefault="00854A73" w:rsidP="00DF6EEA">
      <w:pPr>
        <w:pStyle w:val="Textoindependiente"/>
        <w:rPr>
          <w:rFonts w:ascii="Times New Roman" w:hAnsi="Times New Roman" w:cs="Times New Roman"/>
        </w:rPr>
      </w:pPr>
    </w:p>
    <w:p w:rsidR="00854A73" w:rsidRPr="00CB38AA" w:rsidRDefault="00854A73" w:rsidP="00DF6EEA">
      <w:pPr>
        <w:pStyle w:val="Prrafodelista"/>
        <w:numPr>
          <w:ilvl w:val="0"/>
          <w:numId w:val="15"/>
        </w:numPr>
        <w:ind w:left="0" w:right="0" w:firstLine="0"/>
        <w:rPr>
          <w:rFonts w:ascii="Times New Roman" w:hAnsi="Times New Roman" w:cs="Times New Roman"/>
          <w:b/>
          <w:sz w:val="24"/>
          <w:szCs w:val="24"/>
        </w:rPr>
      </w:pPr>
      <w:r w:rsidRPr="00CB38AA">
        <w:rPr>
          <w:rFonts w:ascii="Times New Roman" w:hAnsi="Times New Roman" w:cs="Times New Roman"/>
          <w:b/>
          <w:sz w:val="24"/>
          <w:szCs w:val="24"/>
        </w:rPr>
        <w:t>Necesidad de una instancia especializada de atención y defensa del turista, y sus referentes nacionales</w:t>
      </w:r>
    </w:p>
    <w:p w:rsidR="00854A73" w:rsidRPr="00CB38AA" w:rsidRDefault="00854A73" w:rsidP="00DF6EEA">
      <w:pPr>
        <w:pStyle w:val="Textoindependiente"/>
        <w:rPr>
          <w:rFonts w:ascii="Times New Roman" w:hAnsi="Times New Roman" w:cs="Times New Roman"/>
          <w:b/>
        </w:rPr>
      </w:pPr>
    </w:p>
    <w:p w:rsidR="00854A73" w:rsidRPr="00CB38AA" w:rsidRDefault="00854A73" w:rsidP="00DF6EEA">
      <w:pPr>
        <w:pStyle w:val="Textoindependiente"/>
        <w:jc w:val="both"/>
        <w:rPr>
          <w:rFonts w:ascii="Times New Roman" w:hAnsi="Times New Roman" w:cs="Times New Roman"/>
        </w:rPr>
      </w:pPr>
      <w:r w:rsidRPr="00CB38AA">
        <w:rPr>
          <w:rFonts w:ascii="Times New Roman" w:hAnsi="Times New Roman" w:cs="Times New Roman"/>
        </w:rPr>
        <w:t>A pesar del peso económico del turismo en la entidad, el Estado de México carece de una instancia especializada encargada de dar certeza jurídica, atención y mediación en los incidentes que afectan a visitantes. La existencia de organismos con estas funciones en otras entidades turísticas ofrece un referente probado de su utilidad:</w:t>
      </w:r>
    </w:p>
    <w:p w:rsidR="00854A73" w:rsidRPr="00CB38AA" w:rsidRDefault="00854A73" w:rsidP="00DF6EEA">
      <w:pPr>
        <w:pStyle w:val="Textoindependiente"/>
        <w:rPr>
          <w:rFonts w:ascii="Times New Roman" w:hAnsi="Times New Roman" w:cs="Times New Roman"/>
        </w:rPr>
      </w:pPr>
    </w:p>
    <w:p w:rsidR="00854A73" w:rsidRPr="00CB38AA" w:rsidRDefault="00854A73" w:rsidP="00DF6EEA">
      <w:pPr>
        <w:spacing w:after="0" w:line="240" w:lineRule="auto"/>
        <w:rPr>
          <w:rFonts w:ascii="Times New Roman" w:hAnsi="Times New Roman" w:cs="Times New Roman"/>
          <w:sz w:val="24"/>
          <w:szCs w:val="24"/>
        </w:rPr>
      </w:pPr>
      <w:r w:rsidRPr="00CB38AA">
        <w:rPr>
          <w:rFonts w:ascii="Times New Roman" w:hAnsi="Times New Roman" w:cs="Times New Roman"/>
          <w:sz w:val="24"/>
          <w:szCs w:val="24"/>
          <w:vertAlign w:val="superscript"/>
        </w:rPr>
        <w:t>9</w:t>
      </w:r>
      <w:r w:rsidRPr="00CB38AA">
        <w:rPr>
          <w:rFonts w:ascii="Times New Roman" w:hAnsi="Times New Roman" w:cs="Times New Roman"/>
          <w:sz w:val="24"/>
          <w:szCs w:val="24"/>
        </w:rPr>
        <w:tab/>
        <w:t>SECTUR/Datatur.</w:t>
      </w:r>
      <w:r w:rsidRPr="00CB38AA">
        <w:rPr>
          <w:rFonts w:ascii="Times New Roman" w:hAnsi="Times New Roman" w:cs="Times New Roman"/>
          <w:sz w:val="24"/>
          <w:szCs w:val="24"/>
        </w:rPr>
        <w:tab/>
        <w:t>Reporte</w:t>
      </w:r>
      <w:r w:rsidRPr="00CB38AA">
        <w:rPr>
          <w:rFonts w:ascii="Times New Roman" w:hAnsi="Times New Roman" w:cs="Times New Roman"/>
          <w:sz w:val="24"/>
          <w:szCs w:val="24"/>
        </w:rPr>
        <w:tab/>
        <w:t>de</w:t>
      </w:r>
      <w:r w:rsidRPr="00CB38AA">
        <w:rPr>
          <w:rFonts w:ascii="Times New Roman" w:hAnsi="Times New Roman" w:cs="Times New Roman"/>
          <w:sz w:val="24"/>
          <w:szCs w:val="24"/>
        </w:rPr>
        <w:tab/>
        <w:t>la</w:t>
      </w:r>
      <w:r w:rsidRPr="00CB38AA">
        <w:rPr>
          <w:rFonts w:ascii="Times New Roman" w:hAnsi="Times New Roman" w:cs="Times New Roman"/>
          <w:sz w:val="24"/>
          <w:szCs w:val="24"/>
        </w:rPr>
        <w:tab/>
        <w:t>Actividad</w:t>
      </w:r>
      <w:r w:rsidRPr="00CB38AA">
        <w:rPr>
          <w:rFonts w:ascii="Times New Roman" w:hAnsi="Times New Roman" w:cs="Times New Roman"/>
          <w:sz w:val="24"/>
          <w:szCs w:val="24"/>
        </w:rPr>
        <w:tab/>
        <w:t>Turística</w:t>
      </w:r>
      <w:r w:rsidRPr="00CB38AA">
        <w:rPr>
          <w:rFonts w:ascii="Times New Roman" w:hAnsi="Times New Roman" w:cs="Times New Roman"/>
          <w:sz w:val="24"/>
          <w:szCs w:val="24"/>
        </w:rPr>
        <w:tab/>
        <w:t>(RAT)</w:t>
      </w:r>
      <w:r w:rsidRPr="00CB38AA">
        <w:rPr>
          <w:rFonts w:ascii="Times New Roman" w:hAnsi="Times New Roman" w:cs="Times New Roman"/>
          <w:sz w:val="24"/>
          <w:szCs w:val="24"/>
        </w:rPr>
        <w:tab/>
        <w:t>julio</w:t>
      </w:r>
      <w:r w:rsidRPr="00CB38AA">
        <w:rPr>
          <w:rFonts w:ascii="Times New Roman" w:hAnsi="Times New Roman" w:cs="Times New Roman"/>
          <w:sz w:val="24"/>
          <w:szCs w:val="24"/>
        </w:rPr>
        <w:tab/>
        <w:t>2024.</w:t>
      </w:r>
    </w:p>
    <w:p w:rsidR="00854A73" w:rsidRPr="00CB38AA" w:rsidRDefault="00854A73" w:rsidP="00DF6EEA">
      <w:pPr>
        <w:spacing w:after="0" w:line="240" w:lineRule="auto"/>
        <w:rPr>
          <w:rFonts w:ascii="Times New Roman" w:hAnsi="Times New Roman" w:cs="Times New Roman"/>
          <w:sz w:val="24"/>
          <w:szCs w:val="24"/>
        </w:rPr>
      </w:pPr>
      <w:r w:rsidRPr="00CB38AA">
        <w:rPr>
          <w:rFonts w:ascii="Times New Roman" w:hAnsi="Times New Roman" w:cs="Times New Roman"/>
          <w:sz w:val="24"/>
          <w:szCs w:val="24"/>
        </w:rPr>
        <w:t>https://</w:t>
      </w:r>
      <w:hyperlink r:id="rId40">
        <w:r w:rsidRPr="00CB38AA">
          <w:rPr>
            <w:rFonts w:ascii="Times New Roman" w:hAnsi="Times New Roman" w:cs="Times New Roman"/>
            <w:sz w:val="24"/>
            <w:szCs w:val="24"/>
          </w:rPr>
          <w:t>www.datatur.sectur.gob.mx/RAT/RAT-2024-07%28ES%29.pdf</w:t>
        </w:r>
      </w:hyperlink>
    </w:p>
    <w:p w:rsidR="00854A73" w:rsidRPr="00CB38AA" w:rsidRDefault="00854A73" w:rsidP="00DF6EEA">
      <w:pPr>
        <w:spacing w:after="0" w:line="240" w:lineRule="auto"/>
        <w:rPr>
          <w:rFonts w:ascii="Times New Roman" w:hAnsi="Times New Roman" w:cs="Times New Roman"/>
          <w:sz w:val="24"/>
          <w:szCs w:val="24"/>
        </w:rPr>
      </w:pPr>
      <w:r w:rsidRPr="00CB38AA">
        <w:rPr>
          <w:rFonts w:ascii="Times New Roman" w:hAnsi="Times New Roman" w:cs="Times New Roman"/>
          <w:sz w:val="24"/>
          <w:szCs w:val="24"/>
          <w:vertAlign w:val="superscript"/>
        </w:rPr>
        <w:t>10</w:t>
      </w:r>
      <w:r w:rsidRPr="00CB38AA">
        <w:rPr>
          <w:rFonts w:ascii="Times New Roman" w:hAnsi="Times New Roman" w:cs="Times New Roman"/>
          <w:sz w:val="24"/>
          <w:szCs w:val="24"/>
        </w:rPr>
        <w:tab/>
        <w:t>INAH.</w:t>
      </w:r>
      <w:r w:rsidRPr="00CB38AA">
        <w:rPr>
          <w:rFonts w:ascii="Times New Roman" w:hAnsi="Times New Roman" w:cs="Times New Roman"/>
          <w:sz w:val="24"/>
          <w:szCs w:val="24"/>
        </w:rPr>
        <w:tab/>
        <w:t>Estadísticas</w:t>
      </w:r>
      <w:r w:rsidRPr="00CB38AA">
        <w:rPr>
          <w:rFonts w:ascii="Times New Roman" w:hAnsi="Times New Roman" w:cs="Times New Roman"/>
          <w:sz w:val="24"/>
          <w:szCs w:val="24"/>
        </w:rPr>
        <w:tab/>
        <w:t>de</w:t>
      </w:r>
      <w:r w:rsidRPr="00CB38AA">
        <w:rPr>
          <w:rFonts w:ascii="Times New Roman" w:hAnsi="Times New Roman" w:cs="Times New Roman"/>
          <w:sz w:val="24"/>
          <w:szCs w:val="24"/>
        </w:rPr>
        <w:tab/>
        <w:t>visitantes</w:t>
      </w:r>
      <w:r w:rsidRPr="00CB38AA">
        <w:rPr>
          <w:rFonts w:ascii="Times New Roman" w:hAnsi="Times New Roman" w:cs="Times New Roman"/>
          <w:sz w:val="24"/>
          <w:szCs w:val="24"/>
        </w:rPr>
        <w:tab/>
        <w:t>a</w:t>
      </w:r>
      <w:r w:rsidRPr="00CB38AA">
        <w:rPr>
          <w:rFonts w:ascii="Times New Roman" w:hAnsi="Times New Roman" w:cs="Times New Roman"/>
          <w:sz w:val="24"/>
          <w:szCs w:val="24"/>
        </w:rPr>
        <w:tab/>
        <w:t>museos</w:t>
      </w:r>
      <w:r w:rsidRPr="00CB38AA">
        <w:rPr>
          <w:rFonts w:ascii="Times New Roman" w:hAnsi="Times New Roman" w:cs="Times New Roman"/>
          <w:sz w:val="24"/>
          <w:szCs w:val="24"/>
        </w:rPr>
        <w:tab/>
        <w:t>y</w:t>
      </w:r>
      <w:r w:rsidRPr="00CB38AA">
        <w:rPr>
          <w:rFonts w:ascii="Times New Roman" w:hAnsi="Times New Roman" w:cs="Times New Roman"/>
          <w:sz w:val="24"/>
          <w:szCs w:val="24"/>
        </w:rPr>
        <w:tab/>
        <w:t>zonas</w:t>
      </w:r>
      <w:r w:rsidRPr="00CB38AA">
        <w:rPr>
          <w:rFonts w:ascii="Times New Roman" w:hAnsi="Times New Roman" w:cs="Times New Roman"/>
          <w:sz w:val="24"/>
          <w:szCs w:val="24"/>
        </w:rPr>
        <w:tab/>
        <w:t>arqueológicas. https://</w:t>
      </w:r>
      <w:hyperlink r:id="rId41">
        <w:r w:rsidRPr="00CB38AA">
          <w:rPr>
            <w:rFonts w:ascii="Times New Roman" w:hAnsi="Times New Roman" w:cs="Times New Roman"/>
            <w:sz w:val="24"/>
            <w:szCs w:val="24"/>
          </w:rPr>
          <w:t>www.estadisticas.inah.gob.mx/</w:t>
        </w:r>
      </w:hyperlink>
    </w:p>
    <w:p w:rsidR="00854A73" w:rsidRPr="00CB38AA" w:rsidRDefault="00854A73" w:rsidP="00DF6EEA">
      <w:pPr>
        <w:pStyle w:val="Textoindependiente"/>
        <w:rPr>
          <w:rFonts w:ascii="Times New Roman" w:hAnsi="Times New Roman" w:cs="Times New Roman"/>
        </w:rPr>
      </w:pPr>
    </w:p>
    <w:p w:rsidR="00854A73" w:rsidRPr="00CB38AA" w:rsidRDefault="00854A73" w:rsidP="00DF6EEA">
      <w:pPr>
        <w:pStyle w:val="Prrafodelista"/>
        <w:numPr>
          <w:ilvl w:val="1"/>
          <w:numId w:val="15"/>
        </w:numPr>
        <w:ind w:right="0"/>
        <w:rPr>
          <w:rFonts w:ascii="Times New Roman" w:hAnsi="Times New Roman" w:cs="Times New Roman"/>
          <w:sz w:val="24"/>
          <w:szCs w:val="24"/>
        </w:rPr>
      </w:pPr>
      <w:r w:rsidRPr="00CB38AA">
        <w:rPr>
          <w:rFonts w:ascii="Times New Roman" w:hAnsi="Times New Roman" w:cs="Times New Roman"/>
          <w:sz w:val="24"/>
          <w:szCs w:val="24"/>
        </w:rPr>
        <w:t>Guerrero cuenta, desde 1991, con la Procuraduría Estatal del Turista, creada como órgano desconcentrado de la Secretaría de Fomento Turístico que orienta al visitante, gestiona soluciones con prestadores de servicios y coordina acciones con PROFECO y la Fiscalía estatal cuando existan probables hechos ilícitos.</w:t>
      </w:r>
      <w:r w:rsidRPr="00CB38AA">
        <w:rPr>
          <w:rFonts w:ascii="Times New Roman" w:hAnsi="Times New Roman" w:cs="Times New Roman"/>
          <w:sz w:val="24"/>
          <w:szCs w:val="24"/>
          <w:vertAlign w:val="superscript"/>
        </w:rPr>
        <w:t>11</w:t>
      </w:r>
    </w:p>
    <w:p w:rsidR="00854A73" w:rsidRPr="00CB38AA" w:rsidRDefault="00854A73" w:rsidP="00DF6EEA">
      <w:pPr>
        <w:pStyle w:val="Textoindependiente"/>
        <w:rPr>
          <w:rFonts w:ascii="Times New Roman" w:hAnsi="Times New Roman" w:cs="Times New Roman"/>
        </w:rPr>
      </w:pPr>
    </w:p>
    <w:p w:rsidR="00854A73" w:rsidRPr="00CB38AA" w:rsidRDefault="00854A73" w:rsidP="00DF6EEA">
      <w:pPr>
        <w:pStyle w:val="Prrafodelista"/>
        <w:numPr>
          <w:ilvl w:val="1"/>
          <w:numId w:val="15"/>
        </w:numPr>
        <w:ind w:right="0"/>
        <w:rPr>
          <w:rFonts w:ascii="Times New Roman" w:hAnsi="Times New Roman" w:cs="Times New Roman"/>
          <w:sz w:val="24"/>
          <w:szCs w:val="24"/>
        </w:rPr>
      </w:pPr>
      <w:r w:rsidRPr="00CB38AA">
        <w:rPr>
          <w:rFonts w:ascii="Times New Roman" w:hAnsi="Times New Roman" w:cs="Times New Roman"/>
          <w:sz w:val="24"/>
          <w:szCs w:val="24"/>
        </w:rPr>
        <w:t>Quintana Roo, por su parte, creó en 1995 la Procuraduría de Defensa al Turista, incorporándola en su Ley de Turismo. Aunque la legislación quintanarroense fue reformada en 2010, se mantuvo el énfasis en la atención al turista y la canalización de sus quejas ante las autoridades competentes.</w:t>
      </w:r>
      <w:r w:rsidRPr="00CB38AA">
        <w:rPr>
          <w:rFonts w:ascii="Times New Roman" w:hAnsi="Times New Roman" w:cs="Times New Roman"/>
          <w:sz w:val="24"/>
          <w:szCs w:val="24"/>
          <w:vertAlign w:val="superscript"/>
        </w:rPr>
        <w:t>12</w:t>
      </w:r>
    </w:p>
    <w:p w:rsidR="00854A73" w:rsidRPr="00CB38AA" w:rsidRDefault="00854A73" w:rsidP="00DF6EEA">
      <w:pPr>
        <w:pStyle w:val="Textoindependiente"/>
        <w:rPr>
          <w:rFonts w:ascii="Times New Roman" w:hAnsi="Times New Roman" w:cs="Times New Roman"/>
        </w:rPr>
      </w:pPr>
    </w:p>
    <w:p w:rsidR="00854A73" w:rsidRPr="00CB38AA" w:rsidRDefault="00854A73" w:rsidP="00DF6EEA">
      <w:pPr>
        <w:pStyle w:val="Textoindependiente"/>
        <w:jc w:val="both"/>
        <w:rPr>
          <w:rFonts w:ascii="Times New Roman" w:hAnsi="Times New Roman" w:cs="Times New Roman"/>
        </w:rPr>
      </w:pPr>
      <w:r w:rsidRPr="00CB38AA">
        <w:rPr>
          <w:rFonts w:ascii="Times New Roman" w:hAnsi="Times New Roman" w:cs="Times New Roman"/>
        </w:rPr>
        <w:t>Ambos antecedentes demuestran que una instancia especializada de protección al turista mejora la capacidad de respuesta, la resolución de conflictos y la protección de la reputación turística.</w:t>
      </w:r>
    </w:p>
    <w:p w:rsidR="00854A73" w:rsidRPr="00CB38AA" w:rsidRDefault="00854A73" w:rsidP="00DF6EEA">
      <w:pPr>
        <w:pStyle w:val="Textoindependiente"/>
        <w:rPr>
          <w:rFonts w:ascii="Times New Roman" w:hAnsi="Times New Roman" w:cs="Times New Roman"/>
        </w:rPr>
      </w:pPr>
    </w:p>
    <w:p w:rsidR="00854A73" w:rsidRPr="00CB38AA" w:rsidRDefault="00854A73" w:rsidP="00DF6EEA">
      <w:pPr>
        <w:pStyle w:val="Textoindependiente"/>
        <w:jc w:val="both"/>
        <w:rPr>
          <w:rFonts w:ascii="Times New Roman" w:hAnsi="Times New Roman" w:cs="Times New Roman"/>
        </w:rPr>
      </w:pPr>
      <w:r w:rsidRPr="00CB38AA">
        <w:rPr>
          <w:rFonts w:ascii="Times New Roman" w:hAnsi="Times New Roman" w:cs="Times New Roman"/>
        </w:rPr>
        <w:t xml:space="preserve">De este modo, considerando la relevancia del turismo mexiquense en el PIB estatal y nacional; el crecimiento sostenido de visitantes en municipios turísticos del Estado; y los riesgos para la </w:t>
      </w:r>
      <w:r w:rsidRPr="00CB38AA">
        <w:rPr>
          <w:rFonts w:ascii="Times New Roman" w:hAnsi="Times New Roman" w:cs="Times New Roman"/>
        </w:rPr>
        <w:lastRenderedPageBreak/>
        <w:t>competitividad derivados de la falta de certeza jurídica; resulta oportuna la creación de un organismo especializado en la defensa, orientación y asistencia al turista.</w:t>
      </w:r>
    </w:p>
    <w:p w:rsidR="00854A73" w:rsidRPr="00CB38AA" w:rsidRDefault="00854A73" w:rsidP="00DF6EEA">
      <w:pPr>
        <w:pStyle w:val="Textoindependiente"/>
        <w:rPr>
          <w:rFonts w:ascii="Times New Roman" w:hAnsi="Times New Roman" w:cs="Times New Roman"/>
        </w:rPr>
      </w:pPr>
    </w:p>
    <w:p w:rsidR="00854A73" w:rsidRPr="00CB38AA" w:rsidRDefault="00854A73" w:rsidP="00DF6EEA">
      <w:pPr>
        <w:pStyle w:val="Prrafodelista"/>
        <w:numPr>
          <w:ilvl w:val="0"/>
          <w:numId w:val="15"/>
        </w:numPr>
        <w:ind w:left="292" w:right="0" w:hanging="292"/>
        <w:rPr>
          <w:rFonts w:ascii="Times New Roman" w:hAnsi="Times New Roman" w:cs="Times New Roman"/>
          <w:b/>
          <w:sz w:val="24"/>
          <w:szCs w:val="24"/>
        </w:rPr>
      </w:pPr>
      <w:r w:rsidRPr="00CB38AA">
        <w:rPr>
          <w:rFonts w:ascii="Times New Roman" w:hAnsi="Times New Roman" w:cs="Times New Roman"/>
          <w:b/>
          <w:sz w:val="24"/>
          <w:szCs w:val="24"/>
        </w:rPr>
        <w:t>Creación de una Defensoría Estatal del Turista</w:t>
      </w:r>
    </w:p>
    <w:p w:rsidR="00854A73" w:rsidRPr="00CB38AA" w:rsidRDefault="00854A73" w:rsidP="00DF6EEA">
      <w:pPr>
        <w:pStyle w:val="Textoindependiente"/>
        <w:rPr>
          <w:rFonts w:ascii="Times New Roman" w:hAnsi="Times New Roman" w:cs="Times New Roman"/>
          <w:b/>
        </w:rPr>
      </w:pPr>
    </w:p>
    <w:p w:rsidR="00854A73" w:rsidRPr="00CB38AA" w:rsidRDefault="00854A73" w:rsidP="00DF6EEA">
      <w:pPr>
        <w:pStyle w:val="Textoindependiente"/>
        <w:jc w:val="both"/>
        <w:rPr>
          <w:rFonts w:ascii="Times New Roman" w:hAnsi="Times New Roman" w:cs="Times New Roman"/>
        </w:rPr>
      </w:pPr>
      <w:r w:rsidRPr="00CB38AA">
        <w:rPr>
          <w:rFonts w:ascii="Times New Roman" w:hAnsi="Times New Roman" w:cs="Times New Roman"/>
        </w:rPr>
        <w:t>En este contexto, la presente iniciativa busca la creación de un órgano desconcentrado de la Secretaría de Cultura y Turismo, denominado Defensoría Estatal del Turista, que tendrá por objeto la orientación, auxilio, asistencia, protección, asesoría y acompañamiento de las personas excursionistas, visitantes y turistas. Sus servicios serán gratuitos y las autoridades tendrán la obligación de colaborar con ésta.</w:t>
      </w:r>
    </w:p>
    <w:p w:rsidR="00854A73" w:rsidRPr="00CB38AA" w:rsidRDefault="00854A73" w:rsidP="00DF6EEA">
      <w:pPr>
        <w:pStyle w:val="Textoindependiente"/>
        <w:jc w:val="both"/>
        <w:rPr>
          <w:rFonts w:ascii="Times New Roman" w:hAnsi="Times New Roman" w:cs="Times New Roman"/>
        </w:rPr>
      </w:pPr>
    </w:p>
    <w:p w:rsidR="00854A73" w:rsidRPr="00CB38AA" w:rsidRDefault="00854A73"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vertAlign w:val="superscript"/>
        </w:rPr>
        <w:t>11</w:t>
      </w:r>
      <w:r w:rsidRPr="00CB38AA">
        <w:rPr>
          <w:rFonts w:ascii="Times New Roman" w:hAnsi="Times New Roman" w:cs="Times New Roman"/>
          <w:sz w:val="24"/>
          <w:szCs w:val="24"/>
        </w:rPr>
        <w:t xml:space="preserve"> Orden Jurídico Nacional. Guerrero: “Acuerdo que establece el Órgano Desconcentrado denominado Procuraduría del Turista y determina las bases de su organización y funcionamiento” (19/03/1991). https://</w:t>
      </w:r>
      <w:hyperlink r:id="rId42">
        <w:r w:rsidRPr="00CB38AA">
          <w:rPr>
            <w:rFonts w:ascii="Times New Roman" w:hAnsi="Times New Roman" w:cs="Times New Roman"/>
            <w:sz w:val="24"/>
            <w:szCs w:val="24"/>
          </w:rPr>
          <w:t>www.ordenjuridico.gob.mx/Estatal/GUERRERO/Acuerdos/GROACU68.pdf</w:t>
        </w:r>
      </w:hyperlink>
    </w:p>
    <w:p w:rsidR="00854A73" w:rsidRPr="00CB38AA" w:rsidRDefault="00854A73"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vertAlign w:val="superscript"/>
        </w:rPr>
        <w:t>12</w:t>
      </w:r>
      <w:r w:rsidRPr="00CB38AA">
        <w:rPr>
          <w:rFonts w:ascii="Times New Roman" w:hAnsi="Times New Roman" w:cs="Times New Roman"/>
          <w:sz w:val="24"/>
          <w:szCs w:val="24"/>
        </w:rPr>
        <w:t xml:space="preserve"> Congreso de Quintana Roo. Decreto de creación de la Procuraduría de Defensa al Turista (1995). https://documentos.congresoqroo.gob.mx/historial/07_legislatura/decretos/3anio/1PO/dec104/E07199504 11104.pdf</w:t>
      </w:r>
    </w:p>
    <w:p w:rsidR="00854A73" w:rsidRPr="00CB38AA" w:rsidRDefault="00854A73" w:rsidP="00DF6EEA">
      <w:pPr>
        <w:pStyle w:val="Textoindependiente"/>
        <w:rPr>
          <w:rFonts w:ascii="Times New Roman" w:hAnsi="Times New Roman" w:cs="Times New Roman"/>
        </w:rPr>
      </w:pPr>
    </w:p>
    <w:p w:rsidR="00854A73" w:rsidRPr="00CB38AA" w:rsidRDefault="00854A73" w:rsidP="00DF6EEA">
      <w:pPr>
        <w:pStyle w:val="Textoindependiente"/>
        <w:jc w:val="both"/>
        <w:rPr>
          <w:rFonts w:ascii="Times New Roman" w:hAnsi="Times New Roman" w:cs="Times New Roman"/>
        </w:rPr>
      </w:pPr>
      <w:r w:rsidRPr="00CB38AA">
        <w:rPr>
          <w:rFonts w:ascii="Times New Roman" w:hAnsi="Times New Roman" w:cs="Times New Roman"/>
        </w:rPr>
        <w:t>Para tal efecto, se establece una estructura institucional encabezada por una Defensora o Defensor General, designado por el Ejecutivo estatal a propuesta de la persona titular de la Secretaría de Cultura y Turismo, debiendo privilegiar un perfil con formación jurídica y experiencia en materia turística o de defensa del consumidor.</w:t>
      </w:r>
    </w:p>
    <w:p w:rsidR="00854A73" w:rsidRPr="00CB38AA" w:rsidRDefault="00854A73" w:rsidP="00DF6EEA">
      <w:pPr>
        <w:pStyle w:val="Textoindependiente"/>
        <w:rPr>
          <w:rFonts w:ascii="Times New Roman" w:hAnsi="Times New Roman" w:cs="Times New Roman"/>
        </w:rPr>
      </w:pPr>
    </w:p>
    <w:p w:rsidR="00854A73" w:rsidRPr="00CB38AA" w:rsidRDefault="00854A73" w:rsidP="00DF6EEA">
      <w:pPr>
        <w:pStyle w:val="Textoindependiente"/>
        <w:jc w:val="both"/>
        <w:rPr>
          <w:rFonts w:ascii="Times New Roman" w:hAnsi="Times New Roman" w:cs="Times New Roman"/>
        </w:rPr>
      </w:pPr>
      <w:r w:rsidRPr="00CB38AA">
        <w:rPr>
          <w:rFonts w:ascii="Times New Roman" w:hAnsi="Times New Roman" w:cs="Times New Roman"/>
        </w:rPr>
        <w:t>Se propone que la Defensoría se ubique en Toluca, por ser la sede de la Secretaría de Cultura y Turismo, pero con la posibilidad de establecer defensorías regionales en destinos estratégicos como Ixtapan de la Sal, Teotihuacán o Valle de Bravo, así como en otros municipios con alta vocación turística, conforme a las necesidades del sector y la disponibilidad presupuestal.</w:t>
      </w:r>
    </w:p>
    <w:p w:rsidR="00854A73" w:rsidRPr="00CB38AA" w:rsidRDefault="00854A73" w:rsidP="00DF6EEA">
      <w:pPr>
        <w:pStyle w:val="Textoindependiente"/>
        <w:rPr>
          <w:rFonts w:ascii="Times New Roman" w:hAnsi="Times New Roman" w:cs="Times New Roman"/>
        </w:rPr>
      </w:pPr>
    </w:p>
    <w:p w:rsidR="00854A73" w:rsidRPr="00CB38AA" w:rsidRDefault="00854A73" w:rsidP="00DF6EEA">
      <w:pPr>
        <w:pStyle w:val="Textoindependiente"/>
        <w:jc w:val="both"/>
        <w:rPr>
          <w:rFonts w:ascii="Times New Roman" w:hAnsi="Times New Roman" w:cs="Times New Roman"/>
        </w:rPr>
      </w:pPr>
      <w:r w:rsidRPr="00CB38AA">
        <w:rPr>
          <w:rFonts w:ascii="Times New Roman" w:hAnsi="Times New Roman" w:cs="Times New Roman"/>
        </w:rPr>
        <w:t>Así, esta Defensoría se constituiría como una instancia cercana y especializada en la materia, encargada de defender los derechos turísticos, intervenir de manera ágil ante posibles abusos o irregularidades de los prestadores de servicios, así como de coordinarse con las diversas autoridades.</w:t>
      </w:r>
    </w:p>
    <w:p w:rsidR="00854A73" w:rsidRPr="00CB38AA" w:rsidRDefault="00854A73" w:rsidP="00DF6EEA">
      <w:pPr>
        <w:pStyle w:val="Textoindependiente"/>
        <w:rPr>
          <w:rFonts w:ascii="Times New Roman" w:hAnsi="Times New Roman" w:cs="Times New Roman"/>
        </w:rPr>
      </w:pPr>
    </w:p>
    <w:p w:rsidR="00854A73" w:rsidRPr="00CB38AA" w:rsidRDefault="00854A73" w:rsidP="00DF6EEA">
      <w:pPr>
        <w:pStyle w:val="Textoindependiente"/>
        <w:jc w:val="both"/>
        <w:rPr>
          <w:rFonts w:ascii="Times New Roman" w:hAnsi="Times New Roman" w:cs="Times New Roman"/>
        </w:rPr>
      </w:pPr>
      <w:r w:rsidRPr="00CB38AA">
        <w:rPr>
          <w:rFonts w:ascii="Times New Roman" w:hAnsi="Times New Roman" w:cs="Times New Roman"/>
        </w:rPr>
        <w:t>En suma, el establecimiento de este organismo constituiría una inversión institucional con retornos directos en reputación, competitividad y derrama económica para el Estado de México, además de que se convertiría en un mecanismo indispensable para afrontar de manera ordenada los retos y oportunidades derivados del crecimiento turístico y de eventos de alcance internacional, como el Mundial de la FIFA, del cual nuestro país será coanfitrión.</w:t>
      </w:r>
    </w:p>
    <w:p w:rsidR="00854A73" w:rsidRPr="00CB38AA" w:rsidRDefault="00854A73" w:rsidP="00DF6EEA">
      <w:pPr>
        <w:pStyle w:val="Textoindependiente"/>
        <w:rPr>
          <w:rFonts w:ascii="Times New Roman" w:hAnsi="Times New Roman" w:cs="Times New Roman"/>
        </w:rPr>
      </w:pPr>
    </w:p>
    <w:p w:rsidR="00854A73" w:rsidRPr="00CB38AA" w:rsidRDefault="00854A73" w:rsidP="00DF6EEA">
      <w:pPr>
        <w:pStyle w:val="Textoindependiente"/>
        <w:rPr>
          <w:rFonts w:ascii="Times New Roman" w:hAnsi="Times New Roman" w:cs="Times New Roman"/>
        </w:rPr>
      </w:pPr>
      <w:r w:rsidRPr="00CB38AA">
        <w:rPr>
          <w:rFonts w:ascii="Times New Roman" w:hAnsi="Times New Roman" w:cs="Times New Roman"/>
        </w:rPr>
        <w:t>Por lo expuesto, someto a consideración de este órgano legislativo, la iniciativa con proyecto de decreto que se acompaña.</w:t>
      </w:r>
    </w:p>
    <w:p w:rsidR="00854A73" w:rsidRPr="00CB38AA" w:rsidRDefault="00854A73" w:rsidP="00DF6EEA">
      <w:pPr>
        <w:pStyle w:val="Textoindependiente"/>
        <w:rPr>
          <w:rFonts w:ascii="Times New Roman" w:hAnsi="Times New Roman" w:cs="Times New Roman"/>
        </w:rPr>
      </w:pPr>
    </w:p>
    <w:p w:rsidR="00854A73" w:rsidRPr="00CB38AA" w:rsidRDefault="00854A73" w:rsidP="00DF6EEA">
      <w:pPr>
        <w:ind w:left="5"/>
        <w:jc w:val="center"/>
        <w:rPr>
          <w:rFonts w:ascii="Times New Roman" w:hAnsi="Times New Roman" w:cs="Times New Roman"/>
          <w:b/>
          <w:sz w:val="24"/>
          <w:szCs w:val="24"/>
        </w:rPr>
      </w:pPr>
      <w:r w:rsidRPr="00CB38AA">
        <w:rPr>
          <w:rFonts w:ascii="Times New Roman" w:hAnsi="Times New Roman" w:cs="Times New Roman"/>
          <w:b/>
          <w:sz w:val="24"/>
          <w:szCs w:val="24"/>
        </w:rPr>
        <w:t>A T E N T A M E N T E</w:t>
      </w:r>
    </w:p>
    <w:p w:rsidR="00854A73" w:rsidRPr="00CB38AA" w:rsidRDefault="00854A73" w:rsidP="00DF6EEA">
      <w:pPr>
        <w:pStyle w:val="Textoindependiente"/>
        <w:rPr>
          <w:rFonts w:ascii="Times New Roman" w:hAnsi="Times New Roman" w:cs="Times New Roman"/>
          <w:b/>
        </w:rPr>
      </w:pPr>
    </w:p>
    <w:p w:rsidR="00854A73" w:rsidRPr="00CB38AA" w:rsidRDefault="00854A73" w:rsidP="00DF6EEA">
      <w:pPr>
        <w:pStyle w:val="Textoindependiente"/>
        <w:rPr>
          <w:rFonts w:ascii="Times New Roman" w:hAnsi="Times New Roman" w:cs="Times New Roman"/>
        </w:rPr>
      </w:pPr>
    </w:p>
    <w:p w:rsidR="00854A73" w:rsidRPr="00CB38AA" w:rsidRDefault="00854A73" w:rsidP="00DF6EEA">
      <w:pPr>
        <w:spacing w:after="0" w:line="240" w:lineRule="auto"/>
        <w:ind w:left="5"/>
        <w:jc w:val="center"/>
        <w:rPr>
          <w:rFonts w:ascii="Times New Roman" w:hAnsi="Times New Roman" w:cs="Times New Roman"/>
          <w:b/>
          <w:sz w:val="24"/>
          <w:szCs w:val="24"/>
        </w:rPr>
      </w:pPr>
      <w:r w:rsidRPr="00CB38AA">
        <w:rPr>
          <w:rFonts w:ascii="Times New Roman" w:hAnsi="Times New Roman" w:cs="Times New Roman"/>
          <w:b/>
          <w:sz w:val="24"/>
          <w:szCs w:val="24"/>
        </w:rPr>
        <w:t>PROYECTO DE DECRETO</w:t>
      </w:r>
    </w:p>
    <w:p w:rsidR="00854A73" w:rsidRPr="00CB38AA" w:rsidRDefault="00854A73" w:rsidP="00DF6EEA">
      <w:pPr>
        <w:pStyle w:val="Textoindependiente"/>
        <w:jc w:val="both"/>
        <w:rPr>
          <w:rFonts w:ascii="Times New Roman" w:hAnsi="Times New Roman" w:cs="Times New Roman"/>
          <w:b/>
        </w:rPr>
      </w:pPr>
    </w:p>
    <w:p w:rsidR="00854A73" w:rsidRPr="00CB38AA" w:rsidRDefault="00854A73" w:rsidP="00DF6EEA">
      <w:pPr>
        <w:spacing w:after="0" w:line="240" w:lineRule="auto"/>
        <w:jc w:val="both"/>
        <w:rPr>
          <w:rFonts w:ascii="Times New Roman" w:hAnsi="Times New Roman" w:cs="Times New Roman"/>
          <w:b/>
          <w:sz w:val="24"/>
          <w:szCs w:val="24"/>
        </w:rPr>
      </w:pPr>
      <w:r w:rsidRPr="00CB38AA">
        <w:rPr>
          <w:rFonts w:ascii="Times New Roman" w:hAnsi="Times New Roman" w:cs="Times New Roman"/>
          <w:b/>
          <w:sz w:val="24"/>
          <w:szCs w:val="24"/>
        </w:rPr>
        <w:lastRenderedPageBreak/>
        <w:t xml:space="preserve">DECRETO NÚMERO: </w:t>
      </w:r>
      <w:r w:rsidRPr="00CB38AA">
        <w:rPr>
          <w:rFonts w:ascii="Times New Roman" w:hAnsi="Times New Roman" w:cs="Times New Roman"/>
          <w:b/>
          <w:sz w:val="24"/>
          <w:szCs w:val="24"/>
          <w:u w:val="single"/>
        </w:rPr>
        <w:t xml:space="preserve">  </w:t>
      </w:r>
    </w:p>
    <w:p w:rsidR="00854A73" w:rsidRPr="00CB38AA" w:rsidRDefault="00854A73" w:rsidP="00DF6EEA">
      <w:pPr>
        <w:spacing w:after="0" w:line="240" w:lineRule="auto"/>
        <w:jc w:val="both"/>
        <w:rPr>
          <w:rFonts w:ascii="Times New Roman" w:hAnsi="Times New Roman" w:cs="Times New Roman"/>
          <w:b/>
          <w:sz w:val="24"/>
          <w:szCs w:val="24"/>
        </w:rPr>
      </w:pPr>
      <w:r w:rsidRPr="00CB38AA">
        <w:rPr>
          <w:rFonts w:ascii="Times New Roman" w:hAnsi="Times New Roman" w:cs="Times New Roman"/>
          <w:b/>
          <w:sz w:val="24"/>
          <w:szCs w:val="24"/>
        </w:rPr>
        <w:t>LA H. “LXII” LEGISLATURA DEL ESTADO LIBRE Y SOBERANO DE MÉXICO DECRETA:</w:t>
      </w:r>
    </w:p>
    <w:p w:rsidR="00854A73" w:rsidRPr="00CB38AA" w:rsidRDefault="00854A73" w:rsidP="00DF6EEA">
      <w:pPr>
        <w:pStyle w:val="Textoindependiente"/>
        <w:jc w:val="both"/>
        <w:rPr>
          <w:rFonts w:ascii="Times New Roman" w:hAnsi="Times New Roman" w:cs="Times New Roman"/>
          <w:b/>
        </w:rPr>
      </w:pPr>
    </w:p>
    <w:p w:rsidR="00854A73" w:rsidRPr="00CB38AA" w:rsidRDefault="00854A73" w:rsidP="00DF6EEA">
      <w:pPr>
        <w:pStyle w:val="Textoindependiente"/>
        <w:jc w:val="both"/>
        <w:rPr>
          <w:rFonts w:ascii="Times New Roman" w:hAnsi="Times New Roman" w:cs="Times New Roman"/>
        </w:rPr>
      </w:pPr>
      <w:r w:rsidRPr="00CB38AA">
        <w:rPr>
          <w:rFonts w:ascii="Times New Roman" w:hAnsi="Times New Roman" w:cs="Times New Roman"/>
          <w:b/>
        </w:rPr>
        <w:t xml:space="preserve">ARTÍCULO ÚNICO.- </w:t>
      </w:r>
      <w:r w:rsidRPr="00CB38AA">
        <w:rPr>
          <w:rFonts w:ascii="Times New Roman" w:hAnsi="Times New Roman" w:cs="Times New Roman"/>
        </w:rPr>
        <w:t>Se adiciona una fracción XIV al artículo 3, recorriéndose los subsecuentes, así como los artículos 111 Bis, 111 Ter, 111 Quáter, 111 Quinquies, 111 Sexies, 111 Septies y 111 Octies, a la Ley de Turismo Sostenible y Desarrollo Artesanal del Estado de México, para quedar como sigue:</w:t>
      </w:r>
    </w:p>
    <w:p w:rsidR="00854A73" w:rsidRPr="00CB38AA" w:rsidRDefault="00854A73" w:rsidP="00DF6EEA">
      <w:pPr>
        <w:pStyle w:val="Textoindependiente"/>
        <w:jc w:val="both"/>
        <w:rPr>
          <w:rFonts w:ascii="Times New Roman" w:hAnsi="Times New Roman" w:cs="Times New Roman"/>
        </w:rPr>
      </w:pPr>
    </w:p>
    <w:p w:rsidR="00854A73" w:rsidRPr="00CB38AA" w:rsidRDefault="00854A73" w:rsidP="00DF6EEA">
      <w:pPr>
        <w:spacing w:after="0" w:line="240" w:lineRule="auto"/>
        <w:jc w:val="both"/>
        <w:rPr>
          <w:rFonts w:ascii="Times New Roman" w:hAnsi="Times New Roman" w:cs="Times New Roman"/>
          <w:b/>
          <w:sz w:val="24"/>
          <w:szCs w:val="24"/>
        </w:rPr>
      </w:pPr>
      <w:r w:rsidRPr="00CB38AA">
        <w:rPr>
          <w:rFonts w:ascii="Times New Roman" w:hAnsi="Times New Roman" w:cs="Times New Roman"/>
          <w:b/>
          <w:sz w:val="24"/>
          <w:szCs w:val="24"/>
        </w:rPr>
        <w:t>Artículo 3. …</w:t>
      </w:r>
    </w:p>
    <w:p w:rsidR="00854A73" w:rsidRPr="00CB38AA" w:rsidRDefault="00854A73" w:rsidP="00DF6EEA">
      <w:pPr>
        <w:pStyle w:val="Textoindependiente"/>
        <w:jc w:val="both"/>
        <w:rPr>
          <w:rFonts w:ascii="Times New Roman" w:hAnsi="Times New Roman" w:cs="Times New Roman"/>
          <w:b/>
        </w:rPr>
      </w:pPr>
    </w:p>
    <w:p w:rsidR="00854A73" w:rsidRPr="00CB38AA" w:rsidRDefault="00854A73" w:rsidP="00DF6EEA">
      <w:pPr>
        <w:pStyle w:val="Prrafodelista"/>
        <w:numPr>
          <w:ilvl w:val="0"/>
          <w:numId w:val="14"/>
        </w:numPr>
        <w:ind w:left="199" w:right="0" w:hanging="199"/>
        <w:rPr>
          <w:rFonts w:ascii="Times New Roman" w:hAnsi="Times New Roman" w:cs="Times New Roman"/>
          <w:sz w:val="24"/>
          <w:szCs w:val="24"/>
        </w:rPr>
      </w:pPr>
      <w:r w:rsidRPr="00CB38AA">
        <w:rPr>
          <w:rFonts w:ascii="Times New Roman" w:hAnsi="Times New Roman" w:cs="Times New Roman"/>
          <w:sz w:val="24"/>
          <w:szCs w:val="24"/>
        </w:rPr>
        <w:t>a XXXIV. …</w:t>
      </w:r>
    </w:p>
    <w:p w:rsidR="00854A73" w:rsidRPr="00CB38AA" w:rsidRDefault="00854A73" w:rsidP="00DF6EEA">
      <w:pPr>
        <w:pStyle w:val="Textoindependiente"/>
        <w:jc w:val="both"/>
        <w:rPr>
          <w:rFonts w:ascii="Times New Roman" w:hAnsi="Times New Roman" w:cs="Times New Roman"/>
        </w:rPr>
      </w:pPr>
    </w:p>
    <w:p w:rsidR="00854A73" w:rsidRPr="00CB38AA" w:rsidRDefault="00854A73" w:rsidP="00DF6EEA">
      <w:pPr>
        <w:spacing w:after="0" w:line="240" w:lineRule="auto"/>
        <w:jc w:val="both"/>
        <w:rPr>
          <w:rFonts w:ascii="Times New Roman" w:hAnsi="Times New Roman" w:cs="Times New Roman"/>
          <w:b/>
          <w:sz w:val="24"/>
          <w:szCs w:val="24"/>
        </w:rPr>
      </w:pPr>
      <w:r w:rsidRPr="00CB38AA">
        <w:rPr>
          <w:rFonts w:ascii="Times New Roman" w:hAnsi="Times New Roman" w:cs="Times New Roman"/>
          <w:b/>
          <w:sz w:val="24"/>
          <w:szCs w:val="24"/>
        </w:rPr>
        <w:t>XIV. Defensoría: A la Defensoría Estatal del Turista;</w:t>
      </w:r>
    </w:p>
    <w:p w:rsidR="00854A73" w:rsidRPr="00CB38AA" w:rsidRDefault="00854A73" w:rsidP="00DF6EEA">
      <w:pPr>
        <w:pStyle w:val="Textoindependiente"/>
        <w:jc w:val="both"/>
        <w:rPr>
          <w:rFonts w:ascii="Times New Roman" w:hAnsi="Times New Roman" w:cs="Times New Roman"/>
          <w:b/>
        </w:rPr>
      </w:pPr>
    </w:p>
    <w:p w:rsidR="00854A73" w:rsidRPr="00CB38AA" w:rsidRDefault="00854A73" w:rsidP="00DF6EEA">
      <w:pPr>
        <w:pStyle w:val="Textoindependiente"/>
        <w:jc w:val="both"/>
        <w:rPr>
          <w:rFonts w:ascii="Times New Roman" w:hAnsi="Times New Roman" w:cs="Times New Roman"/>
        </w:rPr>
      </w:pPr>
      <w:r w:rsidRPr="00CB38AA">
        <w:rPr>
          <w:rFonts w:ascii="Times New Roman" w:hAnsi="Times New Roman" w:cs="Times New Roman"/>
        </w:rPr>
        <w:t>XV. a LVII. …</w:t>
      </w:r>
    </w:p>
    <w:p w:rsidR="00854A73" w:rsidRPr="00CB38AA" w:rsidRDefault="00854A73" w:rsidP="00DF6EEA">
      <w:pPr>
        <w:pStyle w:val="Textoindependiente"/>
        <w:jc w:val="both"/>
        <w:rPr>
          <w:rFonts w:ascii="Times New Roman" w:hAnsi="Times New Roman" w:cs="Times New Roman"/>
        </w:rPr>
      </w:pPr>
    </w:p>
    <w:p w:rsidR="00854A73" w:rsidRPr="00CB38AA" w:rsidRDefault="00854A73" w:rsidP="00DF6EEA">
      <w:pPr>
        <w:spacing w:after="0" w:line="240" w:lineRule="auto"/>
        <w:jc w:val="both"/>
        <w:rPr>
          <w:rFonts w:ascii="Times New Roman" w:hAnsi="Times New Roman" w:cs="Times New Roman"/>
          <w:b/>
          <w:sz w:val="24"/>
          <w:szCs w:val="24"/>
        </w:rPr>
      </w:pPr>
      <w:r w:rsidRPr="00CB38AA">
        <w:rPr>
          <w:rFonts w:ascii="Times New Roman" w:hAnsi="Times New Roman" w:cs="Times New Roman"/>
          <w:b/>
          <w:sz w:val="24"/>
          <w:szCs w:val="24"/>
        </w:rPr>
        <w:t>Artículo 111 Bis. Para cumplir con lo establecido en el presente Capítulo, la Secretaría contará con un órgano público desconcentrado, denominado Defensoría Estatal del Turista, que tiene por objeto la orientación, auxilio, asistencia, protección, asesoría y acompañamiento de las personas excursionistas, visitantes y turistas del Estado, en los asuntos relativos a la materia turística.</w:t>
      </w:r>
    </w:p>
    <w:p w:rsidR="00854A73" w:rsidRPr="00CB38AA" w:rsidRDefault="00854A73" w:rsidP="00DF6EEA">
      <w:pPr>
        <w:pStyle w:val="Textoindependiente"/>
        <w:jc w:val="both"/>
        <w:rPr>
          <w:rFonts w:ascii="Times New Roman" w:hAnsi="Times New Roman" w:cs="Times New Roman"/>
          <w:b/>
        </w:rPr>
      </w:pPr>
    </w:p>
    <w:p w:rsidR="00854A73" w:rsidRPr="00CB38AA" w:rsidRDefault="00854A73" w:rsidP="00DF6EEA">
      <w:pPr>
        <w:spacing w:after="0" w:line="240" w:lineRule="auto"/>
        <w:jc w:val="both"/>
        <w:rPr>
          <w:rFonts w:ascii="Times New Roman" w:hAnsi="Times New Roman" w:cs="Times New Roman"/>
          <w:b/>
          <w:sz w:val="24"/>
          <w:szCs w:val="24"/>
        </w:rPr>
      </w:pPr>
      <w:r w:rsidRPr="00CB38AA">
        <w:rPr>
          <w:rFonts w:ascii="Times New Roman" w:hAnsi="Times New Roman" w:cs="Times New Roman"/>
          <w:b/>
          <w:sz w:val="24"/>
          <w:szCs w:val="24"/>
        </w:rPr>
        <w:t>Artículo 111 Ter. La Defensoría estará a cargo de una Defensora o Defensor General, y tendrá su sede en el municipio de Toluca, sin perjuicio de establecer defensorías regionales en los municipios de Ixtapan de la Sal, Teotihuacán y Valle de Bravo, así como en los municipios con mayor vocación turística, conforme a las necesidades y disponibilidad presupuestal.</w:t>
      </w:r>
    </w:p>
    <w:p w:rsidR="00854A73" w:rsidRPr="00CB38AA" w:rsidRDefault="00854A73" w:rsidP="00DF6EEA">
      <w:pPr>
        <w:pStyle w:val="Textoindependiente"/>
        <w:jc w:val="both"/>
        <w:rPr>
          <w:rFonts w:ascii="Times New Roman" w:hAnsi="Times New Roman" w:cs="Times New Roman"/>
          <w:b/>
        </w:rPr>
      </w:pPr>
    </w:p>
    <w:p w:rsidR="00854A73" w:rsidRPr="00CB38AA" w:rsidRDefault="00854A73" w:rsidP="00DF6EEA">
      <w:pPr>
        <w:spacing w:after="0" w:line="240" w:lineRule="auto"/>
        <w:jc w:val="both"/>
        <w:rPr>
          <w:rFonts w:ascii="Times New Roman" w:hAnsi="Times New Roman" w:cs="Times New Roman"/>
          <w:b/>
          <w:sz w:val="24"/>
          <w:szCs w:val="24"/>
        </w:rPr>
      </w:pPr>
      <w:r w:rsidRPr="00CB38AA">
        <w:rPr>
          <w:rFonts w:ascii="Times New Roman" w:hAnsi="Times New Roman" w:cs="Times New Roman"/>
          <w:b/>
          <w:sz w:val="24"/>
          <w:szCs w:val="24"/>
        </w:rPr>
        <w:t>Artículo 111 Quáter. La Defensora o Defensor será designado por el Ejecutivo, a propuesta del Secretario de Cultura y Turismo, y deberá ser preferentemente licenciado en Derecho con experiencia en materia turística o de defensa del consumidor.</w:t>
      </w:r>
    </w:p>
    <w:p w:rsidR="00854A73" w:rsidRPr="00CB38AA" w:rsidRDefault="00854A73" w:rsidP="00DF6EEA">
      <w:pPr>
        <w:pStyle w:val="Textoindependiente"/>
        <w:jc w:val="both"/>
        <w:rPr>
          <w:rFonts w:ascii="Times New Roman" w:hAnsi="Times New Roman" w:cs="Times New Roman"/>
          <w:b/>
        </w:rPr>
      </w:pPr>
    </w:p>
    <w:p w:rsidR="00854A73" w:rsidRPr="00CB38AA" w:rsidRDefault="00854A73" w:rsidP="00DF6EEA">
      <w:pPr>
        <w:spacing w:after="0" w:line="240" w:lineRule="auto"/>
        <w:jc w:val="both"/>
        <w:rPr>
          <w:rFonts w:ascii="Times New Roman" w:hAnsi="Times New Roman" w:cs="Times New Roman"/>
          <w:b/>
          <w:sz w:val="24"/>
          <w:szCs w:val="24"/>
        </w:rPr>
      </w:pPr>
      <w:r w:rsidRPr="00CB38AA">
        <w:rPr>
          <w:rFonts w:ascii="Times New Roman" w:hAnsi="Times New Roman" w:cs="Times New Roman"/>
          <w:b/>
          <w:sz w:val="24"/>
          <w:szCs w:val="24"/>
        </w:rPr>
        <w:t>Artículo 111 Quinquies. La Defensoría ejercerá las siguientes funciones:</w:t>
      </w:r>
    </w:p>
    <w:p w:rsidR="00854A73" w:rsidRPr="00CB38AA" w:rsidRDefault="00854A73" w:rsidP="00DF6EEA">
      <w:pPr>
        <w:pStyle w:val="Textoindependiente"/>
        <w:jc w:val="both"/>
        <w:rPr>
          <w:rFonts w:ascii="Times New Roman" w:hAnsi="Times New Roman" w:cs="Times New Roman"/>
          <w:b/>
        </w:rPr>
      </w:pPr>
    </w:p>
    <w:p w:rsidR="00854A73" w:rsidRPr="00CB38AA" w:rsidRDefault="00854A73" w:rsidP="00DF6EEA">
      <w:pPr>
        <w:pStyle w:val="Prrafodelista"/>
        <w:numPr>
          <w:ilvl w:val="0"/>
          <w:numId w:val="13"/>
        </w:numPr>
        <w:ind w:right="0" w:firstLine="0"/>
        <w:rPr>
          <w:rFonts w:ascii="Times New Roman" w:hAnsi="Times New Roman" w:cs="Times New Roman"/>
          <w:b/>
          <w:sz w:val="24"/>
          <w:szCs w:val="24"/>
        </w:rPr>
      </w:pPr>
      <w:r w:rsidRPr="00CB38AA">
        <w:rPr>
          <w:rFonts w:ascii="Times New Roman" w:hAnsi="Times New Roman" w:cs="Times New Roman"/>
          <w:b/>
          <w:sz w:val="24"/>
          <w:szCs w:val="24"/>
        </w:rPr>
        <w:t>Brindar orientación, auxilio y asistencia a las personas excursionistas, visitantes y turistas respecto de problemas derivados de la prestación de servicios turísticos, informándoles sobre sus derechos, autoridades competentes y procedimientos aplicables;</w:t>
      </w:r>
    </w:p>
    <w:p w:rsidR="00854A73" w:rsidRPr="00CB38AA" w:rsidRDefault="00854A73" w:rsidP="00DF6EEA">
      <w:pPr>
        <w:pStyle w:val="Textoindependiente"/>
        <w:jc w:val="both"/>
        <w:rPr>
          <w:rFonts w:ascii="Times New Roman" w:hAnsi="Times New Roman" w:cs="Times New Roman"/>
          <w:b/>
        </w:rPr>
      </w:pPr>
    </w:p>
    <w:p w:rsidR="00854A73" w:rsidRPr="00CB38AA" w:rsidRDefault="00854A73" w:rsidP="00DF6EEA">
      <w:pPr>
        <w:pStyle w:val="Prrafodelista"/>
        <w:numPr>
          <w:ilvl w:val="0"/>
          <w:numId w:val="13"/>
        </w:numPr>
        <w:ind w:right="0" w:firstLine="0"/>
        <w:rPr>
          <w:rFonts w:ascii="Times New Roman" w:hAnsi="Times New Roman" w:cs="Times New Roman"/>
          <w:b/>
          <w:sz w:val="24"/>
          <w:szCs w:val="24"/>
        </w:rPr>
      </w:pPr>
      <w:r w:rsidRPr="00CB38AA">
        <w:rPr>
          <w:rFonts w:ascii="Times New Roman" w:hAnsi="Times New Roman" w:cs="Times New Roman"/>
          <w:b/>
          <w:sz w:val="24"/>
          <w:szCs w:val="24"/>
        </w:rPr>
        <w:t>Promover y coordinar acciones de protección y prevención en favor de las personas excursionistas, visitantes y turistas, para salvaguardar su seguridad y derechos;</w:t>
      </w:r>
    </w:p>
    <w:p w:rsidR="00854A73" w:rsidRPr="00CB38AA" w:rsidRDefault="00854A73" w:rsidP="00DF6EEA">
      <w:pPr>
        <w:pStyle w:val="Textoindependiente"/>
        <w:jc w:val="both"/>
        <w:rPr>
          <w:rFonts w:ascii="Times New Roman" w:hAnsi="Times New Roman" w:cs="Times New Roman"/>
          <w:b/>
        </w:rPr>
      </w:pPr>
    </w:p>
    <w:p w:rsidR="00854A73" w:rsidRPr="00CB38AA" w:rsidRDefault="00854A73" w:rsidP="00DF6EEA">
      <w:pPr>
        <w:pStyle w:val="Prrafodelista"/>
        <w:numPr>
          <w:ilvl w:val="0"/>
          <w:numId w:val="13"/>
        </w:numPr>
        <w:ind w:right="0" w:firstLine="0"/>
        <w:rPr>
          <w:rFonts w:ascii="Times New Roman" w:hAnsi="Times New Roman" w:cs="Times New Roman"/>
          <w:b/>
          <w:sz w:val="24"/>
          <w:szCs w:val="24"/>
        </w:rPr>
      </w:pPr>
      <w:r w:rsidRPr="00CB38AA">
        <w:rPr>
          <w:rFonts w:ascii="Times New Roman" w:hAnsi="Times New Roman" w:cs="Times New Roman"/>
          <w:b/>
          <w:sz w:val="24"/>
          <w:szCs w:val="24"/>
        </w:rPr>
        <w:t>Acompañar y auxiliar a las personas excursionistas, visitantes y turistas en las gestiones que realicen ante las diferentes autoridades, así como ante los prestadores de servicios turísticos, en el caso que se refiere la fracción I del presente artículo;</w:t>
      </w:r>
    </w:p>
    <w:p w:rsidR="00854A73" w:rsidRPr="00CB38AA" w:rsidRDefault="00854A73" w:rsidP="00DF6EEA">
      <w:pPr>
        <w:pStyle w:val="Textoindependiente"/>
        <w:jc w:val="both"/>
        <w:rPr>
          <w:rFonts w:ascii="Times New Roman" w:hAnsi="Times New Roman" w:cs="Times New Roman"/>
          <w:b/>
        </w:rPr>
      </w:pPr>
    </w:p>
    <w:p w:rsidR="00854A73" w:rsidRPr="00CB38AA" w:rsidRDefault="00854A73" w:rsidP="00DF6EEA">
      <w:pPr>
        <w:pStyle w:val="Prrafodelista"/>
        <w:numPr>
          <w:ilvl w:val="0"/>
          <w:numId w:val="13"/>
        </w:numPr>
        <w:ind w:right="0" w:firstLine="0"/>
        <w:rPr>
          <w:rFonts w:ascii="Times New Roman" w:hAnsi="Times New Roman" w:cs="Times New Roman"/>
          <w:b/>
          <w:sz w:val="24"/>
          <w:szCs w:val="24"/>
        </w:rPr>
      </w:pPr>
      <w:r w:rsidRPr="00CB38AA">
        <w:rPr>
          <w:rFonts w:ascii="Times New Roman" w:hAnsi="Times New Roman" w:cs="Times New Roman"/>
          <w:b/>
          <w:sz w:val="24"/>
          <w:szCs w:val="24"/>
        </w:rPr>
        <w:t>Asesorar jurídicamente, a solicitud de las personas excursionistas, visitantes y turistas, ante cualquier autoridad, respecto de asuntos en materia turística;</w:t>
      </w:r>
    </w:p>
    <w:p w:rsidR="00854A73" w:rsidRPr="00CB38AA" w:rsidRDefault="00854A73" w:rsidP="00DF6EEA">
      <w:pPr>
        <w:pStyle w:val="Textoindependiente"/>
        <w:jc w:val="both"/>
        <w:rPr>
          <w:rFonts w:ascii="Times New Roman" w:hAnsi="Times New Roman" w:cs="Times New Roman"/>
          <w:b/>
        </w:rPr>
      </w:pPr>
    </w:p>
    <w:p w:rsidR="00854A73" w:rsidRPr="00CB38AA" w:rsidRDefault="00854A73" w:rsidP="00DF6EEA">
      <w:pPr>
        <w:pStyle w:val="Prrafodelista"/>
        <w:numPr>
          <w:ilvl w:val="0"/>
          <w:numId w:val="13"/>
        </w:numPr>
        <w:ind w:right="0" w:firstLine="0"/>
        <w:rPr>
          <w:rFonts w:ascii="Times New Roman" w:hAnsi="Times New Roman" w:cs="Times New Roman"/>
          <w:b/>
          <w:sz w:val="24"/>
          <w:szCs w:val="24"/>
        </w:rPr>
      </w:pPr>
      <w:r w:rsidRPr="00CB38AA">
        <w:rPr>
          <w:rFonts w:ascii="Times New Roman" w:hAnsi="Times New Roman" w:cs="Times New Roman"/>
          <w:b/>
          <w:sz w:val="24"/>
          <w:szCs w:val="24"/>
        </w:rPr>
        <w:lastRenderedPageBreak/>
        <w:t>Actuar como instancia de conciliación optativa, para resolver conflictos entre las personas excursionistas, visitantes y turistas, y los prestadores de servicios turísticos;</w:t>
      </w:r>
    </w:p>
    <w:p w:rsidR="00854A73" w:rsidRPr="00CB38AA" w:rsidRDefault="00854A73" w:rsidP="00DF6EEA">
      <w:pPr>
        <w:pStyle w:val="Textoindependiente"/>
        <w:jc w:val="both"/>
        <w:rPr>
          <w:rFonts w:ascii="Times New Roman" w:hAnsi="Times New Roman" w:cs="Times New Roman"/>
          <w:b/>
        </w:rPr>
      </w:pPr>
    </w:p>
    <w:p w:rsidR="00854A73" w:rsidRPr="00CB38AA" w:rsidRDefault="00854A73" w:rsidP="00DF6EEA">
      <w:pPr>
        <w:pStyle w:val="Prrafodelista"/>
        <w:numPr>
          <w:ilvl w:val="0"/>
          <w:numId w:val="13"/>
        </w:numPr>
        <w:ind w:right="0" w:firstLine="0"/>
        <w:rPr>
          <w:rFonts w:ascii="Times New Roman" w:hAnsi="Times New Roman" w:cs="Times New Roman"/>
          <w:b/>
          <w:sz w:val="24"/>
          <w:szCs w:val="24"/>
        </w:rPr>
      </w:pPr>
      <w:r w:rsidRPr="00CB38AA">
        <w:rPr>
          <w:rFonts w:ascii="Times New Roman" w:hAnsi="Times New Roman" w:cs="Times New Roman"/>
          <w:b/>
          <w:sz w:val="24"/>
          <w:szCs w:val="24"/>
        </w:rPr>
        <w:t>Implementar programas de difusión dirigidos a personas excursionistas, visitantes, turistas y prestadores de servicios turísticos, para fomentar el conocimiento de los derechos y obligaciones, así como precios y tarifas inherentes a la actividad turística;</w:t>
      </w:r>
    </w:p>
    <w:p w:rsidR="00854A73" w:rsidRPr="00CB38AA" w:rsidRDefault="00854A73" w:rsidP="00DF6EEA">
      <w:pPr>
        <w:pStyle w:val="Textoindependiente"/>
        <w:jc w:val="both"/>
        <w:rPr>
          <w:rFonts w:ascii="Times New Roman" w:hAnsi="Times New Roman" w:cs="Times New Roman"/>
          <w:b/>
        </w:rPr>
      </w:pPr>
    </w:p>
    <w:p w:rsidR="00854A73" w:rsidRPr="00CB38AA" w:rsidRDefault="00854A73" w:rsidP="00DF6EEA">
      <w:pPr>
        <w:pStyle w:val="Prrafodelista"/>
        <w:numPr>
          <w:ilvl w:val="0"/>
          <w:numId w:val="13"/>
        </w:numPr>
        <w:ind w:right="0" w:firstLine="0"/>
        <w:rPr>
          <w:rFonts w:ascii="Times New Roman" w:hAnsi="Times New Roman" w:cs="Times New Roman"/>
          <w:b/>
          <w:sz w:val="24"/>
          <w:szCs w:val="24"/>
        </w:rPr>
      </w:pPr>
      <w:r w:rsidRPr="00CB38AA">
        <w:rPr>
          <w:rFonts w:ascii="Times New Roman" w:hAnsi="Times New Roman" w:cs="Times New Roman"/>
          <w:b/>
          <w:sz w:val="24"/>
          <w:szCs w:val="24"/>
        </w:rPr>
        <w:t>Llevar un registro de las quejas e incidentes reportados en la materia, generando estadísticas e informes, a fin de identificar zonas de riesgo y problemáticas recurrentes, y</w:t>
      </w:r>
    </w:p>
    <w:p w:rsidR="00854A73" w:rsidRPr="00CB38AA" w:rsidRDefault="00854A73" w:rsidP="00DF6EEA">
      <w:pPr>
        <w:pStyle w:val="Textoindependiente"/>
        <w:jc w:val="both"/>
        <w:rPr>
          <w:rFonts w:ascii="Times New Roman" w:hAnsi="Times New Roman" w:cs="Times New Roman"/>
          <w:b/>
        </w:rPr>
      </w:pPr>
    </w:p>
    <w:p w:rsidR="00854A73" w:rsidRPr="00CB38AA" w:rsidRDefault="00854A73" w:rsidP="00DF6EEA">
      <w:pPr>
        <w:pStyle w:val="Prrafodelista"/>
        <w:numPr>
          <w:ilvl w:val="0"/>
          <w:numId w:val="13"/>
        </w:numPr>
        <w:ind w:left="491" w:right="0" w:hanging="491"/>
        <w:rPr>
          <w:rFonts w:ascii="Times New Roman" w:hAnsi="Times New Roman" w:cs="Times New Roman"/>
          <w:b/>
          <w:sz w:val="24"/>
          <w:szCs w:val="24"/>
        </w:rPr>
      </w:pPr>
      <w:r w:rsidRPr="00CB38AA">
        <w:rPr>
          <w:rFonts w:ascii="Times New Roman" w:hAnsi="Times New Roman" w:cs="Times New Roman"/>
          <w:b/>
          <w:sz w:val="24"/>
          <w:szCs w:val="24"/>
        </w:rPr>
        <w:t>Las demás que le confiera esta Ley.</w:t>
      </w:r>
    </w:p>
    <w:p w:rsidR="00854A73" w:rsidRPr="00CB38AA" w:rsidRDefault="00854A73" w:rsidP="00DF6EEA">
      <w:pPr>
        <w:pStyle w:val="Textoindependiente"/>
        <w:jc w:val="both"/>
        <w:rPr>
          <w:rFonts w:ascii="Times New Roman" w:hAnsi="Times New Roman" w:cs="Times New Roman"/>
          <w:b/>
        </w:rPr>
      </w:pPr>
    </w:p>
    <w:p w:rsidR="00854A73" w:rsidRPr="00CB38AA" w:rsidRDefault="00854A73" w:rsidP="00DF6EEA">
      <w:pPr>
        <w:spacing w:after="0" w:line="240" w:lineRule="auto"/>
        <w:jc w:val="both"/>
        <w:rPr>
          <w:rFonts w:ascii="Times New Roman" w:hAnsi="Times New Roman" w:cs="Times New Roman"/>
          <w:b/>
          <w:sz w:val="24"/>
          <w:szCs w:val="24"/>
        </w:rPr>
      </w:pPr>
      <w:r w:rsidRPr="00CB38AA">
        <w:rPr>
          <w:rFonts w:ascii="Times New Roman" w:hAnsi="Times New Roman" w:cs="Times New Roman"/>
          <w:b/>
          <w:sz w:val="24"/>
          <w:szCs w:val="24"/>
        </w:rPr>
        <w:t>Artículo 111 Sexies.- Los servicios que preste la Defensoría serán gratuitos.</w:t>
      </w:r>
    </w:p>
    <w:p w:rsidR="00854A73" w:rsidRPr="00CB38AA" w:rsidRDefault="00854A73" w:rsidP="00DF6EEA">
      <w:pPr>
        <w:pStyle w:val="Textoindependiente"/>
        <w:jc w:val="both"/>
        <w:rPr>
          <w:rFonts w:ascii="Times New Roman" w:hAnsi="Times New Roman" w:cs="Times New Roman"/>
          <w:b/>
        </w:rPr>
      </w:pPr>
    </w:p>
    <w:p w:rsidR="00854A73" w:rsidRPr="00CB38AA" w:rsidRDefault="00854A73" w:rsidP="00DF6EEA">
      <w:pPr>
        <w:spacing w:after="0" w:line="240" w:lineRule="auto"/>
        <w:jc w:val="both"/>
        <w:rPr>
          <w:rFonts w:ascii="Times New Roman" w:hAnsi="Times New Roman" w:cs="Times New Roman"/>
          <w:b/>
          <w:sz w:val="24"/>
          <w:szCs w:val="24"/>
        </w:rPr>
      </w:pPr>
      <w:r w:rsidRPr="00CB38AA">
        <w:rPr>
          <w:rFonts w:ascii="Times New Roman" w:hAnsi="Times New Roman" w:cs="Times New Roman"/>
          <w:b/>
          <w:sz w:val="24"/>
          <w:szCs w:val="24"/>
        </w:rPr>
        <w:t>Artículo 111 Septies.- La Defensora o Defensor General tendrá las siguientes facultades:</w:t>
      </w:r>
    </w:p>
    <w:p w:rsidR="00854A73" w:rsidRPr="00CB38AA" w:rsidRDefault="00854A73" w:rsidP="00DF6EEA">
      <w:pPr>
        <w:pStyle w:val="Textoindependiente"/>
        <w:jc w:val="both"/>
        <w:rPr>
          <w:rFonts w:ascii="Times New Roman" w:hAnsi="Times New Roman" w:cs="Times New Roman"/>
          <w:b/>
        </w:rPr>
      </w:pPr>
    </w:p>
    <w:p w:rsidR="00854A73" w:rsidRPr="00CB38AA" w:rsidRDefault="00854A73" w:rsidP="00DF6EEA">
      <w:pPr>
        <w:pStyle w:val="Prrafodelista"/>
        <w:numPr>
          <w:ilvl w:val="0"/>
          <w:numId w:val="12"/>
        </w:numPr>
        <w:ind w:right="0" w:firstLine="0"/>
        <w:rPr>
          <w:rFonts w:ascii="Times New Roman" w:hAnsi="Times New Roman" w:cs="Times New Roman"/>
          <w:b/>
          <w:sz w:val="24"/>
          <w:szCs w:val="24"/>
        </w:rPr>
      </w:pPr>
      <w:r w:rsidRPr="00CB38AA">
        <w:rPr>
          <w:rFonts w:ascii="Times New Roman" w:hAnsi="Times New Roman" w:cs="Times New Roman"/>
          <w:b/>
          <w:sz w:val="24"/>
          <w:szCs w:val="24"/>
        </w:rPr>
        <w:t>Formular y presentar a la Secretaría, para su aprobación, los programas de trabajo de la Defensoría;</w:t>
      </w:r>
    </w:p>
    <w:p w:rsidR="00854A73" w:rsidRPr="00CB38AA" w:rsidRDefault="00854A73" w:rsidP="00DF6EEA">
      <w:pPr>
        <w:pStyle w:val="Textoindependiente"/>
        <w:jc w:val="both"/>
        <w:rPr>
          <w:rFonts w:ascii="Times New Roman" w:hAnsi="Times New Roman" w:cs="Times New Roman"/>
          <w:b/>
        </w:rPr>
      </w:pPr>
    </w:p>
    <w:p w:rsidR="00854A73" w:rsidRPr="00CB38AA" w:rsidRDefault="00854A73" w:rsidP="00DF6EEA">
      <w:pPr>
        <w:pStyle w:val="Prrafodelista"/>
        <w:numPr>
          <w:ilvl w:val="0"/>
          <w:numId w:val="12"/>
        </w:numPr>
        <w:ind w:right="0" w:firstLine="0"/>
        <w:rPr>
          <w:rFonts w:ascii="Times New Roman" w:hAnsi="Times New Roman" w:cs="Times New Roman"/>
          <w:b/>
          <w:sz w:val="24"/>
          <w:szCs w:val="24"/>
        </w:rPr>
      </w:pPr>
      <w:r w:rsidRPr="00CB38AA">
        <w:rPr>
          <w:rFonts w:ascii="Times New Roman" w:hAnsi="Times New Roman" w:cs="Times New Roman"/>
          <w:b/>
          <w:sz w:val="24"/>
          <w:szCs w:val="24"/>
        </w:rPr>
        <w:t>Recibir las quejas o sugerencias de las personas excursionistas, visitantes y turistas relacionados con la prestación de servicios turísticos;</w:t>
      </w:r>
    </w:p>
    <w:p w:rsidR="00854A73" w:rsidRPr="00CB38AA" w:rsidRDefault="00854A73" w:rsidP="00DF6EEA">
      <w:pPr>
        <w:pStyle w:val="Textoindependiente"/>
        <w:jc w:val="both"/>
        <w:rPr>
          <w:rFonts w:ascii="Times New Roman" w:hAnsi="Times New Roman" w:cs="Times New Roman"/>
          <w:b/>
        </w:rPr>
      </w:pPr>
    </w:p>
    <w:p w:rsidR="00854A73" w:rsidRPr="00CB38AA" w:rsidRDefault="00854A73" w:rsidP="00DF6EEA">
      <w:pPr>
        <w:pStyle w:val="Prrafodelista"/>
        <w:numPr>
          <w:ilvl w:val="0"/>
          <w:numId w:val="12"/>
        </w:numPr>
        <w:ind w:right="0" w:firstLine="0"/>
        <w:rPr>
          <w:rFonts w:ascii="Times New Roman" w:hAnsi="Times New Roman" w:cs="Times New Roman"/>
          <w:b/>
          <w:sz w:val="24"/>
          <w:szCs w:val="24"/>
        </w:rPr>
      </w:pPr>
      <w:r w:rsidRPr="00CB38AA">
        <w:rPr>
          <w:rFonts w:ascii="Times New Roman" w:hAnsi="Times New Roman" w:cs="Times New Roman"/>
          <w:b/>
          <w:sz w:val="24"/>
          <w:szCs w:val="24"/>
        </w:rPr>
        <w:t>Proponer medidas tendientes al mejoramiento de las actividades de la Defensoría;</w:t>
      </w:r>
    </w:p>
    <w:p w:rsidR="00854A73" w:rsidRPr="00CB38AA" w:rsidRDefault="00854A73" w:rsidP="00DF6EEA">
      <w:pPr>
        <w:pStyle w:val="Textoindependiente"/>
        <w:jc w:val="both"/>
        <w:rPr>
          <w:rFonts w:ascii="Times New Roman" w:hAnsi="Times New Roman" w:cs="Times New Roman"/>
          <w:b/>
        </w:rPr>
      </w:pPr>
    </w:p>
    <w:p w:rsidR="00854A73" w:rsidRPr="00CB38AA" w:rsidRDefault="00854A73" w:rsidP="00DF6EEA">
      <w:pPr>
        <w:pStyle w:val="Prrafodelista"/>
        <w:numPr>
          <w:ilvl w:val="0"/>
          <w:numId w:val="12"/>
        </w:numPr>
        <w:ind w:right="0" w:firstLine="0"/>
        <w:rPr>
          <w:rFonts w:ascii="Times New Roman" w:hAnsi="Times New Roman" w:cs="Times New Roman"/>
          <w:b/>
          <w:sz w:val="24"/>
          <w:szCs w:val="24"/>
        </w:rPr>
      </w:pPr>
      <w:r w:rsidRPr="00CB38AA">
        <w:rPr>
          <w:rFonts w:ascii="Times New Roman" w:hAnsi="Times New Roman" w:cs="Times New Roman"/>
          <w:b/>
          <w:sz w:val="24"/>
          <w:szCs w:val="24"/>
        </w:rPr>
        <w:t>Despachar los asuntos que competen a la Defensoría, y</w:t>
      </w:r>
    </w:p>
    <w:p w:rsidR="00854A73" w:rsidRPr="00CB38AA" w:rsidRDefault="00854A73" w:rsidP="00DF6EEA">
      <w:pPr>
        <w:pStyle w:val="Prrafodelista"/>
        <w:ind w:right="0"/>
        <w:rPr>
          <w:rFonts w:ascii="Times New Roman" w:hAnsi="Times New Roman" w:cs="Times New Roman"/>
          <w:b/>
          <w:sz w:val="24"/>
          <w:szCs w:val="24"/>
        </w:rPr>
      </w:pPr>
    </w:p>
    <w:p w:rsidR="00854A73" w:rsidRPr="00CB38AA" w:rsidRDefault="00854A73" w:rsidP="00DF6EEA">
      <w:pPr>
        <w:pStyle w:val="Prrafodelista"/>
        <w:numPr>
          <w:ilvl w:val="0"/>
          <w:numId w:val="12"/>
        </w:numPr>
        <w:ind w:right="0" w:firstLine="0"/>
        <w:rPr>
          <w:rFonts w:ascii="Times New Roman" w:hAnsi="Times New Roman" w:cs="Times New Roman"/>
          <w:b/>
          <w:sz w:val="24"/>
          <w:szCs w:val="24"/>
        </w:rPr>
      </w:pPr>
      <w:r w:rsidRPr="00CB38AA">
        <w:rPr>
          <w:rFonts w:ascii="Times New Roman" w:hAnsi="Times New Roman" w:cs="Times New Roman"/>
          <w:b/>
          <w:sz w:val="24"/>
          <w:szCs w:val="24"/>
        </w:rPr>
        <w:t xml:space="preserve"> V.- Las demás que le confiera esta Ley.</w:t>
      </w:r>
    </w:p>
    <w:p w:rsidR="00854A73" w:rsidRPr="00CB38AA" w:rsidRDefault="00854A73" w:rsidP="00DF6EEA">
      <w:pPr>
        <w:spacing w:after="0" w:line="240" w:lineRule="auto"/>
        <w:jc w:val="both"/>
        <w:rPr>
          <w:rFonts w:ascii="Times New Roman" w:hAnsi="Times New Roman" w:cs="Times New Roman"/>
          <w:b/>
          <w:sz w:val="24"/>
          <w:szCs w:val="24"/>
        </w:rPr>
      </w:pPr>
    </w:p>
    <w:p w:rsidR="00854A73" w:rsidRPr="00CB38AA" w:rsidRDefault="00854A73" w:rsidP="00DF6EEA">
      <w:pPr>
        <w:spacing w:after="0" w:line="240" w:lineRule="auto"/>
        <w:jc w:val="both"/>
        <w:rPr>
          <w:rFonts w:ascii="Times New Roman" w:hAnsi="Times New Roman" w:cs="Times New Roman"/>
          <w:b/>
          <w:sz w:val="24"/>
          <w:szCs w:val="24"/>
        </w:rPr>
      </w:pPr>
      <w:r w:rsidRPr="00CB38AA">
        <w:rPr>
          <w:rFonts w:ascii="Times New Roman" w:hAnsi="Times New Roman" w:cs="Times New Roman"/>
          <w:b/>
          <w:sz w:val="24"/>
          <w:szCs w:val="24"/>
        </w:rPr>
        <w:t>Artículo 111 Octies.- Las autoridades están obligadas a proporcionar a la Defensoría los datos e informes que solicite para el mejor desempeño de sus funciones.</w:t>
      </w:r>
    </w:p>
    <w:p w:rsidR="00854A73" w:rsidRPr="00CB38AA" w:rsidRDefault="00854A73" w:rsidP="00DF6EEA">
      <w:pPr>
        <w:pStyle w:val="Textoindependiente"/>
        <w:jc w:val="both"/>
        <w:rPr>
          <w:rFonts w:ascii="Times New Roman" w:hAnsi="Times New Roman" w:cs="Times New Roman"/>
          <w:b/>
        </w:rPr>
      </w:pPr>
    </w:p>
    <w:p w:rsidR="00854A73" w:rsidRPr="00CB38AA" w:rsidRDefault="00854A73" w:rsidP="00DF6EEA">
      <w:pPr>
        <w:ind w:left="5"/>
        <w:jc w:val="center"/>
        <w:rPr>
          <w:rFonts w:ascii="Times New Roman" w:hAnsi="Times New Roman" w:cs="Times New Roman"/>
          <w:b/>
          <w:sz w:val="24"/>
          <w:szCs w:val="24"/>
        </w:rPr>
      </w:pPr>
      <w:r w:rsidRPr="00CB38AA">
        <w:rPr>
          <w:rFonts w:ascii="Times New Roman" w:hAnsi="Times New Roman" w:cs="Times New Roman"/>
          <w:b/>
          <w:sz w:val="24"/>
          <w:szCs w:val="24"/>
        </w:rPr>
        <w:t>T R A N S I T O R I O S</w:t>
      </w:r>
    </w:p>
    <w:p w:rsidR="00854A73" w:rsidRPr="00CB38AA" w:rsidRDefault="00854A73" w:rsidP="00DF6EEA">
      <w:pPr>
        <w:pStyle w:val="Textoindependiente"/>
        <w:jc w:val="both"/>
        <w:rPr>
          <w:rFonts w:ascii="Times New Roman" w:hAnsi="Times New Roman" w:cs="Times New Roman"/>
          <w:b/>
        </w:rPr>
      </w:pPr>
    </w:p>
    <w:p w:rsidR="00854A73" w:rsidRPr="00CB38AA" w:rsidRDefault="00854A73" w:rsidP="00DF6EEA">
      <w:pPr>
        <w:pStyle w:val="Textoindependiente"/>
        <w:jc w:val="both"/>
        <w:rPr>
          <w:rFonts w:ascii="Times New Roman" w:hAnsi="Times New Roman" w:cs="Times New Roman"/>
        </w:rPr>
      </w:pPr>
      <w:r w:rsidRPr="00CB38AA">
        <w:rPr>
          <w:rFonts w:ascii="Times New Roman" w:hAnsi="Times New Roman" w:cs="Times New Roman"/>
          <w:b/>
        </w:rPr>
        <w:t xml:space="preserve">PRIMERO.- </w:t>
      </w:r>
      <w:r w:rsidRPr="00CB38AA">
        <w:rPr>
          <w:rFonts w:ascii="Times New Roman" w:hAnsi="Times New Roman" w:cs="Times New Roman"/>
        </w:rPr>
        <w:t>Publíquese el presente Decreto en el Periódico Oficial "Gaceta del Gobierno".</w:t>
      </w:r>
    </w:p>
    <w:p w:rsidR="00854A73" w:rsidRPr="00CB38AA" w:rsidRDefault="00854A73" w:rsidP="00DF6EEA">
      <w:pPr>
        <w:pStyle w:val="Textoindependiente"/>
        <w:jc w:val="both"/>
        <w:rPr>
          <w:rFonts w:ascii="Times New Roman" w:hAnsi="Times New Roman" w:cs="Times New Roman"/>
        </w:rPr>
      </w:pPr>
    </w:p>
    <w:p w:rsidR="00854A73" w:rsidRPr="00CB38AA" w:rsidRDefault="00854A73" w:rsidP="00DF6EEA">
      <w:pPr>
        <w:pStyle w:val="Textoindependiente"/>
        <w:jc w:val="both"/>
        <w:rPr>
          <w:rFonts w:ascii="Times New Roman" w:hAnsi="Times New Roman" w:cs="Times New Roman"/>
        </w:rPr>
      </w:pPr>
      <w:r w:rsidRPr="00CB38AA">
        <w:rPr>
          <w:rFonts w:ascii="Times New Roman" w:hAnsi="Times New Roman" w:cs="Times New Roman"/>
          <w:b/>
        </w:rPr>
        <w:t xml:space="preserve">SEGUNDO.- </w:t>
      </w:r>
      <w:r w:rsidRPr="00CB38AA">
        <w:rPr>
          <w:rFonts w:ascii="Times New Roman" w:hAnsi="Times New Roman" w:cs="Times New Roman"/>
        </w:rPr>
        <w:t>El presente Decreto entrará en vigor al día siguiente de su publicación en el Periódico Oficial "Gaceta del Gobierno".</w:t>
      </w:r>
    </w:p>
    <w:p w:rsidR="00854A73" w:rsidRPr="00CB38AA" w:rsidRDefault="00854A73" w:rsidP="00DF6EEA">
      <w:pPr>
        <w:pStyle w:val="Textoindependiente"/>
        <w:jc w:val="both"/>
        <w:rPr>
          <w:rFonts w:ascii="Times New Roman" w:hAnsi="Times New Roman" w:cs="Times New Roman"/>
        </w:rPr>
      </w:pPr>
    </w:p>
    <w:p w:rsidR="00854A73" w:rsidRPr="00CB38AA" w:rsidRDefault="00854A73" w:rsidP="00DF6EEA">
      <w:pPr>
        <w:pStyle w:val="Textoindependiente"/>
        <w:jc w:val="both"/>
        <w:rPr>
          <w:rFonts w:ascii="Times New Roman" w:hAnsi="Times New Roman" w:cs="Times New Roman"/>
        </w:rPr>
      </w:pPr>
      <w:r w:rsidRPr="00CB38AA">
        <w:rPr>
          <w:rFonts w:ascii="Times New Roman" w:hAnsi="Times New Roman" w:cs="Times New Roman"/>
          <w:b/>
        </w:rPr>
        <w:t xml:space="preserve">TERCERO.- </w:t>
      </w:r>
      <w:r w:rsidRPr="00CB38AA">
        <w:rPr>
          <w:rFonts w:ascii="Times New Roman" w:hAnsi="Times New Roman" w:cs="Times New Roman"/>
        </w:rPr>
        <w:t>El Poder Ejecutivo del Estado, por conducto de la Secretaría de Cultura y Turismo, deberá proveer, en un plazo de noventa días naturales contados a partir de la entrada en vigor del presente Decreto, los recursos humanos, materiales y financieros necesarios para la instalación, operación y adecuado funcionamiento de la Defensoría Estatal del Turista, así como para expedir su Reglamento Interno.</w:t>
      </w:r>
    </w:p>
    <w:p w:rsidR="00854A73" w:rsidRPr="00CB38AA" w:rsidRDefault="00854A73" w:rsidP="00DF6EEA">
      <w:pPr>
        <w:pStyle w:val="Textoindependiente"/>
        <w:jc w:val="both"/>
        <w:rPr>
          <w:rFonts w:ascii="Times New Roman" w:hAnsi="Times New Roman" w:cs="Times New Roman"/>
        </w:rPr>
      </w:pPr>
    </w:p>
    <w:p w:rsidR="00854A73" w:rsidRPr="00CB38AA" w:rsidRDefault="00854A73" w:rsidP="00DF6EEA">
      <w:pPr>
        <w:pStyle w:val="Textoindependiente"/>
        <w:jc w:val="both"/>
        <w:rPr>
          <w:rFonts w:ascii="Times New Roman" w:hAnsi="Times New Roman" w:cs="Times New Roman"/>
        </w:rPr>
      </w:pPr>
      <w:r w:rsidRPr="00CB38AA">
        <w:rPr>
          <w:rFonts w:ascii="Times New Roman" w:hAnsi="Times New Roman" w:cs="Times New Roman"/>
        </w:rPr>
        <w:t xml:space="preserve">Dado en el Palacio del Poder Legislativo, en la ciudad de Toluca de Lerdo, capital del Estado de México, a los </w:t>
      </w:r>
      <w:r w:rsidRPr="00CB38AA">
        <w:rPr>
          <w:rFonts w:ascii="Times New Roman" w:hAnsi="Times New Roman" w:cs="Times New Roman"/>
          <w:u w:val="single"/>
        </w:rPr>
        <w:tab/>
      </w:r>
      <w:r w:rsidRPr="00CB38AA">
        <w:rPr>
          <w:rFonts w:ascii="Times New Roman" w:hAnsi="Times New Roman" w:cs="Times New Roman"/>
        </w:rPr>
        <w:t xml:space="preserve"> días del mes de </w:t>
      </w:r>
      <w:r w:rsidRPr="00CB38AA">
        <w:rPr>
          <w:rFonts w:ascii="Times New Roman" w:hAnsi="Times New Roman" w:cs="Times New Roman"/>
          <w:u w:val="single"/>
        </w:rPr>
        <w:tab/>
      </w:r>
      <w:r w:rsidRPr="00CB38AA">
        <w:rPr>
          <w:rFonts w:ascii="Times New Roman" w:hAnsi="Times New Roman" w:cs="Times New Roman"/>
        </w:rPr>
        <w:t xml:space="preserve"> del año </w:t>
      </w:r>
      <w:r w:rsidRPr="00CB38AA">
        <w:rPr>
          <w:rFonts w:ascii="Times New Roman" w:hAnsi="Times New Roman" w:cs="Times New Roman"/>
          <w:u w:val="single"/>
        </w:rPr>
        <w:tab/>
      </w:r>
      <w:r w:rsidRPr="00CB38AA">
        <w:rPr>
          <w:rFonts w:ascii="Times New Roman" w:hAnsi="Times New Roman" w:cs="Times New Roman"/>
        </w:rPr>
        <w:t>.</w:t>
      </w:r>
    </w:p>
    <w:p w:rsidR="0013616E" w:rsidRPr="00CB38AA" w:rsidRDefault="0013616E" w:rsidP="00DF6EEA">
      <w:pPr>
        <w:spacing w:after="0" w:line="240" w:lineRule="auto"/>
        <w:jc w:val="both"/>
        <w:rPr>
          <w:rFonts w:ascii="Times New Roman" w:hAnsi="Times New Roman" w:cs="Times New Roman"/>
          <w:sz w:val="24"/>
          <w:szCs w:val="24"/>
        </w:rPr>
      </w:pPr>
    </w:p>
    <w:p w:rsidR="0013616E" w:rsidRPr="00CB38AA" w:rsidRDefault="0013616E" w:rsidP="00DF6EEA">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(Fin del documento)</w:t>
      </w:r>
    </w:p>
    <w:p w:rsidR="0013616E" w:rsidRPr="00CB38AA" w:rsidRDefault="0013616E" w:rsidP="00DF6EEA">
      <w:pPr>
        <w:spacing w:after="0" w:line="240" w:lineRule="auto"/>
        <w:jc w:val="center"/>
        <w:rPr>
          <w:rFonts w:ascii="Times New Roman" w:hAnsi="Times New Roman" w:cs="Times New Roman"/>
          <w:sz w:val="24"/>
          <w:szCs w:val="24"/>
        </w:rPr>
      </w:pP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 xml:space="preserve">PRESIDENTA DIP. MARTHA AZUCENA CAMACHO REYNOSO. Gracias diputada Lilia Urbina Salazar.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Se registra la iniciativa y se registra a las Comisiones Legislativas de Desarrollo Turístico y Artesanal y Derechos Humanos para su estudio y dictamen.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¿Con qué objeto? diputada Leticia Mejía García.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Adelante.</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DIP. LETICIA MEJÍA GARCÍA. Compañeros diputados, justamente hablando del tema turístico, en razón de la iniciativa presentada por mi compañera, quiero también hacer uso de la palabra para hablar de un hecho que recientemente ha trascendido en diversos medios, la desaparición de diversos integrantes de una familia originaria del Municipio de Ixtlahuaca que decidieron vacacionar en Mazatlán Sinaloa, esa decisión marcaría su vida. Hoy el paradero de Gregorio Ramírez Sabino, Javier Ramírez Sabino, Omar Alexis Ramírez Sabino y Oscar García Hernández se desconoce, todos ellos hijos, hermanos, padres que el día de hoy, sus familias sufren su ausencia. Sus familias han realizado esfuerzos importantes para localizarlos, han recorrido oficinas gubernamentales, se han manifestado en Palacio de Gobierno y aunque han encontrado apoyo y acompañamiento del Gobierno del Estado, de la Fiscalía General, de la Comisión Estatal de Búsqueda, sus familiares continúan desaparecidos.</w:t>
      </w:r>
    </w:p>
    <w:p w:rsidR="00A35DFE" w:rsidRPr="00CB38AA" w:rsidRDefault="00A35DFE" w:rsidP="00DF6EEA">
      <w:pPr>
        <w:pStyle w:val="Sinespaciado"/>
        <w:ind w:firstLine="709"/>
        <w:jc w:val="both"/>
        <w:rPr>
          <w:rFonts w:ascii="Times New Roman" w:hAnsi="Times New Roman" w:cs="Times New Roman"/>
          <w:sz w:val="24"/>
          <w:szCs w:val="24"/>
        </w:rPr>
      </w:pPr>
      <w:r w:rsidRPr="00CB38AA">
        <w:rPr>
          <w:rFonts w:ascii="Times New Roman" w:hAnsi="Times New Roman" w:cs="Times New Roman"/>
          <w:sz w:val="24"/>
          <w:szCs w:val="24"/>
        </w:rPr>
        <w:t xml:space="preserve">La situación que enfrenta el país en el tema de seguridad amerita reconocer que hace falta fortalecer la política de gobierno para garantizar la protección de vida y la seguridad y los bienes de las personas.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El día de hoy hago uso de esta tribuna para pedir a las autoridades del Gobierno del Estado que le sigan dando acompañamiento, que le sigan ayudando a que las investigaciones que se realizan en el Estado de Mazatlán continúen, porque estas familias el día de hoy sufren la desaparición de cuatro de sus integrantes. Hoy levanto la voz por todos aquellos que enfrentan esta problemática con el propósito de que se redoblen los esfuerzos, se hagan uso de todas las capacidades y recursos para fortalecer los trabajos de coordinación con las autoridades y en especial por estas 4 personas que el día de hoy siguen desaparecidas. Un reconocimiento a los esfuerzos que se han hecho, pero seguimos solicitando desde esta tribuna como </w:t>
      </w:r>
      <w:r w:rsidRPr="00CB38AA">
        <w:rPr>
          <w:rStyle w:val="Textoennegrita"/>
          <w:rFonts w:ascii="Times New Roman" w:hAnsi="Times New Roman" w:cs="Times New Roman"/>
          <w:b w:val="0"/>
          <w:sz w:val="24"/>
          <w:szCs w:val="24"/>
          <w:shd w:val="clear" w:color="auto" w:fill="FFFFFF"/>
        </w:rPr>
        <w:t>ixtlahuaquenses</w:t>
      </w:r>
      <w:r w:rsidRPr="00CB38AA">
        <w:rPr>
          <w:rFonts w:ascii="Times New Roman" w:hAnsi="Times New Roman" w:cs="Times New Roman"/>
          <w:sz w:val="24"/>
          <w:szCs w:val="24"/>
        </w:rPr>
        <w:t xml:space="preserve"> que se refuercen los esfuerzos, se redoblen los esfuerzos para poder seguir dando el acompañamiento a estas familias que hoy tanto buscan el apoyo de las instancias de Gobierno. "</w:t>
      </w:r>
      <w:hyperlink r:id="rId43" w:history="1">
        <w:r w:rsidRPr="00CB38AA">
          <w:rPr>
            <w:rStyle w:val="Hipervnculo"/>
            <w:rFonts w:ascii="Times New Roman" w:hAnsi="Times New Roman" w:cs="Times New Roman"/>
            <w:bCs/>
            <w:color w:val="auto"/>
            <w:sz w:val="24"/>
            <w:szCs w:val="24"/>
            <w:u w:val="none"/>
            <w:shd w:val="clear" w:color="auto" w:fill="FFFFFF"/>
          </w:rPr>
          <w:t>Vivos se los llevaron, vivos los queremos</w:t>
        </w:r>
      </w:hyperlink>
      <w:r w:rsidRPr="00CB38AA">
        <w:rPr>
          <w:rFonts w:ascii="Times New Roman" w:hAnsi="Times New Roman" w:cs="Times New Roman"/>
          <w:sz w:val="24"/>
          <w:szCs w:val="24"/>
          <w:shd w:val="clear" w:color="auto" w:fill="FFFFFF"/>
        </w:rPr>
        <w:t xml:space="preserve">" </w:t>
      </w:r>
      <w:r w:rsidRPr="00CB38AA">
        <w:rPr>
          <w:rFonts w:ascii="Times New Roman" w:hAnsi="Times New Roman" w:cs="Times New Roman"/>
          <w:sz w:val="24"/>
          <w:szCs w:val="24"/>
        </w:rPr>
        <w:t>Gracias.</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PRESIDENTA DIP. MARTHA AZUCENA CAMACHO REYNOSO. Se registra lo comentado diputada.</w:t>
      </w:r>
    </w:p>
    <w:p w:rsidR="00A35DFE" w:rsidRPr="00CB38AA" w:rsidRDefault="00A35DFE" w:rsidP="00DF6EEA">
      <w:pPr>
        <w:pStyle w:val="Sinespaciado"/>
        <w:ind w:firstLine="709"/>
        <w:jc w:val="both"/>
        <w:rPr>
          <w:rFonts w:ascii="Times New Roman" w:hAnsi="Times New Roman" w:cs="Times New Roman"/>
          <w:sz w:val="24"/>
          <w:szCs w:val="24"/>
        </w:rPr>
      </w:pPr>
      <w:r w:rsidRPr="00CB38AA">
        <w:rPr>
          <w:rFonts w:ascii="Times New Roman" w:hAnsi="Times New Roman" w:cs="Times New Roman"/>
          <w:sz w:val="24"/>
          <w:szCs w:val="24"/>
        </w:rPr>
        <w:t>Esta LXII Legislatura da la bienvenida a Mía Osnaya Pérez, Martiniano Osnaya Pérez, Liliana Villanueva Salazar. Ellos, invitados por la diputada Vicepresidenta Itzel Guadalupe Pérez Correas. Sean ustedes bienvenidos a esta su casa, “La Casa del Pueblo mexiquense”. Gracias por acompañarnos.</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En cuanto al punto número 18, la diputada Joanna Alejandra Felipe Torres, leerá la Iniciativa con Proyecto de Decreto por el que se adicionan la fracción VI recorriendo la subsecuente del artículo 29; y se adiciona el artículo 29 Quater, todos de la Ley de la Fiscalía General de Justicia del Estado de México, con el objeto de crear La Fiscalía Especializada en Atención a los Delitos Cometidos contra Personas Adultas Mayores, presentada por la diputada, presentada por la Diputada Joanna Alejandra Felipe Torres y el Diputado Pablo Fernández de Cevallos González, en nombre del Grupo Parlamentario del Partido Acción Nacional.</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DIP. JOANNA FELIPE TORRES. Gracias.</w:t>
      </w:r>
    </w:p>
    <w:p w:rsidR="00A35DFE" w:rsidRPr="00CB38AA" w:rsidRDefault="00A35DFE" w:rsidP="00DF6EEA">
      <w:pPr>
        <w:pStyle w:val="Sinespaciado"/>
        <w:ind w:firstLine="709"/>
        <w:jc w:val="both"/>
        <w:rPr>
          <w:rFonts w:ascii="Times New Roman" w:hAnsi="Times New Roman" w:cs="Times New Roman"/>
          <w:sz w:val="24"/>
          <w:szCs w:val="24"/>
        </w:rPr>
      </w:pPr>
      <w:r w:rsidRPr="00CB38AA">
        <w:rPr>
          <w:rFonts w:ascii="Times New Roman" w:hAnsi="Times New Roman" w:cs="Times New Roman"/>
          <w:sz w:val="24"/>
          <w:szCs w:val="24"/>
        </w:rPr>
        <w:t>Con su venia, diputada Presidenta.</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Diana era una mujer fuerte. Tenía su casa, su pensión y la dignidad que da una vida de trabajo, para poder ayudarse un poco más era una extraordinaria vendedora por catálogo. Diana </w:t>
      </w:r>
      <w:r w:rsidRPr="00CB38AA">
        <w:rPr>
          <w:rFonts w:ascii="Times New Roman" w:hAnsi="Times New Roman" w:cs="Times New Roman"/>
          <w:sz w:val="24"/>
          <w:szCs w:val="24"/>
        </w:rPr>
        <w:lastRenderedPageBreak/>
        <w:t>vivía sola en la planta baja de un dúplex en la colonia Atlanta, en Cuautitlán Izcalli; pero su vida se convirtió en un calvario cuando invasores tomaron la planta alta. No sólo le robaron la paz, perforaron su techo con vigas de acero, le bloquearon la luz solar y finalmente le cortaron el agua. Imaginen a una mujer de la tercera edad agachándose cada día para sacar botes de una cisterna porque nadie la podía proteger ni garantizarle el derecho básico. Diana denunció en muchas ocasiones y en múltiples instancias, hizo trámites, llenó expedientes, tocó puertas; pero se topó con una pared de burocracia que no entiende que, para un adulto mayor, el tiempo no es un trámite, el tiempo es vida.</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Diana falleció sin ver la justicia, su caso no fue un conflicto vecinal, fue una tortura institucionalizada por omisión, lo de Diana no es un caso aislado, es el síntoma de una enfermedad social en el Estado de México, somos la segunda Entidad con más violencia contra las mujeres mayores, más de 226 mil mexiquenses de 60 años o más, han sufrido violencia; la cifra negra nos ciega, la OMS estima que el 32% de los adultos mayores en México sufre maltrato; pero el miedo al abandono o a las represalias de sus propios cuidadores los mantiene en silencio, el colapso demográfico es inminente, para el 2030 seremos casi 3 millones de adultos mayores en el Estado de México, si hoy el sistema de justicia les falla, mañana el sistema colapsará.</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El Código Penal ya contempla sanciones; pero la ley, sin una estructura, sin una institución que la ejecute, es letra muerta.</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Los ministerios públicos actuales no tienen la sensibilidad, ni la perspectiva, ni la especialización para atender a quien no puede subir una escalera, a quien tiene un deterioro cognitivo o a quien depende económicamente de su propio agresor.</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Por la memoria de Diana y por el futuro de millones de mexiquenses, presento esta iniciativa para crear la Fiscalía Especializada para la Atención de los Delitos cometidos contra las Personas Adultas Mayores.</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Esta Fiscalía no es un lujo administrativo, es una necesidad de derechos humanos para centralizar y agilizar las investigaciones, evitando que las víctimas reboten de oficina en oficina; capacitar personal con perspectiva de gerontología y sensibilidad humana; garantizar la reparación del daño de manera inmediata, porque la justicia que llega tarde, como en el caso de Diana, simplemente no es justicia.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Compañeras y compañeros diputados, los adultos mayores son nuestro pasado y nuestro legado; pero también son nuestro espejo, legislar para ellos es legislar para nosotros mismos, no permitamos que más expedientes se llenen de polvo mientras la vida de nuestros abuelos se apaga con la injusticia.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Es cuanto, diputada Presidenta. </w:t>
      </w:r>
    </w:p>
    <w:p w:rsidR="0069373A" w:rsidRPr="00CB38AA" w:rsidRDefault="0069373A" w:rsidP="00544832">
      <w:pPr>
        <w:pStyle w:val="Sinespaciado"/>
        <w:jc w:val="both"/>
        <w:rPr>
          <w:rFonts w:ascii="Times New Roman" w:hAnsi="Times New Roman" w:cs="Times New Roman"/>
          <w:sz w:val="24"/>
          <w:szCs w:val="24"/>
        </w:rPr>
      </w:pPr>
    </w:p>
    <w:p w:rsidR="0069373A" w:rsidRPr="00CB38AA" w:rsidRDefault="0069373A" w:rsidP="00544832">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(Se inserta documento)</w:t>
      </w:r>
    </w:p>
    <w:p w:rsidR="0069373A" w:rsidRPr="00CB38AA" w:rsidRDefault="0069373A" w:rsidP="00544832">
      <w:pPr>
        <w:spacing w:after="0" w:line="240" w:lineRule="auto"/>
        <w:jc w:val="center"/>
        <w:rPr>
          <w:rFonts w:ascii="Times New Roman" w:hAnsi="Times New Roman" w:cs="Times New Roman"/>
          <w:sz w:val="24"/>
          <w:szCs w:val="24"/>
        </w:rPr>
      </w:pPr>
    </w:p>
    <w:p w:rsidR="00F71CC5" w:rsidRPr="00CB38AA" w:rsidRDefault="00F71CC5" w:rsidP="00F71CC5">
      <w:pPr>
        <w:autoSpaceDE w:val="0"/>
        <w:autoSpaceDN w:val="0"/>
        <w:adjustRightInd w:val="0"/>
        <w:spacing w:after="0" w:line="240" w:lineRule="auto"/>
        <w:jc w:val="both"/>
        <w:rPr>
          <w:rFonts w:ascii="Times New Roman" w:eastAsia="Calibri" w:hAnsi="Times New Roman" w:cs="Times New Roman"/>
          <w:b/>
          <w:bCs/>
          <w:sz w:val="24"/>
          <w:szCs w:val="24"/>
        </w:rPr>
      </w:pPr>
      <w:r w:rsidRPr="00CB38AA">
        <w:rPr>
          <w:rFonts w:ascii="Times New Roman" w:eastAsia="Calibri" w:hAnsi="Times New Roman" w:cs="Times New Roman"/>
          <w:b/>
          <w:bCs/>
          <w:sz w:val="24"/>
          <w:szCs w:val="24"/>
        </w:rPr>
        <w:t>CONGRESO</w:t>
      </w:r>
    </w:p>
    <w:p w:rsidR="00F71CC5" w:rsidRPr="00CB38AA" w:rsidRDefault="00F71CC5" w:rsidP="00F71CC5">
      <w:pPr>
        <w:autoSpaceDE w:val="0"/>
        <w:autoSpaceDN w:val="0"/>
        <w:adjustRightInd w:val="0"/>
        <w:spacing w:after="0" w:line="240" w:lineRule="auto"/>
        <w:jc w:val="both"/>
        <w:rPr>
          <w:rFonts w:ascii="Times New Roman" w:eastAsia="Calibri" w:hAnsi="Times New Roman" w:cs="Times New Roman"/>
          <w:b/>
          <w:bCs/>
          <w:sz w:val="24"/>
          <w:szCs w:val="24"/>
        </w:rPr>
      </w:pPr>
      <w:r w:rsidRPr="00CB38AA">
        <w:rPr>
          <w:rFonts w:ascii="Times New Roman" w:eastAsia="Calibri" w:hAnsi="Times New Roman" w:cs="Times New Roman"/>
          <w:b/>
          <w:bCs/>
          <w:sz w:val="24"/>
          <w:szCs w:val="24"/>
        </w:rPr>
        <w:t>ESTADO DE MÉXICO</w:t>
      </w:r>
    </w:p>
    <w:p w:rsidR="00F71CC5" w:rsidRPr="00CB38AA" w:rsidRDefault="00F71CC5" w:rsidP="00F71CC5">
      <w:pPr>
        <w:widowControl w:val="0"/>
        <w:autoSpaceDE w:val="0"/>
        <w:autoSpaceDN w:val="0"/>
        <w:spacing w:after="0" w:line="240" w:lineRule="auto"/>
        <w:jc w:val="center"/>
        <w:rPr>
          <w:rFonts w:ascii="Times New Roman" w:eastAsia="Arial MT" w:hAnsi="Times New Roman" w:cs="Times New Roman"/>
          <w:sz w:val="24"/>
          <w:szCs w:val="24"/>
          <w:lang w:val="es-ES"/>
        </w:rPr>
      </w:pPr>
    </w:p>
    <w:p w:rsidR="00F71CC5" w:rsidRPr="00CB38AA" w:rsidRDefault="00F71CC5" w:rsidP="00F71CC5">
      <w:pPr>
        <w:widowControl w:val="0"/>
        <w:autoSpaceDE w:val="0"/>
        <w:autoSpaceDN w:val="0"/>
        <w:spacing w:after="0"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Grupo Parlamentario del Partido Acción Nacional</w:t>
      </w:r>
    </w:p>
    <w:p w:rsidR="00F71CC5" w:rsidRPr="00CB38AA" w:rsidRDefault="00F71CC5" w:rsidP="00F71CC5">
      <w:pPr>
        <w:widowControl w:val="0"/>
        <w:autoSpaceDE w:val="0"/>
        <w:autoSpaceDN w:val="0"/>
        <w:spacing w:after="0" w:line="240" w:lineRule="auto"/>
        <w:jc w:val="center"/>
        <w:rPr>
          <w:rFonts w:ascii="Times New Roman" w:eastAsia="Arial MT" w:hAnsi="Times New Roman" w:cs="Times New Roman"/>
          <w:sz w:val="24"/>
          <w:szCs w:val="24"/>
          <w:lang w:val="es-ES"/>
        </w:rPr>
      </w:pPr>
    </w:p>
    <w:p w:rsidR="00F71CC5" w:rsidRPr="00CB38AA" w:rsidRDefault="00F71CC5" w:rsidP="00F71CC5">
      <w:pPr>
        <w:widowControl w:val="0"/>
        <w:autoSpaceDE w:val="0"/>
        <w:autoSpaceDN w:val="0"/>
        <w:spacing w:after="0" w:line="240" w:lineRule="auto"/>
        <w:jc w:val="center"/>
        <w:rPr>
          <w:rFonts w:ascii="Times New Roman" w:eastAsia="Calibri" w:hAnsi="Times New Roman" w:cs="Times New Roman"/>
          <w:sz w:val="24"/>
          <w:szCs w:val="24"/>
          <w:lang w:val="es-ES"/>
        </w:rPr>
      </w:pPr>
      <w:r w:rsidRPr="00CB38AA">
        <w:rPr>
          <w:rFonts w:ascii="Times New Roman" w:eastAsia="Calibri" w:hAnsi="Times New Roman" w:cs="Times New Roman"/>
          <w:b/>
          <w:sz w:val="24"/>
          <w:szCs w:val="24"/>
          <w:lang w:val="es-ES"/>
        </w:rPr>
        <w:t>"2026. Año del Humanismo Mexicano en el Estado de México”</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p>
    <w:p w:rsidR="00F71CC5" w:rsidRPr="00CB38AA" w:rsidRDefault="00F71CC5" w:rsidP="00F71CC5">
      <w:pPr>
        <w:widowControl w:val="0"/>
        <w:autoSpaceDE w:val="0"/>
        <w:autoSpaceDN w:val="0"/>
        <w:spacing w:after="0" w:line="240" w:lineRule="auto"/>
        <w:jc w:val="right"/>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Toluca de Lerdo, Capital del Estado de México,</w:t>
      </w:r>
    </w:p>
    <w:p w:rsidR="00F71CC5" w:rsidRPr="00CB38AA" w:rsidRDefault="00F71CC5" w:rsidP="00F71CC5">
      <w:pPr>
        <w:widowControl w:val="0"/>
        <w:autoSpaceDE w:val="0"/>
        <w:autoSpaceDN w:val="0"/>
        <w:spacing w:after="0" w:line="240" w:lineRule="auto"/>
        <w:jc w:val="right"/>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u w:val="single"/>
          <w:lang w:val="es-ES"/>
        </w:rPr>
        <w:tab/>
      </w:r>
      <w:r w:rsidRPr="00CB38AA">
        <w:rPr>
          <w:rFonts w:ascii="Times New Roman" w:eastAsia="Arial MT" w:hAnsi="Times New Roman" w:cs="Times New Roman"/>
          <w:b/>
          <w:sz w:val="24"/>
          <w:szCs w:val="24"/>
          <w:lang w:val="es-ES"/>
        </w:rPr>
        <w:t>de enero del 2026.</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DIPUTADA MARTHA AZUCENA CAMACHO REYNOSO</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PRESIDENTA DE LA MESA DIRECTIVA</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lastRenderedPageBreak/>
        <w:t>DE LA LXII LEGISLATURA</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DEL ESTADO LIBRE Y SOBERANO DE MÉXICO</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P R E S E N T E.</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Quienes suscriben, Diputados </w:t>
      </w:r>
      <w:r w:rsidRPr="00CB38AA">
        <w:rPr>
          <w:rFonts w:ascii="Times New Roman" w:eastAsia="Arial MT" w:hAnsi="Times New Roman" w:cs="Times New Roman"/>
          <w:b/>
          <w:sz w:val="24"/>
          <w:szCs w:val="24"/>
          <w:lang w:val="es-ES"/>
        </w:rPr>
        <w:t>Joanna Alejandra Felipe Torres y Pablo Fernández de Cevallos González</w:t>
      </w:r>
      <w:r w:rsidRPr="00CB38AA">
        <w:rPr>
          <w:rFonts w:ascii="Times New Roman" w:eastAsia="Arial MT" w:hAnsi="Times New Roman" w:cs="Times New Roman"/>
          <w:sz w:val="24"/>
          <w:szCs w:val="24"/>
          <w:lang w:val="es-ES"/>
        </w:rPr>
        <w:t xml:space="preserve">, a nombre del Grupo Parlamentario del Partido Acción Nacional de la LXII Legislatura; con fundamento en lo dispuesto por los artículos 116 de la Constitución Política de los Estados Unidos Mexicanos; 51 fracción II, 57, 61 fracción I y demás relativos aplicables de la Constitución Política del Estado Libre y Soberano de México; 28 fracción I, 30 y demás aplicables de la Ley Orgánica del Poder Legislativo del Estado Libre y Soberano de México, así como de los artículo 68 y 70 del Reglamento del Poder Legislativo del Estado de México; sometemos a la consideración de esta soberanía la siguiente, </w:t>
      </w:r>
      <w:r w:rsidRPr="00CB38AA">
        <w:rPr>
          <w:rFonts w:ascii="Times New Roman" w:eastAsia="Arial MT" w:hAnsi="Times New Roman" w:cs="Times New Roman"/>
          <w:b/>
          <w:sz w:val="24"/>
          <w:szCs w:val="24"/>
          <w:lang w:val="es-ES"/>
        </w:rPr>
        <w:t>Iniciativa con proyecto de Decreto por el que se adicionan la fracción VI recorriendo la subsecuente del artículo 29; y se adiciona el artículo 29 Quáter, todos de la Ley de la Fiscalía General de Justicia del Estado de México, con el objeto de crear La Fiscalía Especializada en Atención a los Delitos cometidos contra personas Adultas Mayores</w:t>
      </w:r>
      <w:r w:rsidRPr="00CB38AA">
        <w:rPr>
          <w:rFonts w:ascii="Times New Roman" w:eastAsia="Arial MT" w:hAnsi="Times New Roman" w:cs="Times New Roman"/>
          <w:sz w:val="24"/>
          <w:szCs w:val="24"/>
          <w:lang w:val="es-ES"/>
        </w:rPr>
        <w:t>, con sustento en la siguiente:</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p>
    <w:p w:rsidR="00F71CC5" w:rsidRPr="00CB38AA" w:rsidRDefault="00F71CC5" w:rsidP="00F71CC5">
      <w:pPr>
        <w:widowControl w:val="0"/>
        <w:autoSpaceDE w:val="0"/>
        <w:autoSpaceDN w:val="0"/>
        <w:spacing w:after="0"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Exposición De Motivos</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Las personas adultas mayores son el sinónimo, de experiencia y trabajo en la sociedad, son el pilar de las familias al transmitir sabiduría y valores a las niñas, niños y jóvenes, son quienes relatan y transmiten historias de vida, son el cimiento social por su ardua labor, son el pasado, presente y también el futuro, porque siguen siendo parte del cambio con su enseñanzas y legado, sin embargo, también son considerados un grupo vulnerable, muchos se encuentran en estado dependencia económica, sumándose factores biológicos y sociales que los excluyen en la toma de decisiones sociales y familiares. Por ello, es importante generar condiciones adecuadas para su protección y cuidado, siendo una responsabilidad compartida entre el Estado y la sociedad.</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En el artículo 2 fracción II de la Ley de Personas Adultas Mayores del Estado de México, determina que son </w:t>
      </w:r>
      <w:r w:rsidRPr="00CB38AA">
        <w:rPr>
          <w:rFonts w:ascii="Times New Roman" w:eastAsia="Arial MT" w:hAnsi="Times New Roman" w:cs="Times New Roman"/>
          <w:i/>
          <w:sz w:val="24"/>
          <w:szCs w:val="24"/>
          <w:lang w:val="es-ES"/>
        </w:rPr>
        <w:t xml:space="preserve">“Persona Adulta Mayor: Hombres y mujeres a partir de los 60 años, que se encuentren domiciliadas o de paso en el Estado de México” </w:t>
      </w:r>
      <w:r w:rsidRPr="00CB38AA">
        <w:rPr>
          <w:rFonts w:ascii="Times New Roman" w:eastAsia="Arial MT" w:hAnsi="Times New Roman" w:cs="Times New Roman"/>
          <w:sz w:val="24"/>
          <w:szCs w:val="24"/>
          <w:lang w:val="es-ES"/>
        </w:rPr>
        <w:t xml:space="preserve">y la entidad por su densidad poblacional es el Estado con más personas de este grupo etario, contando con 1 millón 919 mil 454 personas de 60 años y más, de estos 1 millón 043 mil 149 son mujeres y 876 mil 305 hombres, representando el 11.3% de la población total. </w:t>
      </w:r>
      <w:r w:rsidRPr="00CB38AA">
        <w:rPr>
          <w:rFonts w:ascii="Times New Roman" w:eastAsia="Arial MT" w:hAnsi="Times New Roman" w:cs="Times New Roman"/>
          <w:sz w:val="24"/>
          <w:szCs w:val="24"/>
          <w:vertAlign w:val="superscript"/>
          <w:lang w:val="es-ES"/>
        </w:rPr>
        <w:t>1</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De estos, un millón 461 mil adultos están afiliados a algún servicio de salud, es decir en promedio 8 de cada 10, y 783 mil 446 es económicamente activa, de los cuales 485 mil 601 son hombres, y 297 mil 845 son mujeres, lo que representa que 4 de cada 10 siguen laborando.</w:t>
      </w:r>
      <w:r w:rsidRPr="00CB38AA">
        <w:rPr>
          <w:rFonts w:ascii="Times New Roman" w:eastAsia="Arial MT" w:hAnsi="Times New Roman" w:cs="Times New Roman"/>
          <w:sz w:val="24"/>
          <w:szCs w:val="24"/>
          <w:vertAlign w:val="superscript"/>
          <w:lang w:val="es-ES"/>
        </w:rPr>
        <w:t>2</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vertAlign w:val="superscript"/>
          <w:lang w:val="es-ES"/>
        </w:rPr>
        <w:t>1</w:t>
      </w:r>
      <w:r w:rsidRPr="00CB38AA">
        <w:rPr>
          <w:rFonts w:ascii="Times New Roman" w:eastAsia="Arial MT" w:hAnsi="Times New Roman" w:cs="Times New Roman"/>
          <w:sz w:val="24"/>
          <w:szCs w:val="24"/>
          <w:lang w:val="es-ES"/>
        </w:rPr>
        <w:t xml:space="preserve"> INEGI. Censo de Población y Vivienda 2020.</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i/>
          <w:sz w:val="24"/>
          <w:szCs w:val="24"/>
          <w:lang w:val="es-ES"/>
        </w:rPr>
      </w:pPr>
      <w:r w:rsidRPr="00CB38AA">
        <w:rPr>
          <w:rFonts w:ascii="Times New Roman" w:eastAsia="Arial MT" w:hAnsi="Times New Roman" w:cs="Times New Roman"/>
          <w:sz w:val="24"/>
          <w:szCs w:val="24"/>
          <w:vertAlign w:val="superscript"/>
          <w:lang w:val="es-ES"/>
        </w:rPr>
        <w:t>2</w:t>
      </w:r>
      <w:r w:rsidRPr="00CB38AA">
        <w:rPr>
          <w:rFonts w:ascii="Times New Roman" w:eastAsia="Arial MT" w:hAnsi="Times New Roman" w:cs="Times New Roman"/>
          <w:sz w:val="24"/>
          <w:szCs w:val="24"/>
          <w:lang w:val="es-ES"/>
        </w:rPr>
        <w:t xml:space="preserve"> </w:t>
      </w:r>
      <w:r w:rsidRPr="00CB38AA">
        <w:rPr>
          <w:rFonts w:ascii="Times New Roman" w:eastAsia="Arial MT" w:hAnsi="Times New Roman" w:cs="Times New Roman"/>
          <w:i/>
          <w:sz w:val="24"/>
          <w:szCs w:val="24"/>
          <w:lang w:val="es-ES"/>
        </w:rPr>
        <w:t>Ibid.</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La personas adultas mayores son un sector en constante crecimiento, y del cual se tendrán que concretar políticas públicas urgentes debido a los retos y desafíos que implica el proceso de envejecimiento de la población, se estima que para 2030 incrementará a 2 millones 867 mil 430 adultos, de estos 1 millón 307 mil 786 son hombres y 1 millón 559 mil 644 son mujeres, es decir, se proyecta un incremento de 947 mil 976 en tan solo un periodo de 10 años.</w:t>
      </w:r>
      <w:r w:rsidRPr="00CB38AA">
        <w:rPr>
          <w:rFonts w:ascii="Times New Roman" w:eastAsia="Arial MT" w:hAnsi="Times New Roman" w:cs="Times New Roman"/>
          <w:sz w:val="24"/>
          <w:szCs w:val="24"/>
          <w:vertAlign w:val="superscript"/>
          <w:lang w:val="es-ES"/>
        </w:rPr>
        <w:t>3</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La violencia contra las personas mayores se define como “la acción única o repetida, o la falta de </w:t>
      </w:r>
      <w:r w:rsidRPr="00CB38AA">
        <w:rPr>
          <w:rFonts w:ascii="Times New Roman" w:eastAsia="Arial MT" w:hAnsi="Times New Roman" w:cs="Times New Roman"/>
          <w:sz w:val="24"/>
          <w:szCs w:val="24"/>
          <w:lang w:val="es-ES"/>
        </w:rPr>
        <w:lastRenderedPageBreak/>
        <w:t>respuesta apropiada, que ocurre dentro de cualquier relación donde exista una expectativa de confianza y la cual produzca daño o angustia...”</w:t>
      </w:r>
      <w:r w:rsidRPr="00CB38AA">
        <w:rPr>
          <w:rFonts w:ascii="Times New Roman" w:eastAsia="Arial MT" w:hAnsi="Times New Roman" w:cs="Times New Roman"/>
          <w:sz w:val="24"/>
          <w:szCs w:val="24"/>
          <w:vertAlign w:val="superscript"/>
          <w:lang w:val="es-ES"/>
        </w:rPr>
        <w:t>4</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vertAlign w:val="superscript"/>
          <w:lang w:val="es-ES"/>
        </w:rPr>
      </w:pPr>
      <w:r w:rsidRPr="00CB38AA">
        <w:rPr>
          <w:rFonts w:ascii="Times New Roman" w:eastAsia="Arial MT" w:hAnsi="Times New Roman" w:cs="Times New Roman"/>
          <w:sz w:val="24"/>
          <w:szCs w:val="24"/>
          <w:lang w:val="es-ES"/>
        </w:rPr>
        <w:t xml:space="preserve">El Instituto Nacional de las Personas Adultas Mayores (INA - PAM) ha identificado como causas de riesgo de violencia en su contra: </w:t>
      </w:r>
      <w:r w:rsidRPr="00CB38AA">
        <w:rPr>
          <w:rFonts w:ascii="Times New Roman" w:eastAsia="Arial MT" w:hAnsi="Times New Roman" w:cs="Times New Roman"/>
          <w:sz w:val="24"/>
          <w:szCs w:val="24"/>
          <w:vertAlign w:val="superscript"/>
          <w:lang w:val="es-ES"/>
        </w:rPr>
        <w:t>5</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p>
    <w:p w:rsidR="00F71CC5" w:rsidRPr="00CB38AA" w:rsidRDefault="00F71CC5" w:rsidP="00F71CC5">
      <w:pPr>
        <w:widowControl w:val="0"/>
        <w:numPr>
          <w:ilvl w:val="0"/>
          <w:numId w:val="19"/>
        </w:numPr>
        <w:autoSpaceDE w:val="0"/>
        <w:autoSpaceDN w:val="0"/>
        <w:spacing w:after="0" w:line="240" w:lineRule="auto"/>
        <w:ind w:left="0" w:firstLine="0"/>
        <w:jc w:val="both"/>
        <w:rPr>
          <w:rFonts w:ascii="Times New Roman" w:eastAsia="Arial" w:hAnsi="Times New Roman" w:cs="Times New Roman"/>
          <w:sz w:val="24"/>
          <w:szCs w:val="24"/>
          <w:lang w:val="es-ES"/>
        </w:rPr>
      </w:pPr>
      <w:r w:rsidRPr="00CB38AA">
        <w:rPr>
          <w:rFonts w:ascii="Times New Roman" w:eastAsia="Arial" w:hAnsi="Times New Roman" w:cs="Times New Roman"/>
          <w:sz w:val="24"/>
          <w:szCs w:val="24"/>
          <w:lang w:val="es-ES"/>
        </w:rPr>
        <w:t>El género, ya que las mujeres son más propensas a sufrirla.</w:t>
      </w:r>
    </w:p>
    <w:p w:rsidR="00F71CC5" w:rsidRPr="00CB38AA" w:rsidRDefault="00F71CC5" w:rsidP="00F71CC5">
      <w:pPr>
        <w:widowControl w:val="0"/>
        <w:numPr>
          <w:ilvl w:val="0"/>
          <w:numId w:val="19"/>
        </w:numPr>
        <w:autoSpaceDE w:val="0"/>
        <w:autoSpaceDN w:val="0"/>
        <w:spacing w:after="0" w:line="240" w:lineRule="auto"/>
        <w:ind w:left="0" w:firstLine="0"/>
        <w:jc w:val="both"/>
        <w:rPr>
          <w:rFonts w:ascii="Times New Roman" w:eastAsia="Arial" w:hAnsi="Times New Roman" w:cs="Times New Roman"/>
          <w:sz w:val="24"/>
          <w:szCs w:val="24"/>
          <w:lang w:val="es-ES"/>
        </w:rPr>
      </w:pPr>
      <w:r w:rsidRPr="00CB38AA">
        <w:rPr>
          <w:rFonts w:ascii="Times New Roman" w:eastAsia="Arial" w:hAnsi="Times New Roman" w:cs="Times New Roman"/>
          <w:sz w:val="24"/>
          <w:szCs w:val="24"/>
          <w:lang w:val="es-ES"/>
        </w:rPr>
        <w:t>La edad, entre más avanzada, aumenta el riesgo.</w:t>
      </w:r>
    </w:p>
    <w:p w:rsidR="00F71CC5" w:rsidRPr="00CB38AA" w:rsidRDefault="00F71CC5" w:rsidP="00F71CC5">
      <w:pPr>
        <w:widowControl w:val="0"/>
        <w:numPr>
          <w:ilvl w:val="0"/>
          <w:numId w:val="19"/>
        </w:numPr>
        <w:autoSpaceDE w:val="0"/>
        <w:autoSpaceDN w:val="0"/>
        <w:spacing w:after="0" w:line="240" w:lineRule="auto"/>
        <w:ind w:left="0" w:firstLine="0"/>
        <w:jc w:val="both"/>
        <w:rPr>
          <w:rFonts w:ascii="Times New Roman" w:eastAsia="Arial" w:hAnsi="Times New Roman" w:cs="Times New Roman"/>
          <w:sz w:val="24"/>
          <w:szCs w:val="24"/>
          <w:lang w:val="es-ES"/>
        </w:rPr>
      </w:pPr>
      <w:r w:rsidRPr="00CB38AA">
        <w:rPr>
          <w:rFonts w:ascii="Times New Roman" w:eastAsia="Arial" w:hAnsi="Times New Roman" w:cs="Times New Roman"/>
          <w:sz w:val="24"/>
          <w:szCs w:val="24"/>
          <w:lang w:val="es-ES"/>
        </w:rPr>
        <w:t>Deterioros en la salud y/o discapacidad.</w:t>
      </w:r>
    </w:p>
    <w:p w:rsidR="00F71CC5" w:rsidRPr="00CB38AA" w:rsidRDefault="00F71CC5" w:rsidP="00F71CC5">
      <w:pPr>
        <w:widowControl w:val="0"/>
        <w:numPr>
          <w:ilvl w:val="0"/>
          <w:numId w:val="19"/>
        </w:numPr>
        <w:autoSpaceDE w:val="0"/>
        <w:autoSpaceDN w:val="0"/>
        <w:spacing w:after="0" w:line="240" w:lineRule="auto"/>
        <w:ind w:left="0" w:firstLine="0"/>
        <w:jc w:val="both"/>
        <w:rPr>
          <w:rFonts w:ascii="Times New Roman" w:eastAsia="Arial" w:hAnsi="Times New Roman" w:cs="Times New Roman"/>
          <w:sz w:val="24"/>
          <w:szCs w:val="24"/>
          <w:lang w:val="es-ES"/>
        </w:rPr>
      </w:pPr>
      <w:r w:rsidRPr="00CB38AA">
        <w:rPr>
          <w:rFonts w:ascii="Times New Roman" w:eastAsia="Arial" w:hAnsi="Times New Roman" w:cs="Times New Roman"/>
          <w:sz w:val="24"/>
          <w:szCs w:val="24"/>
          <w:lang w:val="es-ES"/>
        </w:rPr>
        <w:t>Dependencia económica, emocional, depresión, ansiedad, baja autoestima o demencia.</w:t>
      </w:r>
    </w:p>
    <w:p w:rsidR="00F71CC5" w:rsidRPr="00CB38AA" w:rsidRDefault="00F71CC5" w:rsidP="00F71CC5">
      <w:pPr>
        <w:widowControl w:val="0"/>
        <w:numPr>
          <w:ilvl w:val="0"/>
          <w:numId w:val="19"/>
        </w:numPr>
        <w:autoSpaceDE w:val="0"/>
        <w:autoSpaceDN w:val="0"/>
        <w:spacing w:after="0" w:line="240" w:lineRule="auto"/>
        <w:ind w:left="0" w:firstLine="0"/>
        <w:jc w:val="both"/>
        <w:rPr>
          <w:rFonts w:ascii="Times New Roman" w:eastAsia="Arial" w:hAnsi="Times New Roman" w:cs="Times New Roman"/>
          <w:sz w:val="24"/>
          <w:szCs w:val="24"/>
          <w:lang w:val="es-ES"/>
        </w:rPr>
      </w:pPr>
      <w:r w:rsidRPr="00CB38AA">
        <w:rPr>
          <w:rFonts w:ascii="Times New Roman" w:eastAsia="Arial" w:hAnsi="Times New Roman" w:cs="Times New Roman"/>
          <w:sz w:val="24"/>
          <w:szCs w:val="24"/>
          <w:lang w:val="es-ES"/>
        </w:rPr>
        <w:t>Aislamiento social.</w:t>
      </w:r>
    </w:p>
    <w:p w:rsidR="00F71CC5" w:rsidRPr="00CB38AA" w:rsidRDefault="00F71CC5" w:rsidP="00F71CC5">
      <w:pPr>
        <w:widowControl w:val="0"/>
        <w:numPr>
          <w:ilvl w:val="0"/>
          <w:numId w:val="19"/>
        </w:numPr>
        <w:autoSpaceDE w:val="0"/>
        <w:autoSpaceDN w:val="0"/>
        <w:spacing w:after="0" w:line="240" w:lineRule="auto"/>
        <w:ind w:left="0" w:firstLine="0"/>
        <w:jc w:val="both"/>
        <w:rPr>
          <w:rFonts w:ascii="Times New Roman" w:eastAsia="Arial" w:hAnsi="Times New Roman" w:cs="Times New Roman"/>
          <w:sz w:val="24"/>
          <w:szCs w:val="24"/>
          <w:lang w:val="es-ES"/>
        </w:rPr>
      </w:pPr>
      <w:r w:rsidRPr="00CB38AA">
        <w:rPr>
          <w:rFonts w:ascii="Times New Roman" w:eastAsia="Arial" w:hAnsi="Times New Roman" w:cs="Times New Roman"/>
          <w:sz w:val="24"/>
          <w:szCs w:val="24"/>
          <w:lang w:val="es-ES"/>
        </w:rPr>
        <w:t>Antecedentes de violencia en la familia.</w:t>
      </w:r>
    </w:p>
    <w:p w:rsidR="00F71CC5" w:rsidRPr="00CB38AA" w:rsidRDefault="00F71CC5" w:rsidP="00F71CC5">
      <w:pPr>
        <w:widowControl w:val="0"/>
        <w:numPr>
          <w:ilvl w:val="0"/>
          <w:numId w:val="19"/>
        </w:numPr>
        <w:autoSpaceDE w:val="0"/>
        <w:autoSpaceDN w:val="0"/>
        <w:spacing w:after="0" w:line="240" w:lineRule="auto"/>
        <w:ind w:left="0" w:firstLine="0"/>
        <w:jc w:val="both"/>
        <w:rPr>
          <w:rFonts w:ascii="Times New Roman" w:eastAsia="Arial" w:hAnsi="Times New Roman" w:cs="Times New Roman"/>
          <w:sz w:val="24"/>
          <w:szCs w:val="24"/>
          <w:lang w:val="es-ES"/>
        </w:rPr>
      </w:pPr>
      <w:r w:rsidRPr="00CB38AA">
        <w:rPr>
          <w:rFonts w:ascii="Times New Roman" w:eastAsia="Arial" w:hAnsi="Times New Roman" w:cs="Times New Roman"/>
          <w:sz w:val="24"/>
          <w:szCs w:val="24"/>
          <w:lang w:val="es-ES"/>
        </w:rPr>
        <w:t>Falta de preparación de las o los cuidadores.</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En el Artículo 238 del Código Penal del Estado de México, sanciona de diez a quince años de prisión y de doscientos a cuatrocientos días multa, a quien cometa el delitos de lesiones contra personas adultas mayores, mientras que en el artículo 218 del Código en mención, se le impondrá de tres a siete años de prisión y de doscientos a seiscientos días multa al delito de violencia familiar y se agravará la pena hasta en un tercio y se seguirá de oficio cuando el delito sea cometido en contra de personas mayores de 60 años, estas previsiones buscan proteger a este sector vulnerable, desafortunadamente y pese a los agravantes que se contemplan, las personas mayores siguen siendo violentadas, agredidas y abandonadas, principalmente por quien debería de cuidarlas como lo son sus familias, sin duda se deben establecer mecanismos eficientes para protegerlos de forma eficiente y quien vulnere sus derechos e integridad sea castigado y ese tiempo de acciones que dañan no solo a la persona sino a la familia no queden impunes.</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vertAlign w:val="superscript"/>
          <w:lang w:val="es-ES"/>
        </w:rPr>
        <w:t>3</w:t>
      </w:r>
      <w:r w:rsidRPr="00CB38AA">
        <w:rPr>
          <w:rFonts w:ascii="Times New Roman" w:eastAsia="Arial MT" w:hAnsi="Times New Roman" w:cs="Times New Roman"/>
          <w:sz w:val="24"/>
          <w:szCs w:val="24"/>
          <w:lang w:val="es-ES"/>
        </w:rPr>
        <w:t xml:space="preserve"> Proyecciones de población de los municipios del Estado de México 2019-2030 (COESPO)</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vertAlign w:val="superscript"/>
          <w:lang w:val="es-ES"/>
        </w:rPr>
        <w:t>4</w:t>
      </w:r>
      <w:r w:rsidRPr="00CB38AA">
        <w:rPr>
          <w:rFonts w:ascii="Times New Roman" w:eastAsia="Arial MT" w:hAnsi="Times New Roman" w:cs="Times New Roman"/>
          <w:sz w:val="24"/>
          <w:szCs w:val="24"/>
          <w:lang w:val="es-ES"/>
        </w:rPr>
        <w:t xml:space="preserve"> Organización Mundial de la Salud, Declaración de Toronto para la Prevención Global del Maltrato a Personas Mayores (17 de noviembre del 2002).</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vertAlign w:val="superscript"/>
          <w:lang w:val="es-ES"/>
        </w:rPr>
        <w:t>5</w:t>
      </w:r>
      <w:r w:rsidRPr="00CB38AA">
        <w:rPr>
          <w:rFonts w:ascii="Times New Roman" w:eastAsia="Arial MT" w:hAnsi="Times New Roman" w:cs="Times New Roman"/>
          <w:sz w:val="24"/>
          <w:szCs w:val="24"/>
          <w:lang w:val="es-ES"/>
        </w:rPr>
        <w:t xml:space="preserve"> NAPAM, SEDESOL, Prevención del maltrato hacia las personas adultas mayores</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A pesar de las denuncias siguen existiendo varios obstáculos para sancionar a las personas agresoras, que cada vez son más en territorio mexiquense, por ello se debe otorgar mayor información al adulto, el apoyo hacia ellos es fundamental pues de esta manera se sentirán protegidos por parte de las autoridades para proceder con el proceso legal.</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De acuerdo a la Organización Mundial de la Salud a nivel mundial aproximadamente una de cada seis personas mayores de 60 años sufrió algún tipo de abuso en los entornos comunitarios lo que representa el 15.7%</w:t>
      </w:r>
      <w:r w:rsidRPr="00CB38AA">
        <w:rPr>
          <w:rFonts w:ascii="Times New Roman" w:eastAsia="Arial MT" w:hAnsi="Times New Roman" w:cs="Times New Roman"/>
          <w:sz w:val="24"/>
          <w:szCs w:val="24"/>
          <w:vertAlign w:val="superscript"/>
          <w:lang w:val="es-ES"/>
        </w:rPr>
        <w:t>6</w:t>
      </w:r>
      <w:r w:rsidRPr="00CB38AA">
        <w:rPr>
          <w:rFonts w:ascii="Times New Roman" w:eastAsia="Arial MT" w:hAnsi="Times New Roman" w:cs="Times New Roman"/>
          <w:sz w:val="24"/>
          <w:szCs w:val="24"/>
          <w:lang w:val="es-ES"/>
        </w:rPr>
        <w:t xml:space="preserve"> y en México, desafortunadamente la prevalencia aumenta al 32.1%, siendo el maltrato psicológico el más común, de forma recurrente estos casos no se denuncian debido al miedo y al estigma social.</w:t>
      </w:r>
      <w:r w:rsidRPr="00CB38AA">
        <w:rPr>
          <w:rFonts w:ascii="Times New Roman" w:eastAsia="Arial MT" w:hAnsi="Times New Roman" w:cs="Times New Roman"/>
          <w:sz w:val="24"/>
          <w:szCs w:val="24"/>
          <w:vertAlign w:val="superscript"/>
          <w:lang w:val="es-ES"/>
        </w:rPr>
        <w:t>7</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vertAlign w:val="superscript"/>
          <w:lang w:val="es-ES"/>
        </w:rPr>
        <w:t>6</w:t>
      </w:r>
      <w:r w:rsidRPr="00CB38AA">
        <w:rPr>
          <w:rFonts w:ascii="Times New Roman" w:eastAsia="Arial MT" w:hAnsi="Times New Roman" w:cs="Times New Roman"/>
          <w:sz w:val="24"/>
          <w:szCs w:val="24"/>
          <w:lang w:val="es-ES"/>
        </w:rPr>
        <w:t xml:space="preserve"> Combatir el maltrato de las personas mayores: cinco prioridades para la Década de las Naciones Unidas de Envejecimiento Saludable (2021-2030). Ginebra: Organización Mundial de la Salud; 2022. Licencia: CC BY-NC- SA 3.0 IGO</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vertAlign w:val="superscript"/>
          <w:lang w:val="es-ES"/>
        </w:rPr>
        <w:t>7</w:t>
      </w:r>
      <w:r w:rsidRPr="00CB38AA">
        <w:rPr>
          <w:rFonts w:ascii="Times New Roman" w:eastAsia="Arial MT" w:hAnsi="Times New Roman" w:cs="Times New Roman"/>
          <w:sz w:val="24"/>
          <w:szCs w:val="24"/>
          <w:lang w:val="es-ES"/>
        </w:rPr>
        <w:t>Blog del Instituto Nacional de Geriatría “Maltrato a personas mayores: un problema global que requiere atención urgente”</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lastRenderedPageBreak/>
        <w:t>En el país, las cifras sobre el maltrato a personas mayores son datos alejados de la realidad y por ende no reflejan la verdadera magnitud del problema que tiene un aumento potencial por el incremento de este sector, ya que la mayoría de los afectados no denuncian los abusos que sufren derivado de diversas razones, como; no aceptar que están siendo maltratados; tienen temor a las represalias, al tratarse con frecuencia del único familiar con el que cuentan; creen que es temporal; no quieren que su familiar o cuidador vaya a la cárcel; y desconocen con qué autoridad deben dirigirse o su condición física o cognitiva no le permiten realizar una denuncia.</w:t>
      </w:r>
      <w:r w:rsidRPr="00CB38AA">
        <w:rPr>
          <w:rFonts w:ascii="Times New Roman" w:eastAsia="Arial MT" w:hAnsi="Times New Roman" w:cs="Times New Roman"/>
          <w:sz w:val="24"/>
          <w:szCs w:val="24"/>
          <w:vertAlign w:val="superscript"/>
          <w:lang w:val="es-ES"/>
        </w:rPr>
        <w:t>8</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Con datos del Secretariado Ejecutivo del Sistema Nacional de Seguridad Pública en 2025 en la entidad mexiquense se registraron 33 mil 693 delitos relacionados a violencia familiar, lo que significa que en promedio 92 casos fueron denunciado al día, cifra alarmante sobre los delitos cometidos contra la familia, si bien no existe un registro preciso contra qué integrante de la familia fue el delito, los adultos mayores son parte de estos hogares y son parte de un grupo vulnerable que frecuentemente atentan contra sus derechos.</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En razón de lo antes expuesto, con la presente iniciativa se proponen adiciones a la Ley de la Fiscalía General de Justicia del Estado de México, con el objeto de crear una Fiscalía Especializada para la Atención de los Delitos cometidos contra Personas Adultas Mayores y pueda realizar acciones para dirigir, integrar, coordinar y supervisar las investigaciones por los delitos cometidos contra personas adultas mayores, contemplados en el Código Penal del Estado; así como Diseñar e implementar proyectos, estudios, programas permanentes de información y fomento de la cultura de la denuncia y legalidad, en materia de delitos relacionados contra personas adultas mayores; y para  una correcto funcionamiento y atención, el personal adscrito a esta Fiscalía Especializada, deberá capacitarse en materia de derechos humanos, sensibilización, tipos de violencia comúnmente ejercida contra los adultos mayores, protocolos de actuación y atención a personas adultas mayores.</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vertAlign w:val="superscript"/>
          <w:lang w:val="es-ES"/>
        </w:rPr>
        <w:t>8</w:t>
      </w:r>
      <w:r w:rsidRPr="00CB38AA">
        <w:rPr>
          <w:rFonts w:ascii="Times New Roman" w:eastAsia="Arial MT" w:hAnsi="Times New Roman" w:cs="Times New Roman"/>
          <w:sz w:val="24"/>
          <w:szCs w:val="24"/>
          <w:lang w:val="es-ES"/>
        </w:rPr>
        <w:t xml:space="preserve"> Instituto Nacional de las Personas Adultas Mayores (INAPAM). Prevención del maltrato de las Personas Adultas Mayores. 2016. Disponible en: </w:t>
      </w:r>
      <w:r w:rsidRPr="00CB38AA">
        <w:rPr>
          <w:rFonts w:ascii="Times New Roman" w:eastAsia="Arial MT" w:hAnsi="Times New Roman" w:cs="Times New Roman"/>
          <w:sz w:val="24"/>
          <w:szCs w:val="24"/>
          <w:u w:val="single" w:color="0462C1"/>
          <w:lang w:val="es-ES"/>
        </w:rPr>
        <w:t>https://</w:t>
      </w:r>
      <w:hyperlink r:id="rId44">
        <w:r w:rsidRPr="00CB38AA">
          <w:rPr>
            <w:rFonts w:ascii="Times New Roman" w:eastAsia="Arial MT" w:hAnsi="Times New Roman" w:cs="Times New Roman"/>
            <w:sz w:val="24"/>
            <w:szCs w:val="24"/>
            <w:u w:val="single" w:color="0462C1"/>
            <w:lang w:val="es-ES"/>
          </w:rPr>
          <w:t>www.gob.mx/cms/uploads/attachment/file/122517/Maltrato_cuadernillo.pdf</w:t>
        </w:r>
      </w:hyperlink>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Por lo expuesto, se propone las adiciones a </w:t>
      </w:r>
      <w:r w:rsidRPr="00CB38AA">
        <w:rPr>
          <w:rFonts w:ascii="Times New Roman" w:eastAsia="Arial MT" w:hAnsi="Times New Roman" w:cs="Times New Roman"/>
          <w:b/>
          <w:sz w:val="24"/>
          <w:szCs w:val="24"/>
          <w:lang w:val="es-ES"/>
        </w:rPr>
        <w:t>la Ley de la Fiscalía General de Justicia del Estado de México</w:t>
      </w:r>
      <w:r w:rsidRPr="00CB38AA">
        <w:rPr>
          <w:rFonts w:ascii="Times New Roman" w:eastAsia="Arial MT" w:hAnsi="Times New Roman" w:cs="Times New Roman"/>
          <w:sz w:val="24"/>
          <w:szCs w:val="24"/>
          <w:lang w:val="es-ES"/>
        </w:rPr>
        <w:t>, en términos de los siguientes cuadros comparativos:</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p>
    <w:tbl>
      <w:tblPr>
        <w:tblStyle w:val="TableNormal1"/>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18"/>
        <w:gridCol w:w="4413"/>
      </w:tblGrid>
      <w:tr w:rsidR="00F71CC5" w:rsidRPr="00CB38AA" w:rsidTr="00544832">
        <w:trPr>
          <w:trHeight w:val="20"/>
          <w:jc w:val="center"/>
        </w:trPr>
        <w:tc>
          <w:tcPr>
            <w:tcW w:w="4418" w:type="dxa"/>
          </w:tcPr>
          <w:p w:rsidR="00F71CC5" w:rsidRPr="00CB38AA" w:rsidRDefault="00F71CC5" w:rsidP="00F71CC5">
            <w:pPr>
              <w:spacing w:line="240" w:lineRule="auto"/>
              <w:jc w:val="center"/>
              <w:rPr>
                <w:rFonts w:ascii="Times New Roman" w:eastAsia="Arial" w:hAnsi="Times New Roman" w:cs="Times New Roman"/>
                <w:b/>
                <w:sz w:val="24"/>
                <w:szCs w:val="24"/>
                <w:lang w:val="es-ES"/>
              </w:rPr>
            </w:pPr>
            <w:r w:rsidRPr="00CB38AA">
              <w:rPr>
                <w:rFonts w:ascii="Times New Roman" w:eastAsia="Arial" w:hAnsi="Times New Roman" w:cs="Times New Roman"/>
                <w:b/>
                <w:sz w:val="24"/>
                <w:szCs w:val="24"/>
                <w:lang w:val="es-ES"/>
              </w:rPr>
              <w:t>Dice</w:t>
            </w:r>
          </w:p>
        </w:tc>
        <w:tc>
          <w:tcPr>
            <w:tcW w:w="4413" w:type="dxa"/>
          </w:tcPr>
          <w:p w:rsidR="00F71CC5" w:rsidRPr="00CB38AA" w:rsidRDefault="00F71CC5" w:rsidP="00F71CC5">
            <w:pPr>
              <w:spacing w:line="240" w:lineRule="auto"/>
              <w:jc w:val="center"/>
              <w:rPr>
                <w:rFonts w:ascii="Times New Roman" w:eastAsia="Arial" w:hAnsi="Times New Roman" w:cs="Times New Roman"/>
                <w:b/>
                <w:sz w:val="24"/>
                <w:szCs w:val="24"/>
                <w:lang w:val="es-ES"/>
              </w:rPr>
            </w:pPr>
            <w:r w:rsidRPr="00CB38AA">
              <w:rPr>
                <w:rFonts w:ascii="Times New Roman" w:eastAsia="Arial" w:hAnsi="Times New Roman" w:cs="Times New Roman"/>
                <w:b/>
                <w:sz w:val="24"/>
                <w:szCs w:val="24"/>
                <w:lang w:val="es-ES"/>
              </w:rPr>
              <w:t>Debe decir</w:t>
            </w:r>
          </w:p>
        </w:tc>
      </w:tr>
      <w:tr w:rsidR="00F71CC5" w:rsidRPr="00CB38AA" w:rsidTr="00544832">
        <w:trPr>
          <w:trHeight w:val="20"/>
          <w:jc w:val="center"/>
        </w:trPr>
        <w:tc>
          <w:tcPr>
            <w:tcW w:w="4418" w:type="dxa"/>
          </w:tcPr>
          <w:p w:rsidR="00F71CC5" w:rsidRPr="00CB38AA" w:rsidRDefault="00F71CC5" w:rsidP="00F71CC5">
            <w:pPr>
              <w:spacing w:line="240" w:lineRule="auto"/>
              <w:jc w:val="both"/>
              <w:rPr>
                <w:rFonts w:ascii="Times New Roman" w:eastAsia="Arial" w:hAnsi="Times New Roman" w:cs="Times New Roman"/>
                <w:sz w:val="24"/>
                <w:szCs w:val="24"/>
                <w:lang w:val="es-ES"/>
              </w:rPr>
            </w:pPr>
            <w:r w:rsidRPr="00CB38AA">
              <w:rPr>
                <w:rFonts w:ascii="Times New Roman" w:eastAsia="Arial" w:hAnsi="Times New Roman" w:cs="Times New Roman"/>
                <w:b/>
                <w:sz w:val="24"/>
                <w:szCs w:val="24"/>
                <w:lang w:val="es-ES"/>
              </w:rPr>
              <w:t xml:space="preserve">Artículo 29. </w:t>
            </w:r>
            <w:r w:rsidRPr="00CB38AA">
              <w:rPr>
                <w:rFonts w:ascii="Times New Roman" w:eastAsia="Arial" w:hAnsi="Times New Roman" w:cs="Times New Roman"/>
                <w:sz w:val="24"/>
                <w:szCs w:val="24"/>
                <w:lang w:val="es-ES"/>
              </w:rPr>
              <w:t>La Fiscalía contará con las Fiscalías Especializadas en las materias siguientes:</w:t>
            </w:r>
          </w:p>
          <w:p w:rsidR="00F71CC5" w:rsidRPr="00CB38AA" w:rsidRDefault="00F71CC5" w:rsidP="00F71CC5">
            <w:pPr>
              <w:spacing w:line="240" w:lineRule="auto"/>
              <w:jc w:val="both"/>
              <w:rPr>
                <w:rFonts w:ascii="Times New Roman" w:eastAsia="Arial" w:hAnsi="Times New Roman" w:cs="Times New Roman"/>
                <w:b/>
                <w:sz w:val="24"/>
                <w:szCs w:val="24"/>
                <w:lang w:val="es-ES"/>
              </w:rPr>
            </w:pPr>
            <w:r w:rsidRPr="00CB38AA">
              <w:rPr>
                <w:rFonts w:ascii="Times New Roman" w:eastAsia="Arial" w:hAnsi="Times New Roman" w:cs="Times New Roman"/>
                <w:b/>
                <w:sz w:val="24"/>
                <w:szCs w:val="24"/>
                <w:lang w:val="es-ES"/>
              </w:rPr>
              <w:t>I... a V...</w:t>
            </w:r>
          </w:p>
          <w:p w:rsidR="00F71CC5" w:rsidRPr="00CB38AA" w:rsidRDefault="00F71CC5" w:rsidP="00F71CC5">
            <w:pPr>
              <w:spacing w:line="240" w:lineRule="auto"/>
              <w:jc w:val="both"/>
              <w:rPr>
                <w:rFonts w:ascii="Times New Roman" w:eastAsia="Arial" w:hAnsi="Times New Roman" w:cs="Times New Roman"/>
                <w:sz w:val="24"/>
                <w:szCs w:val="24"/>
                <w:lang w:val="es-ES"/>
              </w:rPr>
            </w:pPr>
            <w:r w:rsidRPr="00CB38AA">
              <w:rPr>
                <w:rFonts w:ascii="Times New Roman" w:eastAsia="Arial" w:hAnsi="Times New Roman" w:cs="Times New Roman"/>
                <w:sz w:val="24"/>
                <w:szCs w:val="24"/>
                <w:lang w:val="es-ES"/>
              </w:rPr>
              <w:t>Sin correlativo</w:t>
            </w:r>
          </w:p>
          <w:p w:rsidR="00F71CC5" w:rsidRPr="00CB38AA" w:rsidRDefault="00F71CC5" w:rsidP="00F71CC5">
            <w:pPr>
              <w:spacing w:line="240" w:lineRule="auto"/>
              <w:jc w:val="both"/>
              <w:rPr>
                <w:rFonts w:ascii="Times New Roman" w:eastAsia="Arial" w:hAnsi="Times New Roman" w:cs="Times New Roman"/>
                <w:b/>
                <w:sz w:val="24"/>
                <w:szCs w:val="24"/>
                <w:lang w:val="es-ES"/>
              </w:rPr>
            </w:pPr>
          </w:p>
          <w:p w:rsidR="00F71CC5" w:rsidRPr="00CB38AA" w:rsidRDefault="00F71CC5" w:rsidP="00F71CC5">
            <w:pPr>
              <w:spacing w:line="240" w:lineRule="auto"/>
              <w:jc w:val="both"/>
              <w:rPr>
                <w:rFonts w:ascii="Times New Roman" w:eastAsia="Arial" w:hAnsi="Times New Roman" w:cs="Times New Roman"/>
                <w:sz w:val="24"/>
                <w:szCs w:val="24"/>
                <w:lang w:val="es-ES"/>
              </w:rPr>
            </w:pPr>
            <w:r w:rsidRPr="00CB38AA">
              <w:rPr>
                <w:rFonts w:ascii="Times New Roman" w:eastAsia="Arial" w:hAnsi="Times New Roman" w:cs="Times New Roman"/>
                <w:b/>
                <w:sz w:val="24"/>
                <w:szCs w:val="24"/>
                <w:lang w:val="es-ES"/>
              </w:rPr>
              <w:t xml:space="preserve">VII. </w:t>
            </w:r>
            <w:r w:rsidRPr="00CB38AA">
              <w:rPr>
                <w:rFonts w:ascii="Times New Roman" w:eastAsia="Arial" w:hAnsi="Times New Roman" w:cs="Times New Roman"/>
                <w:sz w:val="24"/>
                <w:szCs w:val="24"/>
                <w:lang w:val="es-ES"/>
              </w:rPr>
              <w:t>Las demás que se establezcan en el Reglamento.</w:t>
            </w:r>
          </w:p>
          <w:p w:rsidR="00F71CC5" w:rsidRPr="00CB38AA" w:rsidRDefault="00F71CC5" w:rsidP="00F71CC5">
            <w:pPr>
              <w:spacing w:line="240" w:lineRule="auto"/>
              <w:jc w:val="both"/>
              <w:rPr>
                <w:rFonts w:ascii="Times New Roman" w:eastAsia="Arial" w:hAnsi="Times New Roman" w:cs="Times New Roman"/>
                <w:b/>
                <w:sz w:val="24"/>
                <w:szCs w:val="24"/>
                <w:lang w:val="es-ES"/>
              </w:rPr>
            </w:pPr>
            <w:r w:rsidRPr="00CB38AA">
              <w:rPr>
                <w:rFonts w:ascii="Times New Roman" w:eastAsia="Arial" w:hAnsi="Times New Roman" w:cs="Times New Roman"/>
                <w:b/>
                <w:sz w:val="24"/>
                <w:szCs w:val="24"/>
                <w:lang w:val="es-ES"/>
              </w:rPr>
              <w:t>…</w:t>
            </w:r>
          </w:p>
          <w:p w:rsidR="00F71CC5" w:rsidRPr="00CB38AA" w:rsidRDefault="00F71CC5" w:rsidP="00F71CC5">
            <w:pPr>
              <w:spacing w:line="240" w:lineRule="auto"/>
              <w:jc w:val="both"/>
              <w:rPr>
                <w:rFonts w:ascii="Times New Roman" w:eastAsia="Arial" w:hAnsi="Times New Roman" w:cs="Times New Roman"/>
                <w:b/>
                <w:sz w:val="24"/>
                <w:szCs w:val="24"/>
                <w:lang w:val="es-ES"/>
              </w:rPr>
            </w:pPr>
            <w:r w:rsidRPr="00CB38AA">
              <w:rPr>
                <w:rFonts w:ascii="Times New Roman" w:eastAsia="Arial" w:hAnsi="Times New Roman" w:cs="Times New Roman"/>
                <w:b/>
                <w:sz w:val="24"/>
                <w:szCs w:val="24"/>
                <w:lang w:val="es-ES"/>
              </w:rPr>
              <w:t>…</w:t>
            </w:r>
          </w:p>
        </w:tc>
        <w:tc>
          <w:tcPr>
            <w:tcW w:w="4413" w:type="dxa"/>
          </w:tcPr>
          <w:p w:rsidR="00F71CC5" w:rsidRPr="00CB38AA" w:rsidRDefault="00F71CC5" w:rsidP="00F71CC5">
            <w:pPr>
              <w:spacing w:line="240" w:lineRule="auto"/>
              <w:jc w:val="both"/>
              <w:rPr>
                <w:rFonts w:ascii="Times New Roman" w:eastAsia="Arial" w:hAnsi="Times New Roman" w:cs="Times New Roman"/>
                <w:sz w:val="24"/>
                <w:szCs w:val="24"/>
                <w:lang w:val="es-ES"/>
              </w:rPr>
            </w:pPr>
            <w:r w:rsidRPr="00CB38AA">
              <w:rPr>
                <w:rFonts w:ascii="Times New Roman" w:eastAsia="Arial" w:hAnsi="Times New Roman" w:cs="Times New Roman"/>
                <w:b/>
                <w:sz w:val="24"/>
                <w:szCs w:val="24"/>
                <w:lang w:val="es-ES"/>
              </w:rPr>
              <w:t xml:space="preserve">Artículo 29. </w:t>
            </w:r>
            <w:r w:rsidRPr="00CB38AA">
              <w:rPr>
                <w:rFonts w:ascii="Times New Roman" w:eastAsia="Arial" w:hAnsi="Times New Roman" w:cs="Times New Roman"/>
                <w:sz w:val="24"/>
                <w:szCs w:val="24"/>
                <w:lang w:val="es-ES"/>
              </w:rPr>
              <w:t>…</w:t>
            </w:r>
          </w:p>
          <w:p w:rsidR="00F71CC5" w:rsidRPr="00CB38AA" w:rsidRDefault="00F71CC5" w:rsidP="00F71CC5">
            <w:pPr>
              <w:spacing w:line="240" w:lineRule="auto"/>
              <w:jc w:val="both"/>
              <w:rPr>
                <w:rFonts w:ascii="Times New Roman" w:eastAsia="Arial" w:hAnsi="Times New Roman" w:cs="Times New Roman"/>
                <w:sz w:val="24"/>
                <w:szCs w:val="24"/>
                <w:lang w:val="es-ES"/>
              </w:rPr>
            </w:pPr>
          </w:p>
          <w:p w:rsidR="00F71CC5" w:rsidRPr="00CB38AA" w:rsidRDefault="00F71CC5" w:rsidP="00F71CC5">
            <w:pPr>
              <w:spacing w:line="240" w:lineRule="auto"/>
              <w:jc w:val="both"/>
              <w:rPr>
                <w:rFonts w:ascii="Times New Roman" w:eastAsia="Arial" w:hAnsi="Times New Roman" w:cs="Times New Roman"/>
                <w:sz w:val="24"/>
                <w:szCs w:val="24"/>
                <w:lang w:val="es-ES"/>
              </w:rPr>
            </w:pPr>
          </w:p>
          <w:p w:rsidR="00F71CC5" w:rsidRPr="00CB38AA" w:rsidRDefault="00F71CC5" w:rsidP="00F71CC5">
            <w:pPr>
              <w:spacing w:line="240" w:lineRule="auto"/>
              <w:jc w:val="both"/>
              <w:rPr>
                <w:rFonts w:ascii="Times New Roman" w:eastAsia="Arial" w:hAnsi="Times New Roman" w:cs="Times New Roman"/>
                <w:sz w:val="24"/>
                <w:szCs w:val="24"/>
                <w:lang w:val="es-ES"/>
              </w:rPr>
            </w:pPr>
            <w:r w:rsidRPr="00CB38AA">
              <w:rPr>
                <w:rFonts w:ascii="Times New Roman" w:eastAsia="Arial" w:hAnsi="Times New Roman" w:cs="Times New Roman"/>
                <w:sz w:val="24"/>
                <w:szCs w:val="24"/>
                <w:lang w:val="es-ES"/>
              </w:rPr>
              <w:t>I... a V...</w:t>
            </w:r>
          </w:p>
          <w:p w:rsidR="00F71CC5" w:rsidRPr="00CB38AA" w:rsidRDefault="00F71CC5" w:rsidP="00F71CC5">
            <w:pPr>
              <w:spacing w:line="240" w:lineRule="auto"/>
              <w:jc w:val="both"/>
              <w:rPr>
                <w:rFonts w:ascii="Times New Roman" w:eastAsia="Arial" w:hAnsi="Times New Roman" w:cs="Times New Roman"/>
                <w:b/>
                <w:sz w:val="24"/>
                <w:szCs w:val="24"/>
                <w:lang w:val="es-ES"/>
              </w:rPr>
            </w:pPr>
            <w:r w:rsidRPr="00CB38AA">
              <w:rPr>
                <w:rFonts w:ascii="Times New Roman" w:eastAsia="Arial" w:hAnsi="Times New Roman" w:cs="Times New Roman"/>
                <w:b/>
                <w:sz w:val="24"/>
                <w:szCs w:val="24"/>
                <w:lang w:val="es-ES"/>
              </w:rPr>
              <w:t>VI. Atención a los Delitos cometidos contra Personas Adultas Mayores.</w:t>
            </w:r>
          </w:p>
          <w:p w:rsidR="00F71CC5" w:rsidRPr="00CB38AA" w:rsidRDefault="00F71CC5" w:rsidP="00F71CC5">
            <w:pPr>
              <w:spacing w:line="240" w:lineRule="auto"/>
              <w:jc w:val="both"/>
              <w:rPr>
                <w:rFonts w:ascii="Times New Roman" w:eastAsia="Arial" w:hAnsi="Times New Roman" w:cs="Times New Roman"/>
                <w:sz w:val="24"/>
                <w:szCs w:val="24"/>
                <w:lang w:val="es-ES"/>
              </w:rPr>
            </w:pPr>
            <w:r w:rsidRPr="00CB38AA">
              <w:rPr>
                <w:rFonts w:ascii="Times New Roman" w:eastAsia="Arial" w:hAnsi="Times New Roman" w:cs="Times New Roman"/>
                <w:b/>
                <w:sz w:val="24"/>
                <w:szCs w:val="24"/>
                <w:lang w:val="es-ES"/>
              </w:rPr>
              <w:t xml:space="preserve">VII. </w:t>
            </w:r>
            <w:r w:rsidRPr="00CB38AA">
              <w:rPr>
                <w:rFonts w:ascii="Times New Roman" w:eastAsia="Arial" w:hAnsi="Times New Roman" w:cs="Times New Roman"/>
                <w:sz w:val="24"/>
                <w:szCs w:val="24"/>
                <w:lang w:val="es-ES"/>
              </w:rPr>
              <w:t>Las demás que se establezcan en el Reglamento.</w:t>
            </w:r>
          </w:p>
          <w:p w:rsidR="00F71CC5" w:rsidRPr="00CB38AA" w:rsidRDefault="00F71CC5" w:rsidP="00F71CC5">
            <w:pPr>
              <w:spacing w:line="240" w:lineRule="auto"/>
              <w:jc w:val="both"/>
              <w:rPr>
                <w:rFonts w:ascii="Times New Roman" w:eastAsia="Arial" w:hAnsi="Times New Roman" w:cs="Times New Roman"/>
                <w:b/>
                <w:sz w:val="24"/>
                <w:szCs w:val="24"/>
                <w:lang w:val="es-ES"/>
              </w:rPr>
            </w:pPr>
            <w:r w:rsidRPr="00CB38AA">
              <w:rPr>
                <w:rFonts w:ascii="Times New Roman" w:eastAsia="Arial" w:hAnsi="Times New Roman" w:cs="Times New Roman"/>
                <w:b/>
                <w:sz w:val="24"/>
                <w:szCs w:val="24"/>
                <w:lang w:val="es-ES"/>
              </w:rPr>
              <w:t>...</w:t>
            </w:r>
          </w:p>
          <w:p w:rsidR="00F71CC5" w:rsidRPr="00CB38AA" w:rsidRDefault="00F71CC5" w:rsidP="00F71CC5">
            <w:pPr>
              <w:spacing w:line="240" w:lineRule="auto"/>
              <w:jc w:val="both"/>
              <w:rPr>
                <w:rFonts w:ascii="Times New Roman" w:eastAsia="Arial" w:hAnsi="Times New Roman" w:cs="Times New Roman"/>
                <w:b/>
                <w:sz w:val="24"/>
                <w:szCs w:val="24"/>
                <w:lang w:val="es-ES"/>
              </w:rPr>
            </w:pPr>
            <w:r w:rsidRPr="00CB38AA">
              <w:rPr>
                <w:rFonts w:ascii="Times New Roman" w:eastAsia="Arial" w:hAnsi="Times New Roman" w:cs="Times New Roman"/>
                <w:b/>
                <w:sz w:val="24"/>
                <w:szCs w:val="24"/>
                <w:lang w:val="es-ES"/>
              </w:rPr>
              <w:t>…</w:t>
            </w:r>
          </w:p>
        </w:tc>
      </w:tr>
      <w:tr w:rsidR="00F71CC5" w:rsidRPr="00CB38AA" w:rsidTr="00544832">
        <w:trPr>
          <w:trHeight w:val="20"/>
          <w:jc w:val="center"/>
        </w:trPr>
        <w:tc>
          <w:tcPr>
            <w:tcW w:w="4418" w:type="dxa"/>
          </w:tcPr>
          <w:p w:rsidR="00F71CC5" w:rsidRPr="00CB38AA" w:rsidRDefault="00F71CC5" w:rsidP="00F71CC5">
            <w:pPr>
              <w:spacing w:line="240" w:lineRule="auto"/>
              <w:jc w:val="both"/>
              <w:rPr>
                <w:rFonts w:ascii="Times New Roman" w:eastAsia="Arial" w:hAnsi="Times New Roman" w:cs="Times New Roman"/>
                <w:sz w:val="24"/>
                <w:szCs w:val="24"/>
                <w:lang w:val="es-ES"/>
              </w:rPr>
            </w:pPr>
            <w:r w:rsidRPr="00CB38AA">
              <w:rPr>
                <w:rFonts w:ascii="Times New Roman" w:eastAsia="Arial" w:hAnsi="Times New Roman" w:cs="Times New Roman"/>
                <w:sz w:val="24"/>
                <w:szCs w:val="24"/>
                <w:lang w:val="es-ES"/>
              </w:rPr>
              <w:t>Sin correlativo</w:t>
            </w:r>
          </w:p>
        </w:tc>
        <w:tc>
          <w:tcPr>
            <w:tcW w:w="4413" w:type="dxa"/>
          </w:tcPr>
          <w:p w:rsidR="00F71CC5" w:rsidRPr="00CB38AA" w:rsidRDefault="00F71CC5" w:rsidP="00F71CC5">
            <w:pPr>
              <w:spacing w:line="240" w:lineRule="auto"/>
              <w:jc w:val="both"/>
              <w:rPr>
                <w:rFonts w:ascii="Times New Roman" w:eastAsia="Arial" w:hAnsi="Times New Roman" w:cs="Times New Roman"/>
                <w:b/>
                <w:sz w:val="24"/>
                <w:szCs w:val="24"/>
                <w:lang w:val="es-ES"/>
              </w:rPr>
            </w:pPr>
            <w:r w:rsidRPr="00CB38AA">
              <w:rPr>
                <w:rFonts w:ascii="Times New Roman" w:eastAsia="Arial" w:hAnsi="Times New Roman" w:cs="Times New Roman"/>
                <w:b/>
                <w:sz w:val="24"/>
                <w:szCs w:val="24"/>
                <w:lang w:val="es-ES"/>
              </w:rPr>
              <w:t>Artículo 29 Quáter. La Fiscalía Especializada en Atención a los Delitos cometidos contra Personas Adultas Mayores tendrá a su cargo:</w:t>
            </w:r>
          </w:p>
          <w:p w:rsidR="00F71CC5" w:rsidRPr="00CB38AA" w:rsidRDefault="00F71CC5" w:rsidP="00F71CC5">
            <w:pPr>
              <w:spacing w:line="240" w:lineRule="auto"/>
              <w:jc w:val="both"/>
              <w:rPr>
                <w:rFonts w:ascii="Times New Roman" w:eastAsia="Arial" w:hAnsi="Times New Roman" w:cs="Times New Roman"/>
                <w:b/>
                <w:sz w:val="24"/>
                <w:szCs w:val="24"/>
                <w:lang w:val="es-ES"/>
              </w:rPr>
            </w:pPr>
          </w:p>
          <w:p w:rsidR="00F71CC5" w:rsidRPr="00CB38AA" w:rsidRDefault="00F71CC5" w:rsidP="00F71CC5">
            <w:pPr>
              <w:numPr>
                <w:ilvl w:val="0"/>
                <w:numId w:val="18"/>
              </w:numPr>
              <w:spacing w:line="240" w:lineRule="auto"/>
              <w:ind w:left="0"/>
              <w:jc w:val="both"/>
              <w:rPr>
                <w:rFonts w:ascii="Times New Roman" w:eastAsia="Arial" w:hAnsi="Times New Roman" w:cs="Times New Roman"/>
                <w:b/>
                <w:sz w:val="24"/>
                <w:szCs w:val="24"/>
                <w:lang w:val="es-ES"/>
              </w:rPr>
            </w:pPr>
            <w:r w:rsidRPr="00CB38AA">
              <w:rPr>
                <w:rFonts w:ascii="Times New Roman" w:eastAsia="Arial" w:hAnsi="Times New Roman" w:cs="Times New Roman"/>
                <w:b/>
                <w:sz w:val="24"/>
                <w:szCs w:val="24"/>
                <w:lang w:val="es-ES"/>
              </w:rPr>
              <w:t>Dirigir, integrar, coordinar y supervisar las investigaciones y en su caso, el ejercicio de la acción penal, por delitos cometidos contra personas adultas mayores, contemplados en el Código Penal del Estado de México y demás ordenamientos aplicables.</w:t>
            </w:r>
          </w:p>
          <w:p w:rsidR="00F71CC5" w:rsidRPr="00CB38AA" w:rsidRDefault="00F71CC5" w:rsidP="00F71CC5">
            <w:pPr>
              <w:spacing w:line="240" w:lineRule="auto"/>
              <w:jc w:val="both"/>
              <w:rPr>
                <w:rFonts w:ascii="Times New Roman" w:eastAsia="Arial" w:hAnsi="Times New Roman" w:cs="Times New Roman"/>
                <w:b/>
                <w:sz w:val="24"/>
                <w:szCs w:val="24"/>
                <w:lang w:val="es-ES"/>
              </w:rPr>
            </w:pPr>
          </w:p>
          <w:p w:rsidR="00F71CC5" w:rsidRPr="00CB38AA" w:rsidRDefault="00F71CC5" w:rsidP="00F71CC5">
            <w:pPr>
              <w:numPr>
                <w:ilvl w:val="0"/>
                <w:numId w:val="18"/>
              </w:numPr>
              <w:spacing w:line="240" w:lineRule="auto"/>
              <w:ind w:left="0"/>
              <w:jc w:val="both"/>
              <w:rPr>
                <w:rFonts w:ascii="Times New Roman" w:eastAsia="Arial" w:hAnsi="Times New Roman" w:cs="Times New Roman"/>
                <w:b/>
                <w:sz w:val="24"/>
                <w:szCs w:val="24"/>
                <w:lang w:val="es-ES"/>
              </w:rPr>
            </w:pPr>
            <w:r w:rsidRPr="00CB38AA">
              <w:rPr>
                <w:rFonts w:ascii="Times New Roman" w:eastAsia="Arial" w:hAnsi="Times New Roman" w:cs="Times New Roman"/>
                <w:b/>
                <w:sz w:val="24"/>
                <w:szCs w:val="24"/>
                <w:lang w:val="es-ES"/>
              </w:rPr>
              <w:t>Investigar delitos cometidos contra personas adultas mayores, en coordinación o auxilio de otras fiscalías, procuradurías de justicia o sus homólogas, de las entidades federativas o de la Federación.</w:t>
            </w:r>
          </w:p>
          <w:p w:rsidR="00F71CC5" w:rsidRPr="00CB38AA" w:rsidRDefault="00F71CC5" w:rsidP="00F71CC5">
            <w:pPr>
              <w:spacing w:line="240" w:lineRule="auto"/>
              <w:jc w:val="both"/>
              <w:rPr>
                <w:rFonts w:ascii="Times New Roman" w:eastAsia="Arial" w:hAnsi="Times New Roman" w:cs="Times New Roman"/>
                <w:b/>
                <w:sz w:val="24"/>
                <w:szCs w:val="24"/>
                <w:lang w:val="es-ES"/>
              </w:rPr>
            </w:pPr>
          </w:p>
        </w:tc>
      </w:tr>
      <w:tr w:rsidR="00F71CC5" w:rsidRPr="00CB38AA" w:rsidTr="00544832">
        <w:trPr>
          <w:trHeight w:val="20"/>
          <w:jc w:val="center"/>
        </w:trPr>
        <w:tc>
          <w:tcPr>
            <w:tcW w:w="4418" w:type="dxa"/>
          </w:tcPr>
          <w:p w:rsidR="00F71CC5" w:rsidRPr="00CB38AA" w:rsidRDefault="00F71CC5" w:rsidP="00F71CC5">
            <w:pPr>
              <w:spacing w:line="240" w:lineRule="auto"/>
              <w:jc w:val="both"/>
              <w:rPr>
                <w:rFonts w:ascii="Times New Roman" w:eastAsia="Arial" w:hAnsi="Times New Roman" w:cs="Times New Roman"/>
                <w:sz w:val="24"/>
                <w:szCs w:val="24"/>
                <w:lang w:val="es-ES"/>
              </w:rPr>
            </w:pPr>
          </w:p>
        </w:tc>
        <w:tc>
          <w:tcPr>
            <w:tcW w:w="4413" w:type="dxa"/>
          </w:tcPr>
          <w:p w:rsidR="00F71CC5" w:rsidRPr="00CB38AA" w:rsidRDefault="00F71CC5" w:rsidP="00F71CC5">
            <w:pPr>
              <w:numPr>
                <w:ilvl w:val="0"/>
                <w:numId w:val="17"/>
              </w:numPr>
              <w:spacing w:line="240" w:lineRule="auto"/>
              <w:ind w:left="0"/>
              <w:jc w:val="both"/>
              <w:rPr>
                <w:rFonts w:ascii="Times New Roman" w:eastAsia="Arial" w:hAnsi="Times New Roman" w:cs="Times New Roman"/>
                <w:b/>
                <w:sz w:val="24"/>
                <w:szCs w:val="24"/>
                <w:lang w:val="es-ES"/>
              </w:rPr>
            </w:pPr>
            <w:r w:rsidRPr="00CB38AA">
              <w:rPr>
                <w:rFonts w:ascii="Times New Roman" w:eastAsia="Arial" w:hAnsi="Times New Roman" w:cs="Times New Roman"/>
                <w:b/>
                <w:sz w:val="24"/>
                <w:szCs w:val="24"/>
                <w:lang w:val="es-ES"/>
              </w:rPr>
              <w:t>A través de áreas e instituciones especializadas, brindar apoyo psicológico y social para salvaguardar la integridad física y emocional de las personas adultas mayores</w:t>
            </w:r>
          </w:p>
          <w:p w:rsidR="00F71CC5" w:rsidRPr="00CB38AA" w:rsidRDefault="00F71CC5" w:rsidP="00F71CC5">
            <w:pPr>
              <w:spacing w:line="240" w:lineRule="auto"/>
              <w:jc w:val="both"/>
              <w:rPr>
                <w:rFonts w:ascii="Times New Roman" w:eastAsia="Arial" w:hAnsi="Times New Roman" w:cs="Times New Roman"/>
                <w:b/>
                <w:sz w:val="24"/>
                <w:szCs w:val="24"/>
                <w:lang w:val="es-ES"/>
              </w:rPr>
            </w:pPr>
          </w:p>
          <w:p w:rsidR="00F71CC5" w:rsidRPr="00CB38AA" w:rsidRDefault="00F71CC5" w:rsidP="00F71CC5">
            <w:pPr>
              <w:numPr>
                <w:ilvl w:val="0"/>
                <w:numId w:val="17"/>
              </w:numPr>
              <w:spacing w:line="240" w:lineRule="auto"/>
              <w:ind w:left="0"/>
              <w:jc w:val="both"/>
              <w:rPr>
                <w:rFonts w:ascii="Times New Roman" w:eastAsia="Arial" w:hAnsi="Times New Roman" w:cs="Times New Roman"/>
                <w:b/>
                <w:sz w:val="24"/>
                <w:szCs w:val="24"/>
                <w:lang w:val="es-ES"/>
              </w:rPr>
            </w:pPr>
            <w:r w:rsidRPr="00CB38AA">
              <w:rPr>
                <w:rFonts w:ascii="Times New Roman" w:eastAsia="Arial" w:hAnsi="Times New Roman" w:cs="Times New Roman"/>
                <w:b/>
                <w:sz w:val="24"/>
                <w:szCs w:val="24"/>
                <w:lang w:val="es-ES"/>
              </w:rPr>
              <w:t>Conocer y recibir las denuncias, querellas o investigaciones que se hayan presentado en otras unidades de la Fiscalía General, por hechos que pudieran ser constitutivos de los delitos de su competencia.</w:t>
            </w:r>
          </w:p>
          <w:p w:rsidR="00F71CC5" w:rsidRPr="00CB38AA" w:rsidRDefault="00F71CC5" w:rsidP="00F71CC5">
            <w:pPr>
              <w:spacing w:line="240" w:lineRule="auto"/>
              <w:jc w:val="both"/>
              <w:rPr>
                <w:rFonts w:ascii="Times New Roman" w:eastAsia="Arial" w:hAnsi="Times New Roman" w:cs="Times New Roman"/>
                <w:sz w:val="24"/>
                <w:szCs w:val="24"/>
                <w:lang w:val="es-ES"/>
              </w:rPr>
            </w:pPr>
          </w:p>
          <w:p w:rsidR="00F71CC5" w:rsidRPr="00CB38AA" w:rsidRDefault="00F71CC5" w:rsidP="00F71CC5">
            <w:pPr>
              <w:numPr>
                <w:ilvl w:val="0"/>
                <w:numId w:val="17"/>
              </w:numPr>
              <w:spacing w:line="240" w:lineRule="auto"/>
              <w:ind w:left="0"/>
              <w:jc w:val="both"/>
              <w:rPr>
                <w:rFonts w:ascii="Times New Roman" w:eastAsia="Arial" w:hAnsi="Times New Roman" w:cs="Times New Roman"/>
                <w:b/>
                <w:sz w:val="24"/>
                <w:szCs w:val="24"/>
                <w:lang w:val="es-ES"/>
              </w:rPr>
            </w:pPr>
            <w:r w:rsidRPr="00CB38AA">
              <w:rPr>
                <w:rFonts w:ascii="Times New Roman" w:eastAsia="Arial" w:hAnsi="Times New Roman" w:cs="Times New Roman"/>
                <w:b/>
                <w:sz w:val="24"/>
                <w:szCs w:val="24"/>
                <w:lang w:val="es-ES"/>
              </w:rPr>
              <w:t>Diseñar e implementar proyectos, estudios, programas permanentes de información y fomento de la cultura de la denuncia y legalidad, en materia de delitos relacionados contra personas adultas mayores.</w:t>
            </w:r>
          </w:p>
          <w:p w:rsidR="00F71CC5" w:rsidRPr="00CB38AA" w:rsidRDefault="00F71CC5" w:rsidP="00F71CC5">
            <w:pPr>
              <w:spacing w:line="240" w:lineRule="auto"/>
              <w:jc w:val="both"/>
              <w:rPr>
                <w:rFonts w:ascii="Times New Roman" w:eastAsia="Arial" w:hAnsi="Times New Roman" w:cs="Times New Roman"/>
                <w:b/>
                <w:sz w:val="24"/>
                <w:szCs w:val="24"/>
                <w:lang w:val="es-ES"/>
              </w:rPr>
            </w:pPr>
          </w:p>
          <w:p w:rsidR="00F71CC5" w:rsidRPr="00CB38AA" w:rsidRDefault="00F71CC5" w:rsidP="00F71CC5">
            <w:pPr>
              <w:numPr>
                <w:ilvl w:val="0"/>
                <w:numId w:val="17"/>
              </w:numPr>
              <w:spacing w:line="240" w:lineRule="auto"/>
              <w:ind w:left="0"/>
              <w:jc w:val="both"/>
              <w:rPr>
                <w:rFonts w:ascii="Times New Roman" w:eastAsia="Arial" w:hAnsi="Times New Roman" w:cs="Times New Roman"/>
                <w:b/>
                <w:sz w:val="24"/>
                <w:szCs w:val="24"/>
                <w:lang w:val="es-ES"/>
              </w:rPr>
            </w:pPr>
            <w:r w:rsidRPr="00CB38AA">
              <w:rPr>
                <w:rFonts w:ascii="Times New Roman" w:eastAsia="Arial" w:hAnsi="Times New Roman" w:cs="Times New Roman"/>
                <w:b/>
                <w:sz w:val="24"/>
                <w:szCs w:val="24"/>
                <w:lang w:val="es-ES"/>
              </w:rPr>
              <w:t>Las demás que le confieran otras disposiciones jurídicas aplicables.</w:t>
            </w:r>
          </w:p>
          <w:p w:rsidR="00F71CC5" w:rsidRPr="00CB38AA" w:rsidRDefault="00F71CC5" w:rsidP="00F71CC5">
            <w:pPr>
              <w:spacing w:line="240" w:lineRule="auto"/>
              <w:jc w:val="both"/>
              <w:rPr>
                <w:rFonts w:ascii="Times New Roman" w:eastAsia="Arial" w:hAnsi="Times New Roman" w:cs="Times New Roman"/>
                <w:sz w:val="24"/>
                <w:szCs w:val="24"/>
                <w:lang w:val="es-ES"/>
              </w:rPr>
            </w:pPr>
          </w:p>
          <w:p w:rsidR="00F71CC5" w:rsidRPr="00CB38AA" w:rsidRDefault="00F71CC5" w:rsidP="00F71CC5">
            <w:pPr>
              <w:spacing w:line="240" w:lineRule="auto"/>
              <w:jc w:val="both"/>
              <w:rPr>
                <w:rFonts w:ascii="Times New Roman" w:eastAsia="Arial" w:hAnsi="Times New Roman" w:cs="Times New Roman"/>
                <w:b/>
                <w:sz w:val="24"/>
                <w:szCs w:val="24"/>
                <w:lang w:val="es-ES"/>
              </w:rPr>
            </w:pPr>
            <w:r w:rsidRPr="00CB38AA">
              <w:rPr>
                <w:rFonts w:ascii="Times New Roman" w:eastAsia="Arial" w:hAnsi="Times New Roman" w:cs="Times New Roman"/>
                <w:b/>
                <w:sz w:val="24"/>
                <w:szCs w:val="24"/>
                <w:lang w:val="es-ES"/>
              </w:rPr>
              <w:t>La Fiscalía Especializada en Atención a los Delitos cometidos contra personas Adultas Mayores, contará con las unidades administrativas, elementos de la policía de investigación, así como de los recursos necesarios para el desempeño de sus funciones.</w:t>
            </w:r>
          </w:p>
          <w:p w:rsidR="00F71CC5" w:rsidRPr="00CB38AA" w:rsidRDefault="00F71CC5" w:rsidP="00F71CC5">
            <w:pPr>
              <w:spacing w:line="240" w:lineRule="auto"/>
              <w:jc w:val="both"/>
              <w:rPr>
                <w:rFonts w:ascii="Times New Roman" w:eastAsia="Arial" w:hAnsi="Times New Roman" w:cs="Times New Roman"/>
                <w:sz w:val="24"/>
                <w:szCs w:val="24"/>
                <w:lang w:val="es-ES"/>
              </w:rPr>
            </w:pPr>
          </w:p>
          <w:p w:rsidR="00F71CC5" w:rsidRPr="00CB38AA" w:rsidRDefault="00F71CC5" w:rsidP="00F71CC5">
            <w:pPr>
              <w:spacing w:line="240" w:lineRule="auto"/>
              <w:jc w:val="both"/>
              <w:rPr>
                <w:rFonts w:ascii="Times New Roman" w:eastAsia="Arial" w:hAnsi="Times New Roman" w:cs="Times New Roman"/>
                <w:b/>
                <w:sz w:val="24"/>
                <w:szCs w:val="24"/>
                <w:lang w:val="es-ES"/>
              </w:rPr>
            </w:pPr>
            <w:r w:rsidRPr="00CB38AA">
              <w:rPr>
                <w:rFonts w:ascii="Times New Roman" w:eastAsia="Arial" w:hAnsi="Times New Roman" w:cs="Times New Roman"/>
                <w:b/>
                <w:sz w:val="24"/>
                <w:szCs w:val="24"/>
                <w:lang w:val="es-ES"/>
              </w:rPr>
              <w:t xml:space="preserve">El personal adscrito a esta Fiscalía Especializada, además de cumplir con las características establecidas en la presente  Ley, deberá capacitarse en materia de </w:t>
            </w:r>
            <w:r w:rsidRPr="00CB38AA">
              <w:rPr>
                <w:rFonts w:ascii="Times New Roman" w:eastAsia="Arial" w:hAnsi="Times New Roman" w:cs="Times New Roman"/>
                <w:b/>
                <w:sz w:val="24"/>
                <w:szCs w:val="24"/>
                <w:lang w:val="es-ES"/>
              </w:rPr>
              <w:lastRenderedPageBreak/>
              <w:t>derechos humanos, sensibilización, tipos de violencia comúnmente ejercida contra los adultos mayores, protocolos de actuación y atención a personas adultas mayores.</w:t>
            </w:r>
          </w:p>
        </w:tc>
      </w:tr>
    </w:tbl>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Por lo anteriormente expuesto, fundamentado y motivado se somete a la consideración de esta H. Soberanía, el siguiente:</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p>
    <w:p w:rsidR="00F71CC5" w:rsidRPr="00CB38AA" w:rsidRDefault="00F71CC5" w:rsidP="00F71CC5">
      <w:pPr>
        <w:widowControl w:val="0"/>
        <w:autoSpaceDE w:val="0"/>
        <w:autoSpaceDN w:val="0"/>
        <w:spacing w:after="0"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PROYECTO DE DECRETO</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DECRETO NÚMERO</w:t>
      </w:r>
      <w:r w:rsidRPr="00CB38AA">
        <w:rPr>
          <w:rFonts w:ascii="Times New Roman" w:eastAsia="Arial MT" w:hAnsi="Times New Roman" w:cs="Times New Roman"/>
          <w:b/>
          <w:sz w:val="24"/>
          <w:szCs w:val="24"/>
          <w:u w:val="single"/>
          <w:lang w:val="es-ES"/>
        </w:rPr>
        <w:tab/>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LA H. “LXI” LEGISLATURA DEL ESTADO DE MÉXICO</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DECRETA:</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b/>
          <w:sz w:val="24"/>
          <w:szCs w:val="24"/>
          <w:lang w:val="es-ES"/>
        </w:rPr>
        <w:t xml:space="preserve">ARTÍCULO ÚNICO. - </w:t>
      </w:r>
      <w:r w:rsidRPr="00CB38AA">
        <w:rPr>
          <w:rFonts w:ascii="Times New Roman" w:eastAsia="Arial MT" w:hAnsi="Times New Roman" w:cs="Times New Roman"/>
          <w:sz w:val="24"/>
          <w:szCs w:val="24"/>
          <w:lang w:val="es-ES"/>
        </w:rPr>
        <w:t>Se adiciona la fracción VI recorriendo la subsecuente del artículo 29; y se adiciona el artículo 29 Quáter, todos de la Ley de la Fiscalía General de Justicia del Estado de México, para quedar como sigue:</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b/>
          <w:sz w:val="24"/>
          <w:szCs w:val="24"/>
          <w:lang w:val="es-ES"/>
        </w:rPr>
        <w:t xml:space="preserve">Artículo 29. </w:t>
      </w:r>
      <w:r w:rsidRPr="00CB38AA">
        <w:rPr>
          <w:rFonts w:ascii="Times New Roman" w:eastAsia="Arial MT" w:hAnsi="Times New Roman" w:cs="Times New Roman"/>
          <w:sz w:val="24"/>
          <w:szCs w:val="24"/>
          <w:lang w:val="es-ES"/>
        </w:rPr>
        <w:t>La Fiscalía contará con las Fiscalías Especializadas en las materias siguientes:</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 a V...</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VI. Atención a los Delitos cometidos contra Personas Adultas Mayores.</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b/>
          <w:sz w:val="24"/>
          <w:szCs w:val="24"/>
          <w:lang w:val="es-ES"/>
        </w:rPr>
        <w:t xml:space="preserve">VII. </w:t>
      </w:r>
      <w:r w:rsidRPr="00CB38AA">
        <w:rPr>
          <w:rFonts w:ascii="Times New Roman" w:eastAsia="Arial MT" w:hAnsi="Times New Roman" w:cs="Times New Roman"/>
          <w:sz w:val="24"/>
          <w:szCs w:val="24"/>
          <w:lang w:val="es-ES"/>
        </w:rPr>
        <w:t>Las demás que se establezcan en el Reglamento.</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Artículo 29 Quáter. La Fiscalía Especializada en Atención a los Delitos cometidos contra Personas Adultas Mayores tendrá a su cargo:</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p>
    <w:p w:rsidR="00F71CC5" w:rsidRPr="00CB38AA" w:rsidRDefault="00F71CC5" w:rsidP="00F71CC5">
      <w:pPr>
        <w:widowControl w:val="0"/>
        <w:numPr>
          <w:ilvl w:val="0"/>
          <w:numId w:val="16"/>
        </w:numPr>
        <w:autoSpaceDE w:val="0"/>
        <w:autoSpaceDN w:val="0"/>
        <w:spacing w:after="0" w:line="240" w:lineRule="auto"/>
        <w:ind w:left="0" w:firstLine="0"/>
        <w:jc w:val="both"/>
        <w:rPr>
          <w:rFonts w:ascii="Times New Roman" w:eastAsia="Arial" w:hAnsi="Times New Roman" w:cs="Times New Roman"/>
          <w:b/>
          <w:sz w:val="24"/>
          <w:szCs w:val="24"/>
          <w:lang w:val="es-ES"/>
        </w:rPr>
      </w:pPr>
      <w:r w:rsidRPr="00CB38AA">
        <w:rPr>
          <w:rFonts w:ascii="Times New Roman" w:eastAsia="Arial" w:hAnsi="Times New Roman" w:cs="Times New Roman"/>
          <w:b/>
          <w:sz w:val="24"/>
          <w:szCs w:val="24"/>
          <w:lang w:val="es-ES"/>
        </w:rPr>
        <w:t>Dirigir, integrar, coordinar y supervisar las investigaciones y en su caso, el ejercicio de la acción penal, por delitos cometidos contra personas adultas mayores, contemplados en el Código Penal del Estado de México y demás ordenamientos aplicables.</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p>
    <w:p w:rsidR="00F71CC5" w:rsidRPr="00CB38AA" w:rsidRDefault="00F71CC5" w:rsidP="00F71CC5">
      <w:pPr>
        <w:widowControl w:val="0"/>
        <w:numPr>
          <w:ilvl w:val="0"/>
          <w:numId w:val="16"/>
        </w:numPr>
        <w:autoSpaceDE w:val="0"/>
        <w:autoSpaceDN w:val="0"/>
        <w:spacing w:after="0" w:line="240" w:lineRule="auto"/>
        <w:ind w:left="0" w:firstLine="0"/>
        <w:jc w:val="both"/>
        <w:rPr>
          <w:rFonts w:ascii="Times New Roman" w:eastAsia="Arial" w:hAnsi="Times New Roman" w:cs="Times New Roman"/>
          <w:b/>
          <w:sz w:val="24"/>
          <w:szCs w:val="24"/>
          <w:lang w:val="es-ES"/>
        </w:rPr>
      </w:pPr>
      <w:r w:rsidRPr="00CB38AA">
        <w:rPr>
          <w:rFonts w:ascii="Times New Roman" w:eastAsia="Arial" w:hAnsi="Times New Roman" w:cs="Times New Roman"/>
          <w:b/>
          <w:sz w:val="24"/>
          <w:szCs w:val="24"/>
          <w:lang w:val="es-ES"/>
        </w:rPr>
        <w:t>Investigar delitos cometidos contra personas adultas mayores, en coordinación o auxilio de otras fiscalías, procuradurías de justicia o sus homólogas, de las entidades federativas o de la Federación.</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p>
    <w:p w:rsidR="00F71CC5" w:rsidRPr="00CB38AA" w:rsidRDefault="00F71CC5" w:rsidP="00F71CC5">
      <w:pPr>
        <w:widowControl w:val="0"/>
        <w:numPr>
          <w:ilvl w:val="0"/>
          <w:numId w:val="16"/>
        </w:numPr>
        <w:autoSpaceDE w:val="0"/>
        <w:autoSpaceDN w:val="0"/>
        <w:spacing w:after="0" w:line="240" w:lineRule="auto"/>
        <w:ind w:left="0" w:firstLine="0"/>
        <w:jc w:val="both"/>
        <w:rPr>
          <w:rFonts w:ascii="Times New Roman" w:eastAsia="Arial" w:hAnsi="Times New Roman" w:cs="Times New Roman"/>
          <w:b/>
          <w:sz w:val="24"/>
          <w:szCs w:val="24"/>
          <w:lang w:val="es-ES"/>
        </w:rPr>
      </w:pPr>
      <w:r w:rsidRPr="00CB38AA">
        <w:rPr>
          <w:rFonts w:ascii="Times New Roman" w:eastAsia="Arial" w:hAnsi="Times New Roman" w:cs="Times New Roman"/>
          <w:b/>
          <w:sz w:val="24"/>
          <w:szCs w:val="24"/>
          <w:lang w:val="es-ES"/>
        </w:rPr>
        <w:t>A través de áreas e instituciones especializadas, brindar apoyo psicológico y social para salvaguardar la integridad física y emocional de las personas adultas mayores</w:t>
      </w:r>
    </w:p>
    <w:p w:rsidR="00F71CC5" w:rsidRPr="00CB38AA" w:rsidRDefault="00F71CC5" w:rsidP="00F71CC5">
      <w:pPr>
        <w:widowControl w:val="0"/>
        <w:autoSpaceDE w:val="0"/>
        <w:autoSpaceDN w:val="0"/>
        <w:spacing w:after="0" w:line="240" w:lineRule="auto"/>
        <w:rPr>
          <w:rFonts w:ascii="Times New Roman" w:eastAsia="Arial MT" w:hAnsi="Times New Roman" w:cs="Times New Roman"/>
          <w:b/>
          <w:sz w:val="24"/>
          <w:szCs w:val="24"/>
          <w:lang w:val="es-ES"/>
        </w:rPr>
      </w:pPr>
    </w:p>
    <w:p w:rsidR="00F71CC5" w:rsidRPr="00CB38AA" w:rsidRDefault="00F71CC5" w:rsidP="00F71CC5">
      <w:pPr>
        <w:widowControl w:val="0"/>
        <w:numPr>
          <w:ilvl w:val="0"/>
          <w:numId w:val="16"/>
        </w:numPr>
        <w:autoSpaceDE w:val="0"/>
        <w:autoSpaceDN w:val="0"/>
        <w:spacing w:after="0" w:line="240" w:lineRule="auto"/>
        <w:ind w:left="0" w:firstLine="0"/>
        <w:jc w:val="both"/>
        <w:rPr>
          <w:rFonts w:ascii="Times New Roman" w:eastAsia="Arial" w:hAnsi="Times New Roman" w:cs="Times New Roman"/>
          <w:b/>
          <w:sz w:val="24"/>
          <w:szCs w:val="24"/>
          <w:lang w:val="es-ES"/>
        </w:rPr>
      </w:pPr>
      <w:r w:rsidRPr="00CB38AA">
        <w:rPr>
          <w:rFonts w:ascii="Times New Roman" w:eastAsia="Arial" w:hAnsi="Times New Roman" w:cs="Times New Roman"/>
          <w:b/>
          <w:sz w:val="24"/>
          <w:szCs w:val="24"/>
          <w:lang w:val="es-ES"/>
        </w:rPr>
        <w:t>Conocer y recibir las denuncias, querellas o investigaciones que se hayan presentado en otras unidades de la Fiscalía General, por hechos que pudieran ser constitutivos de los delitos de su competencia.</w:t>
      </w:r>
    </w:p>
    <w:p w:rsidR="00F71CC5" w:rsidRPr="00CB38AA" w:rsidRDefault="00F71CC5" w:rsidP="00F71CC5">
      <w:pPr>
        <w:widowControl w:val="0"/>
        <w:autoSpaceDE w:val="0"/>
        <w:autoSpaceDN w:val="0"/>
        <w:spacing w:after="0" w:line="240" w:lineRule="auto"/>
        <w:rPr>
          <w:rFonts w:ascii="Times New Roman" w:eastAsia="Arial MT" w:hAnsi="Times New Roman" w:cs="Times New Roman"/>
          <w:b/>
          <w:sz w:val="24"/>
          <w:szCs w:val="24"/>
          <w:lang w:val="es-ES"/>
        </w:rPr>
      </w:pPr>
    </w:p>
    <w:p w:rsidR="00F71CC5" w:rsidRPr="00CB38AA" w:rsidRDefault="00F71CC5" w:rsidP="00F71CC5">
      <w:pPr>
        <w:widowControl w:val="0"/>
        <w:numPr>
          <w:ilvl w:val="0"/>
          <w:numId w:val="16"/>
        </w:numPr>
        <w:autoSpaceDE w:val="0"/>
        <w:autoSpaceDN w:val="0"/>
        <w:spacing w:after="0" w:line="240" w:lineRule="auto"/>
        <w:ind w:left="0" w:firstLine="0"/>
        <w:jc w:val="both"/>
        <w:rPr>
          <w:rFonts w:ascii="Times New Roman" w:eastAsia="Arial" w:hAnsi="Times New Roman" w:cs="Times New Roman"/>
          <w:b/>
          <w:sz w:val="24"/>
          <w:szCs w:val="24"/>
          <w:lang w:val="es-ES"/>
        </w:rPr>
      </w:pPr>
      <w:r w:rsidRPr="00CB38AA">
        <w:rPr>
          <w:rFonts w:ascii="Times New Roman" w:eastAsia="Arial" w:hAnsi="Times New Roman" w:cs="Times New Roman"/>
          <w:b/>
          <w:sz w:val="24"/>
          <w:szCs w:val="24"/>
          <w:lang w:val="es-ES"/>
        </w:rPr>
        <w:t>Diseñar e implementar proyectos, estudios, programas permanentes de información y fomento de la cultura de la denuncia y legalidad, en materia de delitos relacionados contra personas adultas mayores.</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p>
    <w:p w:rsidR="00F71CC5" w:rsidRPr="00CB38AA" w:rsidRDefault="00F71CC5" w:rsidP="00F71CC5">
      <w:pPr>
        <w:widowControl w:val="0"/>
        <w:numPr>
          <w:ilvl w:val="0"/>
          <w:numId w:val="16"/>
        </w:numPr>
        <w:autoSpaceDE w:val="0"/>
        <w:autoSpaceDN w:val="0"/>
        <w:spacing w:after="0" w:line="240" w:lineRule="auto"/>
        <w:ind w:left="0" w:firstLine="0"/>
        <w:jc w:val="both"/>
        <w:rPr>
          <w:rFonts w:ascii="Times New Roman" w:eastAsia="Arial" w:hAnsi="Times New Roman" w:cs="Times New Roman"/>
          <w:b/>
          <w:sz w:val="24"/>
          <w:szCs w:val="24"/>
          <w:lang w:val="es-ES"/>
        </w:rPr>
      </w:pPr>
      <w:r w:rsidRPr="00CB38AA">
        <w:rPr>
          <w:rFonts w:ascii="Times New Roman" w:eastAsia="Arial" w:hAnsi="Times New Roman" w:cs="Times New Roman"/>
          <w:b/>
          <w:sz w:val="24"/>
          <w:szCs w:val="24"/>
          <w:lang w:val="es-ES"/>
        </w:rPr>
        <w:t>Las demás que le confieran otras disposiciones jurídicas aplicables.</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La Fiscalía Especializada en Atención a los Delitos cometidos contra personas Adultas Mayores, contará con las unidades administrativas, elementos de la policía de investigación, así como de los recursos necesarios para el desempeño de sus funciones.</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El personal adscrito a esta Fiscalía Especializada, además de cumplir con las características establecidas en la presente Ley, deberá capacitarse en materia de derechos humanos, sensibilización, tipos de violencia comúnmente ejercida contra los adultos mayores, protocolos de actuación y atención a personas adultas mayores.</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p>
    <w:p w:rsidR="00F71CC5" w:rsidRPr="00CB38AA" w:rsidRDefault="00F71CC5" w:rsidP="00F71CC5">
      <w:pPr>
        <w:widowControl w:val="0"/>
        <w:autoSpaceDE w:val="0"/>
        <w:autoSpaceDN w:val="0"/>
        <w:spacing w:after="0"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T R A N S I T O R I O S</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b/>
          <w:sz w:val="24"/>
          <w:szCs w:val="24"/>
          <w:lang w:val="es-ES"/>
        </w:rPr>
        <w:t xml:space="preserve">PRIMERO. - </w:t>
      </w:r>
      <w:r w:rsidRPr="00CB38AA">
        <w:rPr>
          <w:rFonts w:ascii="Times New Roman" w:eastAsia="Arial MT" w:hAnsi="Times New Roman" w:cs="Times New Roman"/>
          <w:sz w:val="24"/>
          <w:szCs w:val="24"/>
          <w:lang w:val="es-ES"/>
        </w:rPr>
        <w:t>Publíquese la presente reforma y adición, en el periódico oficial “Gaceta del Gobierno”.</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b/>
          <w:sz w:val="24"/>
          <w:szCs w:val="24"/>
          <w:lang w:val="es-ES"/>
        </w:rPr>
        <w:t xml:space="preserve">SEGUNDO. - </w:t>
      </w:r>
      <w:r w:rsidRPr="00CB38AA">
        <w:rPr>
          <w:rFonts w:ascii="Times New Roman" w:eastAsia="Arial MT" w:hAnsi="Times New Roman" w:cs="Times New Roman"/>
          <w:sz w:val="24"/>
          <w:szCs w:val="24"/>
          <w:lang w:val="es-ES"/>
        </w:rPr>
        <w:t>El presente decreto entrará en vigor al día siguiente de su publicación en el periódico “Gaceta del Gobierno”.</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b/>
          <w:sz w:val="24"/>
          <w:szCs w:val="24"/>
          <w:lang w:val="es-ES"/>
        </w:rPr>
        <w:t>TERCERO</w:t>
      </w:r>
      <w:r w:rsidRPr="00CB38AA">
        <w:rPr>
          <w:rFonts w:ascii="Times New Roman" w:eastAsia="Arial MT" w:hAnsi="Times New Roman" w:cs="Times New Roman"/>
          <w:sz w:val="24"/>
          <w:szCs w:val="24"/>
          <w:lang w:val="es-ES"/>
        </w:rPr>
        <w:t>. - Las averiguaciones previas en trámite a la entrada en vigor del presente decreto, deberán continuar su curso en la Fiscalía donde se encuentren radicadas hasta su determinación.</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b/>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b/>
          <w:sz w:val="24"/>
          <w:szCs w:val="24"/>
          <w:lang w:val="es-ES"/>
        </w:rPr>
        <w:t xml:space="preserve">CUARTO. - </w:t>
      </w:r>
      <w:r w:rsidRPr="00CB38AA">
        <w:rPr>
          <w:rFonts w:ascii="Times New Roman" w:eastAsia="Arial MT" w:hAnsi="Times New Roman" w:cs="Times New Roman"/>
          <w:sz w:val="24"/>
          <w:szCs w:val="24"/>
          <w:lang w:val="es-ES"/>
        </w:rPr>
        <w:t>Se derogan todas las disposiciones de igual o menor jerarquía que contravengan el presente decreto.</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Lo tendrá entendido la Gobernadora del Estado de México, haciendo que se publique y se cumpla.</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Dado en el Palacio del Poder Legislativo, en la ciudad de Toluca de Lerdo, capital del Estado de México, a los </w:t>
      </w:r>
      <w:r w:rsidRPr="00CB38AA">
        <w:rPr>
          <w:rFonts w:ascii="Times New Roman" w:eastAsia="Arial MT" w:hAnsi="Times New Roman" w:cs="Times New Roman"/>
          <w:sz w:val="24"/>
          <w:szCs w:val="24"/>
          <w:u w:val="single"/>
          <w:lang w:val="es-ES"/>
        </w:rPr>
        <w:t xml:space="preserve">   </w:t>
      </w:r>
      <w:r w:rsidRPr="00CB38AA">
        <w:rPr>
          <w:rFonts w:ascii="Times New Roman" w:eastAsia="Arial MT" w:hAnsi="Times New Roman" w:cs="Times New Roman"/>
          <w:sz w:val="24"/>
          <w:szCs w:val="24"/>
          <w:lang w:val="es-ES"/>
        </w:rPr>
        <w:t>días del mes de octubre del año dos mil veintiséis.</w:t>
      </w:r>
    </w:p>
    <w:p w:rsidR="00F71CC5" w:rsidRPr="00CB38AA" w:rsidRDefault="00F71CC5" w:rsidP="00F71CC5">
      <w:pPr>
        <w:widowControl w:val="0"/>
        <w:autoSpaceDE w:val="0"/>
        <w:autoSpaceDN w:val="0"/>
        <w:spacing w:after="0" w:line="240" w:lineRule="auto"/>
        <w:jc w:val="both"/>
        <w:rPr>
          <w:rFonts w:ascii="Times New Roman" w:eastAsia="Arial MT" w:hAnsi="Times New Roman" w:cs="Times New Roman"/>
          <w:sz w:val="24"/>
          <w:szCs w:val="24"/>
          <w:lang w:val="es-ES"/>
        </w:rPr>
      </w:pPr>
    </w:p>
    <w:p w:rsidR="00F71CC5" w:rsidRPr="00CB38AA" w:rsidRDefault="00F71CC5" w:rsidP="00F71CC5">
      <w:pPr>
        <w:widowControl w:val="0"/>
        <w:autoSpaceDE w:val="0"/>
        <w:autoSpaceDN w:val="0"/>
        <w:spacing w:after="0"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ATENTAMENTE</w:t>
      </w:r>
    </w:p>
    <w:p w:rsidR="00F71CC5" w:rsidRPr="00CB38AA" w:rsidRDefault="00F71CC5" w:rsidP="00F71CC5">
      <w:pPr>
        <w:widowControl w:val="0"/>
        <w:autoSpaceDE w:val="0"/>
        <w:autoSpaceDN w:val="0"/>
        <w:spacing w:after="0"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GRUPO PARLAMENTARIO DEL PARTIDO ACCIÓN NACIONAL</w:t>
      </w:r>
    </w:p>
    <w:tbl>
      <w:tblPr>
        <w:tblStyle w:val="Tablaconcuadrcula1"/>
        <w:tblW w:w="95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0"/>
        <w:gridCol w:w="4750"/>
      </w:tblGrid>
      <w:tr w:rsidR="00F71CC5" w:rsidRPr="00CB38AA" w:rsidTr="00544832">
        <w:trPr>
          <w:jc w:val="center"/>
        </w:trPr>
        <w:tc>
          <w:tcPr>
            <w:tcW w:w="4750" w:type="dxa"/>
          </w:tcPr>
          <w:p w:rsidR="00F71CC5" w:rsidRPr="00CB38AA" w:rsidRDefault="00F71CC5" w:rsidP="00F71CC5">
            <w:pPr>
              <w:spacing w:line="240" w:lineRule="auto"/>
              <w:jc w:val="both"/>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Diputada Joanna Alejandra Felipe Torres</w:t>
            </w:r>
          </w:p>
        </w:tc>
        <w:tc>
          <w:tcPr>
            <w:tcW w:w="4750" w:type="dxa"/>
          </w:tcPr>
          <w:p w:rsidR="00F71CC5" w:rsidRPr="00CB38AA" w:rsidRDefault="00F71CC5" w:rsidP="00F71CC5">
            <w:pPr>
              <w:spacing w:line="240" w:lineRule="auto"/>
              <w:jc w:val="both"/>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Diputado Pablo Fernández de Cevallos G.</w:t>
            </w:r>
          </w:p>
        </w:tc>
      </w:tr>
    </w:tbl>
    <w:p w:rsidR="0069373A" w:rsidRPr="00CB38AA" w:rsidRDefault="0069373A" w:rsidP="00544832">
      <w:pPr>
        <w:spacing w:after="0" w:line="240" w:lineRule="auto"/>
        <w:jc w:val="center"/>
        <w:rPr>
          <w:rFonts w:ascii="Times New Roman" w:hAnsi="Times New Roman" w:cs="Times New Roman"/>
          <w:sz w:val="24"/>
          <w:szCs w:val="24"/>
        </w:rPr>
      </w:pPr>
    </w:p>
    <w:p w:rsidR="0069373A" w:rsidRPr="00CB38AA" w:rsidRDefault="0069373A" w:rsidP="00544832">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(Fin del documento)</w:t>
      </w:r>
    </w:p>
    <w:p w:rsidR="0069373A" w:rsidRPr="00CB38AA" w:rsidRDefault="0069373A" w:rsidP="00544832">
      <w:pPr>
        <w:spacing w:after="0" w:line="240" w:lineRule="auto"/>
        <w:jc w:val="center"/>
        <w:rPr>
          <w:rFonts w:ascii="Times New Roman" w:hAnsi="Times New Roman" w:cs="Times New Roman"/>
          <w:sz w:val="24"/>
          <w:szCs w:val="24"/>
        </w:rPr>
      </w:pP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 xml:space="preserve">PRESIDENTA DIP. MARTHA AZUCENA CAMACHO REYNOSO. Gracias diputada Joanna Alejandra Felipe Torres, se registra la iniciativa y se remite a las Comisiones Legislativas de Procuración y Administración de Justicia y para la Atención de Grupos Vulnerables y para su estudio y dictamen.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Por lo que respecta al punto 19, el diputado Anuar Roberto Azar Figueroa leerá la Iniciativa con Proyecto de Decreto por el que se reforma el artículo 6.67 del Código para la Biodiversidad del Estado de México en materia de venta de animales, presentado por el diputado Anuar Roberto </w:t>
      </w:r>
      <w:r w:rsidRPr="00CB38AA">
        <w:rPr>
          <w:rFonts w:ascii="Times New Roman" w:hAnsi="Times New Roman" w:cs="Times New Roman"/>
          <w:sz w:val="24"/>
          <w:szCs w:val="24"/>
        </w:rPr>
        <w:lastRenderedPageBreak/>
        <w:t>Azar Figueroa y el diputado Pablo Fernández de Cevallos González, en nombre del Grupo Parlamentario del Partido Acción Nacional.</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DIP. ANUAR ROBERTO AZAR FIGUEROA. Muy buenas tardes Presidenta, Mesa Directiva, con el permiso de las y los diputados.</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Hoy subo esta tribuna en representación del Grupo Parlamentario del Partido Acción Nacional, para presentar una iniciativa que refleja de manera muy clara los principios que nos dan identidad como panistas, respeto a la dignidad de la persona humana, bien común, solidaridad y subsidiariedad.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La iniciativa que hoy pongo a su consideración busca algo muy concreto que los animales que se venden en comercios de nuestro Estado, sean tratados con dignidad, con cuidado y con el respaldo de profesionales, proponemos reformar el artículo 6.67 del Código para la Biodiversidad del Estado de México, para que todos los comercios que pongan a la venta animales estén obligados a contar con la asesoría de un médico veterinario.</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Para Acción Nacional la persona humana es el centro de toda vida social; pero también reconocemos desde nuestra doctrina que la persona no vive aislada, vive en un entorno incluyendo al medio ambiente y a los seres vivos.</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Cuidar a los animales no es ponerlos por encima del ser humano, es actuar con responsabilidad frente a la naturaleza y formar personas más sensibles, más solidarias y más conscientes.</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La manera en que tratamos a los animales dice mucho de nosotros, una sociedad que es indiferente al sufrimiento de un ser vivo, termina siendo también indiferente al sufrimiento de las personas, en cambio una sociedad que promueve el respeto y el cuidado hacia los animales fortalece valores como la empatía, la responsabilidad y la compasión que son esenciales para construir el bien común.</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Cuando un niño crece viendo que un animal es maltratado, encerrado en jaulas, sin agua limpia, sin espacio, sin atención aprende que el sufrimiento ajeno no importa, pero cuando ve que un animal es atendido con cuidado, vacunado, alimentado correctamente y tratado con respeto, aprende que toda vida merece consideración, es aprendizaje que se traslada a cómo tratar a otras personas, a su familia, a sus vecinos y sobre todo a los seres más vulnerables.</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Esta iniciativa no sólo protege a animales; también contribuye a formar una mejor ciudadanía. Hoy existen comercio donde los animales son atendidos de mala manera, en condiciones no adecuadas, espacios reducidos, con mala ventilación, temperaturas inadecuadas, estrés constante, falta de supervisión profesional, eso afecta directamente el bienestar de los animalitos; pero también puede convertirse en un riesgo de salud pública.</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Si contamos con la asesoría de médicos veterinarios garantizamos que los animales estén sanos, se prevengan enfermedades, exista un adecuado control sanitario, se proteja también la salud de las familias que adquieren una mascota.</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Igualmente, esta forma se alinea con el principio de solidaridad, no podemos permanecer indiferentes frente a la realidad de miles de animales que son vendidos como si fueran objetos, sin atención, sin control, sin condiciones mínimas de bienestar.</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La solidaridad nos impulsa a dar voz a quienes no la tienen y en este caso los animales dependen totalmente de nuestras decisiones.</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La propuesta también tiene que ver con subsidiariedad, otro de los principios rectores de Acción Nacional, no buscamos que el estado sustituya a las personas o a los comercios; sino que marque reglas claras para que la actividad económica se desarrolle de forma ordenada, responsable y sobre todo con un profundo compromiso con la ética.</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 xml:space="preserve">Los comerciantes seguirán siendo libres de ejercer su actividad, pero bajo lineamientos que aseguren el respeto a la vida y bienestar animal; pero sí los comercios no pueden por sus propios medios contar con la asesoría profesional de un médico veterinario proponemos también que estos </w:t>
      </w:r>
      <w:r w:rsidRPr="00CB38AA">
        <w:rPr>
          <w:rFonts w:ascii="Times New Roman" w:hAnsi="Times New Roman" w:cs="Times New Roman"/>
          <w:sz w:val="24"/>
          <w:szCs w:val="24"/>
        </w:rPr>
        <w:lastRenderedPageBreak/>
        <w:t>comercios puedan celebrar convenios con las autoridades correspondientes para que puedan contar con dicha asesoría, el contar con un médico veterinario permitirá revisar periódicamente la salud de los animales, detectar y tratar enfermedades a tiempo, asegurar esquemas de vacunación y desparasitación, brindar información a los compradores sobre el cuidado responsable para cada especia animal.</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Esta iniciativa también fortalece la responsabilidad social, por ejemplo, muchas familias adquieren mascotas sin información suficiente, no saben cuánto crecerá el animal, qué tipo de alimento necesita, cuánto ejercicio requiere, qué vacunas debe recibir, qué gastos implica para la economía familiar, ahí la asesoría veterinaria es fundamental y un consejo a tiempo, puede evitar compras impulsivas que terminen en abandono, maltrato por ignorancia, conflictos en la convivencia dentro del hogar y en la comunidad.</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Cuidar a los animales tiene además de un impacto directo en la salud pública,</w:t>
      </w:r>
      <w:r w:rsidRPr="00CB38AA">
        <w:rPr>
          <w:rFonts w:ascii="Times New Roman" w:hAnsi="Times New Roman" w:cs="Times New Roman"/>
          <w:sz w:val="24"/>
          <w:szCs w:val="24"/>
          <w:lang w:eastAsia="es-MX"/>
        </w:rPr>
        <w:t xml:space="preserve"> animales enfermos sin control y seguimiento profesional pueden ser un foco de infección que afecte también a las personas con comercios sujetos a la supervisión veterinaria, reducimos riesgos y protegemos a la comunidad de cualquier tipo de contagio proveniente de los animalitos que se lleguen a adquirir.</w:t>
      </w:r>
    </w:p>
    <w:p w:rsidR="00A35DFE" w:rsidRPr="00CB38AA" w:rsidRDefault="00A35DFE" w:rsidP="00DF6EEA">
      <w:pPr>
        <w:pStyle w:val="Sinespaciado"/>
        <w:ind w:firstLine="708"/>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Esta iniciativa, responde también a una realidad social, ya que cada vez más personas consideran a los animales de compañía como parte de su familia, 8 de cada 10 hogares en nuestra Entidad, poseen una mascota.</w:t>
      </w:r>
    </w:p>
    <w:p w:rsidR="00A35DFE" w:rsidRPr="00CB38AA" w:rsidRDefault="00A35DFE" w:rsidP="00DF6EEA">
      <w:pPr>
        <w:pStyle w:val="Sinespaciado"/>
        <w:ind w:firstLine="708"/>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 xml:space="preserve">Quiero subrayar que esta propuesta no pretende castigar a quienes se dedican a la venta de animales de manera honesta, por el contrario distingue y apoya a los comerciantes responsables que ya cumplen con buenas prácticas, establece un piso parejo para todos, eleva el estándar de lo aceptable en el trato a los animales. </w:t>
      </w:r>
    </w:p>
    <w:p w:rsidR="00A35DFE" w:rsidRPr="00CB38AA" w:rsidRDefault="00A35DFE" w:rsidP="00DF6EEA">
      <w:pPr>
        <w:pStyle w:val="Sinespaciado"/>
        <w:ind w:firstLine="708"/>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 xml:space="preserve">Compañeras y compañeros diputados, el cuidado de los animales no es un tema superficial ni secundario, es un tema que toca la educación en valores, la salud, el medio ambiente, la economía y la vida cotidiana de las familias. </w:t>
      </w:r>
    </w:p>
    <w:p w:rsidR="00A35DFE" w:rsidRPr="00CB38AA" w:rsidRDefault="00A35DFE" w:rsidP="00DF6EEA">
      <w:pPr>
        <w:pStyle w:val="Sinespaciado"/>
        <w:ind w:firstLine="708"/>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Al impulsar esta iniciativa, actuamos en coherencia con los principios de nuestro partido, defendemos la dignidad de las personas, protegemos el bien común, al cuidar la salud pública y prevenir riesgos, ejercemos solidaridad, no al ser indiferentes frente al sufrimiento de los animales, respetamos la subsidiariedad estableciendo reglas claras sin suplantar la iniciativa de la sociedad, fortalecemos el Estado de Derecho al proponer una norma justa, razonable y que se puede aplicar en nuestro estado, los invito a que veamos esta reforma no solo como un ajuste al Código para la Biodiversidad, sino como un paso hacia una sociedad más humana, más responsable y más consciente de la importancia de cuidar a los animales y al entorno que compartimos.</w:t>
      </w:r>
    </w:p>
    <w:p w:rsidR="00A35DFE" w:rsidRPr="00CB38AA" w:rsidRDefault="00A35DFE" w:rsidP="00DF6EEA">
      <w:pPr>
        <w:pStyle w:val="Sinespaciado"/>
        <w:ind w:firstLine="708"/>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 xml:space="preserve">En el Estado de México debe quedar claro no es aceptable que un animal se venda en cualquier condición, sin supervisión, sin responsabilidad y sin respeto. </w:t>
      </w:r>
    </w:p>
    <w:p w:rsidR="00A35DFE" w:rsidRPr="00CB38AA" w:rsidRDefault="00A35DFE" w:rsidP="00DF6EEA">
      <w:pPr>
        <w:pStyle w:val="Sinespaciado"/>
        <w:ind w:firstLine="708"/>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 xml:space="preserve">Les pido su apoyo para que esta iniciativa sea discutida, enriquecida y aprobada en comisiones, hagámoslo por los animales, por las familias, por la salud, por el bien común y por los valores que queremos heredar a las próximas generaciones. </w:t>
      </w:r>
    </w:p>
    <w:p w:rsidR="00A35DFE" w:rsidRPr="00CB38AA" w:rsidRDefault="00A35DFE" w:rsidP="00DF6EEA">
      <w:pPr>
        <w:pStyle w:val="Sinespaciado"/>
        <w:ind w:firstLine="708"/>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 xml:space="preserve">Es cuanto. Muchas gracias Presidenta. </w:t>
      </w:r>
    </w:p>
    <w:p w:rsidR="00791406" w:rsidRPr="00CB38AA" w:rsidRDefault="00791406" w:rsidP="00544832">
      <w:pPr>
        <w:pStyle w:val="Sinespaciado"/>
        <w:jc w:val="both"/>
        <w:rPr>
          <w:rFonts w:ascii="Times New Roman" w:hAnsi="Times New Roman" w:cs="Times New Roman"/>
          <w:sz w:val="24"/>
          <w:szCs w:val="24"/>
        </w:rPr>
      </w:pPr>
    </w:p>
    <w:p w:rsidR="00791406" w:rsidRPr="00CB38AA" w:rsidRDefault="00791406" w:rsidP="00544832">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(Se inserta documento)</w:t>
      </w:r>
    </w:p>
    <w:p w:rsidR="00791406" w:rsidRPr="00CB38AA" w:rsidRDefault="00791406" w:rsidP="00544832">
      <w:pPr>
        <w:spacing w:after="0" w:line="240" w:lineRule="auto"/>
        <w:jc w:val="center"/>
        <w:rPr>
          <w:rFonts w:ascii="Times New Roman" w:hAnsi="Times New Roman" w:cs="Times New Roman"/>
          <w:sz w:val="24"/>
          <w:szCs w:val="24"/>
        </w:rPr>
      </w:pPr>
    </w:p>
    <w:p w:rsidR="00147A0E" w:rsidRPr="00CB38AA" w:rsidRDefault="00147A0E" w:rsidP="00147A0E">
      <w:pPr>
        <w:widowControl w:val="0"/>
        <w:autoSpaceDE w:val="0"/>
        <w:autoSpaceDN w:val="0"/>
        <w:spacing w:after="0" w:line="240" w:lineRule="auto"/>
        <w:jc w:val="center"/>
        <w:rPr>
          <w:rFonts w:ascii="Times New Roman" w:eastAsia="Tahoma" w:hAnsi="Times New Roman" w:cs="Times New Roman"/>
          <w:sz w:val="24"/>
          <w:szCs w:val="24"/>
          <w:lang w:val="es-ES"/>
        </w:rPr>
      </w:pPr>
      <w:r w:rsidRPr="00CB38AA">
        <w:rPr>
          <w:rFonts w:ascii="Times New Roman" w:eastAsia="Tahoma" w:hAnsi="Times New Roman" w:cs="Times New Roman"/>
          <w:sz w:val="24"/>
          <w:szCs w:val="24"/>
          <w:lang w:val="es-ES"/>
        </w:rPr>
        <w:t>“2026. Año del Humanismo Mexicano en el Estado de México”.</w:t>
      </w:r>
    </w:p>
    <w:p w:rsidR="00147A0E" w:rsidRPr="00CB38AA" w:rsidRDefault="00147A0E" w:rsidP="00147A0E">
      <w:pPr>
        <w:autoSpaceDE w:val="0"/>
        <w:autoSpaceDN w:val="0"/>
        <w:adjustRightInd w:val="0"/>
        <w:spacing w:after="0" w:line="240" w:lineRule="auto"/>
        <w:jc w:val="center"/>
        <w:rPr>
          <w:rFonts w:ascii="Times New Roman" w:eastAsia="Calibri" w:hAnsi="Times New Roman" w:cs="Times New Roman"/>
          <w:b/>
          <w:bCs/>
          <w:sz w:val="24"/>
          <w:szCs w:val="24"/>
        </w:rPr>
      </w:pPr>
    </w:p>
    <w:p w:rsidR="00147A0E" w:rsidRPr="00CB38AA" w:rsidRDefault="00147A0E" w:rsidP="00147A0E">
      <w:pPr>
        <w:autoSpaceDE w:val="0"/>
        <w:autoSpaceDN w:val="0"/>
        <w:adjustRightInd w:val="0"/>
        <w:spacing w:after="0" w:line="240" w:lineRule="auto"/>
        <w:jc w:val="both"/>
        <w:rPr>
          <w:rFonts w:ascii="Times New Roman" w:eastAsia="Calibri" w:hAnsi="Times New Roman" w:cs="Times New Roman"/>
          <w:b/>
          <w:bCs/>
          <w:sz w:val="24"/>
          <w:szCs w:val="24"/>
        </w:rPr>
      </w:pPr>
      <w:r w:rsidRPr="00CB38AA">
        <w:rPr>
          <w:rFonts w:ascii="Times New Roman" w:eastAsia="Calibri" w:hAnsi="Times New Roman" w:cs="Times New Roman"/>
          <w:b/>
          <w:bCs/>
          <w:sz w:val="24"/>
          <w:szCs w:val="24"/>
        </w:rPr>
        <w:t>CONGRESO</w:t>
      </w:r>
    </w:p>
    <w:p w:rsidR="00147A0E" w:rsidRPr="00CB38AA" w:rsidRDefault="00147A0E" w:rsidP="00147A0E">
      <w:pPr>
        <w:autoSpaceDE w:val="0"/>
        <w:autoSpaceDN w:val="0"/>
        <w:adjustRightInd w:val="0"/>
        <w:spacing w:after="0" w:line="240" w:lineRule="auto"/>
        <w:jc w:val="both"/>
        <w:rPr>
          <w:rFonts w:ascii="Times New Roman" w:eastAsia="Calibri" w:hAnsi="Times New Roman" w:cs="Times New Roman"/>
          <w:b/>
          <w:bCs/>
          <w:sz w:val="24"/>
          <w:szCs w:val="24"/>
        </w:rPr>
      </w:pPr>
      <w:r w:rsidRPr="00CB38AA">
        <w:rPr>
          <w:rFonts w:ascii="Times New Roman" w:eastAsia="Calibri" w:hAnsi="Times New Roman" w:cs="Times New Roman"/>
          <w:b/>
          <w:bCs/>
          <w:sz w:val="24"/>
          <w:szCs w:val="24"/>
        </w:rPr>
        <w:t>ESTADO DE MÉXICO</w:t>
      </w:r>
    </w:p>
    <w:p w:rsidR="00147A0E" w:rsidRPr="00CB38AA" w:rsidRDefault="00147A0E" w:rsidP="00147A0E">
      <w:pPr>
        <w:autoSpaceDE w:val="0"/>
        <w:autoSpaceDN w:val="0"/>
        <w:adjustRightInd w:val="0"/>
        <w:spacing w:after="0" w:line="240" w:lineRule="auto"/>
        <w:jc w:val="both"/>
        <w:rPr>
          <w:rFonts w:ascii="Times New Roman" w:eastAsia="Calibri" w:hAnsi="Times New Roman" w:cs="Times New Roman"/>
          <w:b/>
          <w:bCs/>
          <w:sz w:val="24"/>
          <w:szCs w:val="24"/>
        </w:rPr>
      </w:pPr>
    </w:p>
    <w:p w:rsidR="00147A0E" w:rsidRPr="00CB38AA" w:rsidRDefault="00147A0E" w:rsidP="00147A0E">
      <w:pPr>
        <w:widowControl w:val="0"/>
        <w:autoSpaceDE w:val="0"/>
        <w:autoSpaceDN w:val="0"/>
        <w:spacing w:after="0" w:line="240" w:lineRule="auto"/>
        <w:jc w:val="right"/>
        <w:rPr>
          <w:rFonts w:ascii="Times New Roman" w:eastAsia="Tahoma" w:hAnsi="Times New Roman" w:cs="Times New Roman"/>
          <w:b/>
          <w:sz w:val="24"/>
          <w:szCs w:val="24"/>
          <w:lang w:val="es-ES"/>
        </w:rPr>
      </w:pPr>
      <w:r w:rsidRPr="00CB38AA">
        <w:rPr>
          <w:rFonts w:ascii="Times New Roman" w:eastAsia="Tahoma" w:hAnsi="Times New Roman" w:cs="Times New Roman"/>
          <w:b/>
          <w:sz w:val="24"/>
          <w:szCs w:val="24"/>
          <w:lang w:val="es-ES"/>
        </w:rPr>
        <w:t>DIP. ANUAR ROBERTO</w:t>
      </w:r>
    </w:p>
    <w:p w:rsidR="00147A0E" w:rsidRPr="00CB38AA" w:rsidRDefault="00147A0E" w:rsidP="00147A0E">
      <w:pPr>
        <w:widowControl w:val="0"/>
        <w:autoSpaceDE w:val="0"/>
        <w:autoSpaceDN w:val="0"/>
        <w:spacing w:after="0" w:line="240" w:lineRule="auto"/>
        <w:jc w:val="right"/>
        <w:rPr>
          <w:rFonts w:ascii="Times New Roman" w:eastAsia="Tahoma" w:hAnsi="Times New Roman" w:cs="Times New Roman"/>
          <w:b/>
          <w:sz w:val="24"/>
          <w:szCs w:val="24"/>
          <w:lang w:val="es-ES"/>
        </w:rPr>
      </w:pPr>
      <w:r w:rsidRPr="00CB38AA">
        <w:rPr>
          <w:rFonts w:ascii="Times New Roman" w:eastAsia="Tahoma" w:hAnsi="Times New Roman" w:cs="Times New Roman"/>
          <w:b/>
          <w:sz w:val="24"/>
          <w:szCs w:val="24"/>
          <w:lang w:val="es-ES"/>
        </w:rPr>
        <w:lastRenderedPageBreak/>
        <w:t>AZAR FIGUEROA</w: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p>
    <w:p w:rsidR="00147A0E" w:rsidRPr="00CB38AA" w:rsidRDefault="00147A0E" w:rsidP="00147A0E">
      <w:pPr>
        <w:widowControl w:val="0"/>
        <w:autoSpaceDE w:val="0"/>
        <w:autoSpaceDN w:val="0"/>
        <w:spacing w:after="0" w:line="240" w:lineRule="auto"/>
        <w:jc w:val="right"/>
        <w:rPr>
          <w:rFonts w:ascii="Times New Roman" w:eastAsia="Tahoma" w:hAnsi="Times New Roman" w:cs="Times New Roman"/>
          <w:sz w:val="24"/>
          <w:szCs w:val="24"/>
          <w:lang w:val="es-ES"/>
        </w:rPr>
      </w:pPr>
      <w:r w:rsidRPr="00CB38AA">
        <w:rPr>
          <w:rFonts w:ascii="Times New Roman" w:eastAsia="Tahoma" w:hAnsi="Times New Roman" w:cs="Times New Roman"/>
          <w:sz w:val="24"/>
          <w:szCs w:val="24"/>
          <w:lang w:val="es-ES"/>
        </w:rPr>
        <w:t>Toluca, Capital del Estado de México, a 11 de febrero de 2026</w: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b/>
          <w:sz w:val="24"/>
          <w:szCs w:val="24"/>
          <w:lang w:val="es-ES"/>
        </w:rPr>
      </w:pPr>
      <w:r w:rsidRPr="00CB38AA">
        <w:rPr>
          <w:rFonts w:ascii="Times New Roman" w:eastAsia="Tahoma" w:hAnsi="Times New Roman" w:cs="Times New Roman"/>
          <w:b/>
          <w:sz w:val="24"/>
          <w:szCs w:val="24"/>
          <w:lang w:val="es-ES"/>
        </w:rPr>
        <w:t>DIPUTADA MARTHA AZUCENA CAMACHO REYNOSO</w: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b/>
          <w:sz w:val="24"/>
          <w:szCs w:val="24"/>
          <w:lang w:val="es-ES"/>
        </w:rPr>
      </w:pPr>
      <w:r w:rsidRPr="00CB38AA">
        <w:rPr>
          <w:rFonts w:ascii="Times New Roman" w:eastAsia="Tahoma" w:hAnsi="Times New Roman" w:cs="Times New Roman"/>
          <w:b/>
          <w:sz w:val="24"/>
          <w:szCs w:val="24"/>
          <w:lang w:val="es-ES"/>
        </w:rPr>
        <w:t>PRESIDENTA DE LA MESA DIRECTIVA DE LA</w: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b/>
          <w:sz w:val="24"/>
          <w:szCs w:val="24"/>
          <w:lang w:val="es-ES"/>
        </w:rPr>
      </w:pPr>
      <w:r w:rsidRPr="00CB38AA">
        <w:rPr>
          <w:rFonts w:ascii="Times New Roman" w:eastAsia="Tahoma" w:hAnsi="Times New Roman" w:cs="Times New Roman"/>
          <w:b/>
          <w:sz w:val="24"/>
          <w:szCs w:val="24"/>
          <w:lang w:val="es-ES"/>
        </w:rPr>
        <w:t>LXII LEGISLATURA DEL ESTADO LIBRE Y</w: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b/>
          <w:sz w:val="24"/>
          <w:szCs w:val="24"/>
          <w:lang w:val="es-ES"/>
        </w:rPr>
      </w:pPr>
      <w:r w:rsidRPr="00CB38AA">
        <w:rPr>
          <w:rFonts w:ascii="Times New Roman" w:eastAsia="Tahoma" w:hAnsi="Times New Roman" w:cs="Times New Roman"/>
          <w:b/>
          <w:sz w:val="24"/>
          <w:szCs w:val="24"/>
          <w:lang w:val="es-ES"/>
        </w:rPr>
        <w:t>SOBERANO DE MÉXICO.</w: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b/>
          <w:sz w:val="24"/>
          <w:szCs w:val="24"/>
          <w:lang w:val="es-ES"/>
        </w:rPr>
      </w:pPr>
      <w:r w:rsidRPr="00CB38AA">
        <w:rPr>
          <w:rFonts w:ascii="Times New Roman" w:eastAsia="Tahoma" w:hAnsi="Times New Roman" w:cs="Times New Roman"/>
          <w:b/>
          <w:sz w:val="24"/>
          <w:szCs w:val="24"/>
          <w:lang w:val="es-ES"/>
        </w:rPr>
        <w:t>P R E S E N T E.</w: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b/>
          <w:sz w:val="24"/>
          <w:szCs w:val="24"/>
          <w:lang w:val="es-ES"/>
        </w:rPr>
      </w:pP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r w:rsidRPr="00CB38AA">
        <w:rPr>
          <w:rFonts w:ascii="Times New Roman" w:eastAsia="Tahoma" w:hAnsi="Times New Roman" w:cs="Times New Roman"/>
          <w:sz w:val="24"/>
          <w:szCs w:val="24"/>
          <w:lang w:val="es-ES"/>
        </w:rPr>
        <w:t>Honorable Asamblea:</w: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r w:rsidRPr="00CB38AA">
        <w:rPr>
          <w:rFonts w:ascii="Times New Roman" w:eastAsia="Tahoma" w:hAnsi="Times New Roman" w:cs="Times New Roman"/>
          <w:sz w:val="24"/>
          <w:szCs w:val="24"/>
          <w:lang w:val="es-ES"/>
        </w:rPr>
        <w:t xml:space="preserve">Con sustento en lo dispuesto por los artículos 116 de la Constitución Política de los Estados Unidos Mexicanos; 51 fracción II, 57, 61 fracción I y demás relativos aplicables de la Constitución Política del Estado Libre y Soberano de México; 28 fracción I y 30 de la Ley Orgánica del Poder Legislativo del Estado Libre y Soberano de México, los </w:t>
      </w:r>
      <w:r w:rsidRPr="00CB38AA">
        <w:rPr>
          <w:rFonts w:ascii="Times New Roman" w:eastAsia="Tahoma" w:hAnsi="Times New Roman" w:cs="Times New Roman"/>
          <w:b/>
          <w:sz w:val="24"/>
          <w:szCs w:val="24"/>
          <w:lang w:val="es-ES"/>
        </w:rPr>
        <w:t>Diputados Anuar Roberto Azar Figueroa y Pablo Fernández de Cevallos González</w:t>
      </w:r>
      <w:r w:rsidRPr="00CB38AA">
        <w:rPr>
          <w:rFonts w:ascii="Times New Roman" w:eastAsia="Tahoma" w:hAnsi="Times New Roman" w:cs="Times New Roman"/>
          <w:sz w:val="24"/>
          <w:szCs w:val="24"/>
          <w:lang w:val="es-ES"/>
        </w:rPr>
        <w:t>, como Diputados integrantes del Grupo Parlamentario del Partido Acción Nacional, y a nombre del mismo, presentan la siguiente Iniciativa con Proyecto de Decreto por el que se reforma el artículo 6.67 del Código para la Biodiversidad del Estado de México, al tenor de la siguiente:</w:t>
      </w:r>
    </w:p>
    <w:p w:rsidR="00147A0E" w:rsidRPr="00CB38AA" w:rsidRDefault="00147A0E" w:rsidP="00147A0E">
      <w:pPr>
        <w:widowControl w:val="0"/>
        <w:autoSpaceDE w:val="0"/>
        <w:autoSpaceDN w:val="0"/>
        <w:spacing w:after="0" w:line="240" w:lineRule="auto"/>
        <w:jc w:val="center"/>
        <w:rPr>
          <w:rFonts w:ascii="Times New Roman" w:eastAsia="Tahoma" w:hAnsi="Times New Roman" w:cs="Times New Roman"/>
          <w:b/>
          <w:sz w:val="24"/>
          <w:szCs w:val="24"/>
          <w:lang w:val="es-ES"/>
        </w:rPr>
      </w:pPr>
      <w:r w:rsidRPr="00CB38AA">
        <w:rPr>
          <w:rFonts w:ascii="Times New Roman" w:eastAsia="Tahoma" w:hAnsi="Times New Roman" w:cs="Times New Roman"/>
          <w:b/>
          <w:sz w:val="24"/>
          <w:szCs w:val="24"/>
          <w:lang w:val="es-ES"/>
        </w:rPr>
        <w:t>EXPOSICIÓN DE MOTIVOS</w: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b/>
          <w:sz w:val="24"/>
          <w:szCs w:val="24"/>
          <w:lang w:val="es-ES"/>
        </w:rPr>
      </w:pP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r w:rsidRPr="00CB38AA">
        <w:rPr>
          <w:rFonts w:ascii="Times New Roman" w:eastAsia="Tahoma" w:hAnsi="Times New Roman" w:cs="Times New Roman"/>
          <w:sz w:val="24"/>
          <w:szCs w:val="24"/>
          <w:lang w:val="es-ES"/>
        </w:rPr>
        <w:t>En los últimos años hemos sido testigos de una creciente e importante preocupación por el bienestar animal, reconociendo que son seres capaces de sentir, lo anterior debido a una mayor sensibilización ante su sufrimiento.</w: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r w:rsidRPr="00CB38AA">
        <w:rPr>
          <w:rFonts w:ascii="Times New Roman" w:eastAsia="Tahoma" w:hAnsi="Times New Roman" w:cs="Times New Roman"/>
          <w:sz w:val="24"/>
          <w:szCs w:val="24"/>
          <w:lang w:val="es-ES"/>
        </w:rPr>
        <w:t>Existen diversas definiciones de lo que es el bienestar animal, para el Diccionario panhispánico del español jurídico de la Real Academia Española1 se puede entender de dos maneras, la primera como las “Condiciones mínimas que han de reunir el entorno y las instalaciones en que se crían animales, tales como las dimensiones de los recintos de alojo, la iluminación, el grado de humedad ambiente, etc., con la finalidad de ahorrar a los animales todo dolor, sufrimiento o daño inútiles en su explotación, transporte, experimentación y sacrificio” y, la segunda, como el “Estado o situación de los animales que les permite disfrutar de la calidad de vida adecuada a su condición y circunstancia, sin la imposición de sufrimiento o daños injustificados e innecesarios”.</w: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r w:rsidRPr="00CB38AA">
        <w:rPr>
          <w:rFonts w:ascii="Times New Roman" w:eastAsia="Tahoma" w:hAnsi="Times New Roman" w:cs="Times New Roman"/>
          <w:sz w:val="24"/>
          <w:szCs w:val="24"/>
          <w:lang w:val="es-ES"/>
        </w:rPr>
        <w:t>1 DPEJ. (s/f). Bienestar animal. RAE. Consultado en: https://dpej.rae.es/lema/bienestar-animal</w: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r w:rsidRPr="00CB38AA">
        <w:rPr>
          <w:rFonts w:ascii="Times New Roman" w:eastAsia="Tahoma" w:hAnsi="Times New Roman" w:cs="Times New Roman"/>
          <w:sz w:val="24"/>
          <w:szCs w:val="24"/>
          <w:lang w:val="es-ES"/>
        </w:rPr>
        <w:t>También distintas organizaciones han contribuido a definir lo que es el bienestar de los animales, en este sentido, el Instituto de Formación de Osteopatía Animal (IFOA)2 establece que el bienestar animal es “el estado mental y físico positivo vinculado a la satisfacción de las necesidades y expectativas de comportamiento. Este estado varía en función de la percepción de la situación por parte del animal”. Por su parte, el Animal Welfare Education Centre (AWEC)3 ha establecido que “el concepto de bienestar animal incluye tres elementos: el funcionamiento adecuado del organismo (lo que entre otras cosas supone que los animales estén sanos y bien alimentados), el estado emocional del animal (incluyendo la ausencia de emociones negativas tales como el dolor y el miedo crónico) y la posibilidad de expresar algunas conductas normales propias de la especie”.</w: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r w:rsidRPr="00CB38AA">
        <w:rPr>
          <w:rFonts w:ascii="Times New Roman" w:eastAsia="Tahoma" w:hAnsi="Times New Roman" w:cs="Times New Roman"/>
          <w:sz w:val="24"/>
          <w:szCs w:val="24"/>
          <w:lang w:val="es-ES"/>
        </w:rPr>
        <w:t xml:space="preserve">En este sentido, el Gobierno de México, a través de la Secretaría de Agricultura y Desarrollo Rural, ha señalado que, “de acuerdo a la Organización Mundial de la Sanidad Animal (OMSA), el </w:t>
      </w:r>
      <w:r w:rsidRPr="00CB38AA">
        <w:rPr>
          <w:rFonts w:ascii="Times New Roman" w:eastAsia="Tahoma" w:hAnsi="Times New Roman" w:cs="Times New Roman"/>
          <w:sz w:val="24"/>
          <w:szCs w:val="24"/>
          <w:lang w:val="es-ES"/>
        </w:rPr>
        <w:lastRenderedPageBreak/>
        <w:t>bienestar animal es el estado físico y mental de un animal en relación con las condiciones en las vive y muere”4.</w: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r w:rsidRPr="00CB38AA">
        <w:rPr>
          <w:rFonts w:ascii="Times New Roman" w:eastAsia="Tahoma" w:hAnsi="Times New Roman" w:cs="Times New Roman"/>
          <w:sz w:val="24"/>
          <w:szCs w:val="24"/>
          <w:lang w:val="es-ES"/>
        </w:rPr>
        <w:t>Derivado de las definiciones antes mencionadas, es comprensible que, a nivel internacional, se considere que todo animal posee derechos, los cuales han sido plasmados en Proclamación de la Declaración Universal de los Derechos del Animal5, la cual establece, en su artículo 2° que “Todo animal tiene derecho al respeto” y que el ser humano “no tiene derecho de exterminar o explotar a otros animales violando este derecho”. Además dispone, su artículo 6, que “todo animal escogido por el hombre como compañero tiene derecho a que la duración de su vida esté de acuerdo con su longevidad natural”.</w: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r w:rsidRPr="00CB38AA">
        <w:rPr>
          <w:rFonts w:ascii="Times New Roman" w:eastAsia="Tahoma" w:hAnsi="Times New Roman" w:cs="Times New Roman"/>
          <w:sz w:val="24"/>
          <w:szCs w:val="24"/>
          <w:lang w:val="es-ES"/>
        </w:rPr>
        <w:t>2 IFOA. (2 de mayo de 2023). ¿Qué es el bienestar animal? Consultado en: https://ifoa.fr/es/que-es-el-bienestar- animal/#</w: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r w:rsidRPr="00CB38AA">
        <w:rPr>
          <w:rFonts w:ascii="Times New Roman" w:eastAsia="Tahoma" w:hAnsi="Times New Roman" w:cs="Times New Roman"/>
          <w:sz w:val="24"/>
          <w:szCs w:val="24"/>
          <w:lang w:val="es-ES"/>
        </w:rPr>
        <w:t>3 AWEC. (Junio de 2012). ¿Qué es el bienestar animal? ejemplos en animales de producción. Consultado en: https://awecadvisors.org/wp-content/uploads/2023/08/fs1-es.pdf</w: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r w:rsidRPr="00CB38AA">
        <w:rPr>
          <w:rFonts w:ascii="Times New Roman" w:eastAsia="Tahoma" w:hAnsi="Times New Roman" w:cs="Times New Roman"/>
          <w:sz w:val="24"/>
          <w:szCs w:val="24"/>
          <w:lang w:val="es-ES"/>
        </w:rPr>
        <w:t>4 SADER. (17 de agosto de 2023). ¿Qué es el bienestar animal y cómo se implementa en la apicultura? Consultado en:</w:t>
      </w:r>
      <w:r w:rsidRPr="00CB38AA">
        <w:rPr>
          <w:rFonts w:ascii="Times New Roman" w:eastAsia="Tahoma" w:hAnsi="Times New Roman" w:cs="Times New Roman"/>
          <w:sz w:val="24"/>
          <w:szCs w:val="24"/>
          <w:lang w:val="es-ES"/>
        </w:rPr>
        <w:tab/>
        <w:t>https://</w:t>
      </w:r>
      <w:hyperlink r:id="rId45">
        <w:r w:rsidRPr="00CB38AA">
          <w:rPr>
            <w:rFonts w:ascii="Times New Roman" w:eastAsia="Tahoma" w:hAnsi="Times New Roman" w:cs="Times New Roman"/>
            <w:sz w:val="24"/>
            <w:szCs w:val="24"/>
            <w:lang w:val="es-ES"/>
          </w:rPr>
          <w:t>www.gob.mx/agricultura/articulos/que-es-el-bienestar-animal-y-como-se-implementa-en-la-</w:t>
        </w:r>
      </w:hyperlink>
      <w:r w:rsidRPr="00CB38AA">
        <w:rPr>
          <w:rFonts w:ascii="Times New Roman" w:eastAsia="Tahoma" w:hAnsi="Times New Roman" w:cs="Times New Roman"/>
          <w:sz w:val="24"/>
          <w:szCs w:val="24"/>
          <w:lang w:val="es-ES"/>
        </w:rPr>
        <w:t xml:space="preserve"> apicultura?idiom=es</w: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r w:rsidRPr="00CB38AA">
        <w:rPr>
          <w:rFonts w:ascii="Times New Roman" w:eastAsia="Tahoma" w:hAnsi="Times New Roman" w:cs="Times New Roman"/>
          <w:sz w:val="24"/>
          <w:szCs w:val="24"/>
          <w:lang w:val="es-ES"/>
        </w:rPr>
        <w:t>5 CONANP. (15 de octubre de 2019). Proclamación de la Declaración Universal de los Derechos de los Animales. Consultado en: https://</w:t>
      </w:r>
      <w:hyperlink r:id="rId46">
        <w:r w:rsidRPr="00CB38AA">
          <w:rPr>
            <w:rFonts w:ascii="Times New Roman" w:eastAsia="Tahoma" w:hAnsi="Times New Roman" w:cs="Times New Roman"/>
            <w:sz w:val="24"/>
            <w:szCs w:val="24"/>
            <w:lang w:val="es-ES"/>
          </w:rPr>
          <w:t>www.gob.mx/conanp/articulos/proclamacion-de-la-declaracion-universal-de-</w:t>
        </w:r>
      </w:hyperlink>
      <w:r w:rsidRPr="00CB38AA">
        <w:rPr>
          <w:rFonts w:ascii="Times New Roman" w:eastAsia="Tahoma" w:hAnsi="Times New Roman" w:cs="Times New Roman"/>
          <w:sz w:val="24"/>
          <w:szCs w:val="24"/>
          <w:lang w:val="es-ES"/>
        </w:rPr>
        <w:t xml:space="preserve"> los-derechos-de-los-animales-223028</w: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r w:rsidRPr="00CB38AA">
        <w:rPr>
          <w:rFonts w:ascii="Times New Roman" w:eastAsia="Tahoma" w:hAnsi="Times New Roman" w:cs="Times New Roman"/>
          <w:sz w:val="24"/>
          <w:szCs w:val="24"/>
          <w:lang w:val="es-ES"/>
        </w:rPr>
        <w:t>Congruente con lo dispuesto en la Declaración antes citada, en nuestro país el párrafo séptimo del artículo 4° de la Constitución Política de los Estados Unidos Mexicanos establece que “Queda prohibido el maltrato a los animales. El Estado mexicano debe garantizar la protección, el trato adecuado, la conservación y el cuidado de los animales, en los términos que señalen las leyes respectivas”. Además, nuestro marco jurídico nacional cuenta con dos ordenamientos de carácter general en materia de protección y bienestar animal; la Ley General del Equilibrio Ecológico y la Protección al Ambiente, publicada en el Diario Oficial de la Federación (DOF) el 28 de enero de 1988, y la Ley General de Vida Silvestre, publicada en el DOF el 3 de julio de 2000.</w: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r w:rsidRPr="00CB38AA">
        <w:rPr>
          <w:rFonts w:ascii="Times New Roman" w:eastAsia="Tahoma" w:hAnsi="Times New Roman" w:cs="Times New Roman"/>
          <w:sz w:val="24"/>
          <w:szCs w:val="24"/>
          <w:lang w:val="es-ES"/>
        </w:rPr>
        <w:t>La primera establece que se debe dar un trato digno y respetuoso a la fauna silvestre, concretamente, durante los procesos de comercialización, en tanto que la segunda la concurrencia de los tres órdenes de gobierno respecto al trato digno y respetuoso hacia los animales, sin embargo, ésta última fue reformada el 24 de enero de 2024, con el fin de que las entidades federativas en coordinación con los Municipios o, en su caso, las Alcaldías de la Ciudad de México, “promoverán el establecimiento de Clínicas Veterinarias Públicas con el objeto de suministrar a los animales atención médica preventiva y, en caso de enfermedad, brindar tratamiento médico expedito avalado por un médico veterinario”.</w: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r w:rsidRPr="00CB38AA">
        <w:rPr>
          <w:rFonts w:ascii="Times New Roman" w:eastAsia="Tahoma" w:hAnsi="Times New Roman" w:cs="Times New Roman"/>
          <w:sz w:val="24"/>
          <w:szCs w:val="24"/>
          <w:lang w:val="es-ES"/>
        </w:rPr>
        <w:t>De los dispuesto por las Leyes Generales antes citadas, se puede observar la obligación, tanto de la Federación como de las entidades federativas, de promover el bienestar animal en todos los ámbitos posibles, incluida su comercialización, así como el brindarles atención médica especializada.</w: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r w:rsidRPr="00CB38AA">
        <w:rPr>
          <w:rFonts w:ascii="Times New Roman" w:eastAsia="Tahoma" w:hAnsi="Times New Roman" w:cs="Times New Roman"/>
          <w:sz w:val="24"/>
          <w:szCs w:val="24"/>
          <w:lang w:val="es-ES"/>
        </w:rPr>
        <w:t xml:space="preserve">Lo anterior cobra una mayor relevancia ya que, en los últimos años, hemos sido testigos de la proliferación de comercios en donde se ponen a la venta diferentes especies de animales, tanto de compañía como especies menos comunes, sin embargo, muchos de estos no cuentan con la asistencia o supervisión médicos veterinarios para proporcionar, a cada ejemplar, los cuidados </w:t>
      </w:r>
      <w:r w:rsidRPr="00CB38AA">
        <w:rPr>
          <w:rFonts w:ascii="Times New Roman" w:eastAsia="Tahoma" w:hAnsi="Times New Roman" w:cs="Times New Roman"/>
          <w:sz w:val="24"/>
          <w:szCs w:val="24"/>
          <w:lang w:val="es-ES"/>
        </w:rPr>
        <w:lastRenderedPageBreak/>
        <w:t>necesarios propios para su especie, lo que representa un mayor estrés a los animales y, por ende, una especie de maltrato hacia ellos.</w: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r w:rsidRPr="00CB38AA">
        <w:rPr>
          <w:rFonts w:ascii="Times New Roman" w:eastAsia="Tahoma" w:hAnsi="Times New Roman" w:cs="Times New Roman"/>
          <w:sz w:val="24"/>
          <w:szCs w:val="24"/>
          <w:lang w:val="es-ES"/>
        </w:rPr>
        <w:t>Lo anterior cobra una mayor importancia ya que, de acuerdo con el Directorio Estadístico Nacional de Unidades Económicas (DENUE), en su última actualización hecha por el Instituto Nacional de Estadística y Geografía (INEGI), con base en los datos de los Censos Económicos 2024, en nuestra entidad había 258 unidades económicas dedicadas a la agricultura, la cría y explotación de animales, el aprovechamiento forestal, la pesca y la caza6.</w: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r w:rsidRPr="00CB38AA">
        <w:rPr>
          <w:rFonts w:ascii="Times New Roman" w:eastAsia="Tahoma" w:hAnsi="Times New Roman" w:cs="Times New Roman"/>
          <w:noProof/>
          <w:sz w:val="24"/>
          <w:szCs w:val="24"/>
          <w:lang w:val="es-ES"/>
        </w:rPr>
        <mc:AlternateContent>
          <mc:Choice Requires="wps">
            <w:drawing>
              <wp:anchor distT="0" distB="0" distL="0" distR="0" simplePos="0" relativeHeight="251676672" behindDoc="1" locked="0" layoutInCell="1" allowOverlap="1" wp14:anchorId="3ED95489" wp14:editId="328CEAEE">
                <wp:simplePos x="0" y="0"/>
                <wp:positionH relativeFrom="page">
                  <wp:posOffset>1078991</wp:posOffset>
                </wp:positionH>
                <wp:positionV relativeFrom="paragraph">
                  <wp:posOffset>210417</wp:posOffset>
                </wp:positionV>
                <wp:extent cx="1828800"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9525"/>
                        </a:xfrm>
                        <a:custGeom>
                          <a:avLst/>
                          <a:gdLst/>
                          <a:ahLst/>
                          <a:cxnLst/>
                          <a:rect l="l" t="t" r="r" b="b"/>
                          <a:pathLst>
                            <a:path w="1828800" h="9525">
                              <a:moveTo>
                                <a:pt x="1828800" y="0"/>
                              </a:moveTo>
                              <a:lnTo>
                                <a:pt x="0" y="0"/>
                              </a:lnTo>
                              <a:lnTo>
                                <a:pt x="0" y="9144"/>
                              </a:lnTo>
                              <a:lnTo>
                                <a:pt x="1828800" y="9144"/>
                              </a:lnTo>
                              <a:lnTo>
                                <a:pt x="18288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0AF62E5" id="Graphic 6" o:spid="_x0000_s1026" style="position:absolute;margin-left:84.95pt;margin-top:16.55pt;width:2in;height:.75pt;z-index:-251639808;visibility:visible;mso-wrap-style:square;mso-wrap-distance-left:0;mso-wrap-distance-top:0;mso-wrap-distance-right:0;mso-wrap-distance-bottom:0;mso-position-horizontal:absolute;mso-position-horizontal-relative:page;mso-position-vertical:absolute;mso-position-vertical-relative:text;v-text-anchor:top" coordsize="182880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" path="m1828800,l,,,9144r1828800,l1828800,xe" fillcolor="black" stroked="f">
                <v:path arrowok="t"/>
                <w10:wrap type="topAndBottom" anchorx="page"/>
              </v:shape>
            </w:pict>
          </mc:Fallback>
        </mc:AlternateConten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r w:rsidRPr="00CB38AA">
        <w:rPr>
          <w:rFonts w:ascii="Times New Roman" w:eastAsia="Tahoma" w:hAnsi="Times New Roman" w:cs="Times New Roman"/>
          <w:sz w:val="24"/>
          <w:szCs w:val="24"/>
          <w:lang w:val="es-ES"/>
        </w:rPr>
        <w:t>6  INEGI. (s/f). Directorio Estadístico Nacional de Unidades Económicas (DENUE). Consultado en: https://</w:t>
      </w:r>
      <w:hyperlink r:id="rId47">
        <w:r w:rsidRPr="00CB38AA">
          <w:rPr>
            <w:rFonts w:ascii="Times New Roman" w:eastAsia="Tahoma" w:hAnsi="Times New Roman" w:cs="Times New Roman"/>
            <w:sz w:val="24"/>
            <w:szCs w:val="24"/>
            <w:lang w:val="es-ES"/>
          </w:rPr>
          <w:t>www.inegi.org.mx/app/mapa/denue/default.aspx</w:t>
        </w:r>
      </w:hyperlink>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r w:rsidRPr="00CB38AA">
        <w:rPr>
          <w:rFonts w:ascii="Times New Roman" w:eastAsia="Tahoma" w:hAnsi="Times New Roman" w:cs="Times New Roman"/>
          <w:sz w:val="24"/>
          <w:szCs w:val="24"/>
          <w:lang w:val="es-ES"/>
        </w:rPr>
        <w:t>Es de recordar que nuestra Constitución Local ya contempla la obligación de dar un trato digno hacia los animales, tal como señala su artículo 18, al disponer que “Esta Constitución reconoce a los animales como seres sintientes y, por lo tanto, deben recibir trato digno.” Además, a nivel legislación secundaria, el Libro Sexto del Código para la Biodiversidad del Estado de México contempla la protección y el bienestar animal, incluso llegando a contemplar el comercio de animales, sin embargo, este no contempla la necesidad o la obligación de que los establecimientos en donde son puestos a la venta los animales cuenten con supervisión de un médico veterinario.</w: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r w:rsidRPr="00CB38AA">
        <w:rPr>
          <w:rFonts w:ascii="Times New Roman" w:eastAsia="Tahoma" w:hAnsi="Times New Roman" w:cs="Times New Roman"/>
          <w:sz w:val="24"/>
          <w:szCs w:val="24"/>
          <w:lang w:val="es-ES"/>
        </w:rPr>
        <w:t>Es por lo que la presente iniciativa pretende reducir el maltrato que puedan recibir los animales y mejorar su condición de vida el tiempo que se encuentren a la venta, al establecer la obligatoriedad de que los establecimientos dedicados a la comercialización de distintas especies, cuenten con la supervisión de médicos veterinarios, capacitados y certificados, que garanticen los cuidados necesarios para cada especie comercializada.</w: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r w:rsidRPr="00CB38AA">
        <w:rPr>
          <w:rFonts w:ascii="Times New Roman" w:eastAsia="Tahoma" w:hAnsi="Times New Roman" w:cs="Times New Roman"/>
          <w:sz w:val="24"/>
          <w:szCs w:val="24"/>
          <w:lang w:val="es-ES"/>
        </w:rPr>
        <w:t>En mérito de las consideraciones planteadas, sometemos a la estimación de la Asamblea la presente iniciativa para que, de estimarla conducente, se apruebe en sus términos, anexando el proyecto de decreto correspondiente.</w: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p>
    <w:p w:rsidR="00147A0E" w:rsidRPr="00CB38AA" w:rsidRDefault="00147A0E" w:rsidP="00147A0E">
      <w:pPr>
        <w:widowControl w:val="0"/>
        <w:autoSpaceDE w:val="0"/>
        <w:autoSpaceDN w:val="0"/>
        <w:spacing w:after="0" w:line="240" w:lineRule="auto"/>
        <w:jc w:val="center"/>
        <w:rPr>
          <w:rFonts w:ascii="Times New Roman" w:eastAsia="Tahoma" w:hAnsi="Times New Roman" w:cs="Times New Roman"/>
          <w:b/>
          <w:sz w:val="24"/>
          <w:szCs w:val="24"/>
          <w:lang w:val="es-ES"/>
        </w:rPr>
      </w:pPr>
      <w:r w:rsidRPr="00CB38AA">
        <w:rPr>
          <w:rFonts w:ascii="Times New Roman" w:eastAsia="Tahoma" w:hAnsi="Times New Roman" w:cs="Times New Roman"/>
          <w:b/>
          <w:sz w:val="24"/>
          <w:szCs w:val="24"/>
          <w:lang w:val="es-ES"/>
        </w:rPr>
        <w:t>“Por una Patria Ordenada y Generosa”</w:t>
      </w:r>
    </w:p>
    <w:tbl>
      <w:tblPr>
        <w:tblStyle w:val="Tablaconcuadrcula2"/>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1"/>
        <w:gridCol w:w="4704"/>
      </w:tblGrid>
      <w:tr w:rsidR="00147A0E" w:rsidRPr="00CB38AA" w:rsidTr="00830F02">
        <w:trPr>
          <w:jc w:val="center"/>
        </w:trPr>
        <w:tc>
          <w:tcPr>
            <w:tcW w:w="4701" w:type="dxa"/>
          </w:tcPr>
          <w:p w:rsidR="00147A0E" w:rsidRPr="00CB38AA" w:rsidRDefault="00147A0E" w:rsidP="00147A0E">
            <w:pPr>
              <w:spacing w:line="240" w:lineRule="auto"/>
              <w:jc w:val="center"/>
              <w:rPr>
                <w:rFonts w:ascii="Times New Roman" w:eastAsia="Tahoma" w:hAnsi="Times New Roman" w:cs="Times New Roman"/>
                <w:b/>
                <w:sz w:val="24"/>
                <w:szCs w:val="24"/>
                <w:lang w:val="es-ES"/>
              </w:rPr>
            </w:pPr>
            <w:r w:rsidRPr="00CB38AA">
              <w:rPr>
                <w:rFonts w:ascii="Times New Roman" w:eastAsia="Tahoma" w:hAnsi="Times New Roman" w:cs="Times New Roman"/>
                <w:b/>
                <w:sz w:val="24"/>
                <w:szCs w:val="24"/>
                <w:lang w:val="es-ES"/>
              </w:rPr>
              <w:t>DIP. ANUAR ROBERTO AZAR FIGUEROA</w:t>
            </w:r>
          </w:p>
        </w:tc>
        <w:tc>
          <w:tcPr>
            <w:tcW w:w="4704" w:type="dxa"/>
          </w:tcPr>
          <w:p w:rsidR="00147A0E" w:rsidRPr="00CB38AA" w:rsidRDefault="00147A0E" w:rsidP="00147A0E">
            <w:pPr>
              <w:spacing w:line="240" w:lineRule="auto"/>
              <w:jc w:val="center"/>
              <w:rPr>
                <w:rFonts w:ascii="Times New Roman" w:eastAsia="Tahoma" w:hAnsi="Times New Roman" w:cs="Times New Roman"/>
                <w:b/>
                <w:sz w:val="24"/>
                <w:szCs w:val="24"/>
                <w:lang w:val="es-ES"/>
              </w:rPr>
            </w:pPr>
            <w:r w:rsidRPr="00CB38AA">
              <w:rPr>
                <w:rFonts w:ascii="Times New Roman" w:eastAsia="Tahoma" w:hAnsi="Times New Roman" w:cs="Times New Roman"/>
                <w:b/>
                <w:sz w:val="24"/>
                <w:szCs w:val="24"/>
                <w:lang w:val="es-ES"/>
              </w:rPr>
              <w:t>DIP. PABLO FERNÁNDEZ DE CEVALLOS GONZÁLEZ</w:t>
            </w:r>
          </w:p>
        </w:tc>
      </w:tr>
    </w:tbl>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r w:rsidRPr="00CB38AA">
        <w:rPr>
          <w:rFonts w:ascii="Times New Roman" w:eastAsia="Tahoma" w:hAnsi="Times New Roman" w:cs="Times New Roman"/>
          <w:b/>
          <w:sz w:val="24"/>
          <w:szCs w:val="24"/>
          <w:lang w:val="es-ES"/>
        </w:rPr>
        <w:t>DECRETO No</w:t>
      </w:r>
      <w:r w:rsidRPr="00CB38AA">
        <w:rPr>
          <w:rFonts w:ascii="Times New Roman" w:eastAsia="Tahoma" w:hAnsi="Times New Roman" w:cs="Times New Roman"/>
          <w:sz w:val="24"/>
          <w:szCs w:val="24"/>
          <w:u w:val="thick"/>
          <w:lang w:val="es-ES"/>
        </w:rPr>
        <w:tab/>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b/>
          <w:sz w:val="24"/>
          <w:szCs w:val="24"/>
          <w:lang w:val="es-ES"/>
        </w:rPr>
      </w:pPr>
      <w:r w:rsidRPr="00CB38AA">
        <w:rPr>
          <w:rFonts w:ascii="Times New Roman" w:eastAsia="Tahoma" w:hAnsi="Times New Roman" w:cs="Times New Roman"/>
          <w:b/>
          <w:sz w:val="24"/>
          <w:szCs w:val="24"/>
          <w:lang w:val="es-ES"/>
        </w:rPr>
        <w:t>LA LXII LEGISLATURA DEL ESTADO DE MÉXICO</w: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b/>
          <w:sz w:val="24"/>
          <w:szCs w:val="24"/>
          <w:lang w:val="es-ES"/>
        </w:rPr>
      </w:pPr>
      <w:r w:rsidRPr="00CB38AA">
        <w:rPr>
          <w:rFonts w:ascii="Times New Roman" w:eastAsia="Tahoma" w:hAnsi="Times New Roman" w:cs="Times New Roman"/>
          <w:b/>
          <w:sz w:val="24"/>
          <w:szCs w:val="24"/>
          <w:lang w:val="es-ES"/>
        </w:rPr>
        <w:t>DECRETA:</w: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b/>
          <w:sz w:val="24"/>
          <w:szCs w:val="24"/>
          <w:lang w:val="es-ES"/>
        </w:rPr>
      </w:pP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r w:rsidRPr="00CB38AA">
        <w:rPr>
          <w:rFonts w:ascii="Times New Roman" w:eastAsia="Tahoma" w:hAnsi="Times New Roman" w:cs="Times New Roman"/>
          <w:b/>
          <w:sz w:val="24"/>
          <w:szCs w:val="24"/>
          <w:lang w:val="es-ES"/>
        </w:rPr>
        <w:t xml:space="preserve">ÚNICO. </w:t>
      </w:r>
      <w:r w:rsidRPr="00CB38AA">
        <w:rPr>
          <w:rFonts w:ascii="Times New Roman" w:eastAsia="Tahoma" w:hAnsi="Times New Roman" w:cs="Times New Roman"/>
          <w:sz w:val="24"/>
          <w:szCs w:val="24"/>
          <w:lang w:val="es-ES"/>
        </w:rPr>
        <w:t>Se reforma el artículo 6.67 del Código para la Biodiversidad del Estado de México, para quedar como sigue:</w: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b/>
          <w:sz w:val="24"/>
          <w:szCs w:val="24"/>
          <w:lang w:val="es-ES"/>
        </w:rPr>
      </w:pPr>
      <w:r w:rsidRPr="00CB38AA">
        <w:rPr>
          <w:rFonts w:ascii="Times New Roman" w:eastAsia="Tahoma" w:hAnsi="Times New Roman" w:cs="Times New Roman"/>
          <w:b/>
          <w:sz w:val="24"/>
          <w:szCs w:val="24"/>
          <w:lang w:val="es-ES"/>
        </w:rPr>
        <w:t xml:space="preserve">Artículo 6.67. </w:t>
      </w:r>
      <w:r w:rsidRPr="00CB38AA">
        <w:rPr>
          <w:rFonts w:ascii="Times New Roman" w:eastAsia="Tahoma" w:hAnsi="Times New Roman" w:cs="Times New Roman"/>
          <w:sz w:val="24"/>
          <w:szCs w:val="24"/>
          <w:lang w:val="es-ES"/>
        </w:rPr>
        <w:t xml:space="preserve">El comercio de animales vivos en las zonas urbanas del Estado quedará sujeto a los reglamentos y autorizaciones sanitarias previas correspondientes y se realizará, </w:t>
      </w:r>
      <w:r w:rsidRPr="00CB38AA">
        <w:rPr>
          <w:rFonts w:ascii="Times New Roman" w:eastAsia="Tahoma" w:hAnsi="Times New Roman" w:cs="Times New Roman"/>
          <w:b/>
          <w:sz w:val="24"/>
          <w:szCs w:val="24"/>
          <w:lang w:val="es-ES"/>
        </w:rPr>
        <w:t xml:space="preserve">con la asesoría y supervisión de un médico veterinario, </w:t>
      </w:r>
      <w:r w:rsidRPr="00CB38AA">
        <w:rPr>
          <w:rFonts w:ascii="Times New Roman" w:eastAsia="Tahoma" w:hAnsi="Times New Roman" w:cs="Times New Roman"/>
          <w:sz w:val="24"/>
          <w:szCs w:val="24"/>
          <w:lang w:val="es-ES"/>
        </w:rPr>
        <w:t xml:space="preserve">en instalaciones adecuadas </w:t>
      </w:r>
      <w:r w:rsidRPr="00CB38AA">
        <w:rPr>
          <w:rFonts w:ascii="Times New Roman" w:eastAsia="Tahoma" w:hAnsi="Times New Roman" w:cs="Times New Roman"/>
          <w:b/>
          <w:sz w:val="24"/>
          <w:szCs w:val="24"/>
          <w:lang w:val="es-ES"/>
        </w:rPr>
        <w:t>para cada especie comercializada</w:t>
      </w:r>
      <w:r w:rsidRPr="00CB38AA">
        <w:rPr>
          <w:rFonts w:ascii="Times New Roman" w:eastAsia="Tahoma" w:hAnsi="Times New Roman" w:cs="Times New Roman"/>
          <w:sz w:val="24"/>
          <w:szCs w:val="24"/>
          <w:lang w:val="es-ES"/>
        </w:rPr>
        <w:t xml:space="preserve">, ventiladas y con suficiente iluminación respetando las normas de higiene y de seguridad pública. </w:t>
      </w:r>
      <w:r w:rsidRPr="00CB38AA">
        <w:rPr>
          <w:rFonts w:ascii="Times New Roman" w:eastAsia="Tahoma" w:hAnsi="Times New Roman" w:cs="Times New Roman"/>
          <w:b/>
          <w:sz w:val="24"/>
          <w:szCs w:val="24"/>
          <w:lang w:val="es-ES"/>
        </w:rPr>
        <w:t xml:space="preserve">Los comercios podrán suscribir convenios con la Secretaría del Medio Ambiente y Desarrollo Sostenible del Estado de México y con la Procuraduría de Protección </w:t>
      </w:r>
      <w:r w:rsidRPr="00CB38AA">
        <w:rPr>
          <w:rFonts w:ascii="Times New Roman" w:eastAsia="Tahoma" w:hAnsi="Times New Roman" w:cs="Times New Roman"/>
          <w:b/>
          <w:sz w:val="24"/>
          <w:szCs w:val="24"/>
          <w:lang w:val="es-ES"/>
        </w:rPr>
        <w:lastRenderedPageBreak/>
        <w:t>al Ambiente del Estado de México a fin de contar con la asesoría y supervisión del médico veterinario al que se hace referencia en el presente artículo, en caso de no poder contar con uno propio.</w: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b/>
          <w:sz w:val="24"/>
          <w:szCs w:val="24"/>
          <w:lang w:val="es-ES"/>
        </w:rPr>
      </w:pPr>
    </w:p>
    <w:p w:rsidR="00147A0E" w:rsidRPr="00CB38AA" w:rsidRDefault="00147A0E" w:rsidP="00147A0E">
      <w:pPr>
        <w:widowControl w:val="0"/>
        <w:autoSpaceDE w:val="0"/>
        <w:autoSpaceDN w:val="0"/>
        <w:spacing w:after="0" w:line="240" w:lineRule="auto"/>
        <w:jc w:val="center"/>
        <w:rPr>
          <w:rFonts w:ascii="Times New Roman" w:eastAsia="Tahoma" w:hAnsi="Times New Roman" w:cs="Times New Roman"/>
          <w:b/>
          <w:sz w:val="24"/>
          <w:szCs w:val="24"/>
          <w:lang w:val="es-ES"/>
        </w:rPr>
      </w:pPr>
      <w:r w:rsidRPr="00CB38AA">
        <w:rPr>
          <w:rFonts w:ascii="Times New Roman" w:eastAsia="Tahoma" w:hAnsi="Times New Roman" w:cs="Times New Roman"/>
          <w:b/>
          <w:sz w:val="24"/>
          <w:szCs w:val="24"/>
          <w:lang w:val="es-ES"/>
        </w:rPr>
        <w:t>TRANSITORIOS</w: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b/>
          <w:sz w:val="24"/>
          <w:szCs w:val="24"/>
          <w:lang w:val="es-ES"/>
        </w:rPr>
      </w:pP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r w:rsidRPr="00CB38AA">
        <w:rPr>
          <w:rFonts w:ascii="Times New Roman" w:eastAsia="Tahoma" w:hAnsi="Times New Roman" w:cs="Times New Roman"/>
          <w:b/>
          <w:sz w:val="24"/>
          <w:szCs w:val="24"/>
          <w:lang w:val="es-ES"/>
        </w:rPr>
        <w:t xml:space="preserve">PRIMERO. </w:t>
      </w:r>
      <w:r w:rsidRPr="00CB38AA">
        <w:rPr>
          <w:rFonts w:ascii="Times New Roman" w:eastAsia="Tahoma" w:hAnsi="Times New Roman" w:cs="Times New Roman"/>
          <w:sz w:val="24"/>
          <w:szCs w:val="24"/>
          <w:lang w:val="es-ES"/>
        </w:rPr>
        <w:t>Publíquese el presente decreto en el Periódico Oficial “Gaceta del Gobierno”.</w: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r w:rsidRPr="00CB38AA">
        <w:rPr>
          <w:rFonts w:ascii="Times New Roman" w:eastAsia="Tahoma" w:hAnsi="Times New Roman" w:cs="Times New Roman"/>
          <w:b/>
          <w:sz w:val="24"/>
          <w:szCs w:val="24"/>
          <w:lang w:val="es-ES"/>
        </w:rPr>
        <w:t xml:space="preserve">SEGUNDO. </w:t>
      </w:r>
      <w:r w:rsidRPr="00CB38AA">
        <w:rPr>
          <w:rFonts w:ascii="Times New Roman" w:eastAsia="Tahoma" w:hAnsi="Times New Roman" w:cs="Times New Roman"/>
          <w:sz w:val="24"/>
          <w:szCs w:val="24"/>
          <w:lang w:val="es-ES"/>
        </w:rPr>
        <w:t>El presente decreto entrará en vigor al día siguiente de su publicación en el Periódico Oficial “Gaceta del Gobierno”.</w: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r w:rsidRPr="00CB38AA">
        <w:rPr>
          <w:rFonts w:ascii="Times New Roman" w:eastAsia="Tahoma" w:hAnsi="Times New Roman" w:cs="Times New Roman"/>
          <w:b/>
          <w:sz w:val="24"/>
          <w:szCs w:val="24"/>
          <w:lang w:val="es-ES"/>
        </w:rPr>
        <w:t xml:space="preserve">TERCERO. </w:t>
      </w:r>
      <w:r w:rsidRPr="00CB38AA">
        <w:rPr>
          <w:rFonts w:ascii="Times New Roman" w:eastAsia="Tahoma" w:hAnsi="Times New Roman" w:cs="Times New Roman"/>
          <w:sz w:val="24"/>
          <w:szCs w:val="24"/>
          <w:lang w:val="es-ES"/>
        </w:rPr>
        <w:t>Se derogan las disposiciones de igual o menor jerarquía que se opongan al presente decreto, perdiendo vigor al momento de esta publicación.</w: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r w:rsidRPr="00CB38AA">
        <w:rPr>
          <w:rFonts w:ascii="Times New Roman" w:eastAsia="Tahoma" w:hAnsi="Times New Roman" w:cs="Times New Roman"/>
          <w:b/>
          <w:sz w:val="24"/>
          <w:szCs w:val="24"/>
          <w:lang w:val="es-ES"/>
        </w:rPr>
        <w:t xml:space="preserve">CUARTO. </w:t>
      </w:r>
      <w:r w:rsidRPr="00CB38AA">
        <w:rPr>
          <w:rFonts w:ascii="Times New Roman" w:eastAsia="Tahoma" w:hAnsi="Times New Roman" w:cs="Times New Roman"/>
          <w:sz w:val="24"/>
          <w:szCs w:val="24"/>
          <w:lang w:val="es-ES"/>
        </w:rPr>
        <w:t>Los establecimientos que se dediquen al comercio de animales vivos en las zonas urbanas del Estado deberán contar con un médico veterinario en un plazo de sesenta días naturales contados a partir de la entrada en vigor del presente Decreto.</w: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sz w:val="24"/>
          <w:szCs w:val="24"/>
          <w:lang w:val="es-ES"/>
        </w:rPr>
      </w:pP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b/>
          <w:sz w:val="24"/>
          <w:szCs w:val="24"/>
          <w:lang w:val="es-ES"/>
        </w:rPr>
      </w:pPr>
      <w:r w:rsidRPr="00CB38AA">
        <w:rPr>
          <w:rFonts w:ascii="Times New Roman" w:eastAsia="Tahoma" w:hAnsi="Times New Roman" w:cs="Times New Roman"/>
          <w:b/>
          <w:sz w:val="24"/>
          <w:szCs w:val="24"/>
          <w:lang w:val="es-ES"/>
        </w:rPr>
        <w:t>Lo tendrá entendido la Gobernadora del Estado, haciendo que se publique y se cumpla.</w:t>
      </w: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b/>
          <w:sz w:val="24"/>
          <w:szCs w:val="24"/>
          <w:lang w:val="es-ES"/>
        </w:rPr>
      </w:pPr>
    </w:p>
    <w:p w:rsidR="00147A0E" w:rsidRPr="00CB38AA" w:rsidRDefault="00147A0E" w:rsidP="00147A0E">
      <w:pPr>
        <w:widowControl w:val="0"/>
        <w:autoSpaceDE w:val="0"/>
        <w:autoSpaceDN w:val="0"/>
        <w:spacing w:after="0" w:line="240" w:lineRule="auto"/>
        <w:jc w:val="both"/>
        <w:rPr>
          <w:rFonts w:ascii="Times New Roman" w:eastAsia="Tahoma" w:hAnsi="Times New Roman" w:cs="Times New Roman"/>
          <w:b/>
          <w:sz w:val="24"/>
          <w:szCs w:val="24"/>
          <w:lang w:val="es-ES"/>
        </w:rPr>
      </w:pPr>
      <w:r w:rsidRPr="00CB38AA">
        <w:rPr>
          <w:rFonts w:ascii="Times New Roman" w:eastAsia="Tahoma" w:hAnsi="Times New Roman" w:cs="Times New Roman"/>
          <w:b/>
          <w:sz w:val="24"/>
          <w:szCs w:val="24"/>
          <w:lang w:val="es-ES"/>
        </w:rPr>
        <w:t xml:space="preserve">“DADO EN EL PALACIO DEL PODER LEGISLATIVO, EN LA CIUDAD DE TOLUCA DE LERDO, CAPITAL DEL ESTADO DE MÉXICO, A LOS </w:t>
      </w:r>
      <w:r w:rsidRPr="00CB38AA">
        <w:rPr>
          <w:rFonts w:ascii="Times New Roman" w:eastAsia="Tahoma" w:hAnsi="Times New Roman" w:cs="Times New Roman"/>
          <w:sz w:val="24"/>
          <w:szCs w:val="24"/>
          <w:u w:val="thick"/>
          <w:lang w:val="es-ES"/>
        </w:rPr>
        <w:tab/>
      </w:r>
      <w:r w:rsidRPr="00CB38AA">
        <w:rPr>
          <w:rFonts w:ascii="Times New Roman" w:eastAsia="Tahoma" w:hAnsi="Times New Roman" w:cs="Times New Roman"/>
          <w:sz w:val="24"/>
          <w:szCs w:val="24"/>
          <w:u w:val="thick"/>
          <w:lang w:val="es-ES"/>
        </w:rPr>
        <w:tab/>
      </w:r>
      <w:r w:rsidRPr="00CB38AA">
        <w:rPr>
          <w:rFonts w:ascii="Times New Roman" w:eastAsia="Tahoma" w:hAnsi="Times New Roman" w:cs="Times New Roman"/>
          <w:sz w:val="24"/>
          <w:szCs w:val="24"/>
          <w:u w:val="thick"/>
          <w:lang w:val="es-ES"/>
        </w:rPr>
        <w:tab/>
      </w:r>
      <w:r w:rsidRPr="00CB38AA">
        <w:rPr>
          <w:rFonts w:ascii="Times New Roman" w:eastAsia="Tahoma" w:hAnsi="Times New Roman" w:cs="Times New Roman"/>
          <w:sz w:val="24"/>
          <w:szCs w:val="24"/>
          <w:lang w:val="es-ES"/>
        </w:rPr>
        <w:t xml:space="preserve"> </w:t>
      </w:r>
      <w:r w:rsidRPr="00CB38AA">
        <w:rPr>
          <w:rFonts w:ascii="Times New Roman" w:eastAsia="Tahoma" w:hAnsi="Times New Roman" w:cs="Times New Roman"/>
          <w:b/>
          <w:sz w:val="24"/>
          <w:szCs w:val="24"/>
          <w:lang w:val="es-ES"/>
        </w:rPr>
        <w:t xml:space="preserve">DÍAS DEL MES DE </w:t>
      </w:r>
      <w:r w:rsidRPr="00CB38AA">
        <w:rPr>
          <w:rFonts w:ascii="Times New Roman" w:eastAsia="Tahoma" w:hAnsi="Times New Roman" w:cs="Times New Roman"/>
          <w:sz w:val="24"/>
          <w:szCs w:val="24"/>
          <w:u w:val="thick"/>
          <w:lang w:val="es-ES"/>
        </w:rPr>
        <w:tab/>
      </w:r>
      <w:r w:rsidRPr="00CB38AA">
        <w:rPr>
          <w:rFonts w:ascii="Times New Roman" w:eastAsia="Tahoma" w:hAnsi="Times New Roman" w:cs="Times New Roman"/>
          <w:sz w:val="24"/>
          <w:szCs w:val="24"/>
          <w:u w:val="thick"/>
          <w:lang w:val="es-ES"/>
        </w:rPr>
        <w:tab/>
      </w:r>
      <w:r w:rsidRPr="00CB38AA">
        <w:rPr>
          <w:rFonts w:ascii="Times New Roman" w:eastAsia="Tahoma" w:hAnsi="Times New Roman" w:cs="Times New Roman"/>
          <w:sz w:val="24"/>
          <w:szCs w:val="24"/>
          <w:lang w:val="es-ES"/>
        </w:rPr>
        <w:t xml:space="preserve"> </w:t>
      </w:r>
      <w:r w:rsidRPr="00CB38AA">
        <w:rPr>
          <w:rFonts w:ascii="Times New Roman" w:eastAsia="Tahoma" w:hAnsi="Times New Roman" w:cs="Times New Roman"/>
          <w:b/>
          <w:sz w:val="24"/>
          <w:szCs w:val="24"/>
          <w:lang w:val="es-ES"/>
        </w:rPr>
        <w:t>DE DOS MIL VEINTISEIS.”</w:t>
      </w:r>
    </w:p>
    <w:p w:rsidR="00791406" w:rsidRPr="00CB38AA" w:rsidRDefault="00791406" w:rsidP="00544832">
      <w:pPr>
        <w:spacing w:after="0" w:line="240" w:lineRule="auto"/>
        <w:jc w:val="center"/>
        <w:rPr>
          <w:rFonts w:ascii="Times New Roman" w:hAnsi="Times New Roman" w:cs="Times New Roman"/>
          <w:sz w:val="24"/>
          <w:szCs w:val="24"/>
        </w:rPr>
      </w:pPr>
    </w:p>
    <w:p w:rsidR="00791406" w:rsidRPr="00CB38AA" w:rsidRDefault="00791406" w:rsidP="00544832">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(Fin del documento)</w:t>
      </w:r>
    </w:p>
    <w:p w:rsidR="00791406" w:rsidRPr="00CB38AA" w:rsidRDefault="00791406" w:rsidP="00544832">
      <w:pPr>
        <w:spacing w:after="0" w:line="240" w:lineRule="auto"/>
        <w:jc w:val="center"/>
        <w:rPr>
          <w:rFonts w:ascii="Times New Roman" w:hAnsi="Times New Roman" w:cs="Times New Roman"/>
          <w:sz w:val="24"/>
          <w:szCs w:val="24"/>
        </w:rPr>
      </w:pPr>
    </w:p>
    <w:p w:rsidR="00A35DFE" w:rsidRPr="00CB38AA" w:rsidRDefault="00A35DFE" w:rsidP="00DF6EEA">
      <w:pPr>
        <w:pStyle w:val="Sinespaciado"/>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 xml:space="preserve">PRESIDENTA DIP. MARTHA AZUCENA CAMACHO REYNOSO. Gracias diputado Anuar Roberto Azar Figueroa. </w:t>
      </w:r>
    </w:p>
    <w:p w:rsidR="00A35DFE" w:rsidRPr="00CB38AA" w:rsidRDefault="00A35DFE" w:rsidP="00DF6EEA">
      <w:pPr>
        <w:pStyle w:val="Sinespaciado"/>
        <w:ind w:firstLine="708"/>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 xml:space="preserve">Se registra la iniciativa y se remite a la Comisión Legislativa de Protección Ambiental y Cambio Climático para su estudio y dictamen. </w:t>
      </w:r>
    </w:p>
    <w:p w:rsidR="00A35DFE" w:rsidRPr="00CB38AA" w:rsidRDefault="00A35DFE" w:rsidP="00DF6EEA">
      <w:pPr>
        <w:pStyle w:val="Sinespaciado"/>
        <w:ind w:firstLine="708"/>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 xml:space="preserve">En cuanto al punto número 20, la diputada Ruth Salinas Reyes leerá la iniciativa con proyecto de decreto que reforma el primer párrafo y reforma el numeral 4 del inciso a), del artículo 2.199 del Código para la Biodiversidad del Estado de México en materia de reglas claras, El Hoy no Circula y al No al Corralón, presentada por las y los integrantes del Grupo Parlamentario del Partido Movimiento Ciudadano. </w:t>
      </w:r>
    </w:p>
    <w:p w:rsidR="00A35DFE" w:rsidRPr="00CB38AA" w:rsidRDefault="00A35DFE" w:rsidP="00DF6EEA">
      <w:pPr>
        <w:pStyle w:val="Sinespaciado"/>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 xml:space="preserve">DIP. RUTH SALINAS REYES. Muchas gracias Presidenta. </w:t>
      </w:r>
    </w:p>
    <w:p w:rsidR="00A35DFE" w:rsidRPr="00CB38AA" w:rsidRDefault="00A35DFE" w:rsidP="00DF6EEA">
      <w:pPr>
        <w:pStyle w:val="Sinespaciado"/>
        <w:ind w:firstLine="708"/>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Con su permiso, con el de las diputadas, diputados, diputade y a quienes hoy nos siguen a través de los canales oficiales del Congreso.</w:t>
      </w:r>
    </w:p>
    <w:p w:rsidR="00A35DFE" w:rsidRPr="00CB38AA" w:rsidRDefault="00A35DFE" w:rsidP="00DF6EEA">
      <w:pPr>
        <w:pStyle w:val="Sinespaciado"/>
        <w:ind w:firstLine="708"/>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 xml:space="preserve">Que quede claro, Movimiento Ciudadano no está en contra de lo que serían los beneficios del Hoy No Circula en el Estado de México, particularmente en el Valle de Toluca, pensando que los beneficios son la disminución del tránsito vehicular, que, con ello, habrá una reducción de gases contaminantes para proteger la salud, promover el uso de medios de transporte sustentables, impulsar </w:t>
      </w:r>
      <w:r w:rsidRPr="00CB38AA">
        <w:rPr>
          <w:rFonts w:ascii="Times New Roman" w:hAnsi="Times New Roman" w:cs="Times New Roman"/>
          <w:sz w:val="24"/>
          <w:szCs w:val="24"/>
        </w:rPr>
        <w:t>el uso del transporte público, si es que estos fueran los beneficios.</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Lamentablemente, desde el primero de enero, hablamos más de un mes que fue implementado el Hoy No Circula en el Estado de México, sólo hemos recibido denuncias ciudadanas y no sólo las hemos recibido, las hemos constatado, este hecho del Hoy No Circula, ha dado pie lamentablemente y lastimosamente a actos profundos de corrupción, del famoso moche.</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Hemos visto operativos en diferentes puntos de nuestra Capital del Estado Toluca, operativos con más de 40 elementos de seguridad. Imagínense, 40 elementos de seguridad que lo </w:t>
      </w:r>
      <w:r w:rsidRPr="00CB38AA">
        <w:rPr>
          <w:rFonts w:ascii="Times New Roman" w:hAnsi="Times New Roman" w:cs="Times New Roman"/>
          <w:sz w:val="24"/>
          <w:szCs w:val="24"/>
        </w:rPr>
        <w:lastRenderedPageBreak/>
        <w:t>único que están haciendo, es cómo casar un auto o una motocicleta, invitamos a todos esos policías a que vayan tras los que extorsionan, los que desaparecen, los que roban y dejemos de meter terrorismo y psicosis en la ciudadanía y es que tan sólo recordemos que hace unos meses, ya se había aumentado a 14 pesos el transporte público, lo que parece un asalto directo al patrimonio del ciudadano y ahora la amenaza de enviar al corralón a todo vehículo que no cumpla con el Hoy No Circula, se han disparado casos de corrupción y asaltos directos al bolsillo del mexiquense.</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Basta con salir a las calles sin cumplir con la verificación vehicular, para ser detenido o extorsionado por cualquier patrulla sin facultades de tránsito y es que cómo no va a ser así, si las sanciones están fuera de toda proporción, porque para muchos es mejor dar la famosa mordida, que pagar una multa que va de 500 a mil 500 en una sanción administrativa por decir lo menos.</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El nuevo Reglamento de Tránsito en el Estado de México, no corrigió los errores del pasado, sigue facultado para que policías de tránsito, retiren en circulación a vehículos mediante un arrastre de grúas concesionadas y ojo, hay que decirlo, grúas que hemos podido notar, que no traen placas, que no tienen cromática, que no sabemos a quién le pertenecen, que tienen más de 40 años circulando y que estamos seguras y seguros que no va a cumplir con el programa Hoy No Circula, que no es transparente cómo es que se dio esta concesión y cómo es que se enriquece solamente a quienes son dueños de grúas y de corralones.</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Recuperar un auto, es prácticamente imposible si no se tiene el recurso, para muchos no tienen el recurso de verificar. Imagínense ustedes que la suma para recuperar un auto entre la grúa, el arrastre, supera los 6 mil pesos, si a eso se le suma que por día va a aumentar esa multa, habrá quién prefiera dejar su vehículo o su motocicleta, es un verdadero asalto.</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Desde esta tribuna lo decimos claro, la acumulación de estas sanciones y pagos obligados es desproporcional, es lesiva y es profundamente autoritaria, vulnerar el libre tránsito y el derecho a la propiedad privada sin un procedimiento administrativo o jurisdiccional en el que deben de intervenir y se deben lamentablemente, sólo beneficiar a empresarios, es un acto de extorción institucional, en complicidad con particulares y eso, compañeras y compañeros, no es política ambiental, es un atropello, porque a más de un mes podemos notar que ni han disminuido los vehículos, podemos notar que los camiones que son chimeneas andantes, esos sí siguen circulando, que cuando se aumentó el pasaje a 14 pesos se dijo que no iba a haber más accidentes, que iba a haber calidad, buen servicio y apenas la semana pasada, nos enteramos de que atropellan y matan a una señora, que siguen los camiones con sus carreritas; así que hoy, desde esta tribuna; también le decimos al nuevo Titular de la Secretaría de Movilidad, es urgente y necesario llamar a cuentas a estas empresas de transporte público.</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Hoy sin duda, recordamos que la Suprema Corte de Justicia de la Nación ha sido tajante; las multas excesivas están prohibidas, la proporcionalidad debe ser el eje de toda sanción y ésta debe determinarse con un procedimiento sancionador y no con un tabulador o decreto que, además, sin transparencia desconocemos plenamente este tabulador.</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Y recordar que en la Constitución Federal, en su artículo 21 es limitativa, las sanciones por infringir reglamentos gubernativos, sólo pueden ser multas, arresto hasta por 36 horas o trabajo comunitario; por lo tanto, es totalmente ilegal y fraudulento el estar reteniendo vehículos; es como aquí, está Bancada Naranja, hoy proponemos reformar el artículo 2.199 del Código para la Biodiversidad del Estado de México para prohibir explícitamente el envío al corralón como sanción del Hoy No Circula.</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¡Adelante que se multe! Pero no podemos retirarle el vehículo, que en muchos casos es la forma de llevar el pan de cada día a la casa y en estricto apego a la Constitución, dejar claro que la multa por infracciones no exceda el importe de un jornal diario para obreros, jornaleros y trabajadores, la justicia social empieza por no empobrecer a quien menos tiene.</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Y también desde esta bancada naranja decimos: ¡Basta de hacerle fraude a la Constitución! ¡Basta de buscar que la economía popular sea el abuso de unos cuantos, de quien tiene grúas, de </w:t>
      </w:r>
      <w:r w:rsidRPr="00CB38AA">
        <w:rPr>
          <w:rFonts w:ascii="Times New Roman" w:hAnsi="Times New Roman" w:cs="Times New Roman"/>
          <w:sz w:val="24"/>
          <w:szCs w:val="24"/>
        </w:rPr>
        <w:lastRenderedPageBreak/>
        <w:t>quien tiene corralones o de quien simplemente puede hacer una detención! y lo único sacar de ahí es corrupción y moches ¡Basta de meter las manos al bolsillo del ciudadano!</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Es cuanto Presidenta, muchas gracias.</w:t>
      </w:r>
    </w:p>
    <w:p w:rsidR="00544832" w:rsidRPr="00CB38AA" w:rsidRDefault="00544832" w:rsidP="00544832">
      <w:pPr>
        <w:pStyle w:val="Sinespaciado"/>
        <w:jc w:val="both"/>
        <w:rPr>
          <w:rFonts w:ascii="Times New Roman" w:hAnsi="Times New Roman" w:cs="Times New Roman"/>
          <w:sz w:val="24"/>
          <w:szCs w:val="24"/>
        </w:rPr>
      </w:pPr>
    </w:p>
    <w:p w:rsidR="00544832" w:rsidRPr="00CB38AA" w:rsidRDefault="00544832" w:rsidP="00544832">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(Se inserta documento)</w:t>
      </w:r>
    </w:p>
    <w:p w:rsidR="00544832" w:rsidRPr="00CB38AA" w:rsidRDefault="00544832" w:rsidP="00544832">
      <w:pPr>
        <w:spacing w:after="0" w:line="240" w:lineRule="auto"/>
        <w:jc w:val="center"/>
        <w:rPr>
          <w:rFonts w:ascii="Times New Roman" w:hAnsi="Times New Roman" w:cs="Times New Roman"/>
          <w:sz w:val="24"/>
          <w:szCs w:val="24"/>
        </w:rPr>
      </w:pPr>
    </w:p>
    <w:p w:rsidR="00CC568E" w:rsidRPr="00CB38AA" w:rsidRDefault="00CC568E" w:rsidP="00CC568E">
      <w:pPr>
        <w:widowControl w:val="0"/>
        <w:autoSpaceDE w:val="0"/>
        <w:autoSpaceDN w:val="0"/>
        <w:spacing w:after="0" w:line="240" w:lineRule="auto"/>
        <w:jc w:val="right"/>
        <w:rPr>
          <w:rFonts w:ascii="Times New Roman" w:eastAsia="Trebuchet MS" w:hAnsi="Times New Roman" w:cs="Times New Roman"/>
          <w:sz w:val="24"/>
          <w:szCs w:val="24"/>
          <w:lang w:val="es-ES"/>
        </w:rPr>
      </w:pPr>
      <w:r w:rsidRPr="00CB38AA">
        <w:rPr>
          <w:rFonts w:ascii="Times New Roman" w:eastAsia="Trebuchet MS" w:hAnsi="Times New Roman" w:cs="Times New Roman"/>
          <w:sz w:val="24"/>
          <w:szCs w:val="24"/>
          <w:lang w:val="es-ES"/>
        </w:rPr>
        <w:t>Bancada Naranja</w:t>
      </w:r>
    </w:p>
    <w:p w:rsidR="00CC568E" w:rsidRPr="00CB38AA" w:rsidRDefault="00CC568E" w:rsidP="00CC568E">
      <w:pPr>
        <w:widowControl w:val="0"/>
        <w:autoSpaceDE w:val="0"/>
        <w:autoSpaceDN w:val="0"/>
        <w:spacing w:after="0" w:line="240" w:lineRule="auto"/>
        <w:jc w:val="right"/>
        <w:rPr>
          <w:rFonts w:ascii="Times New Roman" w:eastAsia="Trebuchet MS" w:hAnsi="Times New Roman" w:cs="Times New Roman"/>
          <w:sz w:val="24"/>
          <w:szCs w:val="24"/>
          <w:lang w:val="es-ES"/>
        </w:rPr>
      </w:pPr>
    </w:p>
    <w:p w:rsidR="00CC568E" w:rsidRPr="00CB38AA" w:rsidRDefault="00CC568E" w:rsidP="00CC568E">
      <w:pPr>
        <w:widowControl w:val="0"/>
        <w:autoSpaceDE w:val="0"/>
        <w:autoSpaceDN w:val="0"/>
        <w:spacing w:after="0" w:line="240" w:lineRule="auto"/>
        <w:jc w:val="right"/>
        <w:rPr>
          <w:rFonts w:ascii="Times New Roman" w:eastAsia="Trebuchet MS" w:hAnsi="Times New Roman" w:cs="Times New Roman"/>
          <w:sz w:val="24"/>
          <w:szCs w:val="24"/>
          <w:lang w:val="es-ES"/>
        </w:rPr>
      </w:pPr>
      <w:r w:rsidRPr="00CB38AA">
        <w:rPr>
          <w:rFonts w:ascii="Times New Roman" w:eastAsia="Trebuchet MS" w:hAnsi="Times New Roman" w:cs="Times New Roman"/>
          <w:sz w:val="24"/>
          <w:szCs w:val="24"/>
          <w:lang w:val="es-ES"/>
        </w:rPr>
        <w:t>Toluca de Lerdo, Estado de México, 11 de enero, 2026.</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b/>
          <w:sz w:val="24"/>
          <w:szCs w:val="24"/>
          <w:lang w:val="es-ES"/>
        </w:rPr>
      </w:pPr>
      <w:r w:rsidRPr="00CB38AA">
        <w:rPr>
          <w:rFonts w:ascii="Times New Roman" w:eastAsia="Trebuchet MS" w:hAnsi="Times New Roman" w:cs="Times New Roman"/>
          <w:b/>
          <w:sz w:val="24"/>
          <w:szCs w:val="24"/>
          <w:lang w:val="es-ES"/>
        </w:rPr>
        <w:t>DIPUTADA</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b/>
          <w:sz w:val="24"/>
          <w:szCs w:val="24"/>
          <w:lang w:val="es-ES"/>
        </w:rPr>
      </w:pPr>
      <w:r w:rsidRPr="00CB38AA">
        <w:rPr>
          <w:rFonts w:ascii="Times New Roman" w:eastAsia="Trebuchet MS" w:hAnsi="Times New Roman" w:cs="Times New Roman"/>
          <w:b/>
          <w:sz w:val="24"/>
          <w:szCs w:val="24"/>
          <w:lang w:val="es-ES"/>
        </w:rPr>
        <w:t>MARTHA AZUCENA CAMACHO REYNOSO</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b/>
          <w:sz w:val="24"/>
          <w:szCs w:val="24"/>
          <w:lang w:val="es-ES"/>
        </w:rPr>
      </w:pPr>
      <w:r w:rsidRPr="00CB38AA">
        <w:rPr>
          <w:rFonts w:ascii="Times New Roman" w:eastAsia="Trebuchet MS" w:hAnsi="Times New Roman" w:cs="Times New Roman"/>
          <w:b/>
          <w:sz w:val="24"/>
          <w:szCs w:val="24"/>
          <w:lang w:val="es-ES"/>
        </w:rPr>
        <w:t>PRESIDENTA DE LA LXII LEGISLATURA</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b/>
          <w:sz w:val="24"/>
          <w:szCs w:val="24"/>
          <w:lang w:val="es-ES"/>
        </w:rPr>
      </w:pPr>
      <w:r w:rsidRPr="00CB38AA">
        <w:rPr>
          <w:rFonts w:ascii="Times New Roman" w:eastAsia="Trebuchet MS" w:hAnsi="Times New Roman" w:cs="Times New Roman"/>
          <w:b/>
          <w:sz w:val="24"/>
          <w:szCs w:val="24"/>
          <w:lang w:val="es-ES"/>
        </w:rPr>
        <w:t>DEL ESTADO DE MÉXICO</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b/>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b/>
          <w:sz w:val="24"/>
          <w:szCs w:val="24"/>
          <w:lang w:val="es-ES"/>
        </w:rPr>
      </w:pPr>
      <w:r w:rsidRPr="00CB38AA">
        <w:rPr>
          <w:rFonts w:ascii="Times New Roman" w:eastAsia="Trebuchet MS" w:hAnsi="Times New Roman" w:cs="Times New Roman"/>
          <w:b/>
          <w:sz w:val="24"/>
          <w:szCs w:val="24"/>
          <w:lang w:val="es-ES"/>
        </w:rPr>
        <w:t>P R E S E N T E</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b/>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r w:rsidRPr="00CB38AA">
        <w:rPr>
          <w:rFonts w:ascii="Times New Roman" w:eastAsia="Trebuchet MS" w:hAnsi="Times New Roman" w:cs="Times New Roman"/>
          <w:sz w:val="24"/>
          <w:szCs w:val="24"/>
          <w:lang w:val="es-ES"/>
        </w:rPr>
        <w:t xml:space="preserve">Con fundamento en lo dispuesto en los artículos 51 fracción II, 57 y 61 fracción I de la Constitución Política del Estado Libre y Soberano de México; 28, fracción I, 30, 38 fracción II, 79 y 81 de la Ley Orgánica del Poder Legislativo del Estado Libre y Soberano de México y por su digno conducto, las Diputadas y los Diputados, Ruth Salinas Reyes, Maricela Beltrán Sánchez, Juan Manuel Zepeda Hernández y Martín Zepeda Hernández integrantes del Grupo Parlamentario de Movimiento Ciudadano, sometemos a la consideración de esta Honorable Legislatura, </w:t>
      </w:r>
      <w:r w:rsidRPr="00CB38AA">
        <w:rPr>
          <w:rFonts w:ascii="Times New Roman" w:eastAsia="Trebuchet MS" w:hAnsi="Times New Roman" w:cs="Times New Roman"/>
          <w:b/>
          <w:sz w:val="24"/>
          <w:szCs w:val="24"/>
          <w:lang w:val="es-ES"/>
        </w:rPr>
        <w:t xml:space="preserve">Iniciativa con Proyecto de Decreto que Reforma el primer párrafo, así como el inciso a) en su numeral 4 al que se adiciona un segundo párrafo del Artículo 2.199 del Código para la Biodiversidad del Estado de México en materia de restricción de la circulación de vehículos automotores ante contingencia ambiental, </w:t>
      </w:r>
      <w:r w:rsidRPr="00CB38AA">
        <w:rPr>
          <w:rFonts w:ascii="Times New Roman" w:eastAsia="Trebuchet MS" w:hAnsi="Times New Roman" w:cs="Times New Roman"/>
          <w:sz w:val="24"/>
          <w:szCs w:val="24"/>
          <w:lang w:val="es-ES"/>
        </w:rPr>
        <w:t>de conformidad con la siguiente:</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p>
    <w:p w:rsidR="00CC568E" w:rsidRPr="00CB38AA" w:rsidRDefault="00CC568E" w:rsidP="00CC568E">
      <w:pPr>
        <w:widowControl w:val="0"/>
        <w:autoSpaceDE w:val="0"/>
        <w:autoSpaceDN w:val="0"/>
        <w:spacing w:after="0" w:line="240" w:lineRule="auto"/>
        <w:jc w:val="center"/>
        <w:rPr>
          <w:rFonts w:ascii="Times New Roman" w:eastAsia="Trebuchet MS" w:hAnsi="Times New Roman" w:cs="Times New Roman"/>
          <w:b/>
          <w:sz w:val="24"/>
          <w:szCs w:val="24"/>
          <w:lang w:val="es-ES"/>
        </w:rPr>
      </w:pPr>
      <w:r w:rsidRPr="00CB38AA">
        <w:rPr>
          <w:rFonts w:ascii="Times New Roman" w:eastAsia="Trebuchet MS" w:hAnsi="Times New Roman" w:cs="Times New Roman"/>
          <w:b/>
          <w:sz w:val="24"/>
          <w:szCs w:val="24"/>
          <w:u w:val="single"/>
          <w:lang w:val="es-ES"/>
        </w:rPr>
        <w:t>EXPOSICIÓN DE MOTIVOS</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b/>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r w:rsidRPr="00CB38AA">
        <w:rPr>
          <w:rFonts w:ascii="Times New Roman" w:eastAsia="Trebuchet MS" w:hAnsi="Times New Roman" w:cs="Times New Roman"/>
          <w:sz w:val="24"/>
          <w:szCs w:val="24"/>
          <w:lang w:val="es-ES"/>
        </w:rPr>
        <w:t>En el Estado de México el derecho a la movilidad atraviesa una crisis. De acuerdo con datos del INEGI, el gasto promedio trimestral destinado a transporte y comunicaciones en 2024 era de $ 9,341 pesos, lo que representa un 18.8% del total del gasto corriente.</w:t>
      </w:r>
      <w:hyperlink w:anchor="_bookmark0" w:history="1">
        <w:r w:rsidRPr="00CB38AA">
          <w:rPr>
            <w:rFonts w:ascii="Times New Roman" w:eastAsia="Trebuchet MS" w:hAnsi="Times New Roman" w:cs="Times New Roman"/>
            <w:sz w:val="24"/>
            <w:szCs w:val="24"/>
            <w:lang w:val="es-ES"/>
          </w:rPr>
          <w:t>1</w:t>
        </w:r>
      </w:hyperlink>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r w:rsidRPr="00CB38AA">
        <w:rPr>
          <w:rFonts w:ascii="Times New Roman" w:eastAsia="Trebuchet MS" w:hAnsi="Times New Roman" w:cs="Times New Roman"/>
          <w:sz w:val="24"/>
          <w:szCs w:val="24"/>
          <w:lang w:val="es-ES"/>
        </w:rPr>
        <w:t>Sin embargo, ante un incremento del 17% de la tarifa de transporte público publicada el 15 de octubre de 2025, el encarecimiento en la movilidad se ha convertido en un problema para millones de mexiquenses.</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r w:rsidRPr="00CB38AA">
        <w:rPr>
          <w:rFonts w:ascii="Times New Roman" w:eastAsia="Trebuchet MS" w:hAnsi="Times New Roman" w:cs="Times New Roman"/>
          <w:sz w:val="24"/>
          <w:szCs w:val="24"/>
          <w:lang w:val="es-ES"/>
        </w:rPr>
        <w:t>Aunado a ello, el propietario de un vehículo particular también ha resentido afectaciones ante la implementación de nuevos programas justificados en la mitigación del deterioro ambiental como el Hoy no Circula</w:t>
      </w:r>
      <w:r w:rsidRPr="00CB38AA">
        <w:rPr>
          <w:rFonts w:ascii="Times New Roman" w:eastAsia="Trebuchet MS" w:hAnsi="Times New Roman" w:cs="Times New Roman"/>
          <w:b/>
          <w:sz w:val="24"/>
          <w:szCs w:val="24"/>
          <w:lang w:val="es-ES"/>
        </w:rPr>
        <w:t xml:space="preserve">, </w:t>
      </w:r>
      <w:r w:rsidRPr="00CB38AA">
        <w:rPr>
          <w:rFonts w:ascii="Times New Roman" w:eastAsia="Trebuchet MS" w:hAnsi="Times New Roman" w:cs="Times New Roman"/>
          <w:sz w:val="24"/>
          <w:szCs w:val="24"/>
          <w:lang w:val="es-ES"/>
        </w:rPr>
        <w:t>puesto en marcha el 1° de enero de 2026.</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r w:rsidRPr="00CB38AA">
        <w:rPr>
          <w:rFonts w:ascii="Times New Roman" w:eastAsia="Trebuchet MS" w:hAnsi="Times New Roman" w:cs="Times New Roman"/>
          <w:noProof/>
          <w:sz w:val="24"/>
          <w:szCs w:val="24"/>
          <w:lang w:val="es-ES"/>
        </w:rPr>
        <mc:AlternateContent>
          <mc:Choice Requires="wps">
            <w:drawing>
              <wp:anchor distT="0" distB="0" distL="0" distR="0" simplePos="0" relativeHeight="251679744" behindDoc="1" locked="0" layoutInCell="1" allowOverlap="1" wp14:anchorId="02B77B98" wp14:editId="540D256C">
                <wp:simplePos x="0" y="0"/>
                <wp:positionH relativeFrom="page">
                  <wp:posOffset>1080820</wp:posOffset>
                </wp:positionH>
                <wp:positionV relativeFrom="paragraph">
                  <wp:posOffset>242862</wp:posOffset>
                </wp:positionV>
                <wp:extent cx="1829435" cy="762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914DE7" id="Graphic 7" o:spid="_x0000_s1026" style="position:absolute;margin-left:85.1pt;margin-top:19.1pt;width:144.05pt;height:.6pt;z-index:-251636736;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" path="m1829054,l,,,7620r1829054,l1829054,xe" fillcolor="black" stroked="f">
                <v:path arrowok="t"/>
                <w10:wrap type="topAndBottom" anchorx="page"/>
              </v:shape>
            </w:pict>
          </mc:Fallback>
        </mc:AlternateConten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bookmarkStart w:id="12" w:name="_bookmark0"/>
      <w:bookmarkEnd w:id="12"/>
      <w:r w:rsidRPr="00CB38AA">
        <w:rPr>
          <w:rFonts w:ascii="Times New Roman" w:eastAsia="Trebuchet MS" w:hAnsi="Times New Roman" w:cs="Times New Roman"/>
          <w:sz w:val="24"/>
          <w:szCs w:val="24"/>
          <w:lang w:val="es-ES"/>
        </w:rPr>
        <w:t xml:space="preserve">1 Encuesta Nacional de Ingresos y Gastos de los Hogares (ENIGH) 2024 </w:t>
      </w:r>
      <w:hyperlink r:id="rId48" w:anchor="tabulados">
        <w:r w:rsidRPr="00CB38AA">
          <w:rPr>
            <w:rFonts w:ascii="Times New Roman" w:eastAsia="Trebuchet MS" w:hAnsi="Times New Roman" w:cs="Times New Roman"/>
            <w:sz w:val="24"/>
            <w:szCs w:val="24"/>
            <w:u w:val="single" w:color="467885"/>
            <w:lang w:val="es-ES"/>
          </w:rPr>
          <w:t>https://www.inegi.org.mx/programas/enigh/nc/2024/#tabulados</w:t>
        </w:r>
      </w:hyperlink>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r w:rsidRPr="00CB38AA">
        <w:rPr>
          <w:rFonts w:ascii="Times New Roman" w:eastAsia="Trebuchet MS" w:hAnsi="Times New Roman" w:cs="Times New Roman"/>
          <w:sz w:val="24"/>
          <w:szCs w:val="24"/>
          <w:lang w:val="es-ES"/>
        </w:rPr>
        <w:t xml:space="preserve">La implementación de programas Hoy No Circula genera beneficios inmediatos, como la reducción de emisiones contaminantes a la atmósfera, entre ellas ozono (O₃), monóxido de carbono (CO), óxidos de nitrógeno (NOx) e hidrocarburos, así como la disminución de material articulado PM10 </w:t>
      </w:r>
      <w:r w:rsidRPr="00CB38AA">
        <w:rPr>
          <w:rFonts w:ascii="Times New Roman" w:eastAsia="Trebuchet MS" w:hAnsi="Times New Roman" w:cs="Times New Roman"/>
          <w:sz w:val="24"/>
          <w:szCs w:val="24"/>
          <w:lang w:val="es-ES"/>
        </w:rPr>
        <w:lastRenderedPageBreak/>
        <w:t>y PM2.5, principales responsables de enfermedades respiratorias.</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r w:rsidRPr="00CB38AA">
        <w:rPr>
          <w:rFonts w:ascii="Times New Roman" w:eastAsia="Trebuchet MS" w:hAnsi="Times New Roman" w:cs="Times New Roman"/>
          <w:sz w:val="24"/>
          <w:szCs w:val="24"/>
          <w:lang w:val="es-ES"/>
        </w:rPr>
        <w:t>Asimismo, contribuye a la mejora de las condiciones de movilidad al reducir el número de vehículos en circulación y fomentar el uso del transporte público, el auto compartido y los medios de transporte no motorizados, lo que se traduce en una mejor calidad del aire, además de reducir el consumo de combustibles fósiles.</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r w:rsidRPr="00CB38AA">
        <w:rPr>
          <w:rFonts w:ascii="Times New Roman" w:eastAsia="Trebuchet MS" w:hAnsi="Times New Roman" w:cs="Times New Roman"/>
          <w:sz w:val="24"/>
          <w:szCs w:val="24"/>
          <w:lang w:val="es-ES"/>
        </w:rPr>
        <w:t>No obstante, la implementación del programa lejos de beneficiar a la ciudadanía está vulnerando derechos fundamentales, tal es el caso del derecho a la libertad de tránsito y el derecho de propiedad, consagrados en la Constitución General de la República, pues la sanción correspondiente al incumplimiento de la restricción de circulación vehicular con motivo del programa Hoy no Circula resulta desproporcional.</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r w:rsidRPr="00CB38AA">
        <w:rPr>
          <w:rFonts w:ascii="Times New Roman" w:eastAsia="Trebuchet MS" w:hAnsi="Times New Roman" w:cs="Times New Roman"/>
          <w:sz w:val="24"/>
          <w:szCs w:val="24"/>
          <w:lang w:val="es-ES"/>
        </w:rPr>
        <w:t xml:space="preserve">El Reglamento de Tránsito del Estado de México establece en su artículo 118 las causales de procedencia de la retención y remisión al depósito de vehículos, en las que se encuentra circular cuando por restricción de carácter ambiental no le corresponda. </w:t>
      </w:r>
      <w:hyperlink w:anchor="_bookmark1" w:history="1">
        <w:r w:rsidRPr="00CB38AA">
          <w:rPr>
            <w:rFonts w:ascii="Times New Roman" w:eastAsia="Trebuchet MS" w:hAnsi="Times New Roman" w:cs="Times New Roman"/>
            <w:sz w:val="24"/>
            <w:szCs w:val="24"/>
            <w:lang w:val="es-ES"/>
          </w:rPr>
          <w:t>2</w:t>
        </w:r>
      </w:hyperlink>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r w:rsidRPr="00CB38AA">
        <w:rPr>
          <w:rFonts w:ascii="Times New Roman" w:eastAsia="Trebuchet MS" w:hAnsi="Times New Roman" w:cs="Times New Roman"/>
          <w:sz w:val="24"/>
          <w:szCs w:val="24"/>
          <w:lang w:val="es-ES"/>
        </w:rPr>
        <w:t>Bajo este argumento, miles de mexiquenses se han visto afectados en su propiedad, al ser despojados de sus vehículos para trasladarlos a depósitos, en los que además de la multa por la infracción cometida, se tiene que pagar al concesionario por el servicio de arrastre y resguardo del vehículo, ascendiendo a más de $6,108 pesos por incidente.</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r w:rsidRPr="00CB38AA">
        <w:rPr>
          <w:rFonts w:ascii="Times New Roman" w:eastAsia="Trebuchet MS" w:hAnsi="Times New Roman" w:cs="Times New Roman"/>
          <w:sz w:val="24"/>
          <w:szCs w:val="24"/>
          <w:lang w:val="es-ES"/>
        </w:rPr>
        <w:t>La actuación de la autoridad administrativa ante estas circunstancias resulta contraria a derecho, pues el artículo 21 de la Constitución General de la Republica en sus párrafos tercero, cuarto y quinto establece limitaciones a la autoridad administrativa para el ejercicio de sus facultades sancionadoras.</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r w:rsidRPr="00CB38AA">
        <w:rPr>
          <w:rFonts w:ascii="Times New Roman" w:eastAsia="Trebuchet MS" w:hAnsi="Times New Roman" w:cs="Times New Roman"/>
          <w:noProof/>
          <w:sz w:val="24"/>
          <w:szCs w:val="24"/>
          <w:lang w:val="es-ES"/>
        </w:rPr>
        <mc:AlternateContent>
          <mc:Choice Requires="wps">
            <w:drawing>
              <wp:anchor distT="0" distB="0" distL="0" distR="0" simplePos="0" relativeHeight="251680768" behindDoc="1" locked="0" layoutInCell="1" allowOverlap="1" wp14:anchorId="17618AB6" wp14:editId="141336DF">
                <wp:simplePos x="0" y="0"/>
                <wp:positionH relativeFrom="page">
                  <wp:posOffset>1080820</wp:posOffset>
                </wp:positionH>
                <wp:positionV relativeFrom="paragraph">
                  <wp:posOffset>272052</wp:posOffset>
                </wp:positionV>
                <wp:extent cx="1829435" cy="762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F19D8FC" id="Graphic 8" o:spid="_x0000_s1026" style="position:absolute;margin-left:85.1pt;margin-top:21.4pt;width:144.05pt;height:.6pt;z-index:-25163571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" path="m1829054,l,,,7620r1829054,l1829054,xe" fillcolor="black" stroked="f">
                <v:path arrowok="t"/>
                <w10:wrap type="topAndBottom" anchorx="page"/>
              </v:shape>
            </w:pict>
          </mc:Fallback>
        </mc:AlternateConten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bookmarkStart w:id="13" w:name="_bookmark1"/>
      <w:bookmarkEnd w:id="13"/>
      <w:r w:rsidRPr="00CB38AA">
        <w:rPr>
          <w:rFonts w:ascii="Times New Roman" w:eastAsia="Trebuchet MS" w:hAnsi="Times New Roman" w:cs="Times New Roman"/>
          <w:sz w:val="24"/>
          <w:szCs w:val="24"/>
          <w:lang w:val="es-ES"/>
        </w:rPr>
        <w:t>2Reglamento de Tránsito del Estado de México</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r w:rsidRPr="00CB38AA">
        <w:rPr>
          <w:rFonts w:ascii="Times New Roman" w:eastAsia="Trebuchet MS" w:hAnsi="Times New Roman" w:cs="Times New Roman"/>
          <w:noProof/>
          <w:sz w:val="24"/>
          <w:szCs w:val="24"/>
          <w:lang w:val="es-ES"/>
        </w:rPr>
        <mc:AlternateContent>
          <mc:Choice Requires="wps">
            <w:drawing>
              <wp:anchor distT="0" distB="0" distL="0" distR="0" simplePos="0" relativeHeight="251678720" behindDoc="1" locked="0" layoutInCell="1" allowOverlap="1" wp14:anchorId="402CB8D1" wp14:editId="0EBAFF6C">
                <wp:simplePos x="0" y="0"/>
                <wp:positionH relativeFrom="page">
                  <wp:posOffset>1080820</wp:posOffset>
                </wp:positionH>
                <wp:positionV relativeFrom="paragraph">
                  <wp:posOffset>288984</wp:posOffset>
                </wp:positionV>
                <wp:extent cx="38100" cy="317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8100" cy="3175"/>
                        </a:xfrm>
                        <a:custGeom>
                          <a:avLst/>
                          <a:gdLst/>
                          <a:ahLst/>
                          <a:cxnLst/>
                          <a:rect l="l" t="t" r="r" b="b"/>
                          <a:pathLst>
                            <a:path w="38100" h="3175">
                              <a:moveTo>
                                <a:pt x="38100" y="0"/>
                              </a:moveTo>
                              <a:lnTo>
                                <a:pt x="0" y="0"/>
                              </a:lnTo>
                              <a:lnTo>
                                <a:pt x="0" y="3047"/>
                              </a:lnTo>
                              <a:lnTo>
                                <a:pt x="38100" y="3047"/>
                              </a:lnTo>
                              <a:lnTo>
                                <a:pt x="38100" y="0"/>
                              </a:lnTo>
                              <a:close/>
                            </a:path>
                          </a:pathLst>
                        </a:custGeom>
                        <a:solidFill>
                          <a:srgbClr val="467885"/>
                        </a:solidFill>
                      </wps:spPr>
                      <wps:bodyPr wrap="square" lIns="0" tIns="0" rIns="0" bIns="0" rtlCol="0">
                        <a:prstTxWarp prst="textNoShape">
                          <a:avLst/>
                        </a:prstTxWarp>
                        <a:noAutofit/>
                      </wps:bodyPr>
                    </wps:wsp>
                  </a:graphicData>
                </a:graphic>
              </wp:anchor>
            </w:drawing>
          </mc:Choice>
          <mc:Fallback>
            <w:pict>
              <v:shape w14:anchorId="215520CE" id="Graphic 9" o:spid="_x0000_s1026" style="position:absolute;margin-left:85.1pt;margin-top:22.75pt;width:3pt;height:.25pt;z-index:-251637760;visibility:visible;mso-wrap-style:square;mso-wrap-distance-left:0;mso-wrap-distance-top:0;mso-wrap-distance-right:0;mso-wrap-distance-bottom:0;mso-position-horizontal:absolute;mso-position-horizontal-relative:page;mso-position-vertical:absolute;mso-position-vertical-relative:text;v-text-anchor:top" coordsize="3810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" path="m38100,l,,,3047r38100,l38100,xe" fillcolor="#467885" stroked="f">
                <v:path arrowok="t"/>
                <w10:wrap anchorx="page"/>
              </v:shape>
            </w:pict>
          </mc:Fallback>
        </mc:AlternateContent>
      </w:r>
      <w:hyperlink r:id="rId49">
        <w:r w:rsidRPr="00CB38AA">
          <w:rPr>
            <w:rFonts w:ascii="Times New Roman" w:eastAsia="Trebuchet MS" w:hAnsi="Times New Roman" w:cs="Times New Roman"/>
            <w:sz w:val="24"/>
            <w:szCs w:val="24"/>
            <w:u w:val="single" w:color="467885"/>
            <w:lang w:val="es-ES"/>
          </w:rPr>
          <w:t>https://legislacion.edomex.gob.mx/sites/legislacion.edomex.gob.mx/files/files/pdf/rgl/vig/rglvig079.pd</w:t>
        </w:r>
      </w:hyperlink>
      <w:r w:rsidRPr="00CB38AA">
        <w:rPr>
          <w:rFonts w:ascii="Times New Roman" w:eastAsia="Trebuchet MS" w:hAnsi="Times New Roman" w:cs="Times New Roman"/>
          <w:sz w:val="24"/>
          <w:szCs w:val="24"/>
          <w:lang w:val="es-ES"/>
        </w:rPr>
        <w:t xml:space="preserve">   </w:t>
      </w:r>
      <w:hyperlink r:id="rId50">
        <w:r w:rsidRPr="00CB38AA">
          <w:rPr>
            <w:rFonts w:ascii="Times New Roman" w:eastAsia="Trebuchet MS" w:hAnsi="Times New Roman" w:cs="Times New Roman"/>
            <w:sz w:val="24"/>
            <w:szCs w:val="24"/>
            <w:lang w:val="es-ES"/>
          </w:rPr>
          <w:t>f</w:t>
        </w:r>
      </w:hyperlink>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r w:rsidRPr="00CB38AA">
        <w:rPr>
          <w:rFonts w:ascii="Times New Roman" w:eastAsia="Trebuchet MS" w:hAnsi="Times New Roman" w:cs="Times New Roman"/>
          <w:sz w:val="24"/>
          <w:szCs w:val="24"/>
          <w:lang w:val="es-ES"/>
        </w:rPr>
        <w:t>Artículo 21.- …</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r w:rsidRPr="00CB38AA">
        <w:rPr>
          <w:rFonts w:ascii="Times New Roman" w:eastAsia="Trebuchet MS" w:hAnsi="Times New Roman" w:cs="Times New Roman"/>
          <w:sz w:val="24"/>
          <w:szCs w:val="24"/>
          <w:lang w:val="es-ES"/>
        </w:rPr>
        <w:t>…</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i/>
          <w:sz w:val="24"/>
          <w:szCs w:val="24"/>
          <w:lang w:val="es-ES"/>
        </w:rPr>
      </w:pPr>
      <w:r w:rsidRPr="00CB38AA">
        <w:rPr>
          <w:rFonts w:ascii="Times New Roman" w:eastAsia="Trebuchet MS" w:hAnsi="Times New Roman" w:cs="Times New Roman"/>
          <w:i/>
          <w:sz w:val="24"/>
          <w:szCs w:val="24"/>
          <w:lang w:val="es-ES"/>
        </w:rPr>
        <w:t>“Compete a la autoridad administrativa la aplicación de sanciones por las infracciones de los reglamentos gubernativos y de policía, las que únicamente consistirán en multa, arresto hasta por treinta y seis horas o en trabajo a favor de la comunidad; pero si el infractor no pagare la multa que se le hubiese impuesto, se permutará esta por el arresto correspondiente, que no excederá en ningún caso de treinta y seis horas.</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i/>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i/>
          <w:sz w:val="24"/>
          <w:szCs w:val="24"/>
          <w:lang w:val="es-ES"/>
        </w:rPr>
      </w:pPr>
      <w:r w:rsidRPr="00CB38AA">
        <w:rPr>
          <w:rFonts w:ascii="Times New Roman" w:eastAsia="Trebuchet MS" w:hAnsi="Times New Roman" w:cs="Times New Roman"/>
          <w:i/>
          <w:sz w:val="24"/>
          <w:szCs w:val="24"/>
          <w:lang w:val="es-ES"/>
        </w:rPr>
        <w:t>Si el infractor de los reglamentos gubernativos y de policía fuese jornalero, obrero o trabajador, no podrá ser sancionado con multa mayor del importe de su jornal o salario de un día.</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i/>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i/>
          <w:sz w:val="24"/>
          <w:szCs w:val="24"/>
          <w:lang w:val="es-ES"/>
        </w:rPr>
      </w:pPr>
      <w:r w:rsidRPr="00CB38AA">
        <w:rPr>
          <w:rFonts w:ascii="Times New Roman" w:eastAsia="Trebuchet MS" w:hAnsi="Times New Roman" w:cs="Times New Roman"/>
          <w:i/>
          <w:sz w:val="24"/>
          <w:szCs w:val="24"/>
          <w:lang w:val="es-ES"/>
        </w:rPr>
        <w:t>Tratándose de trabajadores no asalariados, la multa que se imponga por infracción de los reglamentos gubernativos y de policía, no excederá del equivalente a un día de su ingreso</w:t>
      </w:r>
      <w:hyperlink w:anchor="_bookmark2" w:history="1">
        <w:r w:rsidRPr="00CB38AA">
          <w:rPr>
            <w:rFonts w:ascii="Times New Roman" w:eastAsia="Trebuchet MS" w:hAnsi="Times New Roman" w:cs="Times New Roman"/>
            <w:i/>
            <w:sz w:val="24"/>
            <w:szCs w:val="24"/>
            <w:lang w:val="es-ES"/>
          </w:rPr>
          <w:t>3.</w:t>
        </w:r>
      </w:hyperlink>
      <w:r w:rsidRPr="00CB38AA">
        <w:rPr>
          <w:rFonts w:ascii="Times New Roman" w:eastAsia="Trebuchet MS" w:hAnsi="Times New Roman" w:cs="Times New Roman"/>
          <w:i/>
          <w:sz w:val="24"/>
          <w:szCs w:val="24"/>
          <w:lang w:val="es-ES"/>
        </w:rPr>
        <w:t>”</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i/>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r w:rsidRPr="00CB38AA">
        <w:rPr>
          <w:rFonts w:ascii="Times New Roman" w:eastAsia="Trebuchet MS" w:hAnsi="Times New Roman" w:cs="Times New Roman"/>
          <w:sz w:val="24"/>
          <w:szCs w:val="24"/>
          <w:lang w:val="es-ES"/>
        </w:rPr>
        <w:t>Por lo anteriormente expuesto se desprende que:</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r w:rsidRPr="00CB38AA">
        <w:rPr>
          <w:rFonts w:ascii="Times New Roman" w:eastAsia="Trebuchet MS" w:hAnsi="Times New Roman" w:cs="Times New Roman"/>
          <w:sz w:val="24"/>
          <w:szCs w:val="24"/>
          <w:lang w:val="es-ES"/>
        </w:rPr>
        <w:t>1.- La sanción correspondiente a la retención y remisión de los vehículos al depósito por el incumplimiento de una conducta que amerita infracción como lo es el circular cuando por restricción de carácter ambiental no le corresponde, resulta inconstitucional toda vez que no se encuentra prevista en las sanciones permitidas contenidas en el artículo referido.</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r w:rsidRPr="00CB38AA">
        <w:rPr>
          <w:rFonts w:ascii="Times New Roman" w:eastAsia="Trebuchet MS" w:hAnsi="Times New Roman" w:cs="Times New Roman"/>
          <w:sz w:val="24"/>
          <w:szCs w:val="24"/>
          <w:lang w:val="es-ES"/>
        </w:rPr>
        <w:t>2.- La multa correspondiente a la infracción por circular cuando por restricción de carácter ambiental no le corresponde, de acuerdo al Reglamento de Tránsito del Estado de México, es de 16 UMA la mínima y de 20 UMA la máxima, siendo así de $ 1876.96 pesos y $ 2346.20 pesos respectivamente. Considerando que el salario mínimo es de $315 pesos, resulta inconstitucional imponer una multa superior de manera fija, pues no se permite un análisis del caso en particular para aplicar criterios de ponderación para proteger los derechos y la economía del jornalero, obrero o trabajador.</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r w:rsidRPr="00CB38AA">
        <w:rPr>
          <w:rFonts w:ascii="Times New Roman" w:eastAsia="Trebuchet MS" w:hAnsi="Times New Roman" w:cs="Times New Roman"/>
          <w:noProof/>
          <w:sz w:val="24"/>
          <w:szCs w:val="24"/>
          <w:lang w:val="es-ES"/>
        </w:rPr>
        <mc:AlternateContent>
          <mc:Choice Requires="wps">
            <w:drawing>
              <wp:anchor distT="0" distB="0" distL="0" distR="0" simplePos="0" relativeHeight="251681792" behindDoc="1" locked="0" layoutInCell="1" allowOverlap="1" wp14:anchorId="36E58F60" wp14:editId="1FBA381C">
                <wp:simplePos x="0" y="0"/>
                <wp:positionH relativeFrom="page">
                  <wp:posOffset>1080820</wp:posOffset>
                </wp:positionH>
                <wp:positionV relativeFrom="paragraph">
                  <wp:posOffset>214303</wp:posOffset>
                </wp:positionV>
                <wp:extent cx="1829435" cy="7620"/>
                <wp:effectExtent l="0" t="0" r="0" b="0"/>
                <wp:wrapTopAndBottom/>
                <wp:docPr id="39"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6710D8B" id="Graphic 10" o:spid="_x0000_s1026" style="position:absolute;margin-left:85.1pt;margin-top:16.85pt;width:144.05pt;height:.6pt;z-index:-251634688;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" path="m1829054,l,,,7620r1829054,l1829054,xe" fillcolor="black" stroked="f">
                <v:path arrowok="t"/>
                <w10:wrap type="topAndBottom" anchorx="page"/>
              </v:shape>
            </w:pict>
          </mc:Fallback>
        </mc:AlternateConten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bookmarkStart w:id="14" w:name="_bookmark2"/>
      <w:bookmarkEnd w:id="14"/>
      <w:r w:rsidRPr="00CB38AA">
        <w:rPr>
          <w:rFonts w:ascii="Times New Roman" w:eastAsia="Trebuchet MS" w:hAnsi="Times New Roman" w:cs="Times New Roman"/>
          <w:sz w:val="24"/>
          <w:szCs w:val="24"/>
          <w:lang w:val="es-ES"/>
        </w:rPr>
        <w:t xml:space="preserve">3Constitución Política de los Estados Unidos Mexicanos </w:t>
      </w:r>
      <w:hyperlink r:id="rId51">
        <w:r w:rsidRPr="00CB38AA">
          <w:rPr>
            <w:rFonts w:ascii="Times New Roman" w:eastAsia="Trebuchet MS" w:hAnsi="Times New Roman" w:cs="Times New Roman"/>
            <w:sz w:val="24"/>
            <w:szCs w:val="24"/>
            <w:u w:val="single" w:color="467885"/>
            <w:lang w:val="es-ES"/>
          </w:rPr>
          <w:t>https://www.diputados.gob.mx/LeyesBiblio/pdf/CPEUM.pdf</w:t>
        </w:r>
      </w:hyperlink>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r w:rsidRPr="00CB38AA">
        <w:rPr>
          <w:rFonts w:ascii="Times New Roman" w:eastAsia="Trebuchet MS" w:hAnsi="Times New Roman" w:cs="Times New Roman"/>
          <w:sz w:val="24"/>
          <w:szCs w:val="24"/>
          <w:lang w:val="es-ES"/>
        </w:rPr>
        <w:t>Al respecto la Suprema Corte de Justicia de la Nación ha emitido la siguiente tesis.</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p>
    <w:p w:rsidR="00CC568E" w:rsidRPr="00CB38AA" w:rsidRDefault="00CC568E" w:rsidP="00CC568E">
      <w:pPr>
        <w:widowControl w:val="0"/>
        <w:autoSpaceDE w:val="0"/>
        <w:autoSpaceDN w:val="0"/>
        <w:spacing w:after="0" w:line="240" w:lineRule="auto"/>
        <w:ind w:left="720"/>
        <w:jc w:val="both"/>
        <w:rPr>
          <w:rFonts w:ascii="Times New Roman" w:eastAsia="Trebuchet MS" w:hAnsi="Times New Roman" w:cs="Times New Roman"/>
          <w:i/>
          <w:sz w:val="24"/>
          <w:szCs w:val="24"/>
          <w:lang w:val="es-ES"/>
        </w:rPr>
      </w:pPr>
      <w:r w:rsidRPr="00CB38AA">
        <w:rPr>
          <w:rFonts w:ascii="Times New Roman" w:eastAsia="Trebuchet MS" w:hAnsi="Times New Roman" w:cs="Times New Roman"/>
          <w:i/>
          <w:sz w:val="24"/>
          <w:szCs w:val="24"/>
          <w:lang w:val="es-ES"/>
        </w:rPr>
        <w:t>Suprema Corte de Justicia de la Nación Registro digital: 20034S</w:t>
      </w:r>
    </w:p>
    <w:p w:rsidR="00CC568E" w:rsidRPr="00CB38AA" w:rsidRDefault="00CC568E" w:rsidP="00CC568E">
      <w:pPr>
        <w:widowControl w:val="0"/>
        <w:autoSpaceDE w:val="0"/>
        <w:autoSpaceDN w:val="0"/>
        <w:spacing w:after="0" w:line="240" w:lineRule="auto"/>
        <w:ind w:left="720"/>
        <w:jc w:val="both"/>
        <w:rPr>
          <w:rFonts w:ascii="Times New Roman" w:eastAsia="Trebuchet MS" w:hAnsi="Times New Roman" w:cs="Times New Roman"/>
          <w:i/>
          <w:sz w:val="24"/>
          <w:szCs w:val="24"/>
          <w:lang w:val="es-ES"/>
        </w:rPr>
      </w:pPr>
      <w:r w:rsidRPr="00CB38AA">
        <w:rPr>
          <w:rFonts w:ascii="Times New Roman" w:eastAsia="Trebuchet MS" w:hAnsi="Times New Roman" w:cs="Times New Roman"/>
          <w:i/>
          <w:sz w:val="24"/>
          <w:szCs w:val="24"/>
          <w:lang w:val="es-ES"/>
        </w:rPr>
        <w:t>Instancia: Pleno Novena Época</w:t>
      </w:r>
    </w:p>
    <w:p w:rsidR="00CC568E" w:rsidRPr="00CB38AA" w:rsidRDefault="00CC568E" w:rsidP="00CC568E">
      <w:pPr>
        <w:widowControl w:val="0"/>
        <w:autoSpaceDE w:val="0"/>
        <w:autoSpaceDN w:val="0"/>
        <w:spacing w:after="0" w:line="240" w:lineRule="auto"/>
        <w:ind w:left="720"/>
        <w:jc w:val="both"/>
        <w:rPr>
          <w:rFonts w:ascii="Times New Roman" w:eastAsia="Trebuchet MS" w:hAnsi="Times New Roman" w:cs="Times New Roman"/>
          <w:i/>
          <w:sz w:val="24"/>
          <w:szCs w:val="24"/>
          <w:lang w:val="es-ES"/>
        </w:rPr>
      </w:pPr>
      <w:r w:rsidRPr="00CB38AA">
        <w:rPr>
          <w:rFonts w:ascii="Times New Roman" w:eastAsia="Trebuchet MS" w:hAnsi="Times New Roman" w:cs="Times New Roman"/>
          <w:i/>
          <w:sz w:val="24"/>
          <w:szCs w:val="24"/>
          <w:lang w:val="es-ES"/>
        </w:rPr>
        <w:t>Materias(s): Constitucional, Administrativa Tesis: P./J. 10/S5</w:t>
      </w:r>
    </w:p>
    <w:p w:rsidR="00CC568E" w:rsidRPr="00CB38AA" w:rsidRDefault="00CC568E" w:rsidP="00CC568E">
      <w:pPr>
        <w:widowControl w:val="0"/>
        <w:autoSpaceDE w:val="0"/>
        <w:autoSpaceDN w:val="0"/>
        <w:spacing w:after="0" w:line="240" w:lineRule="auto"/>
        <w:ind w:left="720"/>
        <w:jc w:val="both"/>
        <w:rPr>
          <w:rFonts w:ascii="Times New Roman" w:eastAsia="Trebuchet MS" w:hAnsi="Times New Roman" w:cs="Times New Roman"/>
          <w:i/>
          <w:sz w:val="24"/>
          <w:szCs w:val="24"/>
          <w:lang w:val="es-ES"/>
        </w:rPr>
      </w:pPr>
      <w:r w:rsidRPr="00CB38AA">
        <w:rPr>
          <w:rFonts w:ascii="Times New Roman" w:eastAsia="Trebuchet MS" w:hAnsi="Times New Roman" w:cs="Times New Roman"/>
          <w:i/>
          <w:sz w:val="24"/>
          <w:szCs w:val="24"/>
          <w:lang w:val="es-ES"/>
        </w:rPr>
        <w:t>Fuente: Semanario Judicial de la Federación y su Gaceta. Tomo II, Julio de 1SS5, página 1S</w:t>
      </w:r>
    </w:p>
    <w:p w:rsidR="00CC568E" w:rsidRPr="00CB38AA" w:rsidRDefault="00CC568E" w:rsidP="00CC568E">
      <w:pPr>
        <w:widowControl w:val="0"/>
        <w:autoSpaceDE w:val="0"/>
        <w:autoSpaceDN w:val="0"/>
        <w:spacing w:after="0" w:line="240" w:lineRule="auto"/>
        <w:ind w:left="720"/>
        <w:jc w:val="both"/>
        <w:rPr>
          <w:rFonts w:ascii="Times New Roman" w:eastAsia="Trebuchet MS" w:hAnsi="Times New Roman" w:cs="Times New Roman"/>
          <w:i/>
          <w:sz w:val="24"/>
          <w:szCs w:val="24"/>
          <w:lang w:val="es-ES"/>
        </w:rPr>
      </w:pPr>
      <w:r w:rsidRPr="00CB38AA">
        <w:rPr>
          <w:rFonts w:ascii="Times New Roman" w:eastAsia="Trebuchet MS" w:hAnsi="Times New Roman" w:cs="Times New Roman"/>
          <w:i/>
          <w:sz w:val="24"/>
          <w:szCs w:val="24"/>
          <w:lang w:val="es-ES"/>
        </w:rPr>
        <w:t>Tipo: Jurisprudencia</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i/>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i/>
          <w:sz w:val="24"/>
          <w:szCs w:val="24"/>
          <w:lang w:val="es-ES"/>
        </w:rPr>
      </w:pPr>
      <w:r w:rsidRPr="00CB38AA">
        <w:rPr>
          <w:rFonts w:ascii="Times New Roman" w:eastAsia="Trebuchet MS" w:hAnsi="Times New Roman" w:cs="Times New Roman"/>
          <w:i/>
          <w:sz w:val="24"/>
          <w:szCs w:val="24"/>
          <w:lang w:val="es-ES"/>
        </w:rPr>
        <w:t>MULTAS FIJAS. LAS LEYES ǪUE LAS ESTABLECEN SON INCONSTITUCIONALES.</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i/>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i/>
          <w:sz w:val="24"/>
          <w:szCs w:val="24"/>
          <w:lang w:val="es-ES"/>
        </w:rPr>
      </w:pPr>
      <w:r w:rsidRPr="00CB38AA">
        <w:rPr>
          <w:rFonts w:ascii="Times New Roman" w:eastAsia="Trebuchet MS" w:hAnsi="Times New Roman" w:cs="Times New Roman"/>
          <w:i/>
          <w:sz w:val="24"/>
          <w:szCs w:val="24"/>
          <w:lang w:val="es-ES"/>
        </w:rPr>
        <w:t>Esta Suprema Corte ha establecido que las leyes, al establecer multas, deben contener las reglas adecuadas para que las autoridades impositoras tengan la posibilidad de fijar su monto o cuantía, tomando en cuenta la gravedad de la infracción, la capacidad económica del infractor, la reincidencia de éste en la conducta que la motiva y, en fin, todas aquellas circunstancias que tiendan a individualizar dicha sanción, obligación del legislador que deriva de la concordancia de los artículos 22 y 31, fracción IV, de la Constitución Federal, el primero de los cuales prohíbe las multas excesivas, mientras el segundo aporta el concepto de proporcionalidad. El establecimiento de multas fijas es contrario a estas disposiciones constitucionales, por cuanto al aplicarse a todos por igual, de manera invariable e inflexible, propicia excesos autoritarios y tratamiento desproporcionado a los particulares.</w:t>
      </w:r>
      <w:hyperlink w:anchor="_bookmark3" w:history="1">
        <w:r w:rsidRPr="00CB38AA">
          <w:rPr>
            <w:rFonts w:ascii="Times New Roman" w:eastAsia="Trebuchet MS" w:hAnsi="Times New Roman" w:cs="Times New Roman"/>
            <w:i/>
            <w:sz w:val="24"/>
            <w:szCs w:val="24"/>
            <w:lang w:val="es-ES"/>
          </w:rPr>
          <w:t>4</w:t>
        </w:r>
      </w:hyperlink>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i/>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r w:rsidRPr="00CB38AA">
        <w:rPr>
          <w:rFonts w:ascii="Times New Roman" w:eastAsia="Trebuchet MS" w:hAnsi="Times New Roman" w:cs="Times New Roman"/>
          <w:sz w:val="24"/>
          <w:szCs w:val="24"/>
          <w:lang w:val="es-ES"/>
        </w:rPr>
        <w:t>Es con conforme a todo lo anterior que resulta necesario tener reglas claras y conforme a nuestro orden normativo constitucional para evitar la vulneración de derechos humanos de las y los mexiquenses.</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r w:rsidRPr="00CB38AA">
        <w:rPr>
          <w:rFonts w:ascii="Times New Roman" w:eastAsia="Trebuchet MS" w:hAnsi="Times New Roman" w:cs="Times New Roman"/>
          <w:noProof/>
          <w:sz w:val="24"/>
          <w:szCs w:val="24"/>
          <w:lang w:val="es-ES"/>
        </w:rPr>
        <mc:AlternateContent>
          <mc:Choice Requires="wps">
            <w:drawing>
              <wp:anchor distT="0" distB="0" distL="0" distR="0" simplePos="0" relativeHeight="251682816" behindDoc="1" locked="0" layoutInCell="1" allowOverlap="1" wp14:anchorId="460742AB" wp14:editId="1F957250">
                <wp:simplePos x="0" y="0"/>
                <wp:positionH relativeFrom="page">
                  <wp:posOffset>1080820</wp:posOffset>
                </wp:positionH>
                <wp:positionV relativeFrom="paragraph">
                  <wp:posOffset>268370</wp:posOffset>
                </wp:positionV>
                <wp:extent cx="1829435" cy="762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9BD58E4" id="Graphic 11" o:spid="_x0000_s1026" style="position:absolute;margin-left:85.1pt;margin-top:21.15pt;width:144.05pt;height:.6pt;z-index:-251633664;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" path="m1829054,l,,,7620r1829054,l1829054,xe" fillcolor="black" stroked="f">
                <v:path arrowok="t"/>
                <w10:wrap type="topAndBottom" anchorx="page"/>
              </v:shape>
            </w:pict>
          </mc:Fallback>
        </mc:AlternateConten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bookmarkStart w:id="15" w:name="_bookmark3"/>
      <w:bookmarkEnd w:id="15"/>
      <w:r w:rsidRPr="00CB38AA">
        <w:rPr>
          <w:rFonts w:ascii="Times New Roman" w:eastAsia="Trebuchet MS" w:hAnsi="Times New Roman" w:cs="Times New Roman"/>
          <w:sz w:val="24"/>
          <w:szCs w:val="24"/>
          <w:lang w:val="es-ES"/>
        </w:rPr>
        <w:t xml:space="preserve">4 Tesis P./J. 10/95. Suprema Corte de Justicia de la Nación </w:t>
      </w:r>
      <w:hyperlink r:id="rId52">
        <w:r w:rsidRPr="00CB38AA">
          <w:rPr>
            <w:rFonts w:ascii="Times New Roman" w:eastAsia="Trebuchet MS" w:hAnsi="Times New Roman" w:cs="Times New Roman"/>
            <w:sz w:val="24"/>
            <w:szCs w:val="24"/>
            <w:u w:val="single" w:color="467885"/>
            <w:lang w:val="es-ES"/>
          </w:rPr>
          <w:t>https://sjf2.scjn.gob.mx/detalle/tesis/200349</w:t>
        </w:r>
      </w:hyperlink>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r w:rsidRPr="00CB38AA">
        <w:rPr>
          <w:rFonts w:ascii="Times New Roman" w:eastAsia="Trebuchet MS" w:hAnsi="Times New Roman" w:cs="Times New Roman"/>
          <w:sz w:val="24"/>
          <w:szCs w:val="24"/>
          <w:lang w:val="es-ES"/>
        </w:rPr>
        <w:t xml:space="preserve">Por esta razón se propone establecer en el Código para la Biodiversidad del Estado de México que no se podrá retener vehículos y llevarlos al depósito con motivo de la infracción por circular cuando </w:t>
      </w:r>
      <w:r w:rsidRPr="00CB38AA">
        <w:rPr>
          <w:rFonts w:ascii="Times New Roman" w:eastAsia="Trebuchet MS" w:hAnsi="Times New Roman" w:cs="Times New Roman"/>
          <w:sz w:val="24"/>
          <w:szCs w:val="24"/>
          <w:lang w:val="es-ES"/>
        </w:rPr>
        <w:lastRenderedPageBreak/>
        <w:t>por restricción de carácter ambiental no le corresponde, instando así a que las sanciones sean únicamente las previstas en la Constitución Federal.</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r w:rsidRPr="00CB38AA">
        <w:rPr>
          <w:rFonts w:ascii="Times New Roman" w:eastAsia="Trebuchet MS" w:hAnsi="Times New Roman" w:cs="Times New Roman"/>
          <w:sz w:val="24"/>
          <w:szCs w:val="24"/>
          <w:lang w:val="es-ES"/>
        </w:rPr>
        <w:t>En adición a lo anterior, se propone establecer de manera expresa que la cuantificación mínima de la multa por circular cuando por restricción de carácter ambiental no le corresponde, será inferior al salario mínimo para así dar cumplimiento al parámetro establecido en el artículo 21 de la Constitución General de la República.</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r w:rsidRPr="00CB38AA">
        <w:rPr>
          <w:rFonts w:ascii="Times New Roman" w:eastAsia="Trebuchet MS" w:hAnsi="Times New Roman" w:cs="Times New Roman"/>
          <w:sz w:val="24"/>
          <w:szCs w:val="24"/>
          <w:lang w:val="es-ES"/>
        </w:rPr>
        <w:t>Conforme a lo anteriormente expuesto, sometemos a la consideración de esta honorable Asamblea la siguiente Iniciativa de:</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b/>
          <w:sz w:val="24"/>
          <w:szCs w:val="24"/>
          <w:lang w:val="es-ES"/>
        </w:rPr>
      </w:pPr>
      <w:r w:rsidRPr="00CB38AA">
        <w:rPr>
          <w:rFonts w:ascii="Times New Roman" w:eastAsia="Trebuchet MS" w:hAnsi="Times New Roman" w:cs="Times New Roman"/>
          <w:b/>
          <w:sz w:val="24"/>
          <w:szCs w:val="24"/>
          <w:lang w:val="es-ES"/>
        </w:rPr>
        <w:t>Decreto que Reforma el primer párrafo, así como el inciso a) en su numeral 4 al que se adiciona un segundo párrafo del Artículo 2.199 del Código para la Biodiversidad del Estado de México en materia de restricción de la circulación de vehículos automotores ante contingencia ambiental.</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b/>
          <w:sz w:val="24"/>
          <w:szCs w:val="24"/>
          <w:lang w:val="es-ES"/>
        </w:rPr>
      </w:pPr>
    </w:p>
    <w:p w:rsidR="00CC568E" w:rsidRPr="00CB38AA" w:rsidRDefault="00CC568E" w:rsidP="00CC568E">
      <w:pPr>
        <w:widowControl w:val="0"/>
        <w:autoSpaceDE w:val="0"/>
        <w:autoSpaceDN w:val="0"/>
        <w:spacing w:after="0" w:line="240" w:lineRule="auto"/>
        <w:jc w:val="center"/>
        <w:rPr>
          <w:rFonts w:ascii="Times New Roman" w:eastAsia="Trebuchet MS" w:hAnsi="Times New Roman" w:cs="Times New Roman"/>
          <w:b/>
          <w:sz w:val="24"/>
          <w:szCs w:val="24"/>
          <w:lang w:val="es-ES"/>
        </w:rPr>
      </w:pPr>
      <w:r w:rsidRPr="00CB38AA">
        <w:rPr>
          <w:rFonts w:ascii="Times New Roman" w:eastAsia="Trebuchet MS" w:hAnsi="Times New Roman" w:cs="Times New Roman"/>
          <w:b/>
          <w:sz w:val="24"/>
          <w:szCs w:val="24"/>
          <w:lang w:val="es-ES"/>
        </w:rPr>
        <w:t>A T E N T A M E N T E</w:t>
      </w:r>
    </w:p>
    <w:p w:rsidR="00CC568E" w:rsidRPr="00CB38AA" w:rsidRDefault="00CC568E" w:rsidP="00CC568E">
      <w:pPr>
        <w:widowControl w:val="0"/>
        <w:autoSpaceDE w:val="0"/>
        <w:autoSpaceDN w:val="0"/>
        <w:spacing w:after="0" w:line="240" w:lineRule="auto"/>
        <w:jc w:val="center"/>
        <w:rPr>
          <w:rFonts w:ascii="Times New Roman" w:eastAsia="Trebuchet MS" w:hAnsi="Times New Roman" w:cs="Times New Roman"/>
          <w:b/>
          <w:sz w:val="24"/>
          <w:szCs w:val="24"/>
          <w:lang w:val="es-ES"/>
        </w:rPr>
      </w:pPr>
    </w:p>
    <w:tbl>
      <w:tblPr>
        <w:tblStyle w:val="Tablaconcuadrcu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3"/>
        <w:gridCol w:w="4702"/>
      </w:tblGrid>
      <w:tr w:rsidR="00CC568E" w:rsidRPr="00CB38AA" w:rsidTr="001126B3">
        <w:trPr>
          <w:jc w:val="center"/>
        </w:trPr>
        <w:tc>
          <w:tcPr>
            <w:tcW w:w="4750" w:type="dxa"/>
          </w:tcPr>
          <w:p w:rsidR="00CC568E" w:rsidRPr="00CB38AA" w:rsidRDefault="00CC568E" w:rsidP="00CC568E">
            <w:pPr>
              <w:spacing w:line="240" w:lineRule="auto"/>
              <w:jc w:val="center"/>
              <w:rPr>
                <w:rFonts w:ascii="Times New Roman" w:eastAsia="Trebuchet MS" w:hAnsi="Times New Roman" w:cs="Times New Roman"/>
                <w:b/>
                <w:sz w:val="24"/>
                <w:szCs w:val="24"/>
                <w:lang w:val="es-ES"/>
              </w:rPr>
            </w:pPr>
            <w:r w:rsidRPr="00CB38AA">
              <w:rPr>
                <w:rFonts w:ascii="Times New Roman" w:eastAsia="Trebuchet MS" w:hAnsi="Times New Roman" w:cs="Times New Roman"/>
                <w:b/>
                <w:sz w:val="24"/>
                <w:szCs w:val="24"/>
                <w:lang w:val="es-ES"/>
              </w:rPr>
              <w:t>Dip. Ruth Salinas Reyes</w:t>
            </w:r>
          </w:p>
        </w:tc>
        <w:tc>
          <w:tcPr>
            <w:tcW w:w="4750" w:type="dxa"/>
          </w:tcPr>
          <w:p w:rsidR="00CC568E" w:rsidRPr="00CB38AA" w:rsidRDefault="00CC568E" w:rsidP="00CC568E">
            <w:pPr>
              <w:spacing w:line="240" w:lineRule="auto"/>
              <w:jc w:val="center"/>
              <w:rPr>
                <w:rFonts w:ascii="Times New Roman" w:eastAsia="Trebuchet MS" w:hAnsi="Times New Roman" w:cs="Times New Roman"/>
                <w:b/>
                <w:sz w:val="24"/>
                <w:szCs w:val="24"/>
                <w:lang w:val="es-ES"/>
              </w:rPr>
            </w:pPr>
            <w:r w:rsidRPr="00CB38AA">
              <w:rPr>
                <w:rFonts w:ascii="Times New Roman" w:eastAsia="Trebuchet MS" w:hAnsi="Times New Roman" w:cs="Times New Roman"/>
                <w:b/>
                <w:sz w:val="24"/>
                <w:szCs w:val="24"/>
                <w:lang w:val="es-ES"/>
              </w:rPr>
              <w:t>Dip. Maricela Beltrán Sánchez</w:t>
            </w:r>
          </w:p>
        </w:tc>
      </w:tr>
      <w:tr w:rsidR="00CC568E" w:rsidRPr="00CB38AA" w:rsidTr="001126B3">
        <w:trPr>
          <w:jc w:val="center"/>
        </w:trPr>
        <w:tc>
          <w:tcPr>
            <w:tcW w:w="4750" w:type="dxa"/>
          </w:tcPr>
          <w:p w:rsidR="00CC568E" w:rsidRPr="00CB38AA" w:rsidRDefault="00CC568E" w:rsidP="00CC568E">
            <w:pPr>
              <w:spacing w:line="240" w:lineRule="auto"/>
              <w:jc w:val="center"/>
              <w:rPr>
                <w:rFonts w:ascii="Times New Roman" w:eastAsia="Trebuchet MS" w:hAnsi="Times New Roman" w:cs="Times New Roman"/>
                <w:b/>
                <w:sz w:val="24"/>
                <w:szCs w:val="24"/>
                <w:lang w:val="es-ES"/>
              </w:rPr>
            </w:pPr>
            <w:r w:rsidRPr="00CB38AA">
              <w:rPr>
                <w:rFonts w:ascii="Times New Roman" w:eastAsia="Trebuchet MS" w:hAnsi="Times New Roman" w:cs="Times New Roman"/>
                <w:b/>
                <w:sz w:val="24"/>
                <w:szCs w:val="24"/>
                <w:lang w:val="es-ES"/>
              </w:rPr>
              <w:t>Dip. Juan Manuel Zepeda Hernández</w:t>
            </w:r>
          </w:p>
        </w:tc>
        <w:tc>
          <w:tcPr>
            <w:tcW w:w="4750" w:type="dxa"/>
          </w:tcPr>
          <w:p w:rsidR="00CC568E" w:rsidRPr="00CB38AA" w:rsidRDefault="00CC568E" w:rsidP="00CC568E">
            <w:pPr>
              <w:spacing w:line="240" w:lineRule="auto"/>
              <w:jc w:val="center"/>
              <w:rPr>
                <w:rFonts w:ascii="Times New Roman" w:eastAsia="Trebuchet MS" w:hAnsi="Times New Roman" w:cs="Times New Roman"/>
                <w:b/>
                <w:sz w:val="24"/>
                <w:szCs w:val="24"/>
                <w:lang w:val="es-ES"/>
              </w:rPr>
            </w:pPr>
            <w:r w:rsidRPr="00CB38AA">
              <w:rPr>
                <w:rFonts w:ascii="Times New Roman" w:eastAsia="Trebuchet MS" w:hAnsi="Times New Roman" w:cs="Times New Roman"/>
                <w:b/>
                <w:sz w:val="24"/>
                <w:szCs w:val="24"/>
                <w:lang w:val="es-ES"/>
              </w:rPr>
              <w:t>Dip. Martín Zepeda Hernández</w:t>
            </w:r>
          </w:p>
        </w:tc>
      </w:tr>
    </w:tbl>
    <w:p w:rsidR="00CC568E" w:rsidRPr="00CB38AA" w:rsidRDefault="00CC568E" w:rsidP="00CC568E">
      <w:pPr>
        <w:widowControl w:val="0"/>
        <w:autoSpaceDE w:val="0"/>
        <w:autoSpaceDN w:val="0"/>
        <w:spacing w:after="0" w:line="240" w:lineRule="auto"/>
        <w:jc w:val="center"/>
        <w:rPr>
          <w:rFonts w:ascii="Times New Roman" w:eastAsia="Trebuchet MS" w:hAnsi="Times New Roman" w:cs="Times New Roman"/>
          <w:b/>
          <w:sz w:val="24"/>
          <w:szCs w:val="24"/>
          <w:lang w:val="es-ES"/>
        </w:rPr>
      </w:pPr>
      <w:r w:rsidRPr="00CB38AA">
        <w:rPr>
          <w:rFonts w:ascii="Times New Roman" w:eastAsia="Trebuchet MS" w:hAnsi="Times New Roman" w:cs="Times New Roman"/>
          <w:b/>
          <w:sz w:val="24"/>
          <w:szCs w:val="24"/>
          <w:lang w:val="es-ES"/>
        </w:rPr>
        <w:t>Integrantes del Grupo Parlamentario de Movimiento Ciudadano de la LXII Legislatura del Estado de México</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b/>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b/>
          <w:sz w:val="24"/>
          <w:szCs w:val="24"/>
          <w:lang w:val="es-ES"/>
        </w:rPr>
      </w:pPr>
    </w:p>
    <w:p w:rsidR="00CC568E" w:rsidRPr="00CB38AA" w:rsidRDefault="00CC568E" w:rsidP="00CC568E">
      <w:pPr>
        <w:widowControl w:val="0"/>
        <w:autoSpaceDE w:val="0"/>
        <w:autoSpaceDN w:val="0"/>
        <w:spacing w:after="0" w:line="240" w:lineRule="auto"/>
        <w:jc w:val="center"/>
        <w:rPr>
          <w:rFonts w:ascii="Times New Roman" w:eastAsia="Trebuchet MS" w:hAnsi="Times New Roman" w:cs="Times New Roman"/>
          <w:b/>
          <w:sz w:val="24"/>
          <w:szCs w:val="24"/>
          <w:lang w:val="es-ES"/>
        </w:rPr>
      </w:pPr>
      <w:r w:rsidRPr="00CB38AA">
        <w:rPr>
          <w:rFonts w:ascii="Times New Roman" w:eastAsia="Trebuchet MS" w:hAnsi="Times New Roman" w:cs="Times New Roman"/>
          <w:b/>
          <w:sz w:val="24"/>
          <w:szCs w:val="24"/>
          <w:lang w:val="es-ES"/>
        </w:rPr>
        <w:t>PROYECTO DE DECRETO</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b/>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b/>
          <w:sz w:val="24"/>
          <w:szCs w:val="24"/>
          <w:lang w:val="es-ES"/>
        </w:rPr>
      </w:pPr>
      <w:r w:rsidRPr="00CB38AA">
        <w:rPr>
          <w:rFonts w:ascii="Times New Roman" w:eastAsia="Trebuchet MS" w:hAnsi="Times New Roman" w:cs="Times New Roman"/>
          <w:b/>
          <w:sz w:val="24"/>
          <w:szCs w:val="24"/>
          <w:lang w:val="es-ES"/>
        </w:rPr>
        <w:t>La H. LXII Legislatura del Estado de México</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b/>
          <w:sz w:val="24"/>
          <w:szCs w:val="24"/>
          <w:lang w:val="es-ES"/>
        </w:rPr>
      </w:pPr>
      <w:r w:rsidRPr="00CB38AA">
        <w:rPr>
          <w:rFonts w:ascii="Times New Roman" w:eastAsia="Trebuchet MS" w:hAnsi="Times New Roman" w:cs="Times New Roman"/>
          <w:b/>
          <w:sz w:val="24"/>
          <w:szCs w:val="24"/>
          <w:lang w:val="es-ES"/>
        </w:rPr>
        <w:t>Decreta:</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b/>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b/>
          <w:sz w:val="24"/>
          <w:szCs w:val="24"/>
          <w:lang w:val="es-ES"/>
        </w:rPr>
      </w:pPr>
      <w:r w:rsidRPr="00CB38AA">
        <w:rPr>
          <w:rFonts w:ascii="Times New Roman" w:eastAsia="Trebuchet MS" w:hAnsi="Times New Roman" w:cs="Times New Roman"/>
          <w:b/>
          <w:sz w:val="24"/>
          <w:szCs w:val="24"/>
          <w:lang w:val="es-ES"/>
        </w:rPr>
        <w:t>ARTÍCULO ÚNICO; Se reforma el primer párrafo, así como el inciso a) en su numeral 4 al que se adiciona un segundo párrafo del Artículo 2.199 del Código para la Biodiversidad del Estado de México, para quedar como sigue:</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b/>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r w:rsidRPr="00CB38AA">
        <w:rPr>
          <w:rFonts w:ascii="Times New Roman" w:eastAsia="Trebuchet MS" w:hAnsi="Times New Roman" w:cs="Times New Roman"/>
          <w:sz w:val="24"/>
          <w:szCs w:val="24"/>
          <w:lang w:val="es-ES"/>
        </w:rPr>
        <w:t xml:space="preserve">Artículo 2.166.- Restringir o suspender la circulación de vehículos automotores incluidos los de servicio público local y federal, excluyendo el servicio público de pasajeros, </w:t>
      </w:r>
      <w:r w:rsidRPr="00CB38AA">
        <w:rPr>
          <w:rFonts w:ascii="Times New Roman" w:eastAsia="Trebuchet MS" w:hAnsi="Times New Roman" w:cs="Times New Roman"/>
          <w:b/>
          <w:sz w:val="24"/>
          <w:szCs w:val="24"/>
          <w:lang w:val="es-ES"/>
        </w:rPr>
        <w:t xml:space="preserve">siempre que las unidades se encuentren en óptimas condiciones mecánicas y cumplan con las normas oficiales mexicanas en la materia, </w:t>
      </w:r>
      <w:r w:rsidRPr="00CB38AA">
        <w:rPr>
          <w:rFonts w:ascii="Times New Roman" w:eastAsia="Trebuchet MS" w:hAnsi="Times New Roman" w:cs="Times New Roman"/>
          <w:sz w:val="24"/>
          <w:szCs w:val="24"/>
          <w:lang w:val="es-ES"/>
        </w:rPr>
        <w:t>y los que cuenten con placas de otras Entidades Federativas o del extranjero en términos del programa de emergencia o de contingencia y de la declaratoria respectiva, conforme a los criterios siguientes:</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r w:rsidRPr="00CB38AA">
        <w:rPr>
          <w:rFonts w:ascii="Times New Roman" w:eastAsia="Trebuchet MS" w:hAnsi="Times New Roman" w:cs="Times New Roman"/>
          <w:sz w:val="24"/>
          <w:szCs w:val="24"/>
          <w:lang w:val="es-ES"/>
        </w:rPr>
        <w:t>a) …</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r w:rsidRPr="00CB38AA">
        <w:rPr>
          <w:rFonts w:ascii="Times New Roman" w:eastAsia="Trebuchet MS" w:hAnsi="Times New Roman" w:cs="Times New Roman"/>
          <w:sz w:val="24"/>
          <w:szCs w:val="24"/>
          <w:lang w:val="es-ES"/>
        </w:rPr>
        <w:t>1. a 3. …</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b/>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b/>
          <w:sz w:val="24"/>
          <w:szCs w:val="24"/>
          <w:lang w:val="es-ES"/>
        </w:rPr>
      </w:pPr>
      <w:r w:rsidRPr="00CB38AA">
        <w:rPr>
          <w:rFonts w:ascii="Times New Roman" w:eastAsia="Trebuchet MS" w:hAnsi="Times New Roman" w:cs="Times New Roman"/>
          <w:b/>
          <w:sz w:val="24"/>
          <w:szCs w:val="24"/>
          <w:lang w:val="es-ES"/>
        </w:rPr>
        <w:t xml:space="preserve">4. Solicitar se retiren </w:t>
      </w:r>
      <w:r w:rsidRPr="00CB38AA">
        <w:rPr>
          <w:rFonts w:ascii="Times New Roman" w:eastAsia="Trebuchet MS" w:hAnsi="Times New Roman" w:cs="Times New Roman"/>
          <w:sz w:val="24"/>
          <w:szCs w:val="24"/>
          <w:lang w:val="es-ES"/>
        </w:rPr>
        <w:t xml:space="preserve">de la circulación los vehículos que no respeten las limitaciones, suspensiones o restricciones establecidas e imponer </w:t>
      </w:r>
      <w:r w:rsidRPr="00CB38AA">
        <w:rPr>
          <w:rFonts w:ascii="Times New Roman" w:eastAsia="Trebuchet MS" w:hAnsi="Times New Roman" w:cs="Times New Roman"/>
          <w:b/>
          <w:sz w:val="24"/>
          <w:szCs w:val="24"/>
          <w:lang w:val="es-ES"/>
        </w:rPr>
        <w:t>la sanción correspondiente, la cual, bajo ningún motivo podrá consistir en retener y enviar a depósito el vehículo propiedad del infractor.</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b/>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b/>
          <w:sz w:val="24"/>
          <w:szCs w:val="24"/>
          <w:lang w:val="es-ES"/>
        </w:rPr>
      </w:pPr>
      <w:r w:rsidRPr="00CB38AA">
        <w:rPr>
          <w:rFonts w:ascii="Times New Roman" w:eastAsia="Trebuchet MS" w:hAnsi="Times New Roman" w:cs="Times New Roman"/>
          <w:b/>
          <w:sz w:val="24"/>
          <w:szCs w:val="24"/>
          <w:lang w:val="es-ES"/>
        </w:rPr>
        <w:t xml:space="preserve">La sanción no podrá ser superior al importe de un día de jornada tratándose de jornaleros, </w:t>
      </w:r>
      <w:r w:rsidRPr="00CB38AA">
        <w:rPr>
          <w:rFonts w:ascii="Times New Roman" w:eastAsia="Trebuchet MS" w:hAnsi="Times New Roman" w:cs="Times New Roman"/>
          <w:b/>
          <w:sz w:val="24"/>
          <w:szCs w:val="24"/>
          <w:lang w:val="es-ES"/>
        </w:rPr>
        <w:lastRenderedPageBreak/>
        <w:t>obreros o trabajadores.</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b/>
          <w:sz w:val="24"/>
          <w:szCs w:val="24"/>
          <w:lang w:val="es-ES"/>
        </w:rPr>
      </w:pPr>
    </w:p>
    <w:p w:rsidR="00CC568E" w:rsidRPr="00CB38AA" w:rsidRDefault="00CC568E" w:rsidP="00CC568E">
      <w:pPr>
        <w:widowControl w:val="0"/>
        <w:autoSpaceDE w:val="0"/>
        <w:autoSpaceDN w:val="0"/>
        <w:spacing w:after="0" w:line="240" w:lineRule="auto"/>
        <w:jc w:val="center"/>
        <w:rPr>
          <w:rFonts w:ascii="Times New Roman" w:eastAsia="Trebuchet MS" w:hAnsi="Times New Roman" w:cs="Times New Roman"/>
          <w:b/>
          <w:sz w:val="24"/>
          <w:szCs w:val="24"/>
          <w:lang w:val="es-ES"/>
        </w:rPr>
      </w:pPr>
      <w:r w:rsidRPr="00CB38AA">
        <w:rPr>
          <w:rFonts w:ascii="Times New Roman" w:eastAsia="Trebuchet MS" w:hAnsi="Times New Roman" w:cs="Times New Roman"/>
          <w:b/>
          <w:sz w:val="24"/>
          <w:szCs w:val="24"/>
          <w:lang w:val="es-ES"/>
        </w:rPr>
        <w:t>ARTÍCULOS TRANSITORIOS</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b/>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r w:rsidRPr="00CB38AA">
        <w:rPr>
          <w:rFonts w:ascii="Times New Roman" w:eastAsia="Trebuchet MS" w:hAnsi="Times New Roman" w:cs="Times New Roman"/>
          <w:b/>
          <w:sz w:val="24"/>
          <w:szCs w:val="24"/>
          <w:lang w:val="es-ES"/>
        </w:rPr>
        <w:t xml:space="preserve">PRIMERO. - </w:t>
      </w:r>
      <w:r w:rsidRPr="00CB38AA">
        <w:rPr>
          <w:rFonts w:ascii="Times New Roman" w:eastAsia="Trebuchet MS" w:hAnsi="Times New Roman" w:cs="Times New Roman"/>
          <w:sz w:val="24"/>
          <w:szCs w:val="24"/>
          <w:lang w:val="es-ES"/>
        </w:rPr>
        <w:t>Publíquese el presente Decreto en el Periódico Oficial “Gaceta del Gobierno”.</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b/>
          <w:sz w:val="24"/>
          <w:szCs w:val="24"/>
          <w:lang w:val="es-ES"/>
        </w:rPr>
      </w:pPr>
      <w:r w:rsidRPr="00CB38AA">
        <w:rPr>
          <w:rFonts w:ascii="Times New Roman" w:eastAsia="Trebuchet MS" w:hAnsi="Times New Roman" w:cs="Times New Roman"/>
          <w:b/>
          <w:sz w:val="24"/>
          <w:szCs w:val="24"/>
          <w:lang w:val="es-ES"/>
        </w:rPr>
        <w:t>SEGUNDO. -Se fija un plazo de 60 días a efecto de que la Titular del Ejecutivo del Estado de México realice las modificaciones necesarias al Reglamento de Tránsito del Estado de México en la materia.</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b/>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r w:rsidRPr="00CB38AA">
        <w:rPr>
          <w:rFonts w:ascii="Times New Roman" w:eastAsia="Trebuchet MS" w:hAnsi="Times New Roman" w:cs="Times New Roman"/>
          <w:b/>
          <w:sz w:val="24"/>
          <w:szCs w:val="24"/>
          <w:lang w:val="es-ES"/>
        </w:rPr>
        <w:t xml:space="preserve">TERCERO. - </w:t>
      </w:r>
      <w:r w:rsidRPr="00CB38AA">
        <w:rPr>
          <w:rFonts w:ascii="Times New Roman" w:eastAsia="Trebuchet MS" w:hAnsi="Times New Roman" w:cs="Times New Roman"/>
          <w:sz w:val="24"/>
          <w:szCs w:val="24"/>
          <w:lang w:val="es-ES"/>
        </w:rPr>
        <w:t>El presente Decreto entrará en vigor al día siguiente de su publicación en el Periódico Oficial “Gaceta del Gobierno”.</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r w:rsidRPr="00CB38AA">
        <w:rPr>
          <w:rFonts w:ascii="Times New Roman" w:eastAsia="Trebuchet MS" w:hAnsi="Times New Roman" w:cs="Times New Roman"/>
          <w:sz w:val="24"/>
          <w:szCs w:val="24"/>
          <w:lang w:val="es-ES"/>
        </w:rPr>
        <w:t>Lo tendrá entendido la Gobernadora del Estado, haciendo que se publique y se cumpla.</w:t>
      </w: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p>
    <w:p w:rsidR="00CC568E" w:rsidRPr="00CB38AA" w:rsidRDefault="00CC568E" w:rsidP="00CC568E">
      <w:pPr>
        <w:widowControl w:val="0"/>
        <w:autoSpaceDE w:val="0"/>
        <w:autoSpaceDN w:val="0"/>
        <w:spacing w:after="0" w:line="240" w:lineRule="auto"/>
        <w:jc w:val="both"/>
        <w:rPr>
          <w:rFonts w:ascii="Times New Roman" w:eastAsia="Trebuchet MS" w:hAnsi="Times New Roman" w:cs="Times New Roman"/>
          <w:sz w:val="24"/>
          <w:szCs w:val="24"/>
          <w:lang w:val="es-ES"/>
        </w:rPr>
      </w:pPr>
      <w:r w:rsidRPr="00CB38AA">
        <w:rPr>
          <w:rFonts w:ascii="Times New Roman" w:eastAsia="Trebuchet MS" w:hAnsi="Times New Roman" w:cs="Times New Roman"/>
          <w:sz w:val="24"/>
          <w:szCs w:val="24"/>
          <w:lang w:val="es-ES"/>
        </w:rPr>
        <w:t xml:space="preserve">Dado en el Palacio del Poder Legislativo, en la ciudad de Toluca de Lerdo, Capital del Estado de México, a los </w:t>
      </w:r>
      <w:r w:rsidRPr="00CB38AA">
        <w:rPr>
          <w:rFonts w:ascii="Times New Roman" w:eastAsia="Trebuchet MS" w:hAnsi="Times New Roman" w:cs="Times New Roman"/>
          <w:sz w:val="24"/>
          <w:szCs w:val="24"/>
          <w:u w:val="single"/>
          <w:lang w:val="es-ES"/>
        </w:rPr>
        <w:t xml:space="preserve">  </w:t>
      </w:r>
      <w:r w:rsidRPr="00CB38AA">
        <w:rPr>
          <w:rFonts w:ascii="Times New Roman" w:eastAsia="Trebuchet MS" w:hAnsi="Times New Roman" w:cs="Times New Roman"/>
          <w:sz w:val="24"/>
          <w:szCs w:val="24"/>
          <w:lang w:val="es-ES"/>
        </w:rPr>
        <w:t xml:space="preserve">días del mes de </w:t>
      </w:r>
      <w:r w:rsidRPr="00CB38AA">
        <w:rPr>
          <w:rFonts w:ascii="Times New Roman" w:eastAsia="Trebuchet MS" w:hAnsi="Times New Roman" w:cs="Times New Roman"/>
          <w:sz w:val="24"/>
          <w:szCs w:val="24"/>
          <w:u w:val="single"/>
          <w:lang w:val="es-ES"/>
        </w:rPr>
        <w:t xml:space="preserve">   </w:t>
      </w:r>
      <w:r w:rsidRPr="00CB38AA">
        <w:rPr>
          <w:rFonts w:ascii="Times New Roman" w:eastAsia="Trebuchet MS" w:hAnsi="Times New Roman" w:cs="Times New Roman"/>
          <w:sz w:val="24"/>
          <w:szCs w:val="24"/>
          <w:lang w:val="es-ES"/>
        </w:rPr>
        <w:t>del año dos mil veintiséis.</w:t>
      </w:r>
    </w:p>
    <w:p w:rsidR="00544832" w:rsidRPr="00CB38AA" w:rsidRDefault="00544832" w:rsidP="00544832">
      <w:pPr>
        <w:spacing w:after="0" w:line="240" w:lineRule="auto"/>
        <w:jc w:val="center"/>
        <w:rPr>
          <w:rFonts w:ascii="Times New Roman" w:hAnsi="Times New Roman" w:cs="Times New Roman"/>
          <w:sz w:val="24"/>
          <w:szCs w:val="24"/>
        </w:rPr>
      </w:pPr>
    </w:p>
    <w:p w:rsidR="00544832" w:rsidRPr="00CB38AA" w:rsidRDefault="00544832" w:rsidP="00544832">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(Fin del documento)</w:t>
      </w:r>
    </w:p>
    <w:p w:rsidR="00544832" w:rsidRPr="00CB38AA" w:rsidRDefault="00544832" w:rsidP="00544832">
      <w:pPr>
        <w:spacing w:after="0" w:line="240" w:lineRule="auto"/>
        <w:jc w:val="center"/>
        <w:rPr>
          <w:rFonts w:ascii="Times New Roman" w:hAnsi="Times New Roman" w:cs="Times New Roman"/>
          <w:sz w:val="24"/>
          <w:szCs w:val="24"/>
        </w:rPr>
      </w:pP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PRESIDENTA DIP. MARTHA AZUCENA CAMACHO REYNOSO. Gracias diputada Ruth Salinas Reyes, se registra la iniciativa y se remite a las Comisiones Legislativas de Protección Ambiental y Cambio Climático y de Comunicaciones y Transportes para su estudio y dictamen.</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En cuanto al siguiente punto, a petición del promovente, se omite su lectura de la iniciativa con proyecto de decreto por el que se reforma la Ley de Educación del Estado de México en materia de educación sexual, presentada por el diputado Omar Ortega Álvarez y la diputada Araceli Casasola Salazar, en nombre del Grupo Parlamentario del Partido de la Revolución Democrática.</w:t>
      </w:r>
    </w:p>
    <w:p w:rsidR="00F9541D" w:rsidRPr="00CB38AA" w:rsidRDefault="00F9541D" w:rsidP="00270E69">
      <w:pPr>
        <w:pStyle w:val="Sinespaciado"/>
        <w:jc w:val="both"/>
        <w:rPr>
          <w:rFonts w:ascii="Times New Roman" w:hAnsi="Times New Roman" w:cs="Times New Roman"/>
          <w:sz w:val="24"/>
          <w:szCs w:val="24"/>
        </w:rPr>
      </w:pPr>
    </w:p>
    <w:p w:rsidR="00270E69" w:rsidRPr="00CB38AA" w:rsidRDefault="00270E69" w:rsidP="001126B3">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(Se inserta documento)</w:t>
      </w:r>
    </w:p>
    <w:p w:rsidR="00270E69" w:rsidRPr="00CB38AA" w:rsidRDefault="00270E69" w:rsidP="001126B3">
      <w:pPr>
        <w:spacing w:after="0" w:line="240" w:lineRule="auto"/>
        <w:jc w:val="center"/>
        <w:rPr>
          <w:rFonts w:ascii="Times New Roman" w:hAnsi="Times New Roman" w:cs="Times New Roman"/>
          <w:sz w:val="24"/>
          <w:szCs w:val="24"/>
        </w:rPr>
      </w:pPr>
    </w:p>
    <w:p w:rsidR="00CD45D9" w:rsidRPr="00CB38AA" w:rsidRDefault="00CD45D9" w:rsidP="00CD45D9">
      <w:pPr>
        <w:autoSpaceDE w:val="0"/>
        <w:autoSpaceDN w:val="0"/>
        <w:adjustRightInd w:val="0"/>
        <w:spacing w:after="0" w:line="240" w:lineRule="auto"/>
        <w:jc w:val="both"/>
        <w:rPr>
          <w:rFonts w:ascii="Times New Roman" w:eastAsia="Calibri" w:hAnsi="Times New Roman" w:cs="Times New Roman"/>
          <w:b/>
          <w:bCs/>
          <w:sz w:val="24"/>
          <w:szCs w:val="24"/>
        </w:rPr>
      </w:pPr>
      <w:r w:rsidRPr="00CB38AA">
        <w:rPr>
          <w:rFonts w:ascii="Times New Roman" w:eastAsia="Calibri" w:hAnsi="Times New Roman" w:cs="Times New Roman"/>
          <w:b/>
          <w:bCs/>
          <w:sz w:val="24"/>
          <w:szCs w:val="24"/>
        </w:rPr>
        <w:t>CONGRESO</w:t>
      </w:r>
    </w:p>
    <w:p w:rsidR="00CD45D9" w:rsidRPr="00CB38AA" w:rsidRDefault="00CD45D9" w:rsidP="00CD45D9">
      <w:pPr>
        <w:autoSpaceDE w:val="0"/>
        <w:autoSpaceDN w:val="0"/>
        <w:adjustRightInd w:val="0"/>
        <w:spacing w:after="0" w:line="240" w:lineRule="auto"/>
        <w:jc w:val="both"/>
        <w:rPr>
          <w:rFonts w:ascii="Times New Roman" w:eastAsia="Calibri" w:hAnsi="Times New Roman" w:cs="Times New Roman"/>
          <w:b/>
          <w:bCs/>
          <w:sz w:val="24"/>
          <w:szCs w:val="24"/>
        </w:rPr>
      </w:pPr>
      <w:r w:rsidRPr="00CB38AA">
        <w:rPr>
          <w:rFonts w:ascii="Times New Roman" w:eastAsia="Calibri" w:hAnsi="Times New Roman" w:cs="Times New Roman"/>
          <w:b/>
          <w:bCs/>
          <w:sz w:val="24"/>
          <w:szCs w:val="24"/>
        </w:rPr>
        <w:t>ESTADO DE MÉXICO</w:t>
      </w:r>
    </w:p>
    <w:p w:rsidR="00CD45D9" w:rsidRPr="00CB38AA" w:rsidRDefault="00CD45D9" w:rsidP="00CD45D9">
      <w:pPr>
        <w:widowControl w:val="0"/>
        <w:autoSpaceDE w:val="0"/>
        <w:autoSpaceDN w:val="0"/>
        <w:spacing w:after="0" w:line="240" w:lineRule="auto"/>
        <w:rPr>
          <w:rFonts w:ascii="Times New Roman" w:eastAsia="Calibri" w:hAnsi="Times New Roman" w:cs="Times New Roman"/>
          <w:sz w:val="24"/>
          <w:szCs w:val="24"/>
          <w:lang w:val="es-ES"/>
        </w:rPr>
      </w:pPr>
    </w:p>
    <w:p w:rsidR="00CD45D9" w:rsidRPr="00CB38AA" w:rsidRDefault="00CD45D9" w:rsidP="00CD45D9">
      <w:pPr>
        <w:widowControl w:val="0"/>
        <w:autoSpaceDE w:val="0"/>
        <w:autoSpaceDN w:val="0"/>
        <w:spacing w:after="0" w:line="240" w:lineRule="auto"/>
        <w:jc w:val="center"/>
        <w:rPr>
          <w:rFonts w:ascii="Times New Roman" w:eastAsia="Calibri" w:hAnsi="Times New Roman" w:cs="Times New Roman"/>
          <w:sz w:val="24"/>
          <w:szCs w:val="24"/>
          <w:lang w:val="es-ES"/>
        </w:rPr>
      </w:pPr>
      <w:r w:rsidRPr="00CB38AA">
        <w:rPr>
          <w:rFonts w:ascii="Times New Roman" w:eastAsia="Calibri" w:hAnsi="Times New Roman" w:cs="Times New Roman"/>
          <w:b/>
          <w:sz w:val="24"/>
          <w:szCs w:val="24"/>
          <w:lang w:val="es-ES"/>
        </w:rPr>
        <w:t>"2026. Año del Humanismo Mexicano en el Estado de México”</w:t>
      </w:r>
    </w:p>
    <w:p w:rsidR="00CD45D9" w:rsidRPr="00CB38AA" w:rsidRDefault="00CD45D9" w:rsidP="00CD45D9">
      <w:pPr>
        <w:widowControl w:val="0"/>
        <w:autoSpaceDE w:val="0"/>
        <w:autoSpaceDN w:val="0"/>
        <w:spacing w:after="0" w:line="240" w:lineRule="auto"/>
        <w:rPr>
          <w:rFonts w:ascii="Times New Roman" w:eastAsia="Calibri" w:hAnsi="Times New Roman" w:cs="Times New Roman"/>
          <w:sz w:val="24"/>
          <w:szCs w:val="24"/>
          <w:lang w:val="es-ES"/>
        </w:rPr>
      </w:pPr>
    </w:p>
    <w:p w:rsidR="00CD45D9" w:rsidRPr="00CB38AA" w:rsidRDefault="00CD45D9" w:rsidP="00CD45D9">
      <w:pPr>
        <w:widowControl w:val="0"/>
        <w:autoSpaceDE w:val="0"/>
        <w:autoSpaceDN w:val="0"/>
        <w:spacing w:after="0" w:line="240" w:lineRule="auto"/>
        <w:jc w:val="right"/>
        <w:rPr>
          <w:rFonts w:ascii="Times New Roman" w:eastAsia="Calibri" w:hAnsi="Times New Roman" w:cs="Times New Roman"/>
          <w:b/>
          <w:sz w:val="24"/>
          <w:szCs w:val="24"/>
          <w:lang w:val="es-ES"/>
        </w:rPr>
      </w:pPr>
      <w:r w:rsidRPr="00CB38AA">
        <w:rPr>
          <w:rFonts w:ascii="Times New Roman" w:eastAsia="Calibri" w:hAnsi="Times New Roman" w:cs="Times New Roman"/>
          <w:b/>
          <w:sz w:val="24"/>
          <w:szCs w:val="24"/>
          <w:lang w:val="es-ES"/>
        </w:rPr>
        <w:t>Toluca de Lerdo, Méx., a 11 de febrero de 2026.</w:t>
      </w:r>
    </w:p>
    <w:p w:rsidR="00CD45D9" w:rsidRPr="00CB38AA" w:rsidRDefault="00CD45D9" w:rsidP="00CD45D9">
      <w:pPr>
        <w:widowControl w:val="0"/>
        <w:autoSpaceDE w:val="0"/>
        <w:autoSpaceDN w:val="0"/>
        <w:spacing w:after="0" w:line="240" w:lineRule="auto"/>
        <w:rPr>
          <w:rFonts w:ascii="Times New Roman" w:eastAsia="Calibri" w:hAnsi="Times New Roman" w:cs="Times New Roman"/>
          <w:b/>
          <w:sz w:val="24"/>
          <w:szCs w:val="24"/>
          <w:lang w:val="es-ES"/>
        </w:rPr>
      </w:pPr>
    </w:p>
    <w:p w:rsidR="00CD45D9" w:rsidRPr="00CB38AA" w:rsidRDefault="00CD45D9" w:rsidP="00CD45D9">
      <w:pPr>
        <w:widowControl w:val="0"/>
        <w:autoSpaceDE w:val="0"/>
        <w:autoSpaceDN w:val="0"/>
        <w:spacing w:after="0" w:line="240" w:lineRule="auto"/>
        <w:rPr>
          <w:rFonts w:ascii="Times New Roman" w:eastAsia="Calibri" w:hAnsi="Times New Roman" w:cs="Times New Roman"/>
          <w:b/>
          <w:sz w:val="24"/>
          <w:szCs w:val="24"/>
          <w:lang w:val="es-ES"/>
        </w:rPr>
      </w:pPr>
      <w:r w:rsidRPr="00CB38AA">
        <w:rPr>
          <w:rFonts w:ascii="Times New Roman" w:eastAsia="Calibri" w:hAnsi="Times New Roman" w:cs="Times New Roman"/>
          <w:b/>
          <w:sz w:val="24"/>
          <w:szCs w:val="24"/>
          <w:lang w:val="es-ES"/>
        </w:rPr>
        <w:t>CC. DIPUTADAS Y DIPUTADOS</w:t>
      </w:r>
    </w:p>
    <w:p w:rsidR="00CD45D9" w:rsidRPr="00CB38AA" w:rsidRDefault="00CD45D9" w:rsidP="00CD45D9">
      <w:pPr>
        <w:widowControl w:val="0"/>
        <w:autoSpaceDE w:val="0"/>
        <w:autoSpaceDN w:val="0"/>
        <w:spacing w:after="0" w:line="240" w:lineRule="auto"/>
        <w:rPr>
          <w:rFonts w:ascii="Times New Roman" w:eastAsia="Calibri" w:hAnsi="Times New Roman" w:cs="Times New Roman"/>
          <w:b/>
          <w:sz w:val="24"/>
          <w:szCs w:val="24"/>
          <w:lang w:val="es-ES"/>
        </w:rPr>
      </w:pPr>
      <w:r w:rsidRPr="00CB38AA">
        <w:rPr>
          <w:rFonts w:ascii="Times New Roman" w:eastAsia="Calibri" w:hAnsi="Times New Roman" w:cs="Times New Roman"/>
          <w:b/>
          <w:sz w:val="24"/>
          <w:szCs w:val="24"/>
          <w:lang w:val="es-ES"/>
        </w:rPr>
        <w:t>INTEGRANTES DE LA MESA DIRECTIVA</w:t>
      </w:r>
    </w:p>
    <w:p w:rsidR="00CD45D9" w:rsidRPr="00CB38AA" w:rsidRDefault="00CD45D9" w:rsidP="00CD45D9">
      <w:pPr>
        <w:widowControl w:val="0"/>
        <w:autoSpaceDE w:val="0"/>
        <w:autoSpaceDN w:val="0"/>
        <w:spacing w:after="0" w:line="240" w:lineRule="auto"/>
        <w:rPr>
          <w:rFonts w:ascii="Times New Roman" w:eastAsia="Calibri" w:hAnsi="Times New Roman" w:cs="Times New Roman"/>
          <w:b/>
          <w:sz w:val="24"/>
          <w:szCs w:val="24"/>
          <w:lang w:val="es-ES"/>
        </w:rPr>
      </w:pPr>
      <w:r w:rsidRPr="00CB38AA">
        <w:rPr>
          <w:rFonts w:ascii="Times New Roman" w:eastAsia="Calibri" w:hAnsi="Times New Roman" w:cs="Times New Roman"/>
          <w:b/>
          <w:sz w:val="24"/>
          <w:szCs w:val="24"/>
          <w:lang w:val="es-ES"/>
        </w:rPr>
        <w:t>DE LA H. LXII LEGISLATURA</w:t>
      </w:r>
    </w:p>
    <w:p w:rsidR="00CD45D9" w:rsidRPr="00CB38AA" w:rsidRDefault="00CD45D9" w:rsidP="00CD45D9">
      <w:pPr>
        <w:widowControl w:val="0"/>
        <w:autoSpaceDE w:val="0"/>
        <w:autoSpaceDN w:val="0"/>
        <w:spacing w:after="0" w:line="240" w:lineRule="auto"/>
        <w:rPr>
          <w:rFonts w:ascii="Times New Roman" w:eastAsia="Calibri" w:hAnsi="Times New Roman" w:cs="Times New Roman"/>
          <w:b/>
          <w:sz w:val="24"/>
          <w:szCs w:val="24"/>
          <w:lang w:val="es-ES"/>
        </w:rPr>
      </w:pPr>
      <w:r w:rsidRPr="00CB38AA">
        <w:rPr>
          <w:rFonts w:ascii="Times New Roman" w:eastAsia="Calibri" w:hAnsi="Times New Roman" w:cs="Times New Roman"/>
          <w:b/>
          <w:sz w:val="24"/>
          <w:szCs w:val="24"/>
          <w:lang w:val="es-ES"/>
        </w:rPr>
        <w:t>DEL ESTADO LIBRE Y SOBERANO DE MÉXICO.</w:t>
      </w:r>
    </w:p>
    <w:p w:rsidR="00CD45D9" w:rsidRPr="00CB38AA" w:rsidRDefault="00CD45D9" w:rsidP="00CD45D9">
      <w:pPr>
        <w:widowControl w:val="0"/>
        <w:autoSpaceDE w:val="0"/>
        <w:autoSpaceDN w:val="0"/>
        <w:spacing w:after="0" w:line="240" w:lineRule="auto"/>
        <w:rPr>
          <w:rFonts w:ascii="Times New Roman" w:eastAsia="Calibri" w:hAnsi="Times New Roman" w:cs="Times New Roman"/>
          <w:b/>
          <w:sz w:val="24"/>
          <w:szCs w:val="24"/>
          <w:lang w:val="es-ES"/>
        </w:rPr>
      </w:pPr>
      <w:r w:rsidRPr="00CB38AA">
        <w:rPr>
          <w:rFonts w:ascii="Times New Roman" w:eastAsia="Calibri" w:hAnsi="Times New Roman" w:cs="Times New Roman"/>
          <w:b/>
          <w:sz w:val="24"/>
          <w:szCs w:val="24"/>
          <w:lang w:val="es-ES"/>
        </w:rPr>
        <w:t>P R E S E N T E S</w:t>
      </w:r>
    </w:p>
    <w:p w:rsidR="00CD45D9" w:rsidRPr="00CB38AA" w:rsidRDefault="00CD45D9" w:rsidP="00CD45D9">
      <w:pPr>
        <w:widowControl w:val="0"/>
        <w:autoSpaceDE w:val="0"/>
        <w:autoSpaceDN w:val="0"/>
        <w:spacing w:after="0" w:line="240" w:lineRule="auto"/>
        <w:rPr>
          <w:rFonts w:ascii="Times New Roman" w:eastAsia="Calibri" w:hAnsi="Times New Roman" w:cs="Times New Roman"/>
          <w:b/>
          <w:sz w:val="24"/>
          <w:szCs w:val="24"/>
          <w:lang w:val="es-ES"/>
        </w:rPr>
      </w:pP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 xml:space="preserve">En el ejercicio de las facultades que nos confieren, lo dispuesto por los artículos 57 y 61, fracción I de la Constitución Política del Estado Libre y Soberano de México; 38 fracción IV, de la Ley Orgánica del Poder Legislativo; y 72 de su Reglamento, los que suscriben, </w:t>
      </w:r>
      <w:r w:rsidRPr="00CB38AA">
        <w:rPr>
          <w:rFonts w:ascii="Times New Roman" w:eastAsia="Calibri" w:hAnsi="Times New Roman" w:cs="Times New Roman"/>
          <w:b/>
          <w:sz w:val="24"/>
          <w:szCs w:val="24"/>
          <w:lang w:val="es-ES"/>
        </w:rPr>
        <w:t>Diputada Araceli Casasola Salazar y Diputado Omar Ortega Álvarez</w:t>
      </w:r>
      <w:r w:rsidRPr="00CB38AA">
        <w:rPr>
          <w:rFonts w:ascii="Times New Roman" w:eastAsia="Calibri" w:hAnsi="Times New Roman" w:cs="Times New Roman"/>
          <w:sz w:val="24"/>
          <w:szCs w:val="24"/>
          <w:lang w:val="es-ES"/>
        </w:rPr>
        <w:t xml:space="preserve">, en representación del Grupo Parlamentario del Partido de la Revolución Democrática, sometemos a consideración de esta Honorable Asamblea la presente </w:t>
      </w:r>
      <w:r w:rsidRPr="00CB38AA">
        <w:rPr>
          <w:rFonts w:ascii="Times New Roman" w:eastAsia="Calibri" w:hAnsi="Times New Roman" w:cs="Times New Roman"/>
          <w:b/>
          <w:sz w:val="24"/>
          <w:szCs w:val="24"/>
          <w:lang w:val="es-ES"/>
        </w:rPr>
        <w:t xml:space="preserve">Iniciativa con Proyecto de Decreto por el que se reforma el artículo 86, </w:t>
      </w:r>
      <w:r w:rsidRPr="00CB38AA">
        <w:rPr>
          <w:rFonts w:ascii="Times New Roman" w:eastAsia="Calibri" w:hAnsi="Times New Roman" w:cs="Times New Roman"/>
          <w:b/>
          <w:sz w:val="24"/>
          <w:szCs w:val="24"/>
          <w:lang w:val="es-ES"/>
        </w:rPr>
        <w:lastRenderedPageBreak/>
        <w:t>la fracción IV del artículo 88 y se crea el artículo 88 de la Ley de Educación del Estado de México en materia de educación sexual integral</w:t>
      </w:r>
      <w:r w:rsidRPr="00CB38AA">
        <w:rPr>
          <w:rFonts w:ascii="Times New Roman" w:eastAsia="Calibri" w:hAnsi="Times New Roman" w:cs="Times New Roman"/>
          <w:sz w:val="24"/>
          <w:szCs w:val="24"/>
          <w:lang w:val="es-ES"/>
        </w:rPr>
        <w:t>, al tenor de la siguiente:</w:t>
      </w:r>
    </w:p>
    <w:p w:rsidR="00CD45D9" w:rsidRPr="00CB38AA" w:rsidRDefault="00CD45D9" w:rsidP="00CD45D9">
      <w:pPr>
        <w:widowControl w:val="0"/>
        <w:autoSpaceDE w:val="0"/>
        <w:autoSpaceDN w:val="0"/>
        <w:spacing w:after="0" w:line="240" w:lineRule="auto"/>
        <w:jc w:val="center"/>
        <w:rPr>
          <w:rFonts w:ascii="Times New Roman" w:eastAsia="Calibri" w:hAnsi="Times New Roman" w:cs="Times New Roman"/>
          <w:b/>
          <w:sz w:val="24"/>
          <w:szCs w:val="24"/>
          <w:lang w:val="es-ES"/>
        </w:rPr>
      </w:pPr>
    </w:p>
    <w:p w:rsidR="00CD45D9" w:rsidRPr="00CB38AA" w:rsidRDefault="00CD45D9" w:rsidP="00CD45D9">
      <w:pPr>
        <w:widowControl w:val="0"/>
        <w:autoSpaceDE w:val="0"/>
        <w:autoSpaceDN w:val="0"/>
        <w:spacing w:after="0" w:line="240" w:lineRule="auto"/>
        <w:jc w:val="center"/>
        <w:rPr>
          <w:rFonts w:ascii="Times New Roman" w:eastAsia="Calibri" w:hAnsi="Times New Roman" w:cs="Times New Roman"/>
          <w:b/>
          <w:sz w:val="24"/>
          <w:szCs w:val="24"/>
          <w:lang w:val="es-ES"/>
        </w:rPr>
      </w:pPr>
      <w:r w:rsidRPr="00CB38AA">
        <w:rPr>
          <w:rFonts w:ascii="Times New Roman" w:eastAsia="Calibri" w:hAnsi="Times New Roman" w:cs="Times New Roman"/>
          <w:b/>
          <w:sz w:val="24"/>
          <w:szCs w:val="24"/>
          <w:lang w:val="es-ES"/>
        </w:rPr>
        <w:t>EXPOSICIÓN DE MOTIVOS</w:t>
      </w: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Aunque existen diversas definiciones de educación sexual integral, puede entenderse como un proceso formativo basado en evidencia que brinda conocimientos, desarrolla habilidades y fortalece actitudes y valores para vivir con salud, bienestar y dignidad, de manera científicamente correcta y adecuada a la edad.</w:t>
      </w: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En ese mismo sentido, la cultura de la salud dentro del sistema educativo no puede reducirse a recomendaciones genéricas: implica acciones permanentes para formar hábitos, prevenir riesgos y garantizar condiciones mínimas para que las y los educandos tomen decisiones informadas sobre su cuerpo y su bienestar.</w:t>
      </w: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La formación en educación física, deporte, hábitos de higiene, sana alimentación, salud bucodental, educación sexual integral y reproductiva, salud e higiene menstrual y prevención de adicciones, debe ser una política educativa sostenida, no un esfuerzo aislado.</w:t>
      </w: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En el plano internacional, organismos especializados han reiterado que la educación en sexualidad debe ser integral, no discriminatoria, basada en evidencia, científicamente precisa y apropiada para la edad, y que constituye una herramienta de protección de derechos, igualdad y prevención.</w:t>
      </w: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La UNESCO y el UNFPA han sistematizado orientaciones técnicas internacionales que colocan estos contenidos como parte de la educación para la vida y el bienestar, con un enfoque de dignidad, igualdad y no discriminación; dicha perspectiva es compatible con la obligación del Estado de proteger a niñas, niños y adolescentes: donde hay silencio institucional, crece la desinformación; y donde hay desinformación, aumentan los riesgos de violencia, abuso, embarazos no planificados y contagios por infecciones de transmisión sexual.</w:t>
      </w: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En México, el marco jurídico reconoce que el derecho a la educación es indispensable para alcanzar el bienestar y debe articularse con la garantía de otros derechos, como la salud y el desarrollo integral. En paralelo, el Estado reconoce a niñas, niños y adolescentes como titulares de derechos incluyendo el derecho a la protección de la salud, a la educación y a vivir en condiciones de bienestar, lo cual exige políticas preventivas, progresivas y verificables.</w:t>
      </w: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Asimismo, existen instrumentos técnicos nacionales que mandatan acciones de atención y prevención en población adolescente, como la NOM-047-SSA2-2015 (atención a la salud del grupo etario de 10 a 19 años).</w:t>
      </w: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De igual forma, la normativa aplicable en VIH contempla explícitamente la prevención a través de acciones donde participan autoridades competentes de salud y educación.</w:t>
      </w: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En el Estado de México, la propia Ley de Educación ya contiene bases relevantes: reconoce la cultura de la salud, incorpora el concepto de gestión menstrual y ha venido actualizándose mediante reformas recientes.</w:t>
      </w: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Sin embargo, aun con avances normativos, la realidad educativa obliga a dar un paso más:</w:t>
      </w: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 xml:space="preserve">precisar alcances, elevar el estándar de calidad de los contenidos y vincular la educación con </w:t>
      </w:r>
      <w:r w:rsidRPr="00CB38AA">
        <w:rPr>
          <w:rFonts w:ascii="Times New Roman" w:eastAsia="Calibri" w:hAnsi="Times New Roman" w:cs="Times New Roman"/>
          <w:sz w:val="24"/>
          <w:szCs w:val="24"/>
          <w:lang w:val="es-ES"/>
        </w:rPr>
        <w:lastRenderedPageBreak/>
        <w:t>acciones preventivas efectivas.</w:t>
      </w: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Esto es particularmente importante si se considera que, a nivel nacional, se registraron 89,527 nacimientos de madres de 10 a 17 años en 2024, lo que dimensiona el tamaño del reto en materia de prevención y acompañamiento integral.</w:t>
      </w: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En el mismo sentido, el entorno epidemiológico y social muestra que las infecciones de transmisión sexual siguen siendo un problema que impacta especialmente a población joven, y que se agrava cuando hay desinformación, estigma o falta de acceso a herramientas preventivas.</w:t>
      </w: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Pese a la existencia de disposiciones educativas en materia de salud, persisten tres brechas que deben ser atendidas desde la Ley:</w:t>
      </w: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p>
    <w:p w:rsidR="00CD45D9" w:rsidRPr="00CB38AA" w:rsidRDefault="00CD45D9" w:rsidP="001D1629">
      <w:pPr>
        <w:widowControl w:val="0"/>
        <w:numPr>
          <w:ilvl w:val="0"/>
          <w:numId w:val="20"/>
        </w:numPr>
        <w:autoSpaceDE w:val="0"/>
        <w:autoSpaceDN w:val="0"/>
        <w:spacing w:after="0" w:line="240" w:lineRule="auto"/>
        <w:ind w:left="0" w:firstLine="0"/>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Brecha de integralidad y precisión.</w:t>
      </w:r>
    </w:p>
    <w:p w:rsidR="00CD45D9" w:rsidRPr="00CB38AA" w:rsidRDefault="00CD45D9" w:rsidP="001D1629">
      <w:pPr>
        <w:widowControl w:val="0"/>
        <w:autoSpaceDE w:val="0"/>
        <w:autoSpaceDN w:val="0"/>
        <w:spacing w:after="0" w:line="240" w:lineRule="auto"/>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La cultura de la salud debe incorporar de forma robusta y operativa la educación sexual integral y reproductiva, el respeto a la diversidad sexual y la no discriminación, así como contenidos que fortalezcan decisiones informadas y consentidas, acordes a la edad, autonomía progresiva y madurez del educando.</w:t>
      </w:r>
    </w:p>
    <w:p w:rsidR="00CD45D9" w:rsidRPr="00CB38AA" w:rsidRDefault="00CD45D9" w:rsidP="001D1629">
      <w:pPr>
        <w:widowControl w:val="0"/>
        <w:numPr>
          <w:ilvl w:val="0"/>
          <w:numId w:val="20"/>
        </w:numPr>
        <w:autoSpaceDE w:val="0"/>
        <w:autoSpaceDN w:val="0"/>
        <w:spacing w:after="0" w:line="240" w:lineRule="auto"/>
        <w:ind w:left="0" w:firstLine="0"/>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Brecha de corresponsabilidad familiar con base científica.</w:t>
      </w:r>
    </w:p>
    <w:p w:rsidR="00CD45D9" w:rsidRPr="00CB38AA" w:rsidRDefault="00CD45D9" w:rsidP="001D1629">
      <w:pPr>
        <w:widowControl w:val="0"/>
        <w:autoSpaceDE w:val="0"/>
        <w:autoSpaceDN w:val="0"/>
        <w:spacing w:after="0" w:line="240" w:lineRule="auto"/>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Madres, padres y tutores requieren información clara y científicamente correcta sobre cuerpo, cambios físicos, anticoncepción y prevención de embarazos no planificados para orientar adecuadamente y fortalecer la integración familiar, evitando la reproducción de mitos, prejuicios o silencios que generan riesgos.</w:t>
      </w:r>
    </w:p>
    <w:p w:rsidR="00CD45D9" w:rsidRPr="00CB38AA" w:rsidRDefault="00CD45D9" w:rsidP="001D1629">
      <w:pPr>
        <w:widowControl w:val="0"/>
        <w:numPr>
          <w:ilvl w:val="0"/>
          <w:numId w:val="20"/>
        </w:numPr>
        <w:autoSpaceDE w:val="0"/>
        <w:autoSpaceDN w:val="0"/>
        <w:spacing w:after="0" w:line="240" w:lineRule="auto"/>
        <w:ind w:left="0" w:firstLine="0"/>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Brecha de prevención efectiva.</w:t>
      </w: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La educación, por sí sola, no siempre basta si no se conecta con herramientas mínimas de prevención. La disponibilidad de métodos profilácticos es una medida razonable, preventiva y congruente con una política pública que busca disminuir embarazos no deseados e infecciones de transmisión sexual. En el ámbito estatal, incluso existen registros institucionales relacionados con detecciones y acciones preventivas (como distribución de condones) que muestran la naturaleza operativa y necesaria de esta política.</w:t>
      </w: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Desde el Grupo Parlamentario del PRD consideramos que la educación sexual no debe basarse en el miedo ni en la prohibición, sino en el conocimiento, el consentimiento, el autocuidado y el respeto; brindar información científica, laica y con enfoque de derechos permite que las y los alumnos conozcan su cuerpo, identifiquen situaciones de riesgo, sepan cómo protegerse y, sobre todo, aprendan a decir “sí” o “no” de manera libre e informada.</w:t>
      </w: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Promover la abstinencia como única opción ignora contextos de violencia sexual, desigualdad y presión social que viven muchas y muchos adolescentes. En esos escenarios, callar o simplificar la educación sexual no protege… expone.</w:t>
      </w: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Educar no es imponer silencios, es ofrecer herramientas. Es así que en lo que a materia de sexualidad refiere, la mejor protección para las y los estudiantes sigue siendo la información clara, el acompañamiento y el respeto a su derecho a decidir sobre su propio cuerpo.</w:t>
      </w: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 xml:space="preserve">Al tenor de lo anterior, proponemos distintos planteamientos que buscan, entre otras cosas, establecer con mayor claridad que las autoridades educativas contribuirán al desarrollo de una cultura de la salud que incluya la materialización de un enfoque prioritario en cuanto a educación </w:t>
      </w:r>
      <w:r w:rsidRPr="00CB38AA">
        <w:rPr>
          <w:rFonts w:ascii="Times New Roman" w:eastAsia="Calibri" w:hAnsi="Times New Roman" w:cs="Times New Roman"/>
          <w:sz w:val="24"/>
          <w:szCs w:val="24"/>
          <w:lang w:val="es-ES"/>
        </w:rPr>
        <w:lastRenderedPageBreak/>
        <w:t>sexual para las y los educandos.</w:t>
      </w: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Para ello, buscamos fortalecer las acciones de capacitación y difusión dirigidas a madres, padres o tutores, mediante materiales, recursos y programas científicamente correctos, con información precisa sobre cuerpo, cambios físicos, métodos anticonceptivos y prevención de embarazos no planificados, para orientar adecuadamente sobre educación sexual integral y reproductiva, salud y gestión menstrual.</w:t>
      </w: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Asimismo, establecemos que sea el Gobierno del Estado sea el que proporcione el suministro efectivo, gratuito e irrestricto de métodos profilácticos, conforme a suficiencia presupuestal, con el propósito de prevenir embarazos no deseados e infecciones de transmisión sexual, promover una salud sexual responsable y garantizar el derecho al libre desarrollo de la personalidad.</w:t>
      </w: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Partimos de la premisa de que garantizar el acceso a preservativos en las escuelas es una medida de prevención, no una incitación, pues la realidad es que muchas y muchos adolescentes inician su vida sexual durante la etapa escolar e ignorarlo, evidentemente, los vulnera. Por lo que la presente promueve la corresponsabilidad y el autocuidado, ya que no se trata solo de prevenir riesgos físicos, sino de enviar un mensaje acerca de que su cuerpo importa, así como su salud, el derecho a la información y el que accedan a herramientas para que puedan estar en posibilidades de cuidarse.</w:t>
      </w: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Diversos estudios muestran que el acceso a métodos de protección no incrementa la actividad sexual; al contrario, fomenta decisiones más responsables y reduce prácticas de riesgo. La educación sexual integral, acompañada de acceso real a preservativos, fortalece la capacidad de las y los jóvenes para ejercer su sexualidad de forma informada y segura.</w:t>
      </w: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Negar preservativos en las escuelas no detiene la vida sexual adolescente, solo la vuelve más peligrosa, por lo que prevenir no es promover, es cuidar.</w:t>
      </w:r>
    </w:p>
    <w:p w:rsidR="00CD45D9" w:rsidRPr="00CB38AA" w:rsidRDefault="00CD45D9" w:rsidP="00CD45D9">
      <w:pPr>
        <w:widowControl w:val="0"/>
        <w:autoSpaceDE w:val="0"/>
        <w:autoSpaceDN w:val="0"/>
        <w:spacing w:after="0" w:line="240" w:lineRule="auto"/>
        <w:rPr>
          <w:rFonts w:ascii="Times New Roman" w:eastAsia="Calibri" w:hAnsi="Times New Roman" w:cs="Times New Roman"/>
          <w:sz w:val="24"/>
          <w:szCs w:val="24"/>
          <w:lang w:val="es-ES"/>
        </w:rPr>
      </w:pPr>
    </w:p>
    <w:p w:rsidR="00CD45D9" w:rsidRPr="00CB38AA" w:rsidRDefault="00CD45D9" w:rsidP="00CD45D9">
      <w:pPr>
        <w:widowControl w:val="0"/>
        <w:autoSpaceDE w:val="0"/>
        <w:autoSpaceDN w:val="0"/>
        <w:spacing w:after="0" w:line="240" w:lineRule="auto"/>
        <w:jc w:val="center"/>
        <w:rPr>
          <w:rFonts w:ascii="Times New Roman" w:eastAsia="Calibri" w:hAnsi="Times New Roman" w:cs="Times New Roman"/>
          <w:b/>
          <w:sz w:val="24"/>
          <w:szCs w:val="24"/>
          <w:lang w:val="es-ES"/>
        </w:rPr>
      </w:pPr>
      <w:r w:rsidRPr="00CB38AA">
        <w:rPr>
          <w:rFonts w:ascii="Times New Roman" w:eastAsia="Calibri" w:hAnsi="Times New Roman" w:cs="Times New Roman"/>
          <w:b/>
          <w:sz w:val="24"/>
          <w:szCs w:val="24"/>
          <w:lang w:val="es-ES"/>
        </w:rPr>
        <w:t>A T E N T A M E N T E</w:t>
      </w:r>
    </w:p>
    <w:p w:rsidR="00CD45D9" w:rsidRPr="00CB38AA" w:rsidRDefault="00CD45D9" w:rsidP="00CD45D9">
      <w:pPr>
        <w:widowControl w:val="0"/>
        <w:autoSpaceDE w:val="0"/>
        <w:autoSpaceDN w:val="0"/>
        <w:spacing w:after="0" w:line="240" w:lineRule="auto"/>
        <w:rPr>
          <w:rFonts w:ascii="Times New Roman" w:eastAsia="Calibri" w:hAnsi="Times New Roman" w:cs="Times New Roman"/>
          <w:b/>
          <w:sz w:val="24"/>
          <w:szCs w:val="24"/>
          <w:lang w:val="es-ES"/>
        </w:rPr>
      </w:pPr>
    </w:p>
    <w:tbl>
      <w:tblPr>
        <w:tblStyle w:val="Tablaconcuadrcu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3"/>
        <w:gridCol w:w="4702"/>
      </w:tblGrid>
      <w:tr w:rsidR="00CD45D9" w:rsidRPr="00CB38AA" w:rsidTr="001D1629">
        <w:trPr>
          <w:jc w:val="center"/>
        </w:trPr>
        <w:tc>
          <w:tcPr>
            <w:tcW w:w="4750" w:type="dxa"/>
          </w:tcPr>
          <w:p w:rsidR="00CD45D9" w:rsidRPr="00CB38AA" w:rsidRDefault="00CD45D9" w:rsidP="00E61F9E">
            <w:pPr>
              <w:spacing w:line="240" w:lineRule="auto"/>
              <w:jc w:val="center"/>
              <w:rPr>
                <w:rFonts w:ascii="Times New Roman" w:eastAsia="Calibri" w:hAnsi="Times New Roman" w:cs="Times New Roman"/>
                <w:b/>
                <w:sz w:val="24"/>
                <w:szCs w:val="24"/>
                <w:lang w:val="es-ES"/>
              </w:rPr>
            </w:pPr>
            <w:r w:rsidRPr="00CB38AA">
              <w:rPr>
                <w:rFonts w:ascii="Times New Roman" w:eastAsia="Calibri" w:hAnsi="Times New Roman" w:cs="Times New Roman"/>
                <w:b/>
                <w:sz w:val="24"/>
                <w:szCs w:val="24"/>
                <w:lang w:val="es-ES"/>
              </w:rPr>
              <w:t>DIP. ARACELI CASASOLA SALAZAR</w:t>
            </w:r>
          </w:p>
        </w:tc>
        <w:tc>
          <w:tcPr>
            <w:tcW w:w="4750" w:type="dxa"/>
          </w:tcPr>
          <w:p w:rsidR="00CD45D9" w:rsidRPr="00CB38AA" w:rsidRDefault="00CD45D9" w:rsidP="00E61F9E">
            <w:pPr>
              <w:spacing w:line="240" w:lineRule="auto"/>
              <w:jc w:val="center"/>
              <w:rPr>
                <w:rFonts w:ascii="Times New Roman" w:eastAsia="Calibri" w:hAnsi="Times New Roman" w:cs="Times New Roman"/>
                <w:b/>
                <w:sz w:val="24"/>
                <w:szCs w:val="24"/>
                <w:lang w:val="es-ES"/>
              </w:rPr>
            </w:pPr>
            <w:r w:rsidRPr="00CB38AA">
              <w:rPr>
                <w:rFonts w:ascii="Times New Roman" w:eastAsia="Calibri" w:hAnsi="Times New Roman" w:cs="Times New Roman"/>
                <w:b/>
                <w:sz w:val="24"/>
                <w:szCs w:val="24"/>
                <w:lang w:val="es-ES"/>
              </w:rPr>
              <w:t>DIP. OMAR ORTEGA ÁLVAREZ</w:t>
            </w:r>
          </w:p>
        </w:tc>
      </w:tr>
    </w:tbl>
    <w:p w:rsidR="00CD45D9" w:rsidRPr="00CB38AA" w:rsidRDefault="00CD45D9" w:rsidP="00CD45D9">
      <w:pPr>
        <w:widowControl w:val="0"/>
        <w:autoSpaceDE w:val="0"/>
        <w:autoSpaceDN w:val="0"/>
        <w:spacing w:after="0" w:line="240" w:lineRule="auto"/>
        <w:jc w:val="center"/>
        <w:rPr>
          <w:rFonts w:ascii="Times New Roman" w:eastAsia="Calibri" w:hAnsi="Times New Roman" w:cs="Times New Roman"/>
          <w:b/>
          <w:sz w:val="24"/>
          <w:szCs w:val="24"/>
          <w:lang w:val="es-ES"/>
        </w:rPr>
      </w:pPr>
      <w:r w:rsidRPr="00CB38AA">
        <w:rPr>
          <w:rFonts w:ascii="Times New Roman" w:eastAsia="Calibri" w:hAnsi="Times New Roman" w:cs="Times New Roman"/>
          <w:b/>
          <w:sz w:val="24"/>
          <w:szCs w:val="24"/>
          <w:lang w:val="es-ES"/>
        </w:rPr>
        <w:t>GRUPO PARLAMENTARIO DEL PARTIDO DE LA REVOLUCIÓN DEMOCRÁTICA</w:t>
      </w:r>
    </w:p>
    <w:p w:rsidR="00CD45D9" w:rsidRPr="00CB38AA" w:rsidRDefault="00CD45D9" w:rsidP="00CD45D9">
      <w:pPr>
        <w:widowControl w:val="0"/>
        <w:autoSpaceDE w:val="0"/>
        <w:autoSpaceDN w:val="0"/>
        <w:spacing w:after="0" w:line="240" w:lineRule="auto"/>
        <w:rPr>
          <w:rFonts w:ascii="Times New Roman" w:eastAsia="Calibri" w:hAnsi="Times New Roman" w:cs="Times New Roman"/>
          <w:b/>
          <w:sz w:val="24"/>
          <w:szCs w:val="24"/>
          <w:lang w:val="es-ES"/>
        </w:rPr>
      </w:pPr>
    </w:p>
    <w:p w:rsidR="00CD45D9" w:rsidRPr="00CB38AA" w:rsidRDefault="00CD45D9" w:rsidP="00CD45D9">
      <w:pPr>
        <w:widowControl w:val="0"/>
        <w:autoSpaceDE w:val="0"/>
        <w:autoSpaceDN w:val="0"/>
        <w:spacing w:after="0" w:line="240" w:lineRule="auto"/>
        <w:rPr>
          <w:rFonts w:ascii="Times New Roman" w:eastAsia="Calibri" w:hAnsi="Times New Roman" w:cs="Times New Roman"/>
          <w:b/>
          <w:sz w:val="24"/>
          <w:szCs w:val="24"/>
          <w:lang w:val="es-ES"/>
        </w:rPr>
      </w:pPr>
    </w:p>
    <w:p w:rsidR="00CD45D9" w:rsidRPr="00CB38AA" w:rsidRDefault="00CD45D9" w:rsidP="00CD45D9">
      <w:pPr>
        <w:widowControl w:val="0"/>
        <w:autoSpaceDE w:val="0"/>
        <w:autoSpaceDN w:val="0"/>
        <w:spacing w:after="0" w:line="240" w:lineRule="auto"/>
        <w:rPr>
          <w:rFonts w:ascii="Times New Roman" w:eastAsia="Calibri" w:hAnsi="Times New Roman" w:cs="Times New Roman"/>
          <w:b/>
          <w:sz w:val="24"/>
          <w:szCs w:val="24"/>
          <w:lang w:val="es-ES"/>
        </w:rPr>
      </w:pPr>
      <w:r w:rsidRPr="00CB38AA">
        <w:rPr>
          <w:rFonts w:ascii="Times New Roman" w:eastAsia="Calibri" w:hAnsi="Times New Roman" w:cs="Times New Roman"/>
          <w:b/>
          <w:sz w:val="24"/>
          <w:szCs w:val="24"/>
          <w:lang w:val="es-ES"/>
        </w:rPr>
        <w:t xml:space="preserve">DECRETO NÚMERO: </w:t>
      </w:r>
      <w:r w:rsidRPr="00CB38AA">
        <w:rPr>
          <w:rFonts w:ascii="Times New Roman" w:eastAsia="Calibri" w:hAnsi="Times New Roman" w:cs="Times New Roman"/>
          <w:b/>
          <w:sz w:val="24"/>
          <w:szCs w:val="24"/>
          <w:u w:val="single"/>
          <w:lang w:val="es-ES"/>
        </w:rPr>
        <w:tab/>
      </w: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b/>
          <w:sz w:val="24"/>
          <w:szCs w:val="24"/>
          <w:lang w:val="es-ES"/>
        </w:rPr>
      </w:pPr>
      <w:r w:rsidRPr="00CB38AA">
        <w:rPr>
          <w:rFonts w:ascii="Times New Roman" w:eastAsia="Calibri" w:hAnsi="Times New Roman" w:cs="Times New Roman"/>
          <w:b/>
          <w:sz w:val="24"/>
          <w:szCs w:val="24"/>
          <w:lang w:val="es-ES"/>
        </w:rPr>
        <w:t>LA H. "LXII" LEGISLATURA DEL ESTADO DE MÉXICO</w:t>
      </w: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b/>
          <w:sz w:val="24"/>
          <w:szCs w:val="24"/>
          <w:lang w:val="es-ES"/>
        </w:rPr>
      </w:pPr>
      <w:r w:rsidRPr="00CB38AA">
        <w:rPr>
          <w:rFonts w:ascii="Times New Roman" w:eastAsia="Calibri" w:hAnsi="Times New Roman" w:cs="Times New Roman"/>
          <w:b/>
          <w:sz w:val="24"/>
          <w:szCs w:val="24"/>
          <w:lang w:val="es-ES"/>
        </w:rPr>
        <w:t>DECRETA:</w:t>
      </w:r>
    </w:p>
    <w:p w:rsidR="00CD45D9" w:rsidRPr="00CB38AA" w:rsidRDefault="00CD45D9" w:rsidP="00CD45D9">
      <w:pPr>
        <w:widowControl w:val="0"/>
        <w:autoSpaceDE w:val="0"/>
        <w:autoSpaceDN w:val="0"/>
        <w:spacing w:after="0" w:line="240" w:lineRule="auto"/>
        <w:rPr>
          <w:rFonts w:ascii="Times New Roman" w:eastAsia="Calibri" w:hAnsi="Times New Roman" w:cs="Times New Roman"/>
          <w:b/>
          <w:sz w:val="24"/>
          <w:szCs w:val="24"/>
          <w:lang w:val="es-ES"/>
        </w:rPr>
      </w:pP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r w:rsidRPr="00CB38AA">
        <w:rPr>
          <w:rFonts w:ascii="Times New Roman" w:eastAsia="Calibri" w:hAnsi="Times New Roman" w:cs="Times New Roman"/>
          <w:b/>
          <w:sz w:val="24"/>
          <w:szCs w:val="24"/>
          <w:lang w:val="es-ES"/>
        </w:rPr>
        <w:t xml:space="preserve">ARTÍCULO ÚNICO. Se reforma el artículo 86, la fracción IV del artículo 88 y se crea el artículo 88 de la Ley de Educación del Estado de México, </w:t>
      </w:r>
      <w:r w:rsidRPr="00CB38AA">
        <w:rPr>
          <w:rFonts w:ascii="Times New Roman" w:eastAsia="Calibri" w:hAnsi="Times New Roman" w:cs="Times New Roman"/>
          <w:sz w:val="24"/>
          <w:szCs w:val="24"/>
          <w:lang w:val="es-ES"/>
        </w:rPr>
        <w:t>al tenor de la siguiente:</w:t>
      </w:r>
    </w:p>
    <w:p w:rsidR="00CD45D9" w:rsidRPr="00CB38AA" w:rsidRDefault="00CD45D9" w:rsidP="00CD45D9">
      <w:pPr>
        <w:widowControl w:val="0"/>
        <w:autoSpaceDE w:val="0"/>
        <w:autoSpaceDN w:val="0"/>
        <w:spacing w:after="0" w:line="240" w:lineRule="auto"/>
        <w:rPr>
          <w:rFonts w:ascii="Times New Roman" w:eastAsia="Calibri" w:hAnsi="Times New Roman" w:cs="Times New Roman"/>
          <w:sz w:val="24"/>
          <w:szCs w:val="24"/>
          <w:lang w:val="es-ES"/>
        </w:rPr>
      </w:pP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r w:rsidRPr="00CB38AA">
        <w:rPr>
          <w:rFonts w:ascii="Times New Roman" w:eastAsia="Calibri" w:hAnsi="Times New Roman" w:cs="Times New Roman"/>
          <w:b/>
          <w:sz w:val="24"/>
          <w:szCs w:val="24"/>
          <w:lang w:val="es-ES"/>
        </w:rPr>
        <w:t xml:space="preserve">Artículo 86. </w:t>
      </w:r>
      <w:r w:rsidRPr="00CB38AA">
        <w:rPr>
          <w:rFonts w:ascii="Times New Roman" w:eastAsia="Calibri" w:hAnsi="Times New Roman" w:cs="Times New Roman"/>
          <w:sz w:val="24"/>
          <w:szCs w:val="24"/>
          <w:lang w:val="es-ES"/>
        </w:rPr>
        <w:t xml:space="preserve">Las autoridades educativas, en el ámbito de sus respectivas competencias, y los particulares con autorización o con reconocimiento de validez oficial de estudios, contribuirán al desarrollo de una cultura de la salud, promoviendo la educación física, la práctica del deporte, los hábitos de higiene y de sana alimentación, promoverán y fomentarán la educación sobre salud bucodental, la práctica de hábitos de higiene dental. Así como la educación sexual </w:t>
      </w:r>
      <w:r w:rsidRPr="00CB38AA">
        <w:rPr>
          <w:rFonts w:ascii="Times New Roman" w:eastAsia="Calibri" w:hAnsi="Times New Roman" w:cs="Times New Roman"/>
          <w:b/>
          <w:sz w:val="24"/>
          <w:szCs w:val="24"/>
          <w:lang w:val="es-ES"/>
        </w:rPr>
        <w:t xml:space="preserve">integral </w:t>
      </w:r>
      <w:r w:rsidRPr="00CB38AA">
        <w:rPr>
          <w:rFonts w:ascii="Times New Roman" w:eastAsia="Calibri" w:hAnsi="Times New Roman" w:cs="Times New Roman"/>
          <w:sz w:val="24"/>
          <w:szCs w:val="24"/>
          <w:lang w:val="es-ES"/>
        </w:rPr>
        <w:t xml:space="preserve">y reproductiva, mediante campañas permanentes a favor del respeto a la diversidad sexual y la no discriminación, </w:t>
      </w:r>
      <w:r w:rsidRPr="00CB38AA">
        <w:rPr>
          <w:rFonts w:ascii="Times New Roman" w:eastAsia="Calibri" w:hAnsi="Times New Roman" w:cs="Times New Roman"/>
          <w:b/>
          <w:sz w:val="24"/>
          <w:szCs w:val="24"/>
          <w:lang w:val="es-ES"/>
        </w:rPr>
        <w:t xml:space="preserve">mismas que les permitan adquirir conocimientos, capacidades, actitudes y valores para vivir con buena salud, bienestar y dignidad en el desarrollo de sus relaciones de </w:t>
      </w:r>
      <w:r w:rsidRPr="00CB38AA">
        <w:rPr>
          <w:rFonts w:ascii="Times New Roman" w:eastAsia="Calibri" w:hAnsi="Times New Roman" w:cs="Times New Roman"/>
          <w:b/>
          <w:sz w:val="24"/>
          <w:szCs w:val="24"/>
          <w:lang w:val="es-ES"/>
        </w:rPr>
        <w:lastRenderedPageBreak/>
        <w:t>acuerdo a la edad</w:t>
      </w:r>
      <w:r w:rsidRPr="00CB38AA">
        <w:rPr>
          <w:rFonts w:ascii="Times New Roman" w:eastAsia="Calibri" w:hAnsi="Times New Roman" w:cs="Times New Roman"/>
          <w:sz w:val="24"/>
          <w:szCs w:val="24"/>
          <w:lang w:val="es-ES"/>
        </w:rPr>
        <w:t xml:space="preserve">, autonomía progresiva, desarrollo cognitivo y madurez de los educandos fomentando en ellos la realización de estudios de laboratorio para detectar infecciones de transmisión sexual, </w:t>
      </w:r>
      <w:r w:rsidRPr="00CB38AA">
        <w:rPr>
          <w:rFonts w:ascii="Times New Roman" w:eastAsia="Calibri" w:hAnsi="Times New Roman" w:cs="Times New Roman"/>
          <w:b/>
          <w:sz w:val="24"/>
          <w:szCs w:val="24"/>
          <w:lang w:val="es-ES"/>
        </w:rPr>
        <w:t xml:space="preserve">el conocimiento de los servicios de salud sexual y reproductiva, así como una toma de decisiones informada y consentida. </w:t>
      </w:r>
      <w:r w:rsidRPr="00CB38AA">
        <w:rPr>
          <w:rFonts w:ascii="Times New Roman" w:eastAsia="Calibri" w:hAnsi="Times New Roman" w:cs="Times New Roman"/>
          <w:sz w:val="24"/>
          <w:szCs w:val="24"/>
          <w:lang w:val="es-ES"/>
        </w:rPr>
        <w:t>La salud e higiene menstrual y la prevención de adicciones a través del conocimiento de sus causas, riesgos y consecuencias, de acuerdo con su edad, desarrollo evolutivo, cognoscitivo y madurez.</w:t>
      </w: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r w:rsidRPr="00CB38AA">
        <w:rPr>
          <w:rFonts w:ascii="Times New Roman" w:eastAsia="Calibri" w:hAnsi="Times New Roman" w:cs="Times New Roman"/>
          <w:b/>
          <w:sz w:val="24"/>
          <w:szCs w:val="24"/>
          <w:lang w:val="es-ES"/>
        </w:rPr>
        <w:t xml:space="preserve">Artículo 88. </w:t>
      </w:r>
      <w:r w:rsidRPr="00CB38AA">
        <w:rPr>
          <w:rFonts w:ascii="Times New Roman" w:eastAsia="Calibri" w:hAnsi="Times New Roman" w:cs="Times New Roman"/>
          <w:sz w:val="24"/>
          <w:szCs w:val="24"/>
          <w:lang w:val="es-ES"/>
        </w:rPr>
        <w:t>El Gobierno del Estado de México proporcionará el suministro efectivo, gratuito e irrestricto de productos para la gestión menstrual a niñas y adolescentes, de acuerdo con la suficiencia presupuestal disponible, priorizando a las niñas y adolescentes educandas que se encuentren en zonas de alta marginación, lo cual les permitirá tener un desarrollo integral; para ello las instituciones educativas y de salud, deberán priorizar a aquellas instituciones ubicadas en localidades con alta marginación.</w:t>
      </w: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p>
    <w:p w:rsidR="00CD45D9" w:rsidRPr="00CB38AA" w:rsidRDefault="00CD45D9" w:rsidP="00CD45D9">
      <w:pPr>
        <w:widowControl w:val="0"/>
        <w:autoSpaceDE w:val="0"/>
        <w:autoSpaceDN w:val="0"/>
        <w:spacing w:after="0" w:line="240" w:lineRule="auto"/>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w:t>
      </w: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I. a III. …</w:t>
      </w: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IV. Promover acciones de capacitación y difusión</w:t>
      </w:r>
      <w:r w:rsidRPr="00CB38AA">
        <w:rPr>
          <w:rFonts w:ascii="Times New Roman" w:eastAsia="Calibri" w:hAnsi="Times New Roman" w:cs="Times New Roman"/>
          <w:b/>
          <w:sz w:val="24"/>
          <w:szCs w:val="24"/>
          <w:lang w:val="es-ES"/>
        </w:rPr>
        <w:t xml:space="preserve">, con materiales, recursos y programas científicamente correctos, información precisa sobre el cuerpo, cambios físicos, métodos anticonceptivos y embarazos no planificados, dirigidos </w:t>
      </w:r>
      <w:r w:rsidRPr="00CB38AA">
        <w:rPr>
          <w:rFonts w:ascii="Times New Roman" w:eastAsia="Calibri" w:hAnsi="Times New Roman" w:cs="Times New Roman"/>
          <w:sz w:val="24"/>
          <w:szCs w:val="24"/>
          <w:lang w:val="es-ES"/>
        </w:rPr>
        <w:t>a las madres, padres de familia o tutores, para que orienten adecuadamente sobre educación sexual integral y reproductiva, de salud y gestión menstrual de sus hijos o pupilos, así como para fortalecer la integración familiar, y</w:t>
      </w: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V. …</w:t>
      </w:r>
    </w:p>
    <w:p w:rsidR="00CD45D9" w:rsidRPr="00CB38AA" w:rsidRDefault="00CD45D9" w:rsidP="00CD45D9">
      <w:pPr>
        <w:widowControl w:val="0"/>
        <w:autoSpaceDE w:val="0"/>
        <w:autoSpaceDN w:val="0"/>
        <w:spacing w:after="0" w:line="240" w:lineRule="auto"/>
        <w:rPr>
          <w:rFonts w:ascii="Times New Roman" w:eastAsia="Calibri" w:hAnsi="Times New Roman" w:cs="Times New Roman"/>
          <w:sz w:val="24"/>
          <w:szCs w:val="24"/>
          <w:lang w:val="es-ES"/>
        </w:rPr>
      </w:pP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b/>
          <w:sz w:val="24"/>
          <w:szCs w:val="24"/>
          <w:lang w:val="es-ES"/>
        </w:rPr>
      </w:pPr>
      <w:r w:rsidRPr="00CB38AA">
        <w:rPr>
          <w:rFonts w:ascii="Times New Roman" w:eastAsia="Calibri" w:hAnsi="Times New Roman" w:cs="Times New Roman"/>
          <w:b/>
          <w:sz w:val="24"/>
          <w:szCs w:val="24"/>
          <w:lang w:val="es-ES"/>
        </w:rPr>
        <w:t>Artículo 88. Bis. El Gobierno del Estado de México proporcionará el suministro efectivo, gratuito e irrestricto de métodos profilácticos, de acuerdo con la suficiencia presupuestal disponible, con el propósito de prevenir embarazos no deseados e infecciones de transmisión sexual, promoviendo una salud sexual responsable y garantizando el derecho al libre desarrollo de la personalidad.</w:t>
      </w:r>
    </w:p>
    <w:p w:rsidR="00CD45D9" w:rsidRPr="00CB38AA" w:rsidRDefault="00CD45D9" w:rsidP="00CD45D9">
      <w:pPr>
        <w:widowControl w:val="0"/>
        <w:autoSpaceDE w:val="0"/>
        <w:autoSpaceDN w:val="0"/>
        <w:spacing w:after="0" w:line="240" w:lineRule="auto"/>
        <w:rPr>
          <w:rFonts w:ascii="Times New Roman" w:eastAsia="Calibri" w:hAnsi="Times New Roman" w:cs="Times New Roman"/>
          <w:b/>
          <w:sz w:val="24"/>
          <w:szCs w:val="24"/>
          <w:lang w:val="es-ES"/>
        </w:rPr>
      </w:pPr>
    </w:p>
    <w:p w:rsidR="00CD45D9" w:rsidRPr="00CB38AA" w:rsidRDefault="00CD45D9" w:rsidP="00CD45D9">
      <w:pPr>
        <w:widowControl w:val="0"/>
        <w:autoSpaceDE w:val="0"/>
        <w:autoSpaceDN w:val="0"/>
        <w:spacing w:after="0" w:line="240" w:lineRule="auto"/>
        <w:jc w:val="center"/>
        <w:rPr>
          <w:rFonts w:ascii="Times New Roman" w:eastAsia="Calibri" w:hAnsi="Times New Roman" w:cs="Times New Roman"/>
          <w:b/>
          <w:sz w:val="24"/>
          <w:szCs w:val="24"/>
          <w:lang w:val="es-ES"/>
        </w:rPr>
      </w:pPr>
      <w:r w:rsidRPr="00CB38AA">
        <w:rPr>
          <w:rFonts w:ascii="Times New Roman" w:eastAsia="Calibri" w:hAnsi="Times New Roman" w:cs="Times New Roman"/>
          <w:b/>
          <w:sz w:val="24"/>
          <w:szCs w:val="24"/>
          <w:lang w:val="es-ES"/>
        </w:rPr>
        <w:t>T R A N S I T O R I O S</w:t>
      </w:r>
    </w:p>
    <w:p w:rsidR="00CD45D9" w:rsidRPr="00CB38AA" w:rsidRDefault="00CD45D9" w:rsidP="00CD45D9">
      <w:pPr>
        <w:widowControl w:val="0"/>
        <w:autoSpaceDE w:val="0"/>
        <w:autoSpaceDN w:val="0"/>
        <w:spacing w:after="0" w:line="240" w:lineRule="auto"/>
        <w:rPr>
          <w:rFonts w:ascii="Times New Roman" w:eastAsia="Calibri" w:hAnsi="Times New Roman" w:cs="Times New Roman"/>
          <w:b/>
          <w:sz w:val="24"/>
          <w:szCs w:val="24"/>
          <w:lang w:val="es-ES"/>
        </w:rPr>
      </w:pPr>
    </w:p>
    <w:p w:rsidR="00CD45D9" w:rsidRPr="00CB38AA" w:rsidRDefault="00CD45D9" w:rsidP="00CD45D9">
      <w:pPr>
        <w:widowControl w:val="0"/>
        <w:autoSpaceDE w:val="0"/>
        <w:autoSpaceDN w:val="0"/>
        <w:spacing w:after="0" w:line="240" w:lineRule="auto"/>
        <w:rPr>
          <w:rFonts w:ascii="Times New Roman" w:eastAsia="Calibri" w:hAnsi="Times New Roman" w:cs="Times New Roman"/>
          <w:sz w:val="24"/>
          <w:szCs w:val="24"/>
          <w:lang w:val="es-ES"/>
        </w:rPr>
      </w:pPr>
      <w:r w:rsidRPr="00CB38AA">
        <w:rPr>
          <w:rFonts w:ascii="Times New Roman" w:eastAsia="Calibri" w:hAnsi="Times New Roman" w:cs="Times New Roman"/>
          <w:b/>
          <w:sz w:val="24"/>
          <w:szCs w:val="24"/>
          <w:lang w:val="es-ES"/>
        </w:rPr>
        <w:t xml:space="preserve">PRIMERO. </w:t>
      </w:r>
      <w:r w:rsidRPr="00CB38AA">
        <w:rPr>
          <w:rFonts w:ascii="Times New Roman" w:eastAsia="Calibri" w:hAnsi="Times New Roman" w:cs="Times New Roman"/>
          <w:sz w:val="24"/>
          <w:szCs w:val="24"/>
          <w:lang w:val="es-ES"/>
        </w:rPr>
        <w:t>Publíquese el presente decreto en el Periódico Oficial “Gaceta del Gobierno”.</w:t>
      </w:r>
    </w:p>
    <w:p w:rsidR="00CD45D9" w:rsidRPr="00CB38AA" w:rsidRDefault="00CD45D9" w:rsidP="00CD45D9">
      <w:pPr>
        <w:widowControl w:val="0"/>
        <w:autoSpaceDE w:val="0"/>
        <w:autoSpaceDN w:val="0"/>
        <w:spacing w:after="0" w:line="240" w:lineRule="auto"/>
        <w:rPr>
          <w:rFonts w:ascii="Times New Roman" w:eastAsia="Calibri" w:hAnsi="Times New Roman" w:cs="Times New Roman"/>
          <w:b/>
          <w:sz w:val="24"/>
          <w:szCs w:val="24"/>
          <w:lang w:val="es-ES"/>
        </w:rPr>
      </w:pPr>
    </w:p>
    <w:p w:rsidR="00CD45D9" w:rsidRPr="00CB38AA" w:rsidRDefault="00CD45D9" w:rsidP="00CD45D9">
      <w:pPr>
        <w:widowControl w:val="0"/>
        <w:autoSpaceDE w:val="0"/>
        <w:autoSpaceDN w:val="0"/>
        <w:spacing w:after="0" w:line="240" w:lineRule="auto"/>
        <w:rPr>
          <w:rFonts w:ascii="Times New Roman" w:eastAsia="Calibri" w:hAnsi="Times New Roman" w:cs="Times New Roman"/>
          <w:sz w:val="24"/>
          <w:szCs w:val="24"/>
          <w:lang w:val="es-ES"/>
        </w:rPr>
      </w:pPr>
      <w:r w:rsidRPr="00CB38AA">
        <w:rPr>
          <w:rFonts w:ascii="Times New Roman" w:eastAsia="Calibri" w:hAnsi="Times New Roman" w:cs="Times New Roman"/>
          <w:b/>
          <w:sz w:val="24"/>
          <w:szCs w:val="24"/>
          <w:lang w:val="es-ES"/>
        </w:rPr>
        <w:t xml:space="preserve">SEGUNDO. </w:t>
      </w:r>
      <w:r w:rsidRPr="00CB38AA">
        <w:rPr>
          <w:rFonts w:ascii="Times New Roman" w:eastAsia="Calibri" w:hAnsi="Times New Roman" w:cs="Times New Roman"/>
          <w:sz w:val="24"/>
          <w:szCs w:val="24"/>
          <w:lang w:val="es-ES"/>
        </w:rPr>
        <w:t>El presente decreto entrará en vigor al día siguiente de su publicación en el</w:t>
      </w:r>
    </w:p>
    <w:p w:rsidR="00CD45D9" w:rsidRPr="00CB38AA" w:rsidRDefault="00CD45D9" w:rsidP="00CD45D9">
      <w:pPr>
        <w:widowControl w:val="0"/>
        <w:autoSpaceDE w:val="0"/>
        <w:autoSpaceDN w:val="0"/>
        <w:spacing w:after="0" w:line="240" w:lineRule="auto"/>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Periódico Oficial “Gaceta del Gobierno”.</w:t>
      </w:r>
    </w:p>
    <w:p w:rsidR="00CD45D9" w:rsidRPr="00CB38AA" w:rsidRDefault="00CD45D9" w:rsidP="00CD45D9">
      <w:pPr>
        <w:widowControl w:val="0"/>
        <w:autoSpaceDE w:val="0"/>
        <w:autoSpaceDN w:val="0"/>
        <w:spacing w:after="0" w:line="240" w:lineRule="auto"/>
        <w:rPr>
          <w:rFonts w:ascii="Times New Roman" w:eastAsia="Calibri" w:hAnsi="Times New Roman" w:cs="Times New Roman"/>
          <w:sz w:val="24"/>
          <w:szCs w:val="24"/>
          <w:lang w:val="es-ES"/>
        </w:rPr>
      </w:pPr>
    </w:p>
    <w:p w:rsidR="00CD45D9" w:rsidRPr="00CB38AA" w:rsidRDefault="00CD45D9" w:rsidP="00CD45D9">
      <w:pPr>
        <w:widowControl w:val="0"/>
        <w:autoSpaceDE w:val="0"/>
        <w:autoSpaceDN w:val="0"/>
        <w:spacing w:after="0" w:line="240" w:lineRule="auto"/>
        <w:jc w:val="both"/>
        <w:rPr>
          <w:rFonts w:ascii="Times New Roman" w:eastAsia="Calibri" w:hAnsi="Times New Roman" w:cs="Times New Roman"/>
          <w:sz w:val="24"/>
          <w:szCs w:val="24"/>
          <w:lang w:val="es-ES"/>
        </w:rPr>
      </w:pPr>
      <w:r w:rsidRPr="00CB38AA">
        <w:rPr>
          <w:rFonts w:ascii="Times New Roman" w:eastAsia="Calibri" w:hAnsi="Times New Roman" w:cs="Times New Roman"/>
          <w:sz w:val="24"/>
          <w:szCs w:val="24"/>
          <w:lang w:val="es-ES"/>
        </w:rPr>
        <w:t xml:space="preserve">Dado en el Palacio del Poder Legislativo en Toluca de Lerdo, Estado de México a los </w:t>
      </w:r>
      <w:r w:rsidRPr="00CB38AA">
        <w:rPr>
          <w:rFonts w:ascii="Times New Roman" w:eastAsia="Calibri" w:hAnsi="Times New Roman" w:cs="Times New Roman"/>
          <w:sz w:val="24"/>
          <w:szCs w:val="24"/>
          <w:u w:val="single"/>
          <w:lang w:val="es-ES"/>
        </w:rPr>
        <w:t xml:space="preserve">  </w:t>
      </w:r>
      <w:r w:rsidRPr="00CB38AA">
        <w:rPr>
          <w:rFonts w:ascii="Times New Roman" w:eastAsia="Calibri" w:hAnsi="Times New Roman" w:cs="Times New Roman"/>
          <w:sz w:val="24"/>
          <w:szCs w:val="24"/>
          <w:lang w:val="es-ES"/>
        </w:rPr>
        <w:t>días del mes de febrero del año dos mil veintiséis.</w:t>
      </w:r>
    </w:p>
    <w:p w:rsidR="00270E69" w:rsidRPr="00CB38AA" w:rsidRDefault="00270E69" w:rsidP="001126B3">
      <w:pPr>
        <w:spacing w:after="0" w:line="240" w:lineRule="auto"/>
        <w:jc w:val="center"/>
        <w:rPr>
          <w:rFonts w:ascii="Times New Roman" w:hAnsi="Times New Roman" w:cs="Times New Roman"/>
          <w:sz w:val="24"/>
          <w:szCs w:val="24"/>
        </w:rPr>
      </w:pPr>
    </w:p>
    <w:p w:rsidR="00270E69" w:rsidRPr="00CB38AA" w:rsidRDefault="00270E69" w:rsidP="001126B3">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(Fin del documento)</w:t>
      </w:r>
    </w:p>
    <w:p w:rsidR="00270E69" w:rsidRPr="00CB38AA" w:rsidRDefault="00270E69" w:rsidP="001126B3">
      <w:pPr>
        <w:spacing w:after="0" w:line="240" w:lineRule="auto"/>
        <w:jc w:val="center"/>
        <w:rPr>
          <w:rFonts w:ascii="Times New Roman" w:hAnsi="Times New Roman" w:cs="Times New Roman"/>
          <w:sz w:val="24"/>
          <w:szCs w:val="24"/>
        </w:rPr>
      </w:pPr>
    </w:p>
    <w:p w:rsidR="00A35DFE" w:rsidRPr="00CB38AA" w:rsidRDefault="00270E69" w:rsidP="00270E69">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 xml:space="preserve">PRESIDENTA DIP. MARTHA AZUCENA CAMACHO REYNOSO. </w:t>
      </w:r>
      <w:r w:rsidR="00A35DFE" w:rsidRPr="00CB38AA">
        <w:rPr>
          <w:rFonts w:ascii="Times New Roman" w:hAnsi="Times New Roman" w:cs="Times New Roman"/>
          <w:sz w:val="24"/>
          <w:szCs w:val="24"/>
        </w:rPr>
        <w:t>Se registra la iniciativa y se remite a la Comisión Legislativa de Educación, Cultura, Ciencia, Tecnología e Innovación para su estudio y dictamen.</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En cuanto al punto número 22, el diputado Isaías Peláez Soria presenta, en nombre del Grupo Parlamentario del Partido Verde Ecologista de México, punto de acuerdo, por el que se </w:t>
      </w:r>
      <w:r w:rsidRPr="00CB38AA">
        <w:rPr>
          <w:rFonts w:ascii="Times New Roman" w:hAnsi="Times New Roman" w:cs="Times New Roman"/>
          <w:sz w:val="24"/>
          <w:szCs w:val="24"/>
        </w:rPr>
        <w:lastRenderedPageBreak/>
        <w:t xml:space="preserve">exhorta respetuosamente a los 125 Ayuntamientos del Estado de México y a la Secretaría de Salud del Estado de México y al Sistema para el Desarrollo Integral de la Familia del Estado de México (DIFEM) para que, en un ámbito de sus atribuciones, instalen refugios o espacios de resguardo de manera permanente destinados a familiares de pacientes hospitalizados, garantizando condiciones de seguridad, higiene, descanso y acceso a servicios básicos.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 xml:space="preserve">DIP. ISAÍAS PELÁEZ SORIA. Buenas tardes.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Con su venia diputada Presidenta. Saludo a las y los integrantes de la Mesa Directiva y a mis compañeras y compañeros diputados; también a los diferentes medios de comunicación que siguen estos trabajos legislativos a través de diferentes plataformas digitales, muy buenas tardes.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Cuando hablamos de salud, no sólo hablamos de quien está en la cama del hospital, también hablamos de quienes están fuera esperando noticias, muchas veces durante horas, días, incluso semanas, lamentablemente esto lo vemos en diversos hospitales públicos del Estado de México, como el Hospital José María Rodríguez en el Municipio de Ecatepec o el Hospital General de la zona 57 en el Municipio de Cuautitlán Izcalli, sólo por mencionar algunos.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Esta situación se vuelve todavía más difícil con el sol implacable, fuertes fríos y lluvias, quienes han pasado una madrugada fuera de un hospital saben que el frío cala, que el cansancio pesa y que la incertidumbre se siente más fuerte cuando no hay ni siquiera una silla disponible donde sentarse con dignidad.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Por eso debemos hablar del derecho de una espera digna, tener un familiar hospitalizado ya es en sí mismo una experiencia angustiante; sin embargo, en la mayoría de los hospitales no existen espacios adecuados para el descanso y resguardo de quienes permanecen a la espera de noticias, los tiempos de espera suelen ser prolongados, lo que obliga a muchas familias a permanecer en la vía pública, a improvisar campamentos en banquetas o en áreas verdes cercanas donde acomodan sus pertenencias, intentan aliviar su cansancio físico, emocional, en condiciones indignas e inseguras.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Debemos reconocer el esfuerzo que realizan organizaciones, fundaciones y asociaciones civiles que brindan alivio mediante albergues temporales, alimentos, cobijas o chamarras; sin embargo, cuando la hospitalización se prolonga por varios días, semanas o incluso meses, estos apoyos resultan insuficientes frente a la magnitud de la necesidad. Todos lo hemos visto, pero no podemos normalizar que dormir en la calle y soportar las inclemencias del tiempo sea parte de un proceso de acompañar a un paciente. La espera también merece dignidad.</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De acuerdo con el Sistema de Información de la Secretaría de Salud en 2025, más de 6 millones de personas acudieron a urgencias y más de 900.000 personas fueron hospitalizadas y permanecieron en promedio cuatro días dentro de un hospital, la pregunta obligada es ¿De cada una de estas personas hospitalizadas cuántos familiares no tuvieron acceso a un albergue y tuvieron que dormir en la calle?</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En nuestra Entidad, según registros del INEGI, en 2022 existían 112 unidades médicas de hospitalización general y 35 de hospitalización especializada, lo que implica que miles de familias deben trasladarse de un municipio a otro para recibir la atención médica, muchas veces sin contar con un lugar donde pasar la noche.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El Instituto de Salud del Estado de México cuenta actualmente con cinco albergues de asistencia temporal, uno de ellos es ubicado en el Hospital para el Niño en Toluca, incrementa hasta en un 50% su demanda durante la temporada invernal, este albergue tiene una capacidad para recibir a 200 personas. Sin embargo, en 2025 más de dos mil familias solicitaron alojamiento temporal.</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Es importante señalar que la mayoría de las personas que buscan ingresar a estos albergues provienen de municipios con mayores carencias económicas, lo que en ocasiones les impide cubrir la cuota de recuperación; además, con frecuencia son 2 a 3 familiares los que acompañan al paciente, mientras que los albergues suelen permitir el acceso de una persona por paciente.</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lastRenderedPageBreak/>
        <w:tab/>
        <w:t xml:space="preserve">A finales de 2025 se identificó que los hospitales con mayor número de personas que duermen a sus alrededores del hospital, es el Hospital del Niño, el Mónica Pretelini, el Adolfo López Mateos y el Nicolás San Juan, todos ubicados aquí en la capital de Toluca. Donde durante la temporada invernal se han registrado temperaturas cercanas a los cero grados. Aunque los apoyos a familiares suelen concretarse en diciembre y enero, la realidad que durante todo el año se observa a familias esperando en vía pública, expuestas al clima, al cansancio y en muchos casos también al hambre.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Bajo este contexto, desde el Grupo Parlamentario del Partido Verde consideramos que los albergues son indispensables para garantizar este derecho, especialmente cuando los hospitales se encuentran lejos de los hogares, los traslados son costosos y muchas familias no cuentan con recursos para pagar hospedaje alterno, la espera prolongada en condiciones indignas vulnera la dignidad humana.</w:t>
      </w:r>
    </w:p>
    <w:p w:rsidR="00A35DFE" w:rsidRPr="00CB38AA" w:rsidRDefault="00A35DFE" w:rsidP="00DF6EEA">
      <w:pPr>
        <w:pStyle w:val="Sinespaciado"/>
        <w:ind w:firstLine="709"/>
        <w:jc w:val="both"/>
        <w:rPr>
          <w:rFonts w:ascii="Times New Roman" w:hAnsi="Times New Roman" w:cs="Times New Roman"/>
          <w:sz w:val="24"/>
          <w:szCs w:val="24"/>
        </w:rPr>
      </w:pPr>
      <w:r w:rsidRPr="00CB38AA">
        <w:rPr>
          <w:rFonts w:ascii="Times New Roman" w:hAnsi="Times New Roman" w:cs="Times New Roman"/>
          <w:sz w:val="24"/>
          <w:szCs w:val="24"/>
        </w:rPr>
        <w:t>Un albergue permite cubrir necesidades básicas como descanso, aseo personal, necesidades fisiológicas y alimentación; pero esto sólo es posible si los espacios son suficientes, accesibles y verdaderamente dignos. Por ello, las y los legisladores del Partido Verde exhortamos respetuosamente a los 125 Ayuntamientos del Estado de México, a la Secretaría de Salud Estatal y al Sistema para el Desarrollo Integral de la Familia, para que en el ámbito de sus atribuciones instalen de manera permanente refugios o espacios de resguardo destinados a familiares de pacientes hospitalizados, garantizando condiciones de seguridad, higiene, descanso, acceso a servicios básicos, así como el acceso a salas de espera cuando existan los espacios disponibles.</w:t>
      </w:r>
    </w:p>
    <w:p w:rsidR="00A35DFE" w:rsidRPr="00CB38AA" w:rsidRDefault="00A35DFE" w:rsidP="00DF6EEA">
      <w:pPr>
        <w:pStyle w:val="Sinespaciado"/>
        <w:ind w:firstLine="709"/>
        <w:jc w:val="both"/>
        <w:rPr>
          <w:rFonts w:ascii="Times New Roman" w:hAnsi="Times New Roman" w:cs="Times New Roman"/>
          <w:sz w:val="24"/>
          <w:szCs w:val="24"/>
        </w:rPr>
      </w:pPr>
      <w:r w:rsidRPr="00CB38AA">
        <w:rPr>
          <w:rFonts w:ascii="Times New Roman" w:hAnsi="Times New Roman" w:cs="Times New Roman"/>
          <w:sz w:val="24"/>
          <w:szCs w:val="24"/>
        </w:rPr>
        <w:t xml:space="preserve">La enfermedad no solo afecta al paciente; también impacta a quien acompaña y a quien espera, garantizar espacios de resguardo y acceso a salas de espera no es un lujo, es una medida mínima de humanidad, es reconocer que en la salud también implica trato digno para quienes acompañan.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Es cuanto y muchas gracias, compañeras y compañeras.</w:t>
      </w:r>
    </w:p>
    <w:p w:rsidR="008E5A2B" w:rsidRPr="00CB38AA" w:rsidRDefault="008E5A2B" w:rsidP="001126B3">
      <w:pPr>
        <w:pStyle w:val="Sinespaciado"/>
        <w:jc w:val="both"/>
        <w:rPr>
          <w:rFonts w:ascii="Times New Roman" w:hAnsi="Times New Roman" w:cs="Times New Roman"/>
          <w:sz w:val="24"/>
          <w:szCs w:val="24"/>
        </w:rPr>
      </w:pPr>
    </w:p>
    <w:p w:rsidR="008E5A2B" w:rsidRPr="00CB38AA" w:rsidRDefault="008E5A2B" w:rsidP="001126B3">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(Se inserta documento)</w:t>
      </w:r>
    </w:p>
    <w:p w:rsidR="008E5A2B" w:rsidRPr="00CB38AA" w:rsidRDefault="008E5A2B" w:rsidP="001126B3">
      <w:pPr>
        <w:spacing w:after="0" w:line="240" w:lineRule="auto"/>
        <w:jc w:val="center"/>
        <w:rPr>
          <w:rFonts w:ascii="Times New Roman" w:hAnsi="Times New Roman" w:cs="Times New Roman"/>
          <w:sz w:val="24"/>
          <w:szCs w:val="24"/>
        </w:rPr>
      </w:pPr>
    </w:p>
    <w:p w:rsidR="008E5A2B" w:rsidRPr="00CB38AA" w:rsidRDefault="008E5A2B" w:rsidP="008E5A2B">
      <w:pPr>
        <w:autoSpaceDE w:val="0"/>
        <w:autoSpaceDN w:val="0"/>
        <w:adjustRightInd w:val="0"/>
        <w:spacing w:after="0" w:line="240" w:lineRule="auto"/>
        <w:jc w:val="both"/>
        <w:rPr>
          <w:rFonts w:ascii="Times New Roman" w:eastAsia="Calibri" w:hAnsi="Times New Roman" w:cs="Times New Roman"/>
          <w:b/>
          <w:bCs/>
          <w:sz w:val="24"/>
          <w:szCs w:val="24"/>
        </w:rPr>
      </w:pPr>
      <w:r w:rsidRPr="00CB38AA">
        <w:rPr>
          <w:rFonts w:ascii="Times New Roman" w:eastAsia="Calibri" w:hAnsi="Times New Roman" w:cs="Times New Roman"/>
          <w:b/>
          <w:bCs/>
          <w:sz w:val="24"/>
          <w:szCs w:val="24"/>
        </w:rPr>
        <w:t>CONGRESO</w:t>
      </w:r>
    </w:p>
    <w:p w:rsidR="008E5A2B" w:rsidRPr="00CB38AA" w:rsidRDefault="008E5A2B" w:rsidP="008E5A2B">
      <w:pPr>
        <w:autoSpaceDE w:val="0"/>
        <w:autoSpaceDN w:val="0"/>
        <w:adjustRightInd w:val="0"/>
        <w:spacing w:after="0" w:line="240" w:lineRule="auto"/>
        <w:jc w:val="both"/>
        <w:rPr>
          <w:rFonts w:ascii="Times New Roman" w:eastAsia="Calibri" w:hAnsi="Times New Roman" w:cs="Times New Roman"/>
          <w:b/>
          <w:bCs/>
          <w:sz w:val="24"/>
          <w:szCs w:val="24"/>
        </w:rPr>
      </w:pPr>
      <w:r w:rsidRPr="00CB38AA">
        <w:rPr>
          <w:rFonts w:ascii="Times New Roman" w:eastAsia="Calibri" w:hAnsi="Times New Roman" w:cs="Times New Roman"/>
          <w:b/>
          <w:bCs/>
          <w:sz w:val="24"/>
          <w:szCs w:val="24"/>
        </w:rPr>
        <w:t>ESTADO DE MÉXICO</w:t>
      </w:r>
    </w:p>
    <w:p w:rsidR="008E5A2B" w:rsidRPr="00CB38AA" w:rsidRDefault="008E5A2B" w:rsidP="008E5A2B">
      <w:pPr>
        <w:autoSpaceDE w:val="0"/>
        <w:autoSpaceDN w:val="0"/>
        <w:adjustRightInd w:val="0"/>
        <w:spacing w:after="0" w:line="240" w:lineRule="auto"/>
        <w:jc w:val="both"/>
        <w:rPr>
          <w:rFonts w:ascii="Times New Roman" w:eastAsia="Calibri" w:hAnsi="Times New Roman" w:cs="Times New Roman"/>
          <w:b/>
          <w:bCs/>
          <w:sz w:val="24"/>
          <w:szCs w:val="24"/>
        </w:rPr>
      </w:pPr>
    </w:p>
    <w:p w:rsidR="008E5A2B" w:rsidRPr="00CB38AA" w:rsidRDefault="008E5A2B" w:rsidP="008E5A2B">
      <w:pPr>
        <w:widowControl w:val="0"/>
        <w:autoSpaceDE w:val="0"/>
        <w:autoSpaceDN w:val="0"/>
        <w:spacing w:after="0"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GRUPO PARLAMENTARIO DEL PARTIDO VERDE ECOLOGISTA DE MEXICO</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8E5A2B" w:rsidRPr="00CB38AA" w:rsidRDefault="008E5A2B" w:rsidP="008E5A2B">
      <w:pPr>
        <w:widowControl w:val="0"/>
        <w:autoSpaceDE w:val="0"/>
        <w:autoSpaceDN w:val="0"/>
        <w:spacing w:after="0"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“2026. Año del Humanismo Mexicano en el Estado de México”.</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8E5A2B" w:rsidRPr="00CB38AA" w:rsidRDefault="008E5A2B" w:rsidP="008E5A2B">
      <w:pPr>
        <w:widowControl w:val="0"/>
        <w:autoSpaceDE w:val="0"/>
        <w:autoSpaceDN w:val="0"/>
        <w:spacing w:after="0" w:line="240" w:lineRule="auto"/>
        <w:jc w:val="right"/>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Toluca de Lerdo, Estado de México, a </w:t>
      </w:r>
      <w:r w:rsidRPr="00CB38AA">
        <w:rPr>
          <w:rFonts w:ascii="Times New Roman" w:eastAsia="Arial MT" w:hAnsi="Times New Roman" w:cs="Times New Roman"/>
          <w:sz w:val="24"/>
          <w:szCs w:val="24"/>
          <w:u w:val="single"/>
          <w:lang w:val="es-ES"/>
        </w:rPr>
        <w:tab/>
      </w:r>
      <w:r w:rsidRPr="00CB38AA">
        <w:rPr>
          <w:rFonts w:ascii="Times New Roman" w:eastAsia="Arial MT" w:hAnsi="Times New Roman" w:cs="Times New Roman"/>
          <w:sz w:val="24"/>
          <w:szCs w:val="24"/>
          <w:lang w:val="es-ES"/>
        </w:rPr>
        <w:t xml:space="preserve"> de </w:t>
      </w:r>
      <w:r w:rsidRPr="00CB38AA">
        <w:rPr>
          <w:rFonts w:ascii="Times New Roman" w:eastAsia="Arial MT" w:hAnsi="Times New Roman" w:cs="Times New Roman"/>
          <w:sz w:val="24"/>
          <w:szCs w:val="24"/>
          <w:u w:val="single"/>
          <w:lang w:val="es-ES"/>
        </w:rPr>
        <w:tab/>
      </w:r>
      <w:r w:rsidRPr="00CB38AA">
        <w:rPr>
          <w:rFonts w:ascii="Times New Roman" w:eastAsia="Arial MT" w:hAnsi="Times New Roman" w:cs="Times New Roman"/>
          <w:sz w:val="24"/>
          <w:szCs w:val="24"/>
          <w:lang w:val="es-ES"/>
        </w:rPr>
        <w:t xml:space="preserve"> de 2026.</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DIP. MARTHA AZUCENA CAMACHO REYNOSO</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PRESIDENTA DE LA MESA DIRECTIVA</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 xml:space="preserve">LXII LEGISLATURA DEL H. PODER </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DEL ESTADO LIBRE Y SOBERANO DE MÉXICO</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b/>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P R E S E N T E</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Honorable Asamblea:</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b/>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Quienes suscriben </w:t>
      </w:r>
      <w:r w:rsidRPr="00CB38AA">
        <w:rPr>
          <w:rFonts w:ascii="Times New Roman" w:eastAsia="Arial MT" w:hAnsi="Times New Roman" w:cs="Times New Roman"/>
          <w:b/>
          <w:sz w:val="24"/>
          <w:szCs w:val="24"/>
          <w:lang w:val="es-ES"/>
        </w:rPr>
        <w:t>JOSÉ ALBERTO COUTTOLENC BUENTELLO</w:t>
      </w:r>
      <w:r w:rsidRPr="00CB38AA">
        <w:rPr>
          <w:rFonts w:ascii="Times New Roman" w:eastAsia="Arial MT" w:hAnsi="Times New Roman" w:cs="Times New Roman"/>
          <w:sz w:val="24"/>
          <w:szCs w:val="24"/>
          <w:lang w:val="es-ES"/>
        </w:rPr>
        <w:t xml:space="preserve">, </w:t>
      </w:r>
      <w:r w:rsidRPr="00CB38AA">
        <w:rPr>
          <w:rFonts w:ascii="Times New Roman" w:eastAsia="Arial MT" w:hAnsi="Times New Roman" w:cs="Times New Roman"/>
          <w:b/>
          <w:sz w:val="24"/>
          <w:szCs w:val="24"/>
          <w:lang w:val="es-ES"/>
        </w:rPr>
        <w:t xml:space="preserve">HÉCTOR RAÚL GARCÍA GONZÁLEZ, HONORIA ARELLANO OCAMPO, ALEJANDRA FIGUEROA ADAME, GLORIA VANESSA LINARES ZETINA, CARLOS ALBERTO LÓPEZ IMM, ISAÍAS PELÁEZ SORIA, ITZEL GUADALUPE PÉREZ CORREA Y MIRIAM SILVA </w:t>
      </w:r>
      <w:r w:rsidRPr="00CB38AA">
        <w:rPr>
          <w:rFonts w:ascii="Times New Roman" w:eastAsia="Arial MT" w:hAnsi="Times New Roman" w:cs="Times New Roman"/>
          <w:b/>
          <w:sz w:val="24"/>
          <w:szCs w:val="24"/>
          <w:lang w:val="es-ES"/>
        </w:rPr>
        <w:lastRenderedPageBreak/>
        <w:t xml:space="preserve">MATA </w:t>
      </w:r>
      <w:r w:rsidRPr="00CB38AA">
        <w:rPr>
          <w:rFonts w:ascii="Times New Roman" w:eastAsia="Arial MT" w:hAnsi="Times New Roman" w:cs="Times New Roman"/>
          <w:sz w:val="24"/>
          <w:szCs w:val="24"/>
          <w:lang w:val="es-ES"/>
        </w:rPr>
        <w:t xml:space="preserve">diputadas y diputados integrantes del </w:t>
      </w:r>
      <w:r w:rsidRPr="00CB38AA">
        <w:rPr>
          <w:rFonts w:ascii="Times New Roman" w:eastAsia="Arial MT" w:hAnsi="Times New Roman" w:cs="Times New Roman"/>
          <w:b/>
          <w:sz w:val="24"/>
          <w:szCs w:val="24"/>
          <w:lang w:val="es-ES"/>
        </w:rPr>
        <w:t xml:space="preserve">GRUPO PARLAMENTARIO DEL PARTIDO VERDE ECOLOGISTA DE MÉXICO </w:t>
      </w:r>
      <w:r w:rsidRPr="00CB38AA">
        <w:rPr>
          <w:rFonts w:ascii="Times New Roman" w:eastAsia="Arial MT" w:hAnsi="Times New Roman" w:cs="Times New Roman"/>
          <w:sz w:val="24"/>
          <w:szCs w:val="24"/>
          <w:lang w:val="es-ES"/>
        </w:rPr>
        <w:t xml:space="preserve">en la LXII Legislatura del Estado de México, con fundamento en lo dispuesto por los artículos 6 y 116 de la Constitución Política de los Estados Unidos Mexicanos; 51 fracción II, 57 y 61 fracción I de la Constitución Política del Estado Libre y Soberano de México; 28 fracción I, 30, 38 fracción I, 79 y 81 de la Ley Orgánica del Poder Legislativo del Estado Libre y Soberano de México, sometemos a consideración de este Órgano Legislativo, la siguiente </w:t>
      </w:r>
      <w:r w:rsidRPr="00CB38AA">
        <w:rPr>
          <w:rFonts w:ascii="Times New Roman" w:eastAsia="Arial MT" w:hAnsi="Times New Roman" w:cs="Times New Roman"/>
          <w:b/>
          <w:sz w:val="24"/>
          <w:szCs w:val="24"/>
          <w:lang w:val="es-ES"/>
        </w:rPr>
        <w:t xml:space="preserve">PROPOSICIÓN CON PUNTO DE ACUERDO POR EL QUE SE EXHORTA RESPETUOSAMENTE A LOS 125 AYUNTAMIENTOS DEL ESTADO DE MÉXICO, A LA SECRETARÍA DE SALUD DEL ESTADO DE MÉXICO Y AL SISTEMA PARA EL DESARROLLO INTEGRAL DE LA FAMILIA DEL ESTADO DE MÉXICO (DIFEM), PARA QUE EN EL ÁMBITO DE SUS ATRIBUCIONES, INSTALEN REFUGIOS O ESPACIOS DE RESGUARDO DE MANERA PERMANENTE, DESTINADOS A FAMILIARES DE PACIENTES HOSPITALIZADOS, GARANTIZANDO CONDICIONES DE SEGURIDAD, HIGIENE, DESCANSO Y ACCESO A SERVICIOS BÁSICOS, </w:t>
      </w:r>
      <w:r w:rsidRPr="00CB38AA">
        <w:rPr>
          <w:rFonts w:ascii="Times New Roman" w:eastAsia="Arial MT" w:hAnsi="Times New Roman" w:cs="Times New Roman"/>
          <w:sz w:val="24"/>
          <w:szCs w:val="24"/>
          <w:lang w:val="es-ES"/>
        </w:rPr>
        <w:t>con sustento en la siguiente:</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b/>
          <w:sz w:val="24"/>
          <w:szCs w:val="24"/>
          <w:lang w:val="es-ES"/>
        </w:rPr>
      </w:pPr>
    </w:p>
    <w:p w:rsidR="008E5A2B" w:rsidRPr="00CB38AA" w:rsidRDefault="008E5A2B" w:rsidP="008E5A2B">
      <w:pPr>
        <w:widowControl w:val="0"/>
        <w:autoSpaceDE w:val="0"/>
        <w:autoSpaceDN w:val="0"/>
        <w:spacing w:after="0"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EXPOSICIÓN DE MOTIVOS</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b/>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La incertidumbre de tener un familiar hospitalizado es una experiencia profundamente angustiante para miles de personas. La espera por información sobre el diagnóstico, pronóstico, tratamiento o avances genera ansiedad, miedo y preocupación. A esta situación se suma el hecho de que, lamentablemente, en la mayoría de los hospitales no existen espacios adecuados para el descanso y resguardo de los familiares que permanecen a la espera de noticias.</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A pesar de que, tanto en hospitales públicos como privados, se cuenta con salas de espera, estas suelen tener asientos limitados y están comúnmente destinadas únicamente a un familiar por paciente, o bien, solo están en funcionamiento en determinado horario. El resto de los familiares se ve obligado a salir y esperar fuera de las instalaciones, en condiciones poco dignas.</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Los tiempos de espera en los hospitales suelen ser prolongados, lo que obliga a muchos familiares a permanecer en la calle, en banquetas o en las escasas áreas verdes cercanas. Estos espacios improvisados se utilizan para acomodar pertenencias, aliviar el cansancio físico o incluso comer; sin embargo, todas estas actividades se realizan en condiciones indignas e inseguras, sin protección contra las inclemencias del sol, el frío o la lluvia.</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Es importante reconocer el trabajo que realizan asociaciones, fundaciones y organizaciones civiles que, sobre todo en temporada de frío, habilitan espacios para que las familias tengan un lugar donde descansar. Sin embargo, muchas de las personas que acompañan a un familiar cuando este se encuentra hospitalizado no cuentan con recursos para pagar un lugar donde pasar la noche, asearse o incluso para cubrir necesidades básicas como la comida. Cuando la hospitalización se prolonga, la situación se vuelve todavía más complicada, porque las familias terminan pasando hambre, enfrentando temperaturas extremas, inseguridad o el riesgo de enfermar. Por eso, la falta de espacios adecuados para una espera digna no solo afecta físicamente, también afecta emocionalmente a quienes esperan.</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Es de reconocer que, aunque los principales apoyos a familiares de personas hospitalizadas se dan en los meses de diciembre y enero, cierto es que, en todos los meses del año, se puede presenciar a familiares esperando en vías públicas, expuestos a las inclemencias del clima, el cansancio y el hambre.</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México cuenta con el </w:t>
      </w:r>
      <w:r w:rsidRPr="00CB38AA">
        <w:rPr>
          <w:rFonts w:ascii="Times New Roman" w:eastAsia="Arial MT" w:hAnsi="Times New Roman" w:cs="Times New Roman"/>
          <w:i/>
          <w:sz w:val="24"/>
          <w:szCs w:val="24"/>
          <w:lang w:val="es-ES"/>
        </w:rPr>
        <w:t>“Decálogo de derechos y obligaciones de pacientes y profesionales de la salud”</w:t>
      </w:r>
      <w:r w:rsidRPr="00CB38AA">
        <w:rPr>
          <w:rFonts w:ascii="Times New Roman" w:eastAsia="Arial MT" w:hAnsi="Times New Roman" w:cs="Times New Roman"/>
          <w:i/>
          <w:sz w:val="24"/>
          <w:szCs w:val="24"/>
          <w:vertAlign w:val="superscript"/>
          <w:lang w:val="es-ES"/>
        </w:rPr>
        <w:t>1</w:t>
      </w:r>
      <w:r w:rsidRPr="00CB38AA">
        <w:rPr>
          <w:rFonts w:ascii="Times New Roman" w:eastAsia="Arial MT" w:hAnsi="Times New Roman" w:cs="Times New Roman"/>
          <w:sz w:val="24"/>
          <w:szCs w:val="24"/>
          <w:lang w:val="es-ES"/>
        </w:rPr>
        <w:t>, emitido por la Comisión Nacional de Arbitraje Médico, donde establece los derechos y obligaciones generales en la práctica médica, si bien no es un documento vinculante, sí es un instrumento general de referencia para pacientes y profesionales de la salud. En esa línea, el decálogo de derechos de las y los pacientes reconoce, entre otros, el derecho a la atención médica integral; a recibir atención oportuna, profesional y eficaz; a un trato digno con respeto a los derechos humanos; a recibir información completa, oportuna y veraz; así como a que se atiendan quejas e inconformidades.</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Estos derechos inciden directamente en la mejora de la calidad de atención médica que reciben los pacientes, pero también sus familiares; tal es el caso del </w:t>
      </w:r>
      <w:r w:rsidRPr="00CB38AA">
        <w:rPr>
          <w:rFonts w:ascii="Times New Roman" w:eastAsia="Arial MT" w:hAnsi="Times New Roman" w:cs="Times New Roman"/>
          <w:i/>
          <w:sz w:val="24"/>
          <w:szCs w:val="24"/>
          <w:lang w:val="es-ES"/>
        </w:rPr>
        <w:t xml:space="preserve">“Derecho a recibir trato digno con respeto a los derechos humanos”; </w:t>
      </w:r>
      <w:r w:rsidRPr="00CB38AA">
        <w:rPr>
          <w:rFonts w:ascii="Times New Roman" w:eastAsia="Arial MT" w:hAnsi="Times New Roman" w:cs="Times New Roman"/>
          <w:sz w:val="24"/>
          <w:szCs w:val="24"/>
          <w:lang w:val="es-ES"/>
        </w:rPr>
        <w:t>este es extensivo a sus familiares, acompañantes y/o cuidadores, sin discriminación alguna y en cualquier circunstancia, más aún cuando los pacientes permanecen internados por largos periodos de tiempo y que, por ende, sus familiares también padecen durante la espera, principalmente en hospitales del sector público.</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AB5430" w:rsidRPr="00CB38AA" w:rsidRDefault="008E5A2B" w:rsidP="00AB5430">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De acuerdo con el Sistema de Información de la Secretaría de Salud</w:t>
      </w:r>
      <w:r w:rsidRPr="00CB38AA">
        <w:rPr>
          <w:rFonts w:ascii="Times New Roman" w:eastAsia="Arial MT" w:hAnsi="Times New Roman" w:cs="Times New Roman"/>
          <w:sz w:val="24"/>
          <w:szCs w:val="24"/>
          <w:vertAlign w:val="superscript"/>
          <w:lang w:val="es-ES"/>
        </w:rPr>
        <w:t>2</w:t>
      </w:r>
      <w:r w:rsidRPr="00CB38AA">
        <w:rPr>
          <w:rFonts w:ascii="Times New Roman" w:eastAsia="Arial MT" w:hAnsi="Times New Roman" w:cs="Times New Roman"/>
          <w:sz w:val="24"/>
          <w:szCs w:val="24"/>
          <w:lang w:val="es-ES"/>
        </w:rPr>
        <w:t xml:space="preserve"> en 2023 se tenían 5 mil 053 unidades de hospitalización para la atención a enfermos de diferentes especialidades de estas unidades, de las cuales, según el Instituto Nacional de</w:t>
      </w:r>
      <w:r w:rsidR="00AB5430" w:rsidRPr="00CB38AA">
        <w:rPr>
          <w:rFonts w:ascii="Times New Roman" w:eastAsia="Arial MT" w:hAnsi="Times New Roman" w:cs="Times New Roman"/>
          <w:sz w:val="24"/>
          <w:szCs w:val="24"/>
          <w:lang w:val="es-ES"/>
        </w:rPr>
        <w:t xml:space="preserve"> Estadística y Geografía (INEGI)</w:t>
      </w:r>
      <w:r w:rsidR="00AB5430" w:rsidRPr="00CB38AA">
        <w:rPr>
          <w:rFonts w:ascii="Times New Roman" w:eastAsia="Arial MT" w:hAnsi="Times New Roman" w:cs="Times New Roman"/>
          <w:sz w:val="24"/>
          <w:szCs w:val="24"/>
          <w:vertAlign w:val="superscript"/>
          <w:lang w:val="es-ES"/>
        </w:rPr>
        <w:t>3</w:t>
      </w:r>
      <w:r w:rsidR="00AB5430" w:rsidRPr="00CB38AA">
        <w:rPr>
          <w:rFonts w:ascii="Times New Roman" w:eastAsia="Arial MT" w:hAnsi="Times New Roman" w:cs="Times New Roman"/>
          <w:sz w:val="24"/>
          <w:szCs w:val="24"/>
          <w:lang w:val="es-ES"/>
        </w:rPr>
        <w:t>, 2 mil 827 son establecimientos particulares, es decir, 55.94%, albergados principalmente en el Estado de México (437), Ciudad de México (244), Jalisco (207), Guanajuato (181), Michoacán (142), Veracruz (140) y Puebla (132), esta oferta hospitalaria se concentra principalmente en la región centro-occidente del país, lo que obliga, tanto al paciente como sus familiares, a desplazarse y buscar alojamiento, a la localidad, ciudad o estado donde se oferte la especialidad que necesitan.</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vertAlign w:val="superscript"/>
          <w:lang w:val="es-ES"/>
        </w:rPr>
        <w:t>1</w:t>
      </w:r>
      <w:r w:rsidRPr="00CB38AA">
        <w:rPr>
          <w:rFonts w:ascii="Times New Roman" w:eastAsia="Arial MT" w:hAnsi="Times New Roman" w:cs="Times New Roman"/>
          <w:sz w:val="24"/>
          <w:szCs w:val="24"/>
          <w:lang w:val="es-ES"/>
        </w:rPr>
        <w:t xml:space="preserve"> Secretaría de Salud. 2023. </w:t>
      </w:r>
      <w:r w:rsidRPr="00CB38AA">
        <w:rPr>
          <w:rFonts w:ascii="Times New Roman" w:eastAsia="Arial MT" w:hAnsi="Times New Roman" w:cs="Times New Roman"/>
          <w:i/>
          <w:sz w:val="24"/>
          <w:szCs w:val="24"/>
          <w:lang w:val="es-ES"/>
        </w:rPr>
        <w:t xml:space="preserve">Decálogos de derechos y obligaciones de pacientes y profesionales de la salud. </w:t>
      </w:r>
      <w:r w:rsidRPr="00CB38AA">
        <w:rPr>
          <w:rFonts w:ascii="Times New Roman" w:eastAsia="Arial MT" w:hAnsi="Times New Roman" w:cs="Times New Roman"/>
          <w:sz w:val="24"/>
          <w:szCs w:val="24"/>
          <w:lang w:val="es-ES"/>
        </w:rPr>
        <w:t xml:space="preserve">REVISTA CONAMED. Vol. 28 Supl. 1, 2023, pp s9-s21. Véase en: </w:t>
      </w:r>
      <w:hyperlink r:id="rId53">
        <w:r w:rsidRPr="00CB38AA">
          <w:rPr>
            <w:rFonts w:ascii="Times New Roman" w:eastAsia="Arial MT" w:hAnsi="Times New Roman" w:cs="Times New Roman"/>
            <w:sz w:val="24"/>
            <w:szCs w:val="24"/>
            <w:u w:val="single" w:color="0000FF"/>
            <w:lang w:val="es-ES"/>
          </w:rPr>
          <w:t>http://www.conamed.gob.mx/gobmx/revista/pdf/vol_28_2023/02-SCONAMED23-1-</w:t>
        </w:r>
      </w:hyperlink>
      <w:r w:rsidRPr="00CB38AA">
        <w:rPr>
          <w:rFonts w:ascii="Times New Roman" w:eastAsia="Arial MT" w:hAnsi="Times New Roman" w:cs="Times New Roman"/>
          <w:sz w:val="24"/>
          <w:szCs w:val="24"/>
          <w:lang w:val="es-ES"/>
        </w:rPr>
        <w:t xml:space="preserve"> </w:t>
      </w:r>
      <w:r w:rsidRPr="00CB38AA">
        <w:rPr>
          <w:rFonts w:ascii="Times New Roman" w:eastAsia="Arial MT" w:hAnsi="Times New Roman" w:cs="Times New Roman"/>
          <w:sz w:val="24"/>
          <w:szCs w:val="24"/>
          <w:u w:val="single" w:color="0000FF"/>
          <w:lang w:val="es-ES"/>
        </w:rPr>
        <w:t>Decalogos.pdf</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vertAlign w:val="superscript"/>
          <w:lang w:val="es-ES"/>
        </w:rPr>
        <w:t>2</w:t>
      </w:r>
      <w:r w:rsidRPr="00CB38AA">
        <w:rPr>
          <w:rFonts w:ascii="Times New Roman" w:eastAsia="Arial MT" w:hAnsi="Times New Roman" w:cs="Times New Roman"/>
          <w:sz w:val="24"/>
          <w:szCs w:val="24"/>
          <w:lang w:val="es-ES"/>
        </w:rPr>
        <w:t xml:space="preserve"> Sistema de Información de la Secretaría de Salud. </w:t>
      </w:r>
      <w:hyperlink r:id="rId54">
        <w:r w:rsidRPr="00CB38AA">
          <w:rPr>
            <w:rFonts w:ascii="Times New Roman" w:eastAsia="Arial MT" w:hAnsi="Times New Roman" w:cs="Times New Roman"/>
            <w:sz w:val="24"/>
            <w:szCs w:val="24"/>
            <w:u w:val="single" w:color="0000FF"/>
            <w:lang w:val="es-ES"/>
          </w:rPr>
          <w:t>http://sinaiscap.salud.gob.mx:8080/DGIS/</w:t>
        </w:r>
      </w:hyperlink>
    </w:p>
    <w:p w:rsidR="00AB5430" w:rsidRPr="00CB38AA" w:rsidRDefault="00AB5430" w:rsidP="00AB5430">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vertAlign w:val="superscript"/>
          <w:lang w:val="es-ES"/>
        </w:rPr>
        <w:t>3</w:t>
      </w:r>
      <w:r w:rsidRPr="00CB38AA">
        <w:rPr>
          <w:rFonts w:ascii="Times New Roman" w:eastAsia="Arial MT" w:hAnsi="Times New Roman" w:cs="Times New Roman"/>
          <w:sz w:val="24"/>
          <w:szCs w:val="24"/>
          <w:lang w:val="es-ES"/>
        </w:rPr>
        <w:t xml:space="preserve"> Instituto Nacional de Estadística y Geografía (INEGI). 1 de agosto de 2024. </w:t>
      </w:r>
      <w:r w:rsidRPr="00CB38AA">
        <w:rPr>
          <w:rFonts w:ascii="Times New Roman" w:eastAsia="Arial MT" w:hAnsi="Times New Roman" w:cs="Times New Roman"/>
          <w:i/>
          <w:sz w:val="24"/>
          <w:szCs w:val="24"/>
          <w:lang w:val="es-ES"/>
        </w:rPr>
        <w:t xml:space="preserve">Estadísticas de Salud en Establecimiento Particulares (ESEP) 2023. </w:t>
      </w:r>
      <w:r w:rsidRPr="00CB38AA">
        <w:rPr>
          <w:rFonts w:ascii="Times New Roman" w:eastAsia="Arial MT" w:hAnsi="Times New Roman" w:cs="Times New Roman"/>
          <w:sz w:val="24"/>
          <w:szCs w:val="24"/>
          <w:lang w:val="es-ES"/>
        </w:rPr>
        <w:t xml:space="preserve">INEGI. Véase en: </w:t>
      </w:r>
      <w:r w:rsidRPr="00CB38AA">
        <w:rPr>
          <w:rFonts w:ascii="Times New Roman" w:eastAsia="Arial MT" w:hAnsi="Times New Roman" w:cs="Times New Roman"/>
          <w:sz w:val="24"/>
          <w:szCs w:val="24"/>
          <w:u w:val="single" w:color="0000FF"/>
          <w:lang w:val="es-ES"/>
        </w:rPr>
        <w:t>https://</w:t>
      </w:r>
      <w:hyperlink r:id="rId55">
        <w:r w:rsidRPr="00CB38AA">
          <w:rPr>
            <w:rFonts w:ascii="Times New Roman" w:eastAsia="Arial MT" w:hAnsi="Times New Roman" w:cs="Times New Roman"/>
            <w:sz w:val="24"/>
            <w:szCs w:val="24"/>
            <w:u w:val="single" w:color="0000FF"/>
            <w:lang w:val="es-ES"/>
          </w:rPr>
          <w:t>www.inegi.org.mx/contenidos/saladeprensa/boletines/2024/ESEP/ESEP2023.pdf</w:t>
        </w:r>
      </w:hyperlink>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El Sistema de Información de la Secretaría de Salud también indica que a nivel nacional, en 2025, 6 millones 651 mil 757 personas acudieron a urgencias (los motivos principales son gineco-obstetra, médica, pediátrica, accidentes, envenenamiento y violencias), de las cuales 967 mil 838 (14.55%) fueron hospitalizadas; de las personas que acudieron a urgencias, solo egresaron 2 millones 111 mil 649, acumulando entre todos 7 millones 927 mil 861 días de estancia, permaneciendo en promedio 3.8 días al interior de un hospital.</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En lo que respecta al Estado de México, de acuerdo con el Instituto de Información e Investigación Geográfica, Estadística y Catastral del Estado de México (IGECEM), en la entrega de su Estadística Básica Municipal del Sector Salud</w:t>
      </w:r>
      <w:r w:rsidRPr="00CB38AA">
        <w:rPr>
          <w:rFonts w:ascii="Times New Roman" w:eastAsia="Arial MT" w:hAnsi="Times New Roman" w:cs="Times New Roman"/>
          <w:sz w:val="24"/>
          <w:szCs w:val="24"/>
          <w:vertAlign w:val="superscript"/>
          <w:lang w:val="es-ES"/>
        </w:rPr>
        <w:t>4</w:t>
      </w:r>
      <w:r w:rsidRPr="00CB38AA">
        <w:rPr>
          <w:rFonts w:ascii="Times New Roman" w:eastAsia="Arial MT" w:hAnsi="Times New Roman" w:cs="Times New Roman"/>
          <w:sz w:val="24"/>
          <w:szCs w:val="24"/>
          <w:lang w:val="es-ES"/>
        </w:rPr>
        <w:t>, en 2022 había un total de mil 919 unidades médicas, de las cuales mil 772 eran de consulta externa, 112 de hospitalización general y solo 35 de hospitalización especializada, distribuidas de la siguiente manera por institución:</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8E5A2B" w:rsidRPr="00CB38AA" w:rsidRDefault="008E5A2B" w:rsidP="00AB5430">
      <w:pPr>
        <w:widowControl w:val="0"/>
        <w:numPr>
          <w:ilvl w:val="0"/>
          <w:numId w:val="21"/>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Instituto de Salud del Estado de México (ISEM), con mil 281 unidades médicas.</w:t>
      </w:r>
    </w:p>
    <w:p w:rsidR="008E5A2B" w:rsidRPr="00CB38AA" w:rsidRDefault="008E5A2B" w:rsidP="00AB5430">
      <w:pPr>
        <w:widowControl w:val="0"/>
        <w:numPr>
          <w:ilvl w:val="0"/>
          <w:numId w:val="21"/>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lastRenderedPageBreak/>
        <w:t>Sistema Integral de Desarrollo de la Familia del Estado de México (DIFEM), con 381 unidades médicas.</w:t>
      </w:r>
    </w:p>
    <w:p w:rsidR="008E5A2B" w:rsidRPr="00CB38AA" w:rsidRDefault="008E5A2B" w:rsidP="00AB5430">
      <w:pPr>
        <w:widowControl w:val="0"/>
        <w:numPr>
          <w:ilvl w:val="0"/>
          <w:numId w:val="21"/>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Instituto Materno Infantil del Estado de México (IMIEM), con 3 unidades médicas.</w:t>
      </w:r>
    </w:p>
    <w:p w:rsidR="008E5A2B" w:rsidRPr="00CB38AA" w:rsidRDefault="008E5A2B" w:rsidP="00AB5430">
      <w:pPr>
        <w:widowControl w:val="0"/>
        <w:numPr>
          <w:ilvl w:val="0"/>
          <w:numId w:val="21"/>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Instituto Mexicano del Seguro Social (IMSS), con 108 unidades médicas.</w:t>
      </w:r>
    </w:p>
    <w:p w:rsidR="008E5A2B" w:rsidRPr="00CB38AA" w:rsidRDefault="008E5A2B" w:rsidP="00AB5430">
      <w:pPr>
        <w:widowControl w:val="0"/>
        <w:numPr>
          <w:ilvl w:val="0"/>
          <w:numId w:val="21"/>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Instituto de Seguridad y Servicios Sociales de los Trabajadores del Estado (ISSSTE), con 38 unidades médicas.</w:t>
      </w:r>
    </w:p>
    <w:p w:rsidR="008E5A2B" w:rsidRPr="00CB38AA" w:rsidRDefault="008E5A2B" w:rsidP="00AB5430">
      <w:pPr>
        <w:widowControl w:val="0"/>
        <w:numPr>
          <w:ilvl w:val="0"/>
          <w:numId w:val="21"/>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El Instituto de Seguridad Social del Estado de México y sus Municipios (ISSEMyM) cuenta con 108 unidades médicas.</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vertAlign w:val="superscript"/>
          <w:lang w:val="es-ES"/>
        </w:rPr>
        <w:t>4</w:t>
      </w:r>
      <w:r w:rsidRPr="00CB38AA">
        <w:rPr>
          <w:rFonts w:ascii="Times New Roman" w:eastAsia="Arial MT" w:hAnsi="Times New Roman" w:cs="Times New Roman"/>
          <w:sz w:val="24"/>
          <w:szCs w:val="24"/>
          <w:lang w:val="es-ES"/>
        </w:rPr>
        <w:t xml:space="preserve"> Gobierno del Estado de México. 2023. </w:t>
      </w:r>
      <w:r w:rsidRPr="00CB38AA">
        <w:rPr>
          <w:rFonts w:ascii="Times New Roman" w:eastAsia="Arial MT" w:hAnsi="Times New Roman" w:cs="Times New Roman"/>
          <w:i/>
          <w:sz w:val="24"/>
          <w:szCs w:val="24"/>
          <w:lang w:val="es-ES"/>
        </w:rPr>
        <w:t xml:space="preserve">Estadística Básica Municipal del Sector Salud Edición 2023. </w:t>
      </w:r>
      <w:r w:rsidRPr="00CB38AA">
        <w:rPr>
          <w:rFonts w:ascii="Times New Roman" w:eastAsia="Arial MT" w:hAnsi="Times New Roman" w:cs="Times New Roman"/>
          <w:sz w:val="24"/>
          <w:szCs w:val="24"/>
          <w:lang w:val="es-ES"/>
        </w:rPr>
        <w:t>Secretaría de Finanzas. Instituto de</w:t>
      </w:r>
      <w:r w:rsidRPr="00CB38AA">
        <w:rPr>
          <w:rFonts w:ascii="Times New Roman" w:eastAsia="Arial MT" w:hAnsi="Times New Roman" w:cs="Times New Roman"/>
          <w:sz w:val="24"/>
          <w:szCs w:val="24"/>
          <w:lang w:val="es-ES"/>
        </w:rPr>
        <w:tab/>
        <w:t>Información</w:t>
      </w:r>
      <w:r w:rsidRPr="00CB38AA">
        <w:rPr>
          <w:rFonts w:ascii="Times New Roman" w:eastAsia="Arial MT" w:hAnsi="Times New Roman" w:cs="Times New Roman"/>
          <w:sz w:val="24"/>
          <w:szCs w:val="24"/>
          <w:lang w:val="es-ES"/>
        </w:rPr>
        <w:tab/>
        <w:t>e</w:t>
      </w:r>
      <w:r w:rsidRPr="00CB38AA">
        <w:rPr>
          <w:rFonts w:ascii="Times New Roman" w:eastAsia="Arial MT" w:hAnsi="Times New Roman" w:cs="Times New Roman"/>
          <w:sz w:val="24"/>
          <w:szCs w:val="24"/>
          <w:lang w:val="es-ES"/>
        </w:rPr>
        <w:tab/>
        <w:t>Investigación</w:t>
      </w:r>
      <w:r w:rsidRPr="00CB38AA">
        <w:rPr>
          <w:rFonts w:ascii="Times New Roman" w:eastAsia="Arial MT" w:hAnsi="Times New Roman" w:cs="Times New Roman"/>
          <w:sz w:val="24"/>
          <w:szCs w:val="24"/>
          <w:lang w:val="es-ES"/>
        </w:rPr>
        <w:tab/>
        <w:t>Geográfica,</w:t>
      </w:r>
      <w:r w:rsidRPr="00CB38AA">
        <w:rPr>
          <w:rFonts w:ascii="Times New Roman" w:eastAsia="Arial MT" w:hAnsi="Times New Roman" w:cs="Times New Roman"/>
          <w:sz w:val="24"/>
          <w:szCs w:val="24"/>
          <w:lang w:val="es-ES"/>
        </w:rPr>
        <w:tab/>
        <w:t>Estadística</w:t>
      </w:r>
      <w:r w:rsidRPr="00CB38AA">
        <w:rPr>
          <w:rFonts w:ascii="Times New Roman" w:eastAsia="Arial MT" w:hAnsi="Times New Roman" w:cs="Times New Roman"/>
          <w:sz w:val="24"/>
          <w:szCs w:val="24"/>
          <w:lang w:val="es-ES"/>
        </w:rPr>
        <w:tab/>
        <w:t>y</w:t>
      </w:r>
      <w:r w:rsidRPr="00CB38AA">
        <w:rPr>
          <w:rFonts w:ascii="Times New Roman" w:eastAsia="Arial MT" w:hAnsi="Times New Roman" w:cs="Times New Roman"/>
          <w:sz w:val="24"/>
          <w:szCs w:val="24"/>
          <w:lang w:val="es-ES"/>
        </w:rPr>
        <w:tab/>
        <w:t>Catastral</w:t>
      </w:r>
      <w:r w:rsidRPr="00CB38AA">
        <w:rPr>
          <w:rFonts w:ascii="Times New Roman" w:eastAsia="Arial MT" w:hAnsi="Times New Roman" w:cs="Times New Roman"/>
          <w:sz w:val="24"/>
          <w:szCs w:val="24"/>
          <w:lang w:val="es-ES"/>
        </w:rPr>
        <w:tab/>
        <w:t>del</w:t>
      </w:r>
      <w:r w:rsidRPr="00CB38AA">
        <w:rPr>
          <w:rFonts w:ascii="Times New Roman" w:eastAsia="Arial MT" w:hAnsi="Times New Roman" w:cs="Times New Roman"/>
          <w:sz w:val="24"/>
          <w:szCs w:val="24"/>
          <w:lang w:val="es-ES"/>
        </w:rPr>
        <w:tab/>
        <w:t>Estado</w:t>
      </w:r>
      <w:r w:rsidRPr="00CB38AA">
        <w:rPr>
          <w:rFonts w:ascii="Times New Roman" w:eastAsia="Arial MT" w:hAnsi="Times New Roman" w:cs="Times New Roman"/>
          <w:sz w:val="24"/>
          <w:szCs w:val="24"/>
          <w:lang w:val="es-ES"/>
        </w:rPr>
        <w:tab/>
        <w:t>de</w:t>
      </w:r>
      <w:r w:rsidRPr="00CB38AA">
        <w:rPr>
          <w:rFonts w:ascii="Times New Roman" w:eastAsia="Arial MT" w:hAnsi="Times New Roman" w:cs="Times New Roman"/>
          <w:sz w:val="24"/>
          <w:szCs w:val="24"/>
          <w:lang w:val="es-ES"/>
        </w:rPr>
        <w:tab/>
        <w:t>México.</w:t>
      </w:r>
      <w:r w:rsidRPr="00CB38AA">
        <w:rPr>
          <w:rFonts w:ascii="Times New Roman" w:eastAsia="Arial MT" w:hAnsi="Times New Roman" w:cs="Times New Roman"/>
          <w:sz w:val="24"/>
          <w:szCs w:val="24"/>
          <w:lang w:val="es-ES"/>
        </w:rPr>
        <w:tab/>
        <w:t>Véase</w:t>
      </w:r>
      <w:r w:rsidRPr="00CB38AA">
        <w:rPr>
          <w:rFonts w:ascii="Times New Roman" w:eastAsia="Arial MT" w:hAnsi="Times New Roman" w:cs="Times New Roman"/>
          <w:sz w:val="24"/>
          <w:szCs w:val="24"/>
          <w:lang w:val="es-ES"/>
        </w:rPr>
        <w:tab/>
        <w:t xml:space="preserve">en: </w:t>
      </w:r>
      <w:r w:rsidRPr="00CB38AA">
        <w:rPr>
          <w:rFonts w:ascii="Times New Roman" w:eastAsia="Arial MT" w:hAnsi="Times New Roman" w:cs="Times New Roman"/>
          <w:sz w:val="24"/>
          <w:szCs w:val="24"/>
          <w:u w:val="single" w:color="0000FF"/>
          <w:lang w:val="es-ES"/>
        </w:rPr>
        <w:t>https://igecem.edomex.gob.mx/sites/igecem.edomex.gob.mx/files/files/ArchivosPDF/Productos-Estadisticos/Indole-Social/EBM-</w:t>
      </w:r>
      <w:r w:rsidRPr="00CB38AA">
        <w:rPr>
          <w:rFonts w:ascii="Times New Roman" w:eastAsia="Arial MT" w:hAnsi="Times New Roman" w:cs="Times New Roman"/>
          <w:sz w:val="24"/>
          <w:szCs w:val="24"/>
          <w:lang w:val="es-ES"/>
        </w:rPr>
        <w:t xml:space="preserve"> </w:t>
      </w:r>
      <w:r w:rsidRPr="00CB38AA">
        <w:rPr>
          <w:rFonts w:ascii="Times New Roman" w:eastAsia="Arial MT" w:hAnsi="Times New Roman" w:cs="Times New Roman"/>
          <w:sz w:val="24"/>
          <w:szCs w:val="24"/>
          <w:u w:val="single" w:color="0000FF"/>
          <w:lang w:val="es-ES"/>
        </w:rPr>
        <w:t>SECTOR-SALUD/EBM%20Sector%20Salud%202023.pdf</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En 2018, la Secretaría de Salud Federal estimó que diariamente se registraban cerca de 16 mil hospitalizaciones, 100 mil urgencias y alrededor de 10 mil cirugías.</w:t>
      </w:r>
      <w:r w:rsidRPr="00CB38AA">
        <w:rPr>
          <w:rFonts w:ascii="Times New Roman" w:eastAsia="Arial MT" w:hAnsi="Times New Roman" w:cs="Times New Roman"/>
          <w:sz w:val="24"/>
          <w:szCs w:val="24"/>
          <w:vertAlign w:val="superscript"/>
          <w:lang w:val="es-ES"/>
        </w:rPr>
        <w:t>5</w:t>
      </w:r>
      <w:r w:rsidRPr="00CB38AA">
        <w:rPr>
          <w:rFonts w:ascii="Times New Roman" w:eastAsia="Arial MT" w:hAnsi="Times New Roman" w:cs="Times New Roman"/>
          <w:sz w:val="24"/>
          <w:szCs w:val="24"/>
          <w:lang w:val="es-ES"/>
        </w:rPr>
        <w:t xml:space="preserve"> Estas cifras reflejan no solo la dinámica dentro de los hospitales, sino también la situación en el exterior, donde cada paciente suele tener al menos dos familiares esperando noticias, muchas veces bajo el sol, la lluvia, o el frío, con esperas prolongadas sin espacios dignos para descansar.</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Cabe mencionar que, en 2015, el INEGI realizó el Censo de Alojamiento de Asistencia Social (CAAS), para conocer sobre las condiciones y los servicios que ofrecen establecimientos públicos, sociales y privados que alojan población vulnerable, en él se censaron 4 mil 700 alojamientos, entre ellos casas hogar para menores de edad, para adultos mayores, albergues para personas indígenas, centros de rehabilitación, hospitales psiquiátricos, y </w:t>
      </w:r>
      <w:r w:rsidRPr="00CB38AA">
        <w:rPr>
          <w:rFonts w:ascii="Times New Roman" w:eastAsia="Arial MT" w:hAnsi="Times New Roman" w:cs="Times New Roman"/>
          <w:i/>
          <w:sz w:val="24"/>
          <w:szCs w:val="24"/>
          <w:lang w:val="es-ES"/>
        </w:rPr>
        <w:t xml:space="preserve">“otros albergues”, </w:t>
      </w:r>
      <w:r w:rsidRPr="00CB38AA">
        <w:rPr>
          <w:rFonts w:ascii="Times New Roman" w:eastAsia="Arial MT" w:hAnsi="Times New Roman" w:cs="Times New Roman"/>
          <w:sz w:val="24"/>
          <w:szCs w:val="24"/>
          <w:lang w:val="es-ES"/>
        </w:rPr>
        <w:t>en los que se incluyen los albergues para familiares de personas hospitalizadas, este último representa apenas el 8.2% del total.</w:t>
      </w:r>
      <w:r w:rsidRPr="00CB38AA">
        <w:rPr>
          <w:rFonts w:ascii="Times New Roman" w:eastAsia="Arial MT" w:hAnsi="Times New Roman" w:cs="Times New Roman"/>
          <w:sz w:val="24"/>
          <w:szCs w:val="24"/>
          <w:vertAlign w:val="superscript"/>
          <w:lang w:val="es-ES"/>
        </w:rPr>
        <w:t>6</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En la entidad mexiquense, el ISEM cuenta con 5 albergues de asistencia temporal, los cuales son:</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8E5A2B" w:rsidRPr="00CB38AA" w:rsidRDefault="008E5A2B" w:rsidP="00EF26DE">
      <w:pPr>
        <w:widowControl w:val="0"/>
        <w:numPr>
          <w:ilvl w:val="0"/>
          <w:numId w:val="22"/>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Albergue del Hospital General Tejupilco "Miguel Hidalgo y Costilla" Bicentenario;</w:t>
      </w:r>
    </w:p>
    <w:p w:rsidR="008E5A2B" w:rsidRPr="00CB38AA" w:rsidRDefault="008E5A2B" w:rsidP="00EF26DE">
      <w:pPr>
        <w:widowControl w:val="0"/>
        <w:numPr>
          <w:ilvl w:val="0"/>
          <w:numId w:val="22"/>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Albergue del Hospital General Valle de Bravo;</w:t>
      </w:r>
    </w:p>
    <w:p w:rsidR="008E5A2B" w:rsidRPr="00CB38AA" w:rsidRDefault="008E5A2B" w:rsidP="00EF26DE">
      <w:pPr>
        <w:widowControl w:val="0"/>
        <w:numPr>
          <w:ilvl w:val="0"/>
          <w:numId w:val="22"/>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Albergue del Centro Médico "Lic. Adolfo López Mateos";</w:t>
      </w:r>
    </w:p>
    <w:p w:rsidR="008E5A2B" w:rsidRPr="00CB38AA" w:rsidRDefault="008E5A2B" w:rsidP="00EF26DE">
      <w:pPr>
        <w:widowControl w:val="0"/>
        <w:numPr>
          <w:ilvl w:val="0"/>
          <w:numId w:val="22"/>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Albergue del Hospital General "Dr. Nicolás San Juan" y</w:t>
      </w:r>
    </w:p>
    <w:p w:rsidR="008E5A2B" w:rsidRPr="00CB38AA" w:rsidRDefault="008E5A2B" w:rsidP="00EF26DE">
      <w:pPr>
        <w:widowControl w:val="0"/>
        <w:numPr>
          <w:ilvl w:val="0"/>
          <w:numId w:val="22"/>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Albergue de los Hospitales:</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vertAlign w:val="superscript"/>
          <w:lang w:val="es-ES"/>
        </w:rPr>
        <w:t>5</w:t>
      </w:r>
      <w:r w:rsidRPr="00CB38AA">
        <w:rPr>
          <w:rFonts w:ascii="Times New Roman" w:eastAsia="Arial MT" w:hAnsi="Times New Roman" w:cs="Times New Roman"/>
          <w:sz w:val="24"/>
          <w:szCs w:val="24"/>
          <w:lang w:val="es-ES"/>
        </w:rPr>
        <w:t xml:space="preserve"> Gobierno de México. 31 de agosto de 2018. </w:t>
      </w:r>
      <w:r w:rsidRPr="00CB38AA">
        <w:rPr>
          <w:rFonts w:ascii="Times New Roman" w:eastAsia="Arial MT" w:hAnsi="Times New Roman" w:cs="Times New Roman"/>
          <w:i/>
          <w:sz w:val="24"/>
          <w:szCs w:val="24"/>
          <w:lang w:val="es-ES"/>
        </w:rPr>
        <w:t xml:space="preserve">Más de 1.2 millones de atenciones diarias en el Sector Salud. </w:t>
      </w:r>
      <w:r w:rsidRPr="00CB38AA">
        <w:rPr>
          <w:rFonts w:ascii="Times New Roman" w:eastAsia="Arial MT" w:hAnsi="Times New Roman" w:cs="Times New Roman"/>
          <w:sz w:val="24"/>
          <w:szCs w:val="24"/>
          <w:lang w:val="es-ES"/>
        </w:rPr>
        <w:t xml:space="preserve">Secretaría de Salud. Véase en: </w:t>
      </w:r>
      <w:r w:rsidRPr="00CB38AA">
        <w:rPr>
          <w:rFonts w:ascii="Times New Roman" w:eastAsia="Arial MT" w:hAnsi="Times New Roman" w:cs="Times New Roman"/>
          <w:sz w:val="24"/>
          <w:szCs w:val="24"/>
          <w:u w:val="single" w:color="0000FF"/>
          <w:lang w:val="es-ES"/>
        </w:rPr>
        <w:t>https://</w:t>
      </w:r>
      <w:hyperlink r:id="rId56">
        <w:r w:rsidRPr="00CB38AA">
          <w:rPr>
            <w:rFonts w:ascii="Times New Roman" w:eastAsia="Arial MT" w:hAnsi="Times New Roman" w:cs="Times New Roman"/>
            <w:sz w:val="24"/>
            <w:szCs w:val="24"/>
            <w:u w:val="single" w:color="0000FF"/>
            <w:lang w:val="es-ES"/>
          </w:rPr>
          <w:t>www.gob.mx/salud/es/articulos/mas-de-1-2-millones-de-atenciones-diarias-en-el-sector-salud-173124</w:t>
        </w:r>
      </w:hyperlink>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vertAlign w:val="superscript"/>
          <w:lang w:val="es-ES"/>
        </w:rPr>
        <w:t>6</w:t>
      </w:r>
      <w:r w:rsidRPr="00CB38AA">
        <w:rPr>
          <w:rFonts w:ascii="Times New Roman" w:eastAsia="Arial MT" w:hAnsi="Times New Roman" w:cs="Times New Roman"/>
          <w:sz w:val="24"/>
          <w:szCs w:val="24"/>
          <w:lang w:val="es-ES"/>
        </w:rPr>
        <w:t xml:space="preserve"> Instituto Nacional de Estadística y Geografía (INEGI9. 2016. </w:t>
      </w:r>
      <w:r w:rsidRPr="00CB38AA">
        <w:rPr>
          <w:rFonts w:ascii="Times New Roman" w:eastAsia="Arial MT" w:hAnsi="Times New Roman" w:cs="Times New Roman"/>
          <w:i/>
          <w:sz w:val="24"/>
          <w:szCs w:val="24"/>
          <w:lang w:val="es-ES"/>
        </w:rPr>
        <w:t xml:space="preserve">Censo de Alojamientos de Asistencia Social (CAAS). </w:t>
      </w:r>
      <w:r w:rsidRPr="00CB38AA">
        <w:rPr>
          <w:rFonts w:ascii="Times New Roman" w:eastAsia="Arial MT" w:hAnsi="Times New Roman" w:cs="Times New Roman"/>
          <w:sz w:val="24"/>
          <w:szCs w:val="24"/>
          <w:lang w:val="es-ES"/>
        </w:rPr>
        <w:t xml:space="preserve">Véase en: </w:t>
      </w:r>
      <w:r w:rsidRPr="00CB38AA">
        <w:rPr>
          <w:rFonts w:ascii="Times New Roman" w:eastAsia="Arial MT" w:hAnsi="Times New Roman" w:cs="Times New Roman"/>
          <w:sz w:val="24"/>
          <w:szCs w:val="24"/>
          <w:u w:val="single" w:color="0000FF"/>
          <w:lang w:val="es-ES"/>
        </w:rPr>
        <w:t>https://</w:t>
      </w:r>
      <w:hyperlink r:id="rId57">
        <w:r w:rsidRPr="00CB38AA">
          <w:rPr>
            <w:rFonts w:ascii="Times New Roman" w:eastAsia="Arial MT" w:hAnsi="Times New Roman" w:cs="Times New Roman"/>
            <w:sz w:val="24"/>
            <w:szCs w:val="24"/>
            <w:u w:val="single" w:color="0000FF"/>
            <w:lang w:val="es-ES"/>
          </w:rPr>
          <w:t>www.inegi.org.mx/contenidos/programas/caas/2015/doc/caas_resultados.pdf</w:t>
        </w:r>
      </w:hyperlink>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8E5A2B" w:rsidRPr="00CB38AA" w:rsidRDefault="008E5A2B" w:rsidP="00BB038A">
      <w:pPr>
        <w:widowControl w:val="0"/>
        <w:numPr>
          <w:ilvl w:val="1"/>
          <w:numId w:val="22"/>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Hospital Materno Perinatal "Mónica Pretelini Sáenz",</w:t>
      </w:r>
    </w:p>
    <w:p w:rsidR="008E5A2B" w:rsidRPr="00CB38AA" w:rsidRDefault="008E5A2B" w:rsidP="00BB038A">
      <w:pPr>
        <w:widowControl w:val="0"/>
        <w:numPr>
          <w:ilvl w:val="1"/>
          <w:numId w:val="22"/>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Hospital para el Niño, Hospital de Gineco y Obstetricia,</w:t>
      </w:r>
    </w:p>
    <w:p w:rsidR="008E5A2B" w:rsidRPr="00CB38AA" w:rsidRDefault="008E5A2B" w:rsidP="00BB038A">
      <w:pPr>
        <w:widowControl w:val="0"/>
        <w:numPr>
          <w:ilvl w:val="1"/>
          <w:numId w:val="22"/>
        </w:numPr>
        <w:autoSpaceDE w:val="0"/>
        <w:autoSpaceDN w:val="0"/>
        <w:spacing w:after="0" w:line="240" w:lineRule="auto"/>
        <w:ind w:left="0" w:firstLine="0"/>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Centro Oncológico Estatal ISSEMyM.</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lastRenderedPageBreak/>
        <w:t>La estancia en los albergues es variable, desde un solo día hasta varios meses, todo depende de la evolución médica del paciente. Hay temporadas que son más complejas que otras para los familiares que permanecen en las inmediaciones de los hospitales, por ejemplo, durante los meses de lluvia o de invierno. Ejemplo de lo anterior es que durante la temporada invernal incrementa hasta en 50% la demanda del albergue que opera el voluntariado Salud y Humanismo del ISEM, ubicado en el Hospital para el Niño en Toluca. Este albergue tiene capacidad para recibir a más de 200 personas; durante 2025 alojó a más de 2 mil familias provenientes de municipios con mayores carencias.</w:t>
      </w:r>
      <w:r w:rsidRPr="00CB38AA">
        <w:rPr>
          <w:rFonts w:ascii="Times New Roman" w:eastAsia="Arial MT" w:hAnsi="Times New Roman" w:cs="Times New Roman"/>
          <w:sz w:val="24"/>
          <w:szCs w:val="24"/>
          <w:vertAlign w:val="superscript"/>
          <w:lang w:val="es-ES"/>
        </w:rPr>
        <w:t>7</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A finales de 2025 se detectó que los hospitales con mayor número de personas que duermen en sus inmediaciones son el Hospital del Niño, el Mónica Pretelini, el Adolfo López Mateos y el Nicolás San Juan, todos ubicados en Toluca, donde se han registrado mínimas de 3.4°C, incrementando el riesgo de contraer alguna enfermedad.</w:t>
      </w:r>
      <w:r w:rsidRPr="00CB38AA">
        <w:rPr>
          <w:rFonts w:ascii="Times New Roman" w:eastAsia="Arial MT" w:hAnsi="Times New Roman" w:cs="Times New Roman"/>
          <w:sz w:val="24"/>
          <w:szCs w:val="24"/>
          <w:vertAlign w:val="superscript"/>
          <w:lang w:val="es-ES"/>
        </w:rPr>
        <w:t>8</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Los encargados de los albergues han reconocido que es necesario construir nuevos y mejorar las condiciones de los que ya existen, sin embargo, también se ha señalado una falta de recursos y apoyo institucional. Cabe resaltar que la mayoría de estos espacios operan con recursos donados, tales como cobijas, colchonetas, ropa de invierno, etc., si bien, las donaciones son de gran ayuda, continúan sin ser suficientes.</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Es preciso señalar que la Constitución Política de los Estados Unidos Mexicanos, en su Artículo 4, establece que toda persona tiene derecho a la protección de la salud, este derecho no solo implica atención médica para el paciente, sino que también comprende condiciones dignas, acompañamiento y apoyo emocional. La participación de la familia constituye un elemento esencial de este enfoque integral, por lo que también debe ser protegida.</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vertAlign w:val="superscript"/>
          <w:lang w:val="es-ES"/>
        </w:rPr>
        <w:t>7</w:t>
      </w:r>
      <w:r w:rsidRPr="00CB38AA">
        <w:rPr>
          <w:rFonts w:ascii="Times New Roman" w:eastAsia="Arial MT" w:hAnsi="Times New Roman" w:cs="Times New Roman"/>
          <w:sz w:val="24"/>
          <w:szCs w:val="24"/>
          <w:lang w:val="es-ES"/>
        </w:rPr>
        <w:t xml:space="preserve"> Álvarez, P. 20 de diciembre de 2025</w:t>
      </w:r>
      <w:r w:rsidRPr="00CB38AA">
        <w:rPr>
          <w:rFonts w:ascii="Times New Roman" w:eastAsia="Arial MT" w:hAnsi="Times New Roman" w:cs="Times New Roman"/>
          <w:i/>
          <w:sz w:val="24"/>
          <w:szCs w:val="24"/>
          <w:lang w:val="es-ES"/>
        </w:rPr>
        <w:t>. Frío invernal dispara hasta 50% la demanda en albergue del ISEM en Toluca</w:t>
      </w:r>
      <w:r w:rsidRPr="00CB38AA">
        <w:rPr>
          <w:rFonts w:ascii="Times New Roman" w:eastAsia="Arial MT" w:hAnsi="Times New Roman" w:cs="Times New Roman"/>
          <w:sz w:val="24"/>
          <w:szCs w:val="24"/>
          <w:lang w:val="es-ES"/>
        </w:rPr>
        <w:t xml:space="preserve">. El Sol de Toluca. Véase en: </w:t>
      </w:r>
      <w:r w:rsidRPr="00CB38AA">
        <w:rPr>
          <w:rFonts w:ascii="Times New Roman" w:eastAsia="Arial MT" w:hAnsi="Times New Roman" w:cs="Times New Roman"/>
          <w:sz w:val="24"/>
          <w:szCs w:val="24"/>
          <w:u w:val="single" w:color="0000FF"/>
          <w:lang w:val="es-ES"/>
        </w:rPr>
        <w:t>https://oem.com.mx/elsoldetoluca/local/frio-invernal-dispara-hasta-50-la-demanda-en-albergue-del-isem-en-toluca-</w:t>
      </w:r>
      <w:r w:rsidRPr="00CB38AA">
        <w:rPr>
          <w:rFonts w:ascii="Times New Roman" w:eastAsia="Arial MT" w:hAnsi="Times New Roman" w:cs="Times New Roman"/>
          <w:sz w:val="24"/>
          <w:szCs w:val="24"/>
          <w:lang w:val="es-ES"/>
        </w:rPr>
        <w:t xml:space="preserve"> </w:t>
      </w:r>
      <w:r w:rsidRPr="00CB38AA">
        <w:rPr>
          <w:rFonts w:ascii="Times New Roman" w:eastAsia="Arial MT" w:hAnsi="Times New Roman" w:cs="Times New Roman"/>
          <w:sz w:val="24"/>
          <w:szCs w:val="24"/>
          <w:u w:val="single" w:color="0000FF"/>
          <w:lang w:val="es-ES"/>
        </w:rPr>
        <w:t>27345113</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vertAlign w:val="superscript"/>
          <w:lang w:val="es-ES"/>
        </w:rPr>
        <w:t>8</w:t>
      </w:r>
      <w:r w:rsidRPr="00CB38AA">
        <w:rPr>
          <w:rFonts w:ascii="Times New Roman" w:eastAsia="Arial MT" w:hAnsi="Times New Roman" w:cs="Times New Roman"/>
          <w:sz w:val="24"/>
          <w:szCs w:val="24"/>
          <w:lang w:val="es-ES"/>
        </w:rPr>
        <w:t xml:space="preserve"> Meza, J. 05 de enero de 2026. </w:t>
      </w:r>
      <w:r w:rsidRPr="00CB38AA">
        <w:rPr>
          <w:rFonts w:ascii="Times New Roman" w:eastAsia="Arial MT" w:hAnsi="Times New Roman" w:cs="Times New Roman"/>
          <w:i/>
          <w:sz w:val="24"/>
          <w:szCs w:val="24"/>
          <w:lang w:val="es-ES"/>
        </w:rPr>
        <w:t>Mañanas gélidas en el Centro de México: Toluca alcanza temperaturas de congelación</w:t>
      </w:r>
      <w:r w:rsidRPr="00CB38AA">
        <w:rPr>
          <w:rFonts w:ascii="Times New Roman" w:eastAsia="Arial MT" w:hAnsi="Times New Roman" w:cs="Times New Roman"/>
          <w:sz w:val="24"/>
          <w:szCs w:val="24"/>
          <w:lang w:val="es-ES"/>
        </w:rPr>
        <w:t>. DEBATE. Véase</w:t>
      </w:r>
      <w:r w:rsidRPr="00CB38AA">
        <w:rPr>
          <w:rFonts w:ascii="Times New Roman" w:eastAsia="Arial MT" w:hAnsi="Times New Roman" w:cs="Times New Roman"/>
          <w:sz w:val="24"/>
          <w:szCs w:val="24"/>
          <w:lang w:val="es-ES"/>
        </w:rPr>
        <w:tab/>
        <w:t>en:</w:t>
      </w:r>
      <w:r w:rsidRPr="00CB38AA">
        <w:rPr>
          <w:rFonts w:ascii="Times New Roman" w:eastAsia="Arial MT" w:hAnsi="Times New Roman" w:cs="Times New Roman"/>
          <w:sz w:val="24"/>
          <w:szCs w:val="24"/>
          <w:lang w:val="es-ES"/>
        </w:rPr>
        <w:tab/>
      </w:r>
      <w:r w:rsidRPr="00CB38AA">
        <w:rPr>
          <w:rFonts w:ascii="Times New Roman" w:eastAsia="Arial MT" w:hAnsi="Times New Roman" w:cs="Times New Roman"/>
          <w:sz w:val="24"/>
          <w:szCs w:val="24"/>
          <w:u w:val="single" w:color="0000FF"/>
          <w:lang w:val="es-ES"/>
        </w:rPr>
        <w:t>https://</w:t>
      </w:r>
      <w:hyperlink r:id="rId58">
        <w:r w:rsidRPr="00CB38AA">
          <w:rPr>
            <w:rFonts w:ascii="Times New Roman" w:eastAsia="Arial MT" w:hAnsi="Times New Roman" w:cs="Times New Roman"/>
            <w:sz w:val="24"/>
            <w:szCs w:val="24"/>
            <w:u w:val="single" w:color="0000FF"/>
            <w:lang w:val="es-ES"/>
          </w:rPr>
          <w:t>www.debate.com.mx/cdmx/mananas-gelidas-en-el-centro-de-mexico-toluca-alcanza-temperaturas-de-</w:t>
        </w:r>
      </w:hyperlink>
      <w:r w:rsidRPr="00CB38AA">
        <w:rPr>
          <w:rFonts w:ascii="Times New Roman" w:eastAsia="Arial MT" w:hAnsi="Times New Roman" w:cs="Times New Roman"/>
          <w:sz w:val="24"/>
          <w:szCs w:val="24"/>
          <w:lang w:val="es-ES"/>
        </w:rPr>
        <w:t xml:space="preserve"> </w:t>
      </w:r>
      <w:r w:rsidRPr="00CB38AA">
        <w:rPr>
          <w:rFonts w:ascii="Times New Roman" w:eastAsia="Arial MT" w:hAnsi="Times New Roman" w:cs="Times New Roman"/>
          <w:sz w:val="24"/>
          <w:szCs w:val="24"/>
          <w:u w:val="single" w:color="0000FF"/>
          <w:lang w:val="es-ES"/>
        </w:rPr>
        <w:t>congelacion-20260105-0117.htm</w:t>
      </w:r>
      <w:r w:rsidRPr="00CB38AA">
        <w:rPr>
          <w:rFonts w:ascii="Times New Roman" w:eastAsia="Arial MT" w:hAnsi="Times New Roman" w:cs="Times New Roman"/>
          <w:sz w:val="24"/>
          <w:szCs w:val="24"/>
          <w:lang w:val="es-ES"/>
        </w:rPr>
        <w:t>l</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“Artículo 4o.- …</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b/>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b/>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b/>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Toda persona tiene derecho a la protección de la salud. (…)</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b/>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Es imperativo que el derecho de protección a la salud se extienda a los familiares de pacientes hospitalizados porque garantiza una atención integral y digna, al proteger el bienestar emocional del paciente, y permite el ejercicio de un valor intrínseco, la dignidad humana del acompañante. En este sentido, en 2023 se presentó una iniciativa en el Congreso de la Unión para reformar la Ley de Asistencia Social para promover la instalación de espacios temporales adecuados para los familiares de personas internadas en hospitales del sector público.</w:t>
      </w:r>
      <w:r w:rsidRPr="00CB38AA">
        <w:rPr>
          <w:rFonts w:ascii="Times New Roman" w:eastAsia="Arial MT" w:hAnsi="Times New Roman" w:cs="Times New Roman"/>
          <w:sz w:val="24"/>
          <w:szCs w:val="24"/>
          <w:vertAlign w:val="superscript"/>
          <w:lang w:val="es-ES"/>
        </w:rPr>
        <w:t>9</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Sumado a lo anterior, en el Congreso de la Ciudad de México, en 2019 se presentó una iniciativa para reformar, en ese entonces, la Ley de Salud del Distrito Federal, para que el Sistema de Salud capitalino, con el fin de coadyuvar al bienestar social de los familiares que acompañan a las personas internadas en la red de hospitales de la Ciudad de México, instale albergues temporales que cubran sus necesidades básicas como alimentación, aseo y descanso.</w:t>
      </w:r>
      <w:r w:rsidRPr="00CB38AA">
        <w:rPr>
          <w:rFonts w:ascii="Times New Roman" w:eastAsia="Arial MT" w:hAnsi="Times New Roman" w:cs="Times New Roman"/>
          <w:sz w:val="24"/>
          <w:szCs w:val="24"/>
          <w:vertAlign w:val="superscript"/>
          <w:lang w:val="es-ES"/>
        </w:rPr>
        <w:t>10</w:t>
      </w:r>
      <w:r w:rsidRPr="00CB38AA">
        <w:rPr>
          <w:rFonts w:ascii="Times New Roman" w:eastAsia="Arial MT" w:hAnsi="Times New Roman" w:cs="Times New Roman"/>
          <w:sz w:val="24"/>
          <w:szCs w:val="24"/>
          <w:lang w:val="es-ES"/>
        </w:rPr>
        <w:t xml:space="preserve"> Adicionalmente, en 2023, el Congreso capitalino exhortó a las personas titulares de las 16 alcaldías, para que, en coordinación con la Secretaría de Salud, fueran instalados refugios temporales en hospitales, destinados para los familiares de pacientes internados.</w:t>
      </w:r>
      <w:r w:rsidRPr="00CB38AA">
        <w:rPr>
          <w:rFonts w:ascii="Times New Roman" w:eastAsia="Arial MT" w:hAnsi="Times New Roman" w:cs="Times New Roman"/>
          <w:sz w:val="24"/>
          <w:szCs w:val="24"/>
          <w:vertAlign w:val="superscript"/>
          <w:lang w:val="es-ES"/>
        </w:rPr>
        <w:t>11</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vertAlign w:val="superscript"/>
          <w:lang w:val="es-ES"/>
        </w:rPr>
        <w:t>9</w:t>
      </w:r>
      <w:r w:rsidRPr="00CB38AA">
        <w:rPr>
          <w:rFonts w:ascii="Times New Roman" w:eastAsia="Arial MT" w:hAnsi="Times New Roman" w:cs="Times New Roman"/>
          <w:sz w:val="24"/>
          <w:szCs w:val="24"/>
          <w:lang w:val="es-ES"/>
        </w:rPr>
        <w:t xml:space="preserve"> Senado de la República. Gaceta Parlamentaria, año XXVI, número 6221-III. 23 de febrero de 2023. Véase en: </w:t>
      </w:r>
      <w:r w:rsidRPr="00CB38AA">
        <w:rPr>
          <w:rFonts w:ascii="Times New Roman" w:eastAsia="Arial MT" w:hAnsi="Times New Roman" w:cs="Times New Roman"/>
          <w:sz w:val="24"/>
          <w:szCs w:val="24"/>
          <w:u w:val="single" w:color="0000FF"/>
          <w:lang w:val="es-ES"/>
        </w:rPr>
        <w:t>https://gaceta.diputados.gob.mx/Gaceta/65/2023/feb/20230223-III.html#Iniciativa21</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vertAlign w:val="superscript"/>
          <w:lang w:val="es-ES"/>
        </w:rPr>
        <w:t>10</w:t>
      </w:r>
      <w:r w:rsidRPr="00CB38AA">
        <w:rPr>
          <w:rFonts w:ascii="Times New Roman" w:eastAsia="Arial MT" w:hAnsi="Times New Roman" w:cs="Times New Roman"/>
          <w:sz w:val="24"/>
          <w:szCs w:val="24"/>
          <w:lang w:val="es-ES"/>
        </w:rPr>
        <w:tab/>
        <w:t>Congreso</w:t>
      </w:r>
      <w:r w:rsidRPr="00CB38AA">
        <w:rPr>
          <w:rFonts w:ascii="Times New Roman" w:eastAsia="Arial MT" w:hAnsi="Times New Roman" w:cs="Times New Roman"/>
          <w:sz w:val="24"/>
          <w:szCs w:val="24"/>
          <w:lang w:val="es-ES"/>
        </w:rPr>
        <w:tab/>
        <w:t>de</w:t>
      </w:r>
      <w:r w:rsidRPr="00CB38AA">
        <w:rPr>
          <w:rFonts w:ascii="Times New Roman" w:eastAsia="Arial MT" w:hAnsi="Times New Roman" w:cs="Times New Roman"/>
          <w:sz w:val="24"/>
          <w:szCs w:val="24"/>
          <w:lang w:val="es-ES"/>
        </w:rPr>
        <w:tab/>
        <w:t>la</w:t>
      </w:r>
      <w:r w:rsidRPr="00CB38AA">
        <w:rPr>
          <w:rFonts w:ascii="Times New Roman" w:eastAsia="Arial MT" w:hAnsi="Times New Roman" w:cs="Times New Roman"/>
          <w:sz w:val="24"/>
          <w:szCs w:val="24"/>
          <w:lang w:val="es-ES"/>
        </w:rPr>
        <w:tab/>
        <w:t>Ciudad</w:t>
      </w:r>
      <w:r w:rsidRPr="00CB38AA">
        <w:rPr>
          <w:rFonts w:ascii="Times New Roman" w:eastAsia="Arial MT" w:hAnsi="Times New Roman" w:cs="Times New Roman"/>
          <w:sz w:val="24"/>
          <w:szCs w:val="24"/>
          <w:lang w:val="es-ES"/>
        </w:rPr>
        <w:tab/>
        <w:t>de</w:t>
      </w:r>
      <w:r w:rsidRPr="00CB38AA">
        <w:rPr>
          <w:rFonts w:ascii="Times New Roman" w:eastAsia="Arial MT" w:hAnsi="Times New Roman" w:cs="Times New Roman"/>
          <w:sz w:val="24"/>
          <w:szCs w:val="24"/>
          <w:lang w:val="es-ES"/>
        </w:rPr>
        <w:tab/>
        <w:t>México.</w:t>
      </w:r>
      <w:r w:rsidRPr="00CB38AA">
        <w:rPr>
          <w:rFonts w:ascii="Times New Roman" w:eastAsia="Arial MT" w:hAnsi="Times New Roman" w:cs="Times New Roman"/>
          <w:sz w:val="24"/>
          <w:szCs w:val="24"/>
          <w:lang w:val="es-ES"/>
        </w:rPr>
        <w:tab/>
        <w:t>I</w:t>
      </w:r>
      <w:r w:rsidRPr="00CB38AA">
        <w:rPr>
          <w:rFonts w:ascii="Times New Roman" w:eastAsia="Arial MT" w:hAnsi="Times New Roman" w:cs="Times New Roman"/>
          <w:sz w:val="24"/>
          <w:szCs w:val="24"/>
          <w:lang w:val="es-ES"/>
        </w:rPr>
        <w:tab/>
        <w:t>Legislatura.</w:t>
      </w:r>
      <w:r w:rsidRPr="00CB38AA">
        <w:rPr>
          <w:rFonts w:ascii="Times New Roman" w:eastAsia="Arial MT" w:hAnsi="Times New Roman" w:cs="Times New Roman"/>
          <w:sz w:val="24"/>
          <w:szCs w:val="24"/>
          <w:lang w:val="es-ES"/>
        </w:rPr>
        <w:tab/>
        <w:t>Véase</w:t>
      </w:r>
      <w:r w:rsidRPr="00CB38AA">
        <w:rPr>
          <w:rFonts w:ascii="Times New Roman" w:eastAsia="Arial MT" w:hAnsi="Times New Roman" w:cs="Times New Roman"/>
          <w:sz w:val="24"/>
          <w:szCs w:val="24"/>
          <w:lang w:val="es-ES"/>
        </w:rPr>
        <w:tab/>
        <w:t xml:space="preserve">en: </w:t>
      </w:r>
      <w:r w:rsidRPr="00CB38AA">
        <w:rPr>
          <w:rFonts w:ascii="Times New Roman" w:eastAsia="Arial MT" w:hAnsi="Times New Roman" w:cs="Times New Roman"/>
          <w:sz w:val="24"/>
          <w:szCs w:val="24"/>
          <w:u w:val="single" w:color="0000FF"/>
          <w:lang w:val="es-ES"/>
        </w:rPr>
        <w:t>https://</w:t>
      </w:r>
      <w:hyperlink r:id="rId59">
        <w:r w:rsidRPr="00CB38AA">
          <w:rPr>
            <w:rFonts w:ascii="Times New Roman" w:eastAsia="Arial MT" w:hAnsi="Times New Roman" w:cs="Times New Roman"/>
            <w:sz w:val="24"/>
            <w:szCs w:val="24"/>
            <w:u w:val="single" w:color="0000FF"/>
            <w:lang w:val="es-ES"/>
          </w:rPr>
          <w:t>www.congresocdmx.gob.mx/media/documentos/ff36805f742ab56a8052010616847602ef094946.pdf</w:t>
        </w:r>
      </w:hyperlink>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vertAlign w:val="superscript"/>
          <w:lang w:val="es-ES"/>
        </w:rPr>
        <w:t>11</w:t>
      </w:r>
      <w:r w:rsidRPr="00CB38AA">
        <w:rPr>
          <w:rFonts w:ascii="Times New Roman" w:eastAsia="Arial MT" w:hAnsi="Times New Roman" w:cs="Times New Roman"/>
          <w:sz w:val="24"/>
          <w:szCs w:val="24"/>
          <w:lang w:val="es-ES"/>
        </w:rPr>
        <w:t xml:space="preserve"> Congreso de la Ciudad de México. 22 de marzo de 2023. </w:t>
      </w:r>
      <w:r w:rsidRPr="00CB38AA">
        <w:rPr>
          <w:rFonts w:ascii="Times New Roman" w:eastAsia="Arial MT" w:hAnsi="Times New Roman" w:cs="Times New Roman"/>
          <w:i/>
          <w:sz w:val="24"/>
          <w:szCs w:val="24"/>
          <w:lang w:val="es-ES"/>
        </w:rPr>
        <w:t xml:space="preserve">Urgente destinar espacios para familiares de personas hospitalizadas. </w:t>
      </w:r>
      <w:r w:rsidRPr="00CB38AA">
        <w:rPr>
          <w:rFonts w:ascii="Times New Roman" w:eastAsia="Arial MT" w:hAnsi="Times New Roman" w:cs="Times New Roman"/>
          <w:sz w:val="24"/>
          <w:szCs w:val="24"/>
          <w:lang w:val="es-ES"/>
        </w:rPr>
        <w:t xml:space="preserve">III Legislatura. Véase en: </w:t>
      </w:r>
      <w:r w:rsidRPr="00CB38AA">
        <w:rPr>
          <w:rFonts w:ascii="Times New Roman" w:eastAsia="Arial MT" w:hAnsi="Times New Roman" w:cs="Times New Roman"/>
          <w:sz w:val="24"/>
          <w:szCs w:val="24"/>
          <w:u w:val="single" w:color="0000FF"/>
          <w:lang w:val="es-ES"/>
        </w:rPr>
        <w:t>https://</w:t>
      </w:r>
      <w:hyperlink r:id="rId60">
        <w:r w:rsidRPr="00CB38AA">
          <w:rPr>
            <w:rFonts w:ascii="Times New Roman" w:eastAsia="Arial MT" w:hAnsi="Times New Roman" w:cs="Times New Roman"/>
            <w:sz w:val="24"/>
            <w:szCs w:val="24"/>
            <w:u w:val="single" w:color="0000FF"/>
            <w:lang w:val="es-ES"/>
          </w:rPr>
          <w:t>www.congresocdmx.gob.mx/comsoc-urgente-destinar-espacios-familiares-personas-hospitalizadas-</w:t>
        </w:r>
      </w:hyperlink>
      <w:r w:rsidRPr="00CB38AA">
        <w:rPr>
          <w:rFonts w:ascii="Times New Roman" w:eastAsia="Arial MT" w:hAnsi="Times New Roman" w:cs="Times New Roman"/>
          <w:sz w:val="24"/>
          <w:szCs w:val="24"/>
          <w:lang w:val="es-ES"/>
        </w:rPr>
        <w:t xml:space="preserve"> </w:t>
      </w:r>
      <w:r w:rsidRPr="00CB38AA">
        <w:rPr>
          <w:rFonts w:ascii="Times New Roman" w:eastAsia="Arial MT" w:hAnsi="Times New Roman" w:cs="Times New Roman"/>
          <w:sz w:val="24"/>
          <w:szCs w:val="24"/>
          <w:u w:val="single" w:color="0000FF"/>
          <w:lang w:val="es-ES"/>
        </w:rPr>
        <w:t>4262-1.htm</w:t>
      </w:r>
      <w:r w:rsidRPr="00CB38AA">
        <w:rPr>
          <w:rFonts w:ascii="Times New Roman" w:eastAsia="Arial MT" w:hAnsi="Times New Roman" w:cs="Times New Roman"/>
          <w:sz w:val="24"/>
          <w:szCs w:val="24"/>
          <w:lang w:val="es-ES"/>
        </w:rPr>
        <w:t>l</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A su vez, en el Ayuntamiento de Toluca, el DIF municipal, Protección Civil y Bomberos de la capital mexiquense habilitaron, ante las bajas temperaturas, un refugio temporal en el Parque Luis Donaldo Colosio</w:t>
      </w:r>
      <w:r w:rsidRPr="00CB38AA">
        <w:rPr>
          <w:rFonts w:ascii="Times New Roman" w:eastAsia="Arial MT" w:hAnsi="Times New Roman" w:cs="Times New Roman"/>
          <w:sz w:val="24"/>
          <w:szCs w:val="24"/>
          <w:vertAlign w:val="superscript"/>
          <w:lang w:val="es-ES"/>
        </w:rPr>
        <w:t>12</w:t>
      </w:r>
      <w:r w:rsidRPr="00CB38AA">
        <w:rPr>
          <w:rFonts w:ascii="Times New Roman" w:eastAsia="Arial MT" w:hAnsi="Times New Roman" w:cs="Times New Roman"/>
          <w:sz w:val="24"/>
          <w:szCs w:val="24"/>
          <w:lang w:val="es-ES"/>
        </w:rPr>
        <w:t>, para dar resguardo y servicios básicos a personas en situación de calle y reducir riesgos a su salud. Este tipo de acciones son fundamentales para proteger a la población vulnerable y deberían replicarse en las inmediaciones de los hospitales públicos, donde los familiares no pueden desplazarse grandes distancias.</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Los albergues permiten a los familiares cubrir sus necesidades básicas como descanso, aseo personal y alimentación; asimismo, al estar cerca de los hospitales, dan seguridad y confort. En este sentido, desde el Grupo Parlamentario del Partido Verde Ecologista consideramos que estos espacios deben ser dignos y suficientes, para así, evitar que los familiares, además de tener a un ser querido enfermo, estén expuestos a condiciones inhumanas e inseguras que vulneran su dignidad y que también los pone en una situación de riesgo y de exposición.</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b/>
          <w:sz w:val="24"/>
          <w:szCs w:val="24"/>
          <w:lang w:val="es-ES"/>
        </w:rPr>
      </w:pPr>
      <w:r w:rsidRPr="00CB38AA">
        <w:rPr>
          <w:rFonts w:ascii="Times New Roman" w:eastAsia="Arial MT" w:hAnsi="Times New Roman" w:cs="Times New Roman"/>
          <w:sz w:val="24"/>
          <w:szCs w:val="24"/>
          <w:lang w:val="es-ES"/>
        </w:rPr>
        <w:t xml:space="preserve">Por lo anteriormente expuesto, fundamentado y motivado, sometemos a la consideración de este H. Poder Legislativo del Estado de México, para su análisis, discusión y, en su caso, aprobación, la siguiente: </w:t>
      </w:r>
      <w:r w:rsidRPr="00CB38AA">
        <w:rPr>
          <w:rFonts w:ascii="Times New Roman" w:eastAsia="Arial MT" w:hAnsi="Times New Roman" w:cs="Times New Roman"/>
          <w:b/>
          <w:sz w:val="24"/>
          <w:szCs w:val="24"/>
          <w:lang w:val="es-ES"/>
        </w:rPr>
        <w:t>PROPOSICIÓN CON PUNTO DE ACUERDO POR EL QUE SE EXHORTA PROPOSICIÓN CON PUNTO DE ACUERDO POR EL QUE SE EXHORTA RESPETUOSAMENTE A LOS 125 AYUNTAMIENTOS DEL ESTADO DE MÉXICO, A LA SECRETARÍA DE SALUD DEL ESTADO DE MÉXICO Y AL SISTEMA PARA EL DESARROLLO INTEGRAL DE LA FAMILIA DEL ESTADO DE MÉXICO (DIFEM), PARA QUE EN EL ÁMBITO DE SUS ATRIBUCIONES, INSTALEN REFUGIOS O ESPACIOS DE RESGUARDO DE MANERA PERMANENTE DESTINADOS A FAMILIARES DE PACIENTES HOSPITALIZADOS, GARANTIZANDO CONDICIONES DE SEGURIDAD, HIGIENE, DESCANSO Y ACCESO A SERVICIOS BÁSICOS.</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b/>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vertAlign w:val="superscript"/>
          <w:lang w:val="es-ES"/>
        </w:rPr>
        <w:lastRenderedPageBreak/>
        <w:t>12</w:t>
      </w:r>
      <w:r w:rsidRPr="00CB38AA">
        <w:rPr>
          <w:rFonts w:ascii="Times New Roman" w:eastAsia="Arial MT" w:hAnsi="Times New Roman" w:cs="Times New Roman"/>
          <w:sz w:val="24"/>
          <w:szCs w:val="24"/>
          <w:lang w:val="es-ES"/>
        </w:rPr>
        <w:t xml:space="preserve"> Ayuntamiento de Toluca. 7 de enero de 2026. </w:t>
      </w:r>
      <w:r w:rsidRPr="00CB38AA">
        <w:rPr>
          <w:rFonts w:ascii="Times New Roman" w:eastAsia="Arial MT" w:hAnsi="Times New Roman" w:cs="Times New Roman"/>
          <w:i/>
          <w:sz w:val="24"/>
          <w:szCs w:val="24"/>
          <w:lang w:val="es-ES"/>
        </w:rPr>
        <w:t>Mantiene Toluca Apoyo directo a personas en situación de calle por bajas temperaturas</w:t>
      </w:r>
      <w:r w:rsidRPr="00CB38AA">
        <w:rPr>
          <w:rFonts w:ascii="Times New Roman" w:eastAsia="Arial MT" w:hAnsi="Times New Roman" w:cs="Times New Roman"/>
          <w:sz w:val="24"/>
          <w:szCs w:val="24"/>
          <w:lang w:val="es-ES"/>
        </w:rPr>
        <w:t xml:space="preserve">. Coordinación General de Comunicación Social. Véase en: </w:t>
      </w:r>
      <w:r w:rsidRPr="00CB38AA">
        <w:rPr>
          <w:rFonts w:ascii="Times New Roman" w:eastAsia="Arial MT" w:hAnsi="Times New Roman" w:cs="Times New Roman"/>
          <w:sz w:val="24"/>
          <w:szCs w:val="24"/>
          <w:u w:val="single" w:color="0000FF"/>
          <w:lang w:val="es-ES"/>
        </w:rPr>
        <w:t>https://www2.toluca.gob.mx/mantiene-toluca-apoyo-directo-</w:t>
      </w:r>
      <w:r w:rsidRPr="00CB38AA">
        <w:rPr>
          <w:rFonts w:ascii="Times New Roman" w:eastAsia="Arial MT" w:hAnsi="Times New Roman" w:cs="Times New Roman"/>
          <w:sz w:val="24"/>
          <w:szCs w:val="24"/>
          <w:lang w:val="es-ES"/>
        </w:rPr>
        <w:t xml:space="preserve"> </w:t>
      </w:r>
      <w:r w:rsidRPr="00CB38AA">
        <w:rPr>
          <w:rFonts w:ascii="Times New Roman" w:eastAsia="Arial MT" w:hAnsi="Times New Roman" w:cs="Times New Roman"/>
          <w:sz w:val="24"/>
          <w:szCs w:val="24"/>
          <w:u w:val="single" w:color="0000FF"/>
          <w:lang w:val="es-ES"/>
        </w:rPr>
        <w:t>a-personas-en-situacion-de-calle-por-bajas-temperaturas/</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8E5A2B" w:rsidRPr="00CB38AA" w:rsidRDefault="008E5A2B" w:rsidP="008E5A2B">
      <w:pPr>
        <w:widowControl w:val="0"/>
        <w:autoSpaceDE w:val="0"/>
        <w:autoSpaceDN w:val="0"/>
        <w:spacing w:after="0"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A T E N T A M E N T E</w:t>
      </w:r>
    </w:p>
    <w:p w:rsidR="008E5A2B" w:rsidRPr="00CB38AA" w:rsidRDefault="008E5A2B" w:rsidP="008E5A2B">
      <w:pPr>
        <w:widowControl w:val="0"/>
        <w:autoSpaceDE w:val="0"/>
        <w:autoSpaceDN w:val="0"/>
        <w:spacing w:after="0"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DIP. JOSÉ ALBERTO COUTTOLENC BUENTELLO</w:t>
      </w:r>
    </w:p>
    <w:p w:rsidR="008E5A2B" w:rsidRPr="00CB38AA" w:rsidRDefault="008E5A2B" w:rsidP="008E5A2B">
      <w:pPr>
        <w:widowControl w:val="0"/>
        <w:autoSpaceDE w:val="0"/>
        <w:autoSpaceDN w:val="0"/>
        <w:spacing w:after="0" w:line="240" w:lineRule="auto"/>
        <w:jc w:val="center"/>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COORDINADOR DEL GRUPO PARLAMENTARIO DEL PARTIDO VERDE ECOLOGISTA DE MÉXICO</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b/>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b/>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LA H. "LXII" LEGISLATURA DEL CONGRESO DEL ESTADO LIBRE Y SOBERANO DE MÉXICO, EN EJERCICIO DE LAS FACULTADES QUE LE CONFIEREN LOS ARTÍCULOS 57 Y 61 DE LA CONSTITUCIÓN POLÍTICA DEL ESTADO LIBRE Y SOBERANO DE MÉXICO Y 38, FRACCIÓN IV DE LA LEY ORGÁNICA DEL PODER LEGISLATIVO DEL ESTADO LIBRE Y SOBERANO DE MÉXICO, HA TENIDO A BIEN EMITIR EL SIGUIENTE:</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b/>
          <w:sz w:val="24"/>
          <w:szCs w:val="24"/>
          <w:lang w:val="es-ES"/>
        </w:rPr>
      </w:pPr>
    </w:p>
    <w:p w:rsidR="008E5A2B" w:rsidRPr="00CB38AA" w:rsidRDefault="008E5A2B" w:rsidP="008E5A2B">
      <w:pPr>
        <w:widowControl w:val="0"/>
        <w:autoSpaceDE w:val="0"/>
        <w:autoSpaceDN w:val="0"/>
        <w:spacing w:after="0"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ACUERDO</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b/>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b/>
          <w:sz w:val="24"/>
          <w:szCs w:val="24"/>
          <w:lang w:val="es-ES"/>
        </w:rPr>
        <w:t xml:space="preserve">PRIMERO.- </w:t>
      </w:r>
      <w:r w:rsidRPr="00CB38AA">
        <w:rPr>
          <w:rFonts w:ascii="Times New Roman" w:eastAsia="Arial MT" w:hAnsi="Times New Roman" w:cs="Times New Roman"/>
          <w:sz w:val="24"/>
          <w:szCs w:val="24"/>
          <w:lang w:val="es-ES"/>
        </w:rPr>
        <w:t>La H. "LXII" Legislatura del Congreso del Estado Libre y Soberano de México exhorta respetuosamente a los 125 Ayuntamientos para que, en coordinación con la Secretaría de Salud del Estado de México, lleven a cabo acciones para la instalación de refugios o espacios de refugio de manera permanente para los familiares de pacientes afuera de hospitales públicos dentro de sus límites territoriales.</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b/>
          <w:sz w:val="24"/>
          <w:szCs w:val="24"/>
          <w:lang w:val="es-ES"/>
        </w:rPr>
        <w:t xml:space="preserve">SEGUNDO.- </w:t>
      </w:r>
      <w:r w:rsidRPr="00CB38AA">
        <w:rPr>
          <w:rFonts w:ascii="Times New Roman" w:eastAsia="Arial MT" w:hAnsi="Times New Roman" w:cs="Times New Roman"/>
          <w:sz w:val="24"/>
          <w:szCs w:val="24"/>
          <w:lang w:val="es-ES"/>
        </w:rPr>
        <w:t>La H. "LXII" Legislatura del Congreso del Estado Libre y Soberano de México exhorta respetuosamente a la Secretaría de Salud del Estado de México, para que instale refugios o espacios de resguardo en hospitales bajo su jurisdicción, de manera permanente, y garantice condiciones de seguridad, higiene y acceso a servicios básicos.</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b/>
          <w:sz w:val="24"/>
          <w:szCs w:val="24"/>
          <w:lang w:val="es-ES"/>
        </w:rPr>
        <w:t xml:space="preserve">TERCERO.- </w:t>
      </w:r>
      <w:r w:rsidRPr="00CB38AA">
        <w:rPr>
          <w:rFonts w:ascii="Times New Roman" w:eastAsia="Arial MT" w:hAnsi="Times New Roman" w:cs="Times New Roman"/>
          <w:sz w:val="24"/>
          <w:szCs w:val="24"/>
          <w:lang w:val="es-ES"/>
        </w:rPr>
        <w:t>La H. "LXII" Legislatura del Congreso del Estado Libre y Soberano de México exhorta respetuosamente al Sistema para el Desarrollo Integral de la Familia del Estado de México (DIFEM) para que, en coordinación con la Secretaría de Salud del Estado de México y los 125 ayuntamientos, refuerce los refugios existentes para los familiares con pacientes hospitalizados.</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8E5A2B" w:rsidRPr="00CB38AA" w:rsidRDefault="008E5A2B" w:rsidP="008E5A2B">
      <w:pPr>
        <w:widowControl w:val="0"/>
        <w:autoSpaceDE w:val="0"/>
        <w:autoSpaceDN w:val="0"/>
        <w:spacing w:after="0" w:line="240" w:lineRule="auto"/>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TRANSITORIOS</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b/>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b/>
          <w:sz w:val="24"/>
          <w:szCs w:val="24"/>
          <w:lang w:val="es-ES"/>
        </w:rPr>
        <w:t xml:space="preserve">ARTÍCULO PRIMERO. </w:t>
      </w:r>
      <w:r w:rsidRPr="00CB38AA">
        <w:rPr>
          <w:rFonts w:ascii="Times New Roman" w:eastAsia="Arial MT" w:hAnsi="Times New Roman" w:cs="Times New Roman"/>
          <w:sz w:val="24"/>
          <w:szCs w:val="24"/>
          <w:lang w:val="es-ES"/>
        </w:rPr>
        <w:t>Publíquese el presente Acuerdo en el Periódico Oficial “Gaceta de Gobierno”.</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b/>
          <w:sz w:val="24"/>
          <w:szCs w:val="24"/>
          <w:lang w:val="es-ES"/>
        </w:rPr>
        <w:t xml:space="preserve">ARTÍCULO SEGUNDO. </w:t>
      </w:r>
      <w:r w:rsidRPr="00CB38AA">
        <w:rPr>
          <w:rFonts w:ascii="Times New Roman" w:eastAsia="Arial MT" w:hAnsi="Times New Roman" w:cs="Times New Roman"/>
          <w:sz w:val="24"/>
          <w:szCs w:val="24"/>
          <w:lang w:val="es-ES"/>
        </w:rPr>
        <w:t>Comuníquese a las autoridades correspondientes.</w:t>
      </w: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p>
    <w:p w:rsidR="008E5A2B" w:rsidRPr="00CB38AA" w:rsidRDefault="008E5A2B" w:rsidP="008E5A2B">
      <w:pPr>
        <w:widowControl w:val="0"/>
        <w:autoSpaceDE w:val="0"/>
        <w:autoSpaceDN w:val="0"/>
        <w:spacing w:after="0" w:line="240" w:lineRule="auto"/>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Dado en el Palacio del Poder Legislativo, en la Ciudad de Toluca, Capital del Estado de México, a los </w:t>
      </w:r>
      <w:r w:rsidRPr="00CB38AA">
        <w:rPr>
          <w:rFonts w:ascii="Times New Roman" w:eastAsia="Arial MT" w:hAnsi="Times New Roman" w:cs="Times New Roman"/>
          <w:sz w:val="24"/>
          <w:szCs w:val="24"/>
          <w:u w:val="single"/>
          <w:lang w:val="es-ES"/>
        </w:rPr>
        <w:tab/>
      </w:r>
      <w:r w:rsidRPr="00CB38AA">
        <w:rPr>
          <w:rFonts w:ascii="Times New Roman" w:eastAsia="Arial MT" w:hAnsi="Times New Roman" w:cs="Times New Roman"/>
          <w:sz w:val="24"/>
          <w:szCs w:val="24"/>
          <w:u w:val="single"/>
          <w:lang w:val="es-ES"/>
        </w:rPr>
        <w:tab/>
      </w:r>
      <w:r w:rsidRPr="00CB38AA">
        <w:rPr>
          <w:rFonts w:ascii="Times New Roman" w:eastAsia="Arial MT" w:hAnsi="Times New Roman" w:cs="Times New Roman"/>
          <w:sz w:val="24"/>
          <w:szCs w:val="24"/>
          <w:lang w:val="es-ES"/>
        </w:rPr>
        <w:t xml:space="preserve"> días del mes </w:t>
      </w:r>
      <w:r w:rsidRPr="00CB38AA">
        <w:rPr>
          <w:rFonts w:ascii="Times New Roman" w:eastAsia="Arial MT" w:hAnsi="Times New Roman" w:cs="Times New Roman"/>
          <w:sz w:val="24"/>
          <w:szCs w:val="24"/>
          <w:u w:val="single"/>
          <w:lang w:val="es-ES"/>
        </w:rPr>
        <w:tab/>
      </w:r>
      <w:r w:rsidRPr="00CB38AA">
        <w:rPr>
          <w:rFonts w:ascii="Times New Roman" w:eastAsia="Arial MT" w:hAnsi="Times New Roman" w:cs="Times New Roman"/>
          <w:sz w:val="24"/>
          <w:szCs w:val="24"/>
          <w:u w:val="single"/>
          <w:lang w:val="es-ES"/>
        </w:rPr>
        <w:tab/>
      </w:r>
      <w:r w:rsidRPr="00CB38AA">
        <w:rPr>
          <w:rFonts w:ascii="Times New Roman" w:eastAsia="Arial MT" w:hAnsi="Times New Roman" w:cs="Times New Roman"/>
          <w:sz w:val="24"/>
          <w:szCs w:val="24"/>
          <w:lang w:val="es-ES"/>
        </w:rPr>
        <w:t xml:space="preserve"> del año dos mil veintiséis.</w:t>
      </w:r>
    </w:p>
    <w:p w:rsidR="008E5A2B" w:rsidRPr="00CB38AA" w:rsidRDefault="008E5A2B" w:rsidP="001126B3">
      <w:pPr>
        <w:spacing w:after="0" w:line="240" w:lineRule="auto"/>
        <w:jc w:val="center"/>
        <w:rPr>
          <w:rFonts w:ascii="Times New Roman" w:hAnsi="Times New Roman" w:cs="Times New Roman"/>
          <w:sz w:val="24"/>
          <w:szCs w:val="24"/>
        </w:rPr>
      </w:pPr>
    </w:p>
    <w:p w:rsidR="008E5A2B" w:rsidRPr="00CB38AA" w:rsidRDefault="008E5A2B" w:rsidP="001126B3">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(Fin del documento)</w:t>
      </w:r>
    </w:p>
    <w:p w:rsidR="008E5A2B" w:rsidRPr="00CB38AA" w:rsidRDefault="008E5A2B" w:rsidP="001126B3">
      <w:pPr>
        <w:spacing w:after="0" w:line="240" w:lineRule="auto"/>
        <w:jc w:val="center"/>
        <w:rPr>
          <w:rFonts w:ascii="Times New Roman" w:hAnsi="Times New Roman" w:cs="Times New Roman"/>
          <w:sz w:val="24"/>
          <w:szCs w:val="24"/>
        </w:rPr>
      </w:pP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lastRenderedPageBreak/>
        <w:t xml:space="preserve">PRESIDENTA DIP. MARTHA AZUCENA CAMACHO REYNOSO Gracias diputado </w:t>
      </w:r>
      <w:r w:rsidRPr="00CB38AA">
        <w:rPr>
          <w:rFonts w:ascii="Times New Roman" w:hAnsi="Times New Roman" w:cs="Times New Roman"/>
          <w:kern w:val="2"/>
          <w:sz w:val="24"/>
          <w:szCs w:val="24"/>
          <w:lang w:eastAsia="es-MX"/>
        </w:rPr>
        <w:t>Isaías Peláez Soria</w:t>
      </w:r>
      <w:r w:rsidRPr="00CB38AA">
        <w:rPr>
          <w:rFonts w:ascii="Times New Roman" w:hAnsi="Times New Roman" w:cs="Times New Roman"/>
          <w:sz w:val="24"/>
          <w:szCs w:val="24"/>
        </w:rPr>
        <w:t xml:space="preserve">.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Se registra y se remite a las Comisiones Legislativas de Salud, Asistencia y Bienestar Social y de Legislación y Administración Municipal para su estudio y dictamen.</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En cuanto al punto número 23, el diputado Secretario Eduardo Zarzosa Sánchez, presenta en nombre del Grupo Parlamentario del Partido Revolucionario Institucional, Punto de Acuerdo por el que se exhorta a la Secretaría de Movilidad del Gobierno del Estado de México y al Sistema de Autopistas, Aeropuertos, Servicios Conexos y Auxiliares del Estado de México, a realizar las acciones necesarias para realizar, garantizar que las y los residentes de las comunidades colindantes a la autopista Atlacomulco-Polotitlán estén exentos del pago de peaje, una vez que dicha carretera de cuota sea concluida y entre en operación.</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DIP. EDUARDO ZARZOSA SÁNCHEZ. Muchas gracias.</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Con su permiso Presidenta, con el permiso de la Mesa Directiva, compañeras y compañeros diputados, diputade, medios de comunicación, pueblo del Estado de México.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Hoy quiero compartir con ustedes una realidad cotidiana para las vecinas y vecinos de los poblados mexiquenses, particularmente de la zona norte de nuestra Entidad.</w:t>
      </w:r>
    </w:p>
    <w:p w:rsidR="00A35DFE" w:rsidRPr="00CB38AA" w:rsidRDefault="00A35DFE" w:rsidP="00DF6EEA">
      <w:pPr>
        <w:pStyle w:val="Sinespaciado"/>
        <w:ind w:firstLine="709"/>
        <w:jc w:val="both"/>
        <w:rPr>
          <w:rFonts w:ascii="Times New Roman" w:hAnsi="Times New Roman" w:cs="Times New Roman"/>
          <w:sz w:val="24"/>
          <w:szCs w:val="24"/>
        </w:rPr>
      </w:pPr>
      <w:r w:rsidRPr="00CB38AA">
        <w:rPr>
          <w:rFonts w:ascii="Times New Roman" w:hAnsi="Times New Roman" w:cs="Times New Roman"/>
          <w:sz w:val="24"/>
          <w:szCs w:val="24"/>
        </w:rPr>
        <w:t xml:space="preserve">La afectación al derecho a movernos libremente sin que eso signifique un golpe al bolsillo de las familias, porque la movilidad, entiéndase, no es un privilegio, es un derecho y cuando ese derecho se encarece injustamente, deja de cumplirse para quienes más lo necesitan.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 xml:space="preserve">Quienes vivimos y conocemos esta región: Atlacomulco, Acambay, Aculco, Ixtlahuaca, Polotitlán, entre otros. Sabemos que aquí usar la carretera no es un lujo es nuestro camino a la escuela, al hospital, al trabajo, al mercado es la vía para volver a nuestros hogares, con nuestras familias. Aquí no se usa la autopista de vez en cuando, aquí se necesita todos los días. Por eso hoy, desde este Congreso, desde el Congreso del Estado de México, presentamos un punto de acuerdo para que las familias del norte del Estado de México, vivan mejor y en mejores condiciones de vida. Exhortamos por ello a la Secretaria de Movilidad y al SAASCAEM para que las y los residentes de las comunidades colindantes a la Autopista Atlacomulco-Polotitlán, estén exentos del pago de peaje cuando esta carretera entre en operación.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No estamos pidiendo algo extraordinario, estamos pidiendo justicia social y justicia territorial. Nuestra Constitución prevé los derechos fundamentales a la libertad de tránsito y a la movilidad, eso significa que toda persona debe poder desplazarse de manera segura, accesible y digna para desarrollar su vida cotidiana y eso es precisamente lo que estamos proponiendo que maestras, obreros, campesinos, comerciantes, transportistas, estudiantes, etcétera; que no tienen una alternativa puedan usar la autopista sin que ello afecte a su economía.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Esta autopista, como muchos saben, atravesará tierras ejidales, comunidades rurales, pueblos con historia y dado que todavía no está concluida, este es el momento preciso, es el momento ideal para atender nuestro exhorto.</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Las tarifas aún no se han definido, por lo que los costos para los pobladores aún pueden revisarse; por eso confiamos en que el Gobierno atenderá como siempre o como en muchas ocasiones lo ha hecho nuestro llamado, porque las grandes obras no pueden construirse a costa del bienestar del pueblo. </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 xml:space="preserve">Desde el Partido Revolucionario Institucional; creemos en un Estado que acompaña, que entiende el territorio y que hace leyes y construye obras con los pies en la tierra; por ello, hacemos este llamado respetuoso pero firme a la Secretaría de Movilidad y al SAASCAEM, escuchen a las comunidades, revisen los antecedentes y tomen la decisión correcta, que la autopista Atlacomulco Polotitlán sea una vía de progreso y no una carga más para las familias del norte del Estado de México.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En el Grupo parlamentario del PRI, siempre, siendo gobierno u hoy como oposición, hemos mirado y seguiremos mirando por el bien de las y los mexiquenses.</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lastRenderedPageBreak/>
        <w:t>Es cuanto Presidenta.</w:t>
      </w:r>
    </w:p>
    <w:p w:rsidR="001126B3" w:rsidRPr="00CB38AA" w:rsidRDefault="001126B3" w:rsidP="001126B3">
      <w:pPr>
        <w:pStyle w:val="Sinespaciado"/>
        <w:jc w:val="both"/>
        <w:rPr>
          <w:rFonts w:ascii="Times New Roman" w:hAnsi="Times New Roman" w:cs="Times New Roman"/>
          <w:sz w:val="24"/>
          <w:szCs w:val="24"/>
        </w:rPr>
      </w:pPr>
    </w:p>
    <w:p w:rsidR="001126B3" w:rsidRPr="00CB38AA" w:rsidRDefault="001126B3" w:rsidP="001126B3">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(Se inserta documento)</w:t>
      </w:r>
    </w:p>
    <w:p w:rsidR="001126B3" w:rsidRPr="00CB38AA" w:rsidRDefault="001126B3" w:rsidP="001126B3">
      <w:pPr>
        <w:spacing w:after="0" w:line="240" w:lineRule="auto"/>
        <w:jc w:val="center"/>
        <w:rPr>
          <w:rFonts w:ascii="Times New Roman" w:hAnsi="Times New Roman" w:cs="Times New Roman"/>
          <w:sz w:val="24"/>
          <w:szCs w:val="24"/>
        </w:rPr>
      </w:pPr>
    </w:p>
    <w:p w:rsidR="001126B3" w:rsidRPr="00CB38AA" w:rsidRDefault="001126B3" w:rsidP="001126B3">
      <w:pPr>
        <w:autoSpaceDE w:val="0"/>
        <w:autoSpaceDN w:val="0"/>
        <w:adjustRightInd w:val="0"/>
        <w:spacing w:after="0" w:line="240" w:lineRule="auto"/>
        <w:ind w:right="49"/>
        <w:jc w:val="right"/>
        <w:rPr>
          <w:rFonts w:ascii="Times New Roman" w:eastAsia="Calibri" w:hAnsi="Times New Roman" w:cs="Times New Roman"/>
          <w:b/>
          <w:bCs/>
          <w:sz w:val="24"/>
          <w:szCs w:val="24"/>
        </w:rPr>
      </w:pPr>
      <w:r w:rsidRPr="00CB38AA">
        <w:rPr>
          <w:rFonts w:ascii="Times New Roman" w:eastAsia="Calibri" w:hAnsi="Times New Roman" w:cs="Times New Roman"/>
          <w:b/>
          <w:bCs/>
          <w:sz w:val="24"/>
          <w:szCs w:val="24"/>
        </w:rPr>
        <w:t>Dip. Eduardo</w:t>
      </w:r>
    </w:p>
    <w:p w:rsidR="001126B3" w:rsidRPr="00CB38AA" w:rsidRDefault="001126B3" w:rsidP="001126B3">
      <w:pPr>
        <w:autoSpaceDE w:val="0"/>
        <w:autoSpaceDN w:val="0"/>
        <w:adjustRightInd w:val="0"/>
        <w:spacing w:after="0" w:line="240" w:lineRule="auto"/>
        <w:ind w:right="49"/>
        <w:jc w:val="right"/>
        <w:rPr>
          <w:rFonts w:ascii="Times New Roman" w:eastAsia="Calibri" w:hAnsi="Times New Roman" w:cs="Times New Roman"/>
          <w:b/>
          <w:bCs/>
          <w:sz w:val="24"/>
          <w:szCs w:val="24"/>
        </w:rPr>
      </w:pPr>
      <w:r w:rsidRPr="00CB38AA">
        <w:rPr>
          <w:rFonts w:ascii="Times New Roman" w:eastAsia="Calibri" w:hAnsi="Times New Roman" w:cs="Times New Roman"/>
          <w:b/>
          <w:bCs/>
          <w:sz w:val="24"/>
          <w:szCs w:val="24"/>
        </w:rPr>
        <w:t>Zarzosa Sánchez</w:t>
      </w:r>
    </w:p>
    <w:p w:rsidR="001126B3" w:rsidRPr="00CB38AA" w:rsidRDefault="001126B3" w:rsidP="001126B3">
      <w:pPr>
        <w:autoSpaceDE w:val="0"/>
        <w:autoSpaceDN w:val="0"/>
        <w:adjustRightInd w:val="0"/>
        <w:spacing w:after="0" w:line="240" w:lineRule="auto"/>
        <w:ind w:right="49"/>
        <w:jc w:val="both"/>
        <w:rPr>
          <w:rFonts w:ascii="Times New Roman" w:eastAsia="Calibri" w:hAnsi="Times New Roman" w:cs="Times New Roman"/>
          <w:b/>
          <w:bCs/>
          <w:sz w:val="24"/>
          <w:szCs w:val="24"/>
        </w:rPr>
      </w:pPr>
    </w:p>
    <w:p w:rsidR="001126B3" w:rsidRPr="00CB38AA" w:rsidRDefault="001126B3" w:rsidP="001126B3">
      <w:pPr>
        <w:autoSpaceDE w:val="0"/>
        <w:autoSpaceDN w:val="0"/>
        <w:adjustRightInd w:val="0"/>
        <w:spacing w:after="0" w:line="240" w:lineRule="auto"/>
        <w:ind w:right="49"/>
        <w:jc w:val="both"/>
        <w:rPr>
          <w:rFonts w:ascii="Times New Roman" w:eastAsia="Calibri" w:hAnsi="Times New Roman" w:cs="Times New Roman"/>
          <w:b/>
          <w:bCs/>
          <w:sz w:val="24"/>
          <w:szCs w:val="24"/>
        </w:rPr>
      </w:pPr>
      <w:r w:rsidRPr="00CB38AA">
        <w:rPr>
          <w:rFonts w:ascii="Times New Roman" w:eastAsia="Calibri" w:hAnsi="Times New Roman" w:cs="Times New Roman"/>
          <w:b/>
          <w:bCs/>
          <w:sz w:val="24"/>
          <w:szCs w:val="24"/>
        </w:rPr>
        <w:t>CONGRESO</w:t>
      </w:r>
    </w:p>
    <w:p w:rsidR="001126B3" w:rsidRPr="00CB38AA" w:rsidRDefault="001126B3" w:rsidP="001126B3">
      <w:pPr>
        <w:autoSpaceDE w:val="0"/>
        <w:autoSpaceDN w:val="0"/>
        <w:adjustRightInd w:val="0"/>
        <w:spacing w:after="0" w:line="240" w:lineRule="auto"/>
        <w:ind w:right="49"/>
        <w:jc w:val="both"/>
        <w:rPr>
          <w:rFonts w:ascii="Times New Roman" w:eastAsia="Calibri" w:hAnsi="Times New Roman" w:cs="Times New Roman"/>
          <w:b/>
          <w:bCs/>
          <w:sz w:val="24"/>
          <w:szCs w:val="24"/>
        </w:rPr>
      </w:pPr>
      <w:r w:rsidRPr="00CB38AA">
        <w:rPr>
          <w:rFonts w:ascii="Times New Roman" w:eastAsia="Calibri" w:hAnsi="Times New Roman" w:cs="Times New Roman"/>
          <w:b/>
          <w:bCs/>
          <w:sz w:val="24"/>
          <w:szCs w:val="24"/>
        </w:rPr>
        <w:t>ESTADO DE MÉXICO</w:t>
      </w:r>
    </w:p>
    <w:p w:rsidR="001126B3" w:rsidRPr="00CB38AA" w:rsidRDefault="001126B3" w:rsidP="001126B3">
      <w:pPr>
        <w:autoSpaceDE w:val="0"/>
        <w:autoSpaceDN w:val="0"/>
        <w:adjustRightInd w:val="0"/>
        <w:spacing w:after="0" w:line="240" w:lineRule="auto"/>
        <w:ind w:right="49"/>
        <w:jc w:val="both"/>
        <w:rPr>
          <w:rFonts w:ascii="Times New Roman" w:eastAsia="Calibri" w:hAnsi="Times New Roman" w:cs="Times New Roman"/>
          <w:b/>
          <w:bCs/>
          <w:sz w:val="24"/>
          <w:szCs w:val="24"/>
        </w:rPr>
      </w:pPr>
    </w:p>
    <w:p w:rsidR="001126B3" w:rsidRPr="00CB38AA" w:rsidRDefault="001126B3" w:rsidP="001126B3">
      <w:pPr>
        <w:widowControl w:val="0"/>
        <w:autoSpaceDE w:val="0"/>
        <w:autoSpaceDN w:val="0"/>
        <w:spacing w:after="0" w:line="240" w:lineRule="auto"/>
        <w:ind w:right="49"/>
        <w:jc w:val="center"/>
        <w:rPr>
          <w:rFonts w:ascii="Times New Roman" w:eastAsia="Calibri" w:hAnsi="Times New Roman" w:cs="Times New Roman"/>
          <w:sz w:val="24"/>
          <w:szCs w:val="24"/>
          <w:lang w:val="es-ES"/>
        </w:rPr>
      </w:pPr>
      <w:r w:rsidRPr="00CB38AA">
        <w:rPr>
          <w:rFonts w:ascii="Times New Roman" w:eastAsia="Calibri" w:hAnsi="Times New Roman" w:cs="Times New Roman"/>
          <w:b/>
          <w:sz w:val="24"/>
          <w:szCs w:val="24"/>
          <w:lang w:val="es-ES"/>
        </w:rPr>
        <w:t>"2025. Bicentenario de la vida municipal en el Estado de México”</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126B3" w:rsidRPr="00CB38AA" w:rsidRDefault="001126B3" w:rsidP="001126B3">
      <w:pPr>
        <w:widowControl w:val="0"/>
        <w:autoSpaceDE w:val="0"/>
        <w:autoSpaceDN w:val="0"/>
        <w:spacing w:after="0" w:line="240" w:lineRule="auto"/>
        <w:ind w:right="49"/>
        <w:jc w:val="right"/>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Toluca, Estado México, a 11 de febrero de 2026.</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DIPUTADA</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MARTHA AZUCENA CAMACHO REYNOSO</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PRESIDENTA DE LA H. “LXII” LEGISLATURA</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DEL CONGRESO DEL ESTADO DE MÉXICO</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P R E S E N T E</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El que suscribe, </w:t>
      </w:r>
      <w:r w:rsidRPr="00CB38AA">
        <w:rPr>
          <w:rFonts w:ascii="Times New Roman" w:eastAsia="Arial MT" w:hAnsi="Times New Roman" w:cs="Times New Roman"/>
          <w:b/>
          <w:sz w:val="24"/>
          <w:szCs w:val="24"/>
          <w:lang w:val="es-ES"/>
        </w:rPr>
        <w:t xml:space="preserve">diputado Eduardo Zarzosa Sánchez, integrante del Grupo Parlamentario del Partido Revolucionario Institucional </w:t>
      </w:r>
      <w:r w:rsidRPr="00CB38AA">
        <w:rPr>
          <w:rFonts w:ascii="Times New Roman" w:eastAsia="Arial MT" w:hAnsi="Times New Roman" w:cs="Times New Roman"/>
          <w:sz w:val="24"/>
          <w:szCs w:val="24"/>
          <w:lang w:val="es-ES"/>
        </w:rPr>
        <w:t xml:space="preserve">en la LXII Legislatura del Congreso del Estado de México, con fundamento en los artículos 51, fracción II, 57 y 61, fracción I, de la Constitución Política del Estado Libre y Soberano de México; 28, fracción I, y 38, fracción IV, de la Ley Orgánica del Poder Legislativo del Estado Libre y Soberano de México; así como 72 del Reglamento del Poder Legislativo del Estado Libre y Soberano de México, someto a consideración de este órgano legislativo, la presente </w:t>
      </w:r>
      <w:r w:rsidRPr="00CB38AA">
        <w:rPr>
          <w:rFonts w:ascii="Times New Roman" w:eastAsia="Arial MT" w:hAnsi="Times New Roman" w:cs="Times New Roman"/>
          <w:b/>
          <w:sz w:val="24"/>
          <w:szCs w:val="24"/>
          <w:lang w:val="es-ES"/>
        </w:rPr>
        <w:t>Proposición con punto de acuerdo por el que se exhorta a la Secretaría de Movilidad del Gobierno del Estado de México y al Sistema de Autopistas, Aeropuertos, Servicios Conexos y Auxiliares del Estado de México, a realizar las acciones necesarias para garantizar que las y los residentes de las comunidades colindantes a la autopista Atlacomulco-Polotitlán estén exentos del pago de peaje, una vez que dicha carretera de cuota sea concluida y entre en operación</w:t>
      </w:r>
      <w:r w:rsidRPr="00CB38AA">
        <w:rPr>
          <w:rFonts w:ascii="Times New Roman" w:eastAsia="Arial MT" w:hAnsi="Times New Roman" w:cs="Times New Roman"/>
          <w:sz w:val="24"/>
          <w:szCs w:val="24"/>
          <w:lang w:val="es-ES"/>
        </w:rPr>
        <w:t>, conforme a la siguiente:</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126B3" w:rsidRPr="00CB38AA" w:rsidRDefault="001126B3" w:rsidP="001126B3">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E X P O S I C I Ó N D E M O T I V O S</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1126B3" w:rsidRPr="00CB38AA" w:rsidRDefault="001126B3" w:rsidP="001126B3">
      <w:pPr>
        <w:widowControl w:val="0"/>
        <w:numPr>
          <w:ilvl w:val="0"/>
          <w:numId w:val="23"/>
        </w:numPr>
        <w:autoSpaceDE w:val="0"/>
        <w:autoSpaceDN w:val="0"/>
        <w:spacing w:after="0" w:line="240" w:lineRule="auto"/>
        <w:ind w:left="0" w:right="49" w:firstLine="0"/>
        <w:jc w:val="both"/>
        <w:outlineLvl w:val="0"/>
        <w:rPr>
          <w:rFonts w:ascii="Times New Roman" w:eastAsia="Arial" w:hAnsi="Times New Roman" w:cs="Times New Roman"/>
          <w:b/>
          <w:bCs/>
          <w:sz w:val="24"/>
          <w:szCs w:val="24"/>
          <w:lang w:val="es-ES"/>
        </w:rPr>
      </w:pPr>
      <w:r w:rsidRPr="00CB38AA">
        <w:rPr>
          <w:rFonts w:ascii="Times New Roman" w:eastAsia="Arial" w:hAnsi="Times New Roman" w:cs="Times New Roman"/>
          <w:b/>
          <w:bCs/>
          <w:sz w:val="24"/>
          <w:szCs w:val="24"/>
          <w:lang w:val="es-ES"/>
        </w:rPr>
        <w:t>La libertad de tránsito y el derecho a la movilidad</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La Constitución Política de los Estados Unidos Mexicanos reconoce, en su artículo 11, que “toda persona tiene derecho para entrar en la República, salir de ella, viajar por su territorio y mudar de residencia”.</w:t>
      </w:r>
      <w:r w:rsidRPr="00CB38AA">
        <w:rPr>
          <w:rFonts w:ascii="Times New Roman" w:eastAsia="Arial MT" w:hAnsi="Times New Roman" w:cs="Times New Roman"/>
          <w:sz w:val="24"/>
          <w:szCs w:val="24"/>
          <w:vertAlign w:val="superscript"/>
          <w:lang w:val="es-ES"/>
        </w:rPr>
        <w:t>1</w:t>
      </w:r>
      <w:r w:rsidRPr="00CB38AA">
        <w:rPr>
          <w:rFonts w:ascii="Times New Roman" w:eastAsia="Arial MT" w:hAnsi="Times New Roman" w:cs="Times New Roman"/>
          <w:sz w:val="24"/>
          <w:szCs w:val="24"/>
          <w:lang w:val="es-ES"/>
        </w:rPr>
        <w:t xml:space="preserve"> A este conjunto de prerrogativas, la doctrina las ha agrupado bajo el concepto genérico de libertad de tránsito.</w:t>
      </w:r>
      <w:r w:rsidRPr="00CB38AA">
        <w:rPr>
          <w:rFonts w:ascii="Times New Roman" w:eastAsia="Arial MT" w:hAnsi="Times New Roman" w:cs="Times New Roman"/>
          <w:sz w:val="24"/>
          <w:szCs w:val="24"/>
          <w:vertAlign w:val="superscript"/>
          <w:lang w:val="es-ES"/>
        </w:rPr>
        <w:t>2</w:t>
      </w:r>
      <w:r w:rsidRPr="00CB38AA">
        <w:rPr>
          <w:rFonts w:ascii="Times New Roman" w:eastAsia="Arial MT" w:hAnsi="Times New Roman" w:cs="Times New Roman"/>
          <w:sz w:val="24"/>
          <w:szCs w:val="24"/>
          <w:lang w:val="es-ES"/>
        </w:rPr>
        <w:t xml:space="preserve"> Así, el derecho a viajar por el territorio nacional, y en particular por el territorio mexiquense, constituye una condición indispensable para el ejercicio de otros derechos, tales como la salud, la educación, el libre esparcimiento, el acceso a la cultura, entre otros.</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Estrechamente vinculado a la libertad de tránsito, está el derecho humano a la movilidad, reconocido en el artículo 4 constitucional. Éste permite que toda persona se movilice en condiciones de seguridad vial, accesibilidad, eficiencia, sostenibilidad, calidad, inclusión e igualdad.</w:t>
      </w:r>
      <w:r w:rsidRPr="00CB38AA">
        <w:rPr>
          <w:rFonts w:ascii="Times New Roman" w:eastAsia="Arial MT" w:hAnsi="Times New Roman" w:cs="Times New Roman"/>
          <w:sz w:val="24"/>
          <w:szCs w:val="24"/>
          <w:vertAlign w:val="superscript"/>
          <w:lang w:val="es-ES"/>
        </w:rPr>
        <w:t>3</w:t>
      </w:r>
      <w:r w:rsidRPr="00CB38AA">
        <w:rPr>
          <w:rFonts w:ascii="Times New Roman" w:eastAsia="Arial MT" w:hAnsi="Times New Roman" w:cs="Times New Roman"/>
          <w:sz w:val="24"/>
          <w:szCs w:val="24"/>
          <w:lang w:val="es-ES"/>
        </w:rPr>
        <w:t xml:space="preserve"> Según criterios recientes de la Suprema Corte de Justicia de la Nación, “la movilidad es </w:t>
      </w:r>
      <w:r w:rsidRPr="00CB38AA">
        <w:rPr>
          <w:rFonts w:ascii="Times New Roman" w:eastAsia="Arial MT" w:hAnsi="Times New Roman" w:cs="Times New Roman"/>
          <w:sz w:val="24"/>
          <w:szCs w:val="24"/>
          <w:lang w:val="es-ES"/>
        </w:rPr>
        <w:lastRenderedPageBreak/>
        <w:t>la posibilidad que tiene cada persona de desplazarse libremente con el propósito de alcanzar diversos fines que dan valor a su vida”.</w:t>
      </w:r>
      <w:r w:rsidRPr="00CB38AA">
        <w:rPr>
          <w:rFonts w:ascii="Times New Roman" w:eastAsia="Arial MT" w:hAnsi="Times New Roman" w:cs="Times New Roman"/>
          <w:sz w:val="24"/>
          <w:szCs w:val="24"/>
          <w:vertAlign w:val="superscript"/>
          <w:lang w:val="es-ES"/>
        </w:rPr>
        <w:t>4</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De este modo, es posible asegurar que existe una correlación directa entre ambos derechos: la libertad de tránsito permite la circulación de las personas dentro del territorio nacional y estatal, mientras que el derecho a la movilidad garantiza que ese desplazamiento se realice en condiciones adecuadas. Asegurar, pues, ambos derechos, resulta indispensable para facilitar el acceso a otros derechos humanos, impulsar el desarrollo económico y, sobre todo, favorecer la realización personal de las y los mexiquenses.</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vertAlign w:val="superscript"/>
          <w:lang w:val="es-ES"/>
        </w:rPr>
        <w:t>1</w:t>
      </w:r>
      <w:r w:rsidRPr="00CB38AA">
        <w:rPr>
          <w:rFonts w:ascii="Times New Roman" w:eastAsia="Arial MT" w:hAnsi="Times New Roman" w:cs="Times New Roman"/>
          <w:sz w:val="24"/>
          <w:szCs w:val="24"/>
          <w:lang w:val="es-ES"/>
        </w:rPr>
        <w:tab/>
        <w:t>Constitución</w:t>
      </w:r>
      <w:r w:rsidRPr="00CB38AA">
        <w:rPr>
          <w:rFonts w:ascii="Times New Roman" w:eastAsia="Arial MT" w:hAnsi="Times New Roman" w:cs="Times New Roman"/>
          <w:sz w:val="24"/>
          <w:szCs w:val="24"/>
          <w:lang w:val="es-ES"/>
        </w:rPr>
        <w:tab/>
        <w:t>Política</w:t>
      </w:r>
      <w:r w:rsidRPr="00CB38AA">
        <w:rPr>
          <w:rFonts w:ascii="Times New Roman" w:eastAsia="Arial MT" w:hAnsi="Times New Roman" w:cs="Times New Roman"/>
          <w:sz w:val="24"/>
          <w:szCs w:val="24"/>
          <w:lang w:val="es-ES"/>
        </w:rPr>
        <w:tab/>
        <w:t>de</w:t>
      </w:r>
      <w:r w:rsidRPr="00CB38AA">
        <w:rPr>
          <w:rFonts w:ascii="Times New Roman" w:eastAsia="Arial MT" w:hAnsi="Times New Roman" w:cs="Times New Roman"/>
          <w:sz w:val="24"/>
          <w:szCs w:val="24"/>
          <w:lang w:val="es-ES"/>
        </w:rPr>
        <w:tab/>
        <w:t>los</w:t>
      </w:r>
      <w:r w:rsidRPr="00CB38AA">
        <w:rPr>
          <w:rFonts w:ascii="Times New Roman" w:eastAsia="Arial MT" w:hAnsi="Times New Roman" w:cs="Times New Roman"/>
          <w:sz w:val="24"/>
          <w:szCs w:val="24"/>
          <w:lang w:val="es-ES"/>
        </w:rPr>
        <w:tab/>
        <w:t>Estados</w:t>
      </w:r>
      <w:r w:rsidRPr="00CB38AA">
        <w:rPr>
          <w:rFonts w:ascii="Times New Roman" w:eastAsia="Arial MT" w:hAnsi="Times New Roman" w:cs="Times New Roman"/>
          <w:sz w:val="24"/>
          <w:szCs w:val="24"/>
          <w:lang w:val="es-ES"/>
        </w:rPr>
        <w:tab/>
        <w:t>Unidos</w:t>
      </w:r>
      <w:r w:rsidRPr="00CB38AA">
        <w:rPr>
          <w:rFonts w:ascii="Times New Roman" w:eastAsia="Arial MT" w:hAnsi="Times New Roman" w:cs="Times New Roman"/>
          <w:sz w:val="24"/>
          <w:szCs w:val="24"/>
          <w:lang w:val="es-ES"/>
        </w:rPr>
        <w:tab/>
        <w:t>Mexicanos.</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https://</w:t>
      </w:r>
      <w:hyperlink r:id="rId61">
        <w:r w:rsidRPr="00CB38AA">
          <w:rPr>
            <w:rFonts w:ascii="Times New Roman" w:eastAsia="Arial MT" w:hAnsi="Times New Roman" w:cs="Times New Roman"/>
            <w:sz w:val="24"/>
            <w:szCs w:val="24"/>
            <w:lang w:val="es-ES"/>
          </w:rPr>
          <w:t>www.diputados.gob.mx/LeyesBiblio/pdf/CPEUM.pdf</w:t>
        </w:r>
      </w:hyperlink>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vertAlign w:val="superscript"/>
          <w:lang w:val="es-ES"/>
        </w:rPr>
        <w:t>2</w:t>
      </w:r>
      <w:r w:rsidRPr="00CB38AA">
        <w:rPr>
          <w:rFonts w:ascii="Times New Roman" w:eastAsia="Arial MT" w:hAnsi="Times New Roman" w:cs="Times New Roman"/>
          <w:sz w:val="24"/>
          <w:szCs w:val="24"/>
          <w:lang w:val="es-ES"/>
        </w:rPr>
        <w:t xml:space="preserve"> CARBONELL Miguel, </w:t>
      </w:r>
      <w:r w:rsidRPr="00CB38AA">
        <w:rPr>
          <w:rFonts w:ascii="Times New Roman" w:eastAsia="Arial MT" w:hAnsi="Times New Roman" w:cs="Times New Roman"/>
          <w:i/>
          <w:sz w:val="24"/>
          <w:szCs w:val="24"/>
          <w:lang w:val="es-ES"/>
        </w:rPr>
        <w:t>Los derechos humanos de libertad de tránsito, asilo y refugio</w:t>
      </w:r>
      <w:r w:rsidRPr="00CB38AA">
        <w:rPr>
          <w:rFonts w:ascii="Times New Roman" w:eastAsia="Arial MT" w:hAnsi="Times New Roman" w:cs="Times New Roman"/>
          <w:sz w:val="24"/>
          <w:szCs w:val="24"/>
          <w:lang w:val="es-ES"/>
        </w:rPr>
        <w:t>, Instituto de Investigaciones Jurídicas, UNAM. https://archivos.juridicas.unam.mx/www/bjv/libros/7/3171/5.pdf</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vertAlign w:val="superscript"/>
          <w:lang w:val="es-ES"/>
        </w:rPr>
        <w:t>3</w:t>
      </w:r>
      <w:r w:rsidRPr="00CB38AA">
        <w:rPr>
          <w:rFonts w:ascii="Times New Roman" w:eastAsia="Arial MT" w:hAnsi="Times New Roman" w:cs="Times New Roman"/>
          <w:sz w:val="24"/>
          <w:szCs w:val="24"/>
          <w:lang w:val="es-ES"/>
        </w:rPr>
        <w:tab/>
        <w:t>Constitución</w:t>
      </w:r>
      <w:r w:rsidRPr="00CB38AA">
        <w:rPr>
          <w:rFonts w:ascii="Times New Roman" w:eastAsia="Arial MT" w:hAnsi="Times New Roman" w:cs="Times New Roman"/>
          <w:sz w:val="24"/>
          <w:szCs w:val="24"/>
          <w:lang w:val="es-ES"/>
        </w:rPr>
        <w:tab/>
        <w:t>Política</w:t>
      </w:r>
      <w:r w:rsidRPr="00CB38AA">
        <w:rPr>
          <w:rFonts w:ascii="Times New Roman" w:eastAsia="Arial MT" w:hAnsi="Times New Roman" w:cs="Times New Roman"/>
          <w:sz w:val="24"/>
          <w:szCs w:val="24"/>
          <w:lang w:val="es-ES"/>
        </w:rPr>
        <w:tab/>
        <w:t>de</w:t>
      </w:r>
      <w:r w:rsidRPr="00CB38AA">
        <w:rPr>
          <w:rFonts w:ascii="Times New Roman" w:eastAsia="Arial MT" w:hAnsi="Times New Roman" w:cs="Times New Roman"/>
          <w:sz w:val="24"/>
          <w:szCs w:val="24"/>
          <w:lang w:val="es-ES"/>
        </w:rPr>
        <w:tab/>
        <w:t>los</w:t>
      </w:r>
      <w:r w:rsidRPr="00CB38AA">
        <w:rPr>
          <w:rFonts w:ascii="Times New Roman" w:eastAsia="Arial MT" w:hAnsi="Times New Roman" w:cs="Times New Roman"/>
          <w:sz w:val="24"/>
          <w:szCs w:val="24"/>
          <w:lang w:val="es-ES"/>
        </w:rPr>
        <w:tab/>
        <w:t>Estados</w:t>
      </w:r>
      <w:r w:rsidRPr="00CB38AA">
        <w:rPr>
          <w:rFonts w:ascii="Times New Roman" w:eastAsia="Arial MT" w:hAnsi="Times New Roman" w:cs="Times New Roman"/>
          <w:sz w:val="24"/>
          <w:szCs w:val="24"/>
          <w:lang w:val="es-ES"/>
        </w:rPr>
        <w:tab/>
        <w:t>Unidos</w:t>
      </w:r>
      <w:r w:rsidRPr="00CB38AA">
        <w:rPr>
          <w:rFonts w:ascii="Times New Roman" w:eastAsia="Arial MT" w:hAnsi="Times New Roman" w:cs="Times New Roman"/>
          <w:sz w:val="24"/>
          <w:szCs w:val="24"/>
          <w:lang w:val="es-ES"/>
        </w:rPr>
        <w:tab/>
        <w:t>Mexicanos.</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https://</w:t>
      </w:r>
      <w:hyperlink r:id="rId62">
        <w:r w:rsidRPr="00CB38AA">
          <w:rPr>
            <w:rFonts w:ascii="Times New Roman" w:eastAsia="Arial MT" w:hAnsi="Times New Roman" w:cs="Times New Roman"/>
            <w:sz w:val="24"/>
            <w:szCs w:val="24"/>
            <w:lang w:val="es-ES"/>
          </w:rPr>
          <w:t>www.diputados.gob.mx/LeyesBiblio/pdf/CPEUM.pdf</w:t>
        </w:r>
      </w:hyperlink>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vertAlign w:val="superscript"/>
          <w:lang w:val="es-ES"/>
        </w:rPr>
        <w:t>4</w:t>
      </w:r>
      <w:r w:rsidRPr="00CB38AA">
        <w:rPr>
          <w:rFonts w:ascii="Times New Roman" w:eastAsia="Arial MT" w:hAnsi="Times New Roman" w:cs="Times New Roman"/>
          <w:sz w:val="24"/>
          <w:szCs w:val="24"/>
          <w:lang w:val="es-ES"/>
        </w:rPr>
        <w:t xml:space="preserve"> SEGUNDA SALA DE LA SUPREMA CORTE DE JUSTICIA DE LA NACIÓN, Derecho a la movilidad.</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Las autoridades deben garantizar que se cumpla en condiciones de seguridad vial, accesibilidad, eficiencia, sostenibilidad, calidad, inclusión e igualdad, Registro digital: 2027626, Gaceta del Semanario Judicial de la Federación. https://sjf2.scjn.gob.mx/detalle/tesis/2027626</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126B3" w:rsidRPr="00CB38AA" w:rsidRDefault="001126B3" w:rsidP="001126B3">
      <w:pPr>
        <w:widowControl w:val="0"/>
        <w:numPr>
          <w:ilvl w:val="0"/>
          <w:numId w:val="23"/>
        </w:numPr>
        <w:autoSpaceDE w:val="0"/>
        <w:autoSpaceDN w:val="0"/>
        <w:spacing w:after="0" w:line="240" w:lineRule="auto"/>
        <w:ind w:left="0" w:right="49" w:firstLine="0"/>
        <w:jc w:val="both"/>
        <w:outlineLvl w:val="0"/>
        <w:rPr>
          <w:rFonts w:ascii="Times New Roman" w:eastAsia="Arial" w:hAnsi="Times New Roman" w:cs="Times New Roman"/>
          <w:b/>
          <w:bCs/>
          <w:sz w:val="24"/>
          <w:szCs w:val="24"/>
          <w:lang w:val="es-ES"/>
        </w:rPr>
      </w:pPr>
      <w:r w:rsidRPr="00CB38AA">
        <w:rPr>
          <w:rFonts w:ascii="Times New Roman" w:eastAsia="Arial" w:hAnsi="Times New Roman" w:cs="Times New Roman"/>
          <w:b/>
          <w:bCs/>
          <w:sz w:val="24"/>
          <w:szCs w:val="24"/>
          <w:lang w:val="es-ES"/>
        </w:rPr>
        <w:t>Las vías de comunicación y las carreteras del Estado de México</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La libertad de tránsito y el derecho a la movilidad se ha materializado, en buena medida, a través de la construcción, conservación y modernización de las vías de comunicación, tales como caminos, carreteras, infraestructura ferroviaria, y rutas aéreas y marítimas. Estas redes no sólo facilitan el desplazamiento de personas y mercancías, sino que contribuyen al desarrollo social.</w:t>
      </w:r>
      <w:r w:rsidRPr="00CB38AA">
        <w:rPr>
          <w:rFonts w:ascii="Times New Roman" w:eastAsia="Arial MT" w:hAnsi="Times New Roman" w:cs="Times New Roman"/>
          <w:sz w:val="24"/>
          <w:szCs w:val="24"/>
          <w:vertAlign w:val="superscript"/>
          <w:lang w:val="es-ES"/>
        </w:rPr>
        <w:t>5</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Concretamente, la construcción de caminos y carreteras representa un eje prioritario para alcanzar estos objetivos, ya que constituyen la alternativa más utilizada por la población para desplazarse y transportar bienes. Estas vías forman parte de la Red Carretera Nacional,</w:t>
      </w:r>
      <w:r w:rsidRPr="00CB38AA">
        <w:rPr>
          <w:rFonts w:ascii="Times New Roman" w:eastAsia="Arial MT" w:hAnsi="Times New Roman" w:cs="Times New Roman"/>
          <w:sz w:val="24"/>
          <w:szCs w:val="24"/>
          <w:vertAlign w:val="superscript"/>
          <w:lang w:val="es-ES"/>
        </w:rPr>
        <w:t>6</w:t>
      </w:r>
      <w:r w:rsidRPr="00CB38AA">
        <w:rPr>
          <w:rFonts w:ascii="Times New Roman" w:eastAsia="Arial MT" w:hAnsi="Times New Roman" w:cs="Times New Roman"/>
          <w:sz w:val="24"/>
          <w:szCs w:val="24"/>
          <w:lang w:val="es-ES"/>
        </w:rPr>
        <w:t xml:space="preserve"> misma que se ha conformado y expandido a lo largo de varias décadas, con el propósito de comunicar las diferentes regiones del país.</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De acuerdo con datos recientes, la extensión de dicha Red alcanzó, en 2024, más de 179 mil kilómetros solamente de carreteras; ello, sin considerar los poco más de 200 mil kilómetros de vialidades urbanas y los casi 530 mil de caminos rurales, que fueron identificados por el INEGI en su actualización sobre la “Red Nacional de Caminos”.</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Cabe precisar que aquélla está integrada por dos tipos de vías: las carreteras libres, cuyo uso es gratuito, y las de cuota, que requieren el pago de un peaje para su utilización. Esta diferenciación, básicamente busca atender distintas necesidades de conectividad y financiamiento de la infraestructura carretera.</w:t>
      </w:r>
      <w:r w:rsidRPr="00CB38AA">
        <w:rPr>
          <w:rFonts w:ascii="Times New Roman" w:eastAsia="Arial MT" w:hAnsi="Times New Roman" w:cs="Times New Roman"/>
          <w:sz w:val="24"/>
          <w:szCs w:val="24"/>
          <w:vertAlign w:val="superscript"/>
          <w:lang w:val="es-ES"/>
        </w:rPr>
        <w:t>7</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vertAlign w:val="superscript"/>
          <w:lang w:val="es-ES"/>
        </w:rPr>
        <w:t>5</w:t>
      </w:r>
      <w:r w:rsidRPr="00CB38AA">
        <w:rPr>
          <w:rFonts w:ascii="Times New Roman" w:eastAsia="Arial MT" w:hAnsi="Times New Roman" w:cs="Times New Roman"/>
          <w:sz w:val="24"/>
          <w:szCs w:val="24"/>
          <w:lang w:val="es-ES"/>
        </w:rPr>
        <w:tab/>
        <w:t>INEGI,</w:t>
      </w:r>
      <w:r w:rsidRPr="00CB38AA">
        <w:rPr>
          <w:rFonts w:ascii="Times New Roman" w:eastAsia="Arial MT" w:hAnsi="Times New Roman" w:cs="Times New Roman"/>
          <w:sz w:val="24"/>
          <w:szCs w:val="24"/>
          <w:lang w:val="es-ES"/>
        </w:rPr>
        <w:tab/>
      </w:r>
      <w:r w:rsidRPr="00CB38AA">
        <w:rPr>
          <w:rFonts w:ascii="Times New Roman" w:eastAsia="Arial MT" w:hAnsi="Times New Roman" w:cs="Times New Roman"/>
          <w:i/>
          <w:sz w:val="24"/>
          <w:szCs w:val="24"/>
          <w:lang w:val="es-ES"/>
        </w:rPr>
        <w:t>Vías</w:t>
      </w:r>
      <w:r w:rsidRPr="00CB38AA">
        <w:rPr>
          <w:rFonts w:ascii="Times New Roman" w:eastAsia="Arial MT" w:hAnsi="Times New Roman" w:cs="Times New Roman"/>
          <w:i/>
          <w:sz w:val="24"/>
          <w:szCs w:val="24"/>
          <w:lang w:val="es-ES"/>
        </w:rPr>
        <w:tab/>
        <w:t>de</w:t>
      </w:r>
      <w:r w:rsidRPr="00CB38AA">
        <w:rPr>
          <w:rFonts w:ascii="Times New Roman" w:eastAsia="Arial MT" w:hAnsi="Times New Roman" w:cs="Times New Roman"/>
          <w:i/>
          <w:sz w:val="24"/>
          <w:szCs w:val="24"/>
          <w:lang w:val="es-ES"/>
        </w:rPr>
        <w:tab/>
        <w:t>comunicación</w:t>
      </w:r>
      <w:r w:rsidRPr="00CB38AA">
        <w:rPr>
          <w:rFonts w:ascii="Times New Roman" w:eastAsia="Arial MT" w:hAnsi="Times New Roman" w:cs="Times New Roman"/>
          <w:sz w:val="24"/>
          <w:szCs w:val="24"/>
          <w:lang w:val="es-ES"/>
        </w:rPr>
        <w:t>.</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https://beta.cuentame.inegi.org.mx/descubre/economia/vias_de_comunicacion/</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vertAlign w:val="superscript"/>
          <w:lang w:val="es-ES"/>
        </w:rPr>
        <w:lastRenderedPageBreak/>
        <w:t>6</w:t>
      </w:r>
      <w:r w:rsidRPr="00CB38AA">
        <w:rPr>
          <w:rFonts w:ascii="Times New Roman" w:eastAsia="Arial MT" w:hAnsi="Times New Roman" w:cs="Times New Roman"/>
          <w:sz w:val="24"/>
          <w:szCs w:val="24"/>
          <w:lang w:val="es-ES"/>
        </w:rPr>
        <w:t xml:space="preserve"> La Red Nacional de Caminos es la representación cartográfica digital y georreferenciada de la infraestructura vial del país con alta precisión y escala de gran detalle. https://</w:t>
      </w:r>
      <w:hyperlink r:id="rId63">
        <w:r w:rsidRPr="00CB38AA">
          <w:rPr>
            <w:rFonts w:ascii="Times New Roman" w:eastAsia="Arial MT" w:hAnsi="Times New Roman" w:cs="Times New Roman"/>
            <w:sz w:val="24"/>
            <w:szCs w:val="24"/>
            <w:lang w:val="es-ES"/>
          </w:rPr>
          <w:t>www.gob.mx/imt/acciones-</w:t>
        </w:r>
      </w:hyperlink>
      <w:r w:rsidRPr="00CB38AA">
        <w:rPr>
          <w:rFonts w:ascii="Times New Roman" w:eastAsia="Arial MT" w:hAnsi="Times New Roman" w:cs="Times New Roman"/>
          <w:sz w:val="24"/>
          <w:szCs w:val="24"/>
          <w:lang w:val="es-ES"/>
        </w:rPr>
        <w:t xml:space="preserve"> y-programas/red-nacional-de-caminos</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vertAlign w:val="superscript"/>
          <w:lang w:val="es-ES"/>
        </w:rPr>
        <w:t>7</w:t>
      </w:r>
      <w:r w:rsidRPr="00CB38AA">
        <w:rPr>
          <w:rFonts w:ascii="Times New Roman" w:eastAsia="Arial MT" w:hAnsi="Times New Roman" w:cs="Times New Roman"/>
          <w:sz w:val="24"/>
          <w:szCs w:val="24"/>
          <w:lang w:val="es-ES"/>
        </w:rPr>
        <w:tab/>
        <w:t>INEGI,</w:t>
      </w:r>
      <w:r w:rsidRPr="00CB38AA">
        <w:rPr>
          <w:rFonts w:ascii="Times New Roman" w:eastAsia="Arial MT" w:hAnsi="Times New Roman" w:cs="Times New Roman"/>
          <w:sz w:val="24"/>
          <w:szCs w:val="24"/>
          <w:lang w:val="es-ES"/>
        </w:rPr>
        <w:tab/>
      </w:r>
      <w:r w:rsidRPr="00CB38AA">
        <w:rPr>
          <w:rFonts w:ascii="Times New Roman" w:eastAsia="Arial MT" w:hAnsi="Times New Roman" w:cs="Times New Roman"/>
          <w:i/>
          <w:sz w:val="24"/>
          <w:szCs w:val="24"/>
          <w:lang w:val="es-ES"/>
        </w:rPr>
        <w:t>Vías</w:t>
      </w:r>
      <w:r w:rsidRPr="00CB38AA">
        <w:rPr>
          <w:rFonts w:ascii="Times New Roman" w:eastAsia="Arial MT" w:hAnsi="Times New Roman" w:cs="Times New Roman"/>
          <w:i/>
          <w:sz w:val="24"/>
          <w:szCs w:val="24"/>
          <w:lang w:val="es-ES"/>
        </w:rPr>
        <w:tab/>
        <w:t>de</w:t>
      </w:r>
      <w:r w:rsidRPr="00CB38AA">
        <w:rPr>
          <w:rFonts w:ascii="Times New Roman" w:eastAsia="Arial MT" w:hAnsi="Times New Roman" w:cs="Times New Roman"/>
          <w:i/>
          <w:sz w:val="24"/>
          <w:szCs w:val="24"/>
          <w:lang w:val="es-ES"/>
        </w:rPr>
        <w:tab/>
        <w:t>comunicación</w:t>
      </w:r>
      <w:r w:rsidRPr="00CB38AA">
        <w:rPr>
          <w:rFonts w:ascii="Times New Roman" w:eastAsia="Arial MT" w:hAnsi="Times New Roman" w:cs="Times New Roman"/>
          <w:sz w:val="24"/>
          <w:szCs w:val="24"/>
          <w:lang w:val="es-ES"/>
        </w:rPr>
        <w:t>.</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https://beta.cuentame.inegi.org.mx/descubre/economia/vias_de_comunicacion/</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Con base en el Segundo Informe de Gobierno de la Titular del Poder Ejecutivo Estatal, el Estado de México cuenta con una red de infraestructura vial integrada por más de 15 mil kilómetros de carreteras y autopistas; destacando 72 carreteras estatales libres de cobro, ocho carreteras estatales de peaje y seis carreteras mixtas, conformadas por tramos federales y estatales.</w:t>
      </w:r>
      <w:r w:rsidRPr="00CB38AA">
        <w:rPr>
          <w:rFonts w:ascii="Times New Roman" w:eastAsia="Arial MT" w:hAnsi="Times New Roman" w:cs="Times New Roman"/>
          <w:sz w:val="24"/>
          <w:szCs w:val="24"/>
          <w:vertAlign w:val="superscript"/>
          <w:lang w:val="es-ES"/>
        </w:rPr>
        <w:t>8</w:t>
      </w:r>
      <w:r w:rsidRPr="00CB38AA">
        <w:rPr>
          <w:rFonts w:ascii="Times New Roman" w:eastAsia="Arial MT" w:hAnsi="Times New Roman" w:cs="Times New Roman"/>
          <w:sz w:val="24"/>
          <w:szCs w:val="24"/>
          <w:lang w:val="es-ES"/>
        </w:rPr>
        <w:t xml:space="preserve"> Esta robusta infraestructura favorece la comunicación interna del país y posiciona al territorio mexiquense como un enlace clave para la conectividad con otras regiones.</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126B3" w:rsidRPr="00CB38AA" w:rsidRDefault="001126B3" w:rsidP="001126B3">
      <w:pPr>
        <w:widowControl w:val="0"/>
        <w:numPr>
          <w:ilvl w:val="0"/>
          <w:numId w:val="23"/>
        </w:numPr>
        <w:autoSpaceDE w:val="0"/>
        <w:autoSpaceDN w:val="0"/>
        <w:spacing w:after="0" w:line="240" w:lineRule="auto"/>
        <w:ind w:left="0" w:right="49" w:firstLine="0"/>
        <w:jc w:val="both"/>
        <w:outlineLvl w:val="0"/>
        <w:rPr>
          <w:rFonts w:ascii="Times New Roman" w:eastAsia="Arial" w:hAnsi="Times New Roman" w:cs="Times New Roman"/>
          <w:b/>
          <w:bCs/>
          <w:sz w:val="24"/>
          <w:szCs w:val="24"/>
          <w:lang w:val="es-ES"/>
        </w:rPr>
      </w:pPr>
      <w:r w:rsidRPr="00CB38AA">
        <w:rPr>
          <w:rFonts w:ascii="Times New Roman" w:eastAsia="Arial" w:hAnsi="Times New Roman" w:cs="Times New Roman"/>
          <w:b/>
          <w:bCs/>
          <w:sz w:val="24"/>
          <w:szCs w:val="24"/>
          <w:lang w:val="es-ES"/>
        </w:rPr>
        <w:t>Las concesiones de carreteras y el cobro de peaje para residentes</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Las concesiones pueden concebirse como el “acto administrativo que implica el otorgamiento del derecho de explotación o gestión, por un período determinado, de bienes y servicios por parte de una administración pública o empresa a otra, generalmente privada”.</w:t>
      </w:r>
      <w:r w:rsidRPr="00CB38AA">
        <w:rPr>
          <w:rFonts w:ascii="Times New Roman" w:eastAsia="Arial MT" w:hAnsi="Times New Roman" w:cs="Times New Roman"/>
          <w:sz w:val="24"/>
          <w:szCs w:val="24"/>
          <w:vertAlign w:val="superscript"/>
          <w:lang w:val="es-ES"/>
        </w:rPr>
        <w:t>9</w:t>
      </w:r>
      <w:r w:rsidRPr="00CB38AA">
        <w:rPr>
          <w:rFonts w:ascii="Times New Roman" w:eastAsia="Arial MT" w:hAnsi="Times New Roman" w:cs="Times New Roman"/>
          <w:sz w:val="24"/>
          <w:szCs w:val="24"/>
          <w:lang w:val="es-ES"/>
        </w:rPr>
        <w:t xml:space="preserve"> Existen diferentes tipos de concesiones, como las que se otorgan para el desarrollo de proyectos de infraestructura vial, entre muchas otras.</w:t>
      </w:r>
      <w:r w:rsidRPr="00CB38AA">
        <w:rPr>
          <w:rFonts w:ascii="Times New Roman" w:eastAsia="Arial MT" w:hAnsi="Times New Roman" w:cs="Times New Roman"/>
          <w:sz w:val="24"/>
          <w:szCs w:val="24"/>
          <w:vertAlign w:val="superscript"/>
          <w:lang w:val="es-ES"/>
        </w:rPr>
        <w:t>10</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Concretamente, las concesiones para infraestructura vial constituyen uno de los mecanismos más empleados para la construcción, conservación, operación y explotación de autopistas. En este esquema, el Estado otorga a una empresa privada la autorización para edificar y administrar una vía de comunicación, a cambio de que esta pueda recuperar su inversión, y obtener una rentabilidad mediante el cobro de cuotas de peajes a los usuarios.</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vertAlign w:val="superscript"/>
          <w:lang w:val="es-ES"/>
        </w:rPr>
        <w:t>8</w:t>
      </w:r>
      <w:r w:rsidRPr="00CB38AA">
        <w:rPr>
          <w:rFonts w:ascii="Times New Roman" w:eastAsia="Arial MT" w:hAnsi="Times New Roman" w:cs="Times New Roman"/>
          <w:sz w:val="24"/>
          <w:szCs w:val="24"/>
          <w:lang w:val="es-ES"/>
        </w:rPr>
        <w:t xml:space="preserve">  SEGURIDAD  VIAL  MEDIANTE  LA INFORMACIÓN,  </w:t>
      </w:r>
      <w:r w:rsidRPr="00CB38AA">
        <w:rPr>
          <w:rFonts w:ascii="Times New Roman" w:eastAsia="Arial MT" w:hAnsi="Times New Roman" w:cs="Times New Roman"/>
          <w:i/>
          <w:sz w:val="24"/>
          <w:szCs w:val="24"/>
          <w:lang w:val="es-ES"/>
        </w:rPr>
        <w:t>Red  Carretera  del  Estado  de  México</w:t>
      </w:r>
      <w:r w:rsidRPr="00CB38AA">
        <w:rPr>
          <w:rFonts w:ascii="Times New Roman" w:eastAsia="Arial MT" w:hAnsi="Times New Roman" w:cs="Times New Roman"/>
          <w:sz w:val="24"/>
          <w:szCs w:val="24"/>
          <w:lang w:val="es-ES"/>
        </w:rPr>
        <w:t>.</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https://vialidades.com.mx/red-carretera-del-estado-de-mexico/</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vertAlign w:val="superscript"/>
          <w:lang w:val="es-ES"/>
        </w:rPr>
        <w:t>9</w:t>
      </w:r>
      <w:r w:rsidRPr="00CB38AA">
        <w:rPr>
          <w:rFonts w:ascii="Times New Roman" w:eastAsia="Arial MT" w:hAnsi="Times New Roman" w:cs="Times New Roman"/>
          <w:sz w:val="24"/>
          <w:szCs w:val="24"/>
          <w:lang w:val="es-ES"/>
        </w:rPr>
        <w:tab/>
        <w:t>Diccionario</w:t>
      </w:r>
      <w:r w:rsidRPr="00CB38AA">
        <w:rPr>
          <w:rFonts w:ascii="Times New Roman" w:eastAsia="Arial MT" w:hAnsi="Times New Roman" w:cs="Times New Roman"/>
          <w:sz w:val="24"/>
          <w:szCs w:val="24"/>
          <w:lang w:val="es-ES"/>
        </w:rPr>
        <w:tab/>
        <w:t>panhispánico</w:t>
      </w:r>
      <w:r w:rsidRPr="00CB38AA">
        <w:rPr>
          <w:rFonts w:ascii="Times New Roman" w:eastAsia="Arial MT" w:hAnsi="Times New Roman" w:cs="Times New Roman"/>
          <w:sz w:val="24"/>
          <w:szCs w:val="24"/>
          <w:lang w:val="es-ES"/>
        </w:rPr>
        <w:tab/>
        <w:t>del</w:t>
      </w:r>
      <w:r w:rsidRPr="00CB38AA">
        <w:rPr>
          <w:rFonts w:ascii="Times New Roman" w:eastAsia="Arial MT" w:hAnsi="Times New Roman" w:cs="Times New Roman"/>
          <w:sz w:val="24"/>
          <w:szCs w:val="24"/>
          <w:lang w:val="es-ES"/>
        </w:rPr>
        <w:tab/>
        <w:t>español</w:t>
      </w:r>
      <w:r w:rsidRPr="00CB38AA">
        <w:rPr>
          <w:rFonts w:ascii="Times New Roman" w:eastAsia="Arial MT" w:hAnsi="Times New Roman" w:cs="Times New Roman"/>
          <w:sz w:val="24"/>
          <w:szCs w:val="24"/>
          <w:lang w:val="es-ES"/>
        </w:rPr>
        <w:tab/>
        <w:t>jurídico,</w:t>
      </w:r>
      <w:r w:rsidRPr="00CB38AA">
        <w:rPr>
          <w:rFonts w:ascii="Times New Roman" w:eastAsia="Arial MT" w:hAnsi="Times New Roman" w:cs="Times New Roman"/>
          <w:sz w:val="24"/>
          <w:szCs w:val="24"/>
          <w:lang w:val="es-ES"/>
        </w:rPr>
        <w:tab/>
      </w:r>
      <w:r w:rsidRPr="00CB38AA">
        <w:rPr>
          <w:rFonts w:ascii="Times New Roman" w:eastAsia="Arial MT" w:hAnsi="Times New Roman" w:cs="Times New Roman"/>
          <w:i/>
          <w:sz w:val="24"/>
          <w:szCs w:val="24"/>
          <w:lang w:val="es-ES"/>
        </w:rPr>
        <w:t>concesión</w:t>
      </w:r>
      <w:r w:rsidRPr="00CB38AA">
        <w:rPr>
          <w:rFonts w:ascii="Times New Roman" w:eastAsia="Arial MT" w:hAnsi="Times New Roman" w:cs="Times New Roman"/>
          <w:sz w:val="24"/>
          <w:szCs w:val="24"/>
          <w:lang w:val="es-ES"/>
        </w:rPr>
        <w:t>,</w:t>
      </w:r>
      <w:r w:rsidRPr="00CB38AA">
        <w:rPr>
          <w:rFonts w:ascii="Times New Roman" w:eastAsia="Arial MT" w:hAnsi="Times New Roman" w:cs="Times New Roman"/>
          <w:sz w:val="24"/>
          <w:szCs w:val="24"/>
          <w:lang w:val="es-ES"/>
        </w:rPr>
        <w:tab/>
        <w:t>2025.</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https://dpej.rae.es/lema/concesi%C3%B3n</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vertAlign w:val="superscript"/>
          <w:lang w:val="es-ES"/>
        </w:rPr>
        <w:t>10</w:t>
      </w:r>
      <w:r w:rsidRPr="00CB38AA">
        <w:rPr>
          <w:rFonts w:ascii="Times New Roman" w:eastAsia="Arial MT" w:hAnsi="Times New Roman" w:cs="Times New Roman"/>
          <w:sz w:val="24"/>
          <w:szCs w:val="24"/>
          <w:lang w:val="es-ES"/>
        </w:rPr>
        <w:tab/>
        <w:t>Código</w:t>
      </w:r>
      <w:r w:rsidRPr="00CB38AA">
        <w:rPr>
          <w:rFonts w:ascii="Times New Roman" w:eastAsia="Arial MT" w:hAnsi="Times New Roman" w:cs="Times New Roman"/>
          <w:sz w:val="24"/>
          <w:szCs w:val="24"/>
          <w:lang w:val="es-ES"/>
        </w:rPr>
        <w:tab/>
        <w:t>Administrativo</w:t>
      </w:r>
      <w:r w:rsidRPr="00CB38AA">
        <w:rPr>
          <w:rFonts w:ascii="Times New Roman" w:eastAsia="Arial MT" w:hAnsi="Times New Roman" w:cs="Times New Roman"/>
          <w:sz w:val="24"/>
          <w:szCs w:val="24"/>
          <w:lang w:val="es-ES"/>
        </w:rPr>
        <w:tab/>
        <w:t>del</w:t>
      </w:r>
      <w:r w:rsidRPr="00CB38AA">
        <w:rPr>
          <w:rFonts w:ascii="Times New Roman" w:eastAsia="Arial MT" w:hAnsi="Times New Roman" w:cs="Times New Roman"/>
          <w:sz w:val="24"/>
          <w:szCs w:val="24"/>
          <w:lang w:val="es-ES"/>
        </w:rPr>
        <w:tab/>
        <w:t>Estado</w:t>
      </w:r>
      <w:r w:rsidRPr="00CB38AA">
        <w:rPr>
          <w:rFonts w:ascii="Times New Roman" w:eastAsia="Arial MT" w:hAnsi="Times New Roman" w:cs="Times New Roman"/>
          <w:sz w:val="24"/>
          <w:szCs w:val="24"/>
          <w:lang w:val="es-ES"/>
        </w:rPr>
        <w:tab/>
        <w:t>de</w:t>
      </w:r>
      <w:r w:rsidRPr="00CB38AA">
        <w:rPr>
          <w:rFonts w:ascii="Times New Roman" w:eastAsia="Arial MT" w:hAnsi="Times New Roman" w:cs="Times New Roman"/>
          <w:sz w:val="24"/>
          <w:szCs w:val="24"/>
          <w:lang w:val="es-ES"/>
        </w:rPr>
        <w:tab/>
        <w:t>México,</w:t>
      </w:r>
      <w:r w:rsidRPr="00CB38AA">
        <w:rPr>
          <w:rFonts w:ascii="Times New Roman" w:eastAsia="Arial MT" w:hAnsi="Times New Roman" w:cs="Times New Roman"/>
          <w:sz w:val="24"/>
          <w:szCs w:val="24"/>
          <w:lang w:val="es-ES"/>
        </w:rPr>
        <w:tab/>
        <w:t>2025.</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https://tese.edomex.gob.mx/sites/tese.edomex.gob.mx/files/files/Marco%20Juridico/Codigos/Codigo-</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Administrativo-del-Estado-de-Mexico25.pdf</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Si bien el esquema de concesiones de infraestructura vial ha permitido ampliar la red carretera de la entidad, sin que las finanzas públicas asuman la carga de los costos de construcción y mantenimiento, también es cierto que ha generado retos importantes, como la obligación de que las tarifas sean razonables y adecuadas según las necesidades de la población.</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En este sentido, uno de los principales desafíos que enfrentan los residentes de comunidades aledañas a las autopistas, es el pago de peaje, pues representa una carga económica considerable para quienes, al vivir en dichas localidades, se ven obligados a utilizar diariamente esas vías para trasladarse a sus centros de trabajo, a la escuela, a los hospitales o simplemente a visitar a sus familiares.</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Esta situación genera una afectación significativa a su economía, ya que las familias no utilizan la </w:t>
      </w:r>
      <w:r w:rsidRPr="00CB38AA">
        <w:rPr>
          <w:rFonts w:ascii="Times New Roman" w:eastAsia="Arial MT" w:hAnsi="Times New Roman" w:cs="Times New Roman"/>
          <w:sz w:val="24"/>
          <w:szCs w:val="24"/>
          <w:lang w:val="es-ES"/>
        </w:rPr>
        <w:lastRenderedPageBreak/>
        <w:t>infraestructura vial concesionada de forma ocasional o recreativa, sino como una necesidad obligada y cotidiana para atender sus necesidades básicas.</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126B3" w:rsidRPr="00CB38AA" w:rsidRDefault="001126B3" w:rsidP="001126B3">
      <w:pPr>
        <w:widowControl w:val="0"/>
        <w:numPr>
          <w:ilvl w:val="0"/>
          <w:numId w:val="23"/>
        </w:numPr>
        <w:autoSpaceDE w:val="0"/>
        <w:autoSpaceDN w:val="0"/>
        <w:spacing w:after="0" w:line="240" w:lineRule="auto"/>
        <w:ind w:left="0" w:right="49" w:firstLine="0"/>
        <w:jc w:val="both"/>
        <w:outlineLvl w:val="0"/>
        <w:rPr>
          <w:rFonts w:ascii="Times New Roman" w:eastAsia="Arial" w:hAnsi="Times New Roman" w:cs="Times New Roman"/>
          <w:b/>
          <w:bCs/>
          <w:sz w:val="24"/>
          <w:szCs w:val="24"/>
          <w:lang w:val="es-ES"/>
        </w:rPr>
      </w:pPr>
      <w:r w:rsidRPr="00CB38AA">
        <w:rPr>
          <w:rFonts w:ascii="Times New Roman" w:eastAsia="Arial" w:hAnsi="Times New Roman" w:cs="Times New Roman"/>
          <w:b/>
          <w:bCs/>
          <w:sz w:val="24"/>
          <w:szCs w:val="24"/>
          <w:lang w:val="es-ES"/>
        </w:rPr>
        <w:t>La exención en el cobro de peaje en autopistas a residentes</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Esta problemática ya ha sido atendida en diversas autopistas del país. A nivel federal, por ejemplo, existe el “Programa de Residentes” que consiste en un esquema tarifario especial que otorga descuentos en el pago de peaje a las y los habitantes de ciertas poblaciones colindantes a las plazas de cobro de la red operada por Caminos y Puentes Federales (CAPUFE).</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Para beneficiarse del programa, las personas interesadas deben acudir al módulo de atención a residentes y presentar la documentación requerida, que incluye, entre otros: identificación oficial vigente, carta de residencia expedida por el Ayuntamiento, tarjeta de circulación a nombre del solicitante y un formato de solicitud debidamente llenado.</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Presentada la documentación, es revisada por CAPUFE y enviada al concesionario correspondiente. Una vez autorizada, la persona beneficiaria podrá adquirir una tarjeta IAVE para hacer válido el descuento. Cabe aclarar que este beneficio aplica únicamente para el listado de Plazas de Cobro autorizadas bajo el esquema referido.</w:t>
      </w:r>
      <w:r w:rsidRPr="00CB38AA">
        <w:rPr>
          <w:rFonts w:ascii="Times New Roman" w:eastAsia="Arial MT" w:hAnsi="Times New Roman" w:cs="Times New Roman"/>
          <w:sz w:val="24"/>
          <w:szCs w:val="24"/>
          <w:vertAlign w:val="superscript"/>
          <w:lang w:val="es-ES"/>
        </w:rPr>
        <w:t>11</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Por su parte, el Estado de México tampoco ha sido ajeno a la implementación de este tipo de beneficios. La autopista Toluca-Atlacomulco implementó, por ejemplo, un mecanismo para exentar del pago a los residentes de la zona, en el cual basta mostrar la credencial para votar (INE) para acreditar la residencia y cruzar de forma gratuita. Aunque en años recientes se intentó sustituir este esquema por el uso de un dispositivo electrónico (TAG), protestas obligaron a conservar el original.</w:t>
      </w:r>
      <w:r w:rsidRPr="00CB38AA">
        <w:rPr>
          <w:rFonts w:ascii="Times New Roman" w:eastAsia="Arial MT" w:hAnsi="Times New Roman" w:cs="Times New Roman"/>
          <w:sz w:val="24"/>
          <w:szCs w:val="24"/>
          <w:vertAlign w:val="superscript"/>
          <w:lang w:val="es-ES"/>
        </w:rPr>
        <w:t>12</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Estos casos demuestran que no sólo es posible, sino justo, que las personas residentes de las comunidades donde se ubican las autopistas no paguen peaje o, en su defecto, paguen una cuota preferencial.</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126B3" w:rsidRPr="00CB38AA" w:rsidRDefault="001126B3" w:rsidP="001126B3">
      <w:pPr>
        <w:widowControl w:val="0"/>
        <w:numPr>
          <w:ilvl w:val="0"/>
          <w:numId w:val="23"/>
        </w:numPr>
        <w:autoSpaceDE w:val="0"/>
        <w:autoSpaceDN w:val="0"/>
        <w:spacing w:after="0" w:line="240" w:lineRule="auto"/>
        <w:ind w:left="0" w:right="49" w:firstLine="0"/>
        <w:jc w:val="both"/>
        <w:outlineLvl w:val="0"/>
        <w:rPr>
          <w:rFonts w:ascii="Times New Roman" w:eastAsia="Arial" w:hAnsi="Times New Roman" w:cs="Times New Roman"/>
          <w:b/>
          <w:bCs/>
          <w:sz w:val="24"/>
          <w:szCs w:val="24"/>
          <w:lang w:val="es-ES"/>
        </w:rPr>
      </w:pPr>
      <w:r w:rsidRPr="00CB38AA">
        <w:rPr>
          <w:rFonts w:ascii="Times New Roman" w:eastAsia="Arial" w:hAnsi="Times New Roman" w:cs="Times New Roman"/>
          <w:b/>
          <w:bCs/>
          <w:sz w:val="24"/>
          <w:szCs w:val="24"/>
          <w:lang w:val="es-ES"/>
        </w:rPr>
        <w:t>La construcción de la autopista Atlacomulco-Polotitlán</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En años recientes, el Gobierno del Estado de México emprendió un proyecto que representa un importante avance en la consolidación de las vías de comunicación del norte del Estado. Me refiero, en específico, a la nueva autopista Atlacomulco-Polotitlán, en la que tanto la Secretaría de Movilidad como el Sistema de Autopistas, Aeropuertos, Servicios Conexos y Auxiliares del Estado de México (SAASCAEM) son autoridades responsables.</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vertAlign w:val="superscript"/>
          <w:lang w:val="es-ES"/>
        </w:rPr>
        <w:t>11</w:t>
      </w:r>
      <w:r w:rsidRPr="00CB38AA">
        <w:rPr>
          <w:rFonts w:ascii="Times New Roman" w:eastAsia="Arial MT" w:hAnsi="Times New Roman" w:cs="Times New Roman"/>
          <w:sz w:val="24"/>
          <w:szCs w:val="24"/>
          <w:lang w:val="es-ES"/>
        </w:rPr>
        <w:t xml:space="preserve">    CAMINOS    Y    PUENTES    FEDERALES,    </w:t>
      </w:r>
      <w:r w:rsidRPr="00CB38AA">
        <w:rPr>
          <w:rFonts w:ascii="Times New Roman" w:eastAsia="Arial MT" w:hAnsi="Times New Roman" w:cs="Times New Roman"/>
          <w:i/>
          <w:sz w:val="24"/>
          <w:szCs w:val="24"/>
          <w:lang w:val="es-ES"/>
        </w:rPr>
        <w:t>Programa    de    Residentes</w:t>
      </w:r>
      <w:r w:rsidRPr="00CB38AA">
        <w:rPr>
          <w:rFonts w:ascii="Times New Roman" w:eastAsia="Arial MT" w:hAnsi="Times New Roman" w:cs="Times New Roman"/>
          <w:sz w:val="24"/>
          <w:szCs w:val="24"/>
          <w:lang w:val="es-ES"/>
        </w:rPr>
        <w:t>.</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https://</w:t>
      </w:r>
      <w:hyperlink r:id="rId64">
        <w:r w:rsidRPr="00CB38AA">
          <w:rPr>
            <w:rFonts w:ascii="Times New Roman" w:eastAsia="Arial MT" w:hAnsi="Times New Roman" w:cs="Times New Roman"/>
            <w:sz w:val="24"/>
            <w:szCs w:val="24"/>
            <w:lang w:val="es-ES"/>
          </w:rPr>
          <w:t>www.gob.mx/capufe/documentos/programa-de-residentes</w:t>
        </w:r>
      </w:hyperlink>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vertAlign w:val="superscript"/>
          <w:lang w:val="es-ES"/>
        </w:rPr>
        <w:t>12</w:t>
      </w:r>
      <w:r w:rsidRPr="00CB38AA">
        <w:rPr>
          <w:rFonts w:ascii="Times New Roman" w:eastAsia="Arial MT" w:hAnsi="Times New Roman" w:cs="Times New Roman"/>
          <w:sz w:val="24"/>
          <w:szCs w:val="24"/>
          <w:lang w:val="es-ES"/>
        </w:rPr>
        <w:t xml:space="preserve"> PLANA MAYOR, Gobierno Edomex mantiene vigente programa gratuito de residente en la autopista Toluca-Atlacomulco, 2024. https://</w:t>
      </w:r>
      <w:hyperlink r:id="rId65">
        <w:r w:rsidRPr="00CB38AA">
          <w:rPr>
            <w:rFonts w:ascii="Times New Roman" w:eastAsia="Arial MT" w:hAnsi="Times New Roman" w:cs="Times New Roman"/>
            <w:sz w:val="24"/>
            <w:szCs w:val="24"/>
            <w:lang w:val="es-ES"/>
          </w:rPr>
          <w:t>www.planamayor.com.mx/gobierno-edomex-mantiene-vigente-</w:t>
        </w:r>
      </w:hyperlink>
      <w:r w:rsidRPr="00CB38AA">
        <w:rPr>
          <w:rFonts w:ascii="Times New Roman" w:eastAsia="Arial MT" w:hAnsi="Times New Roman" w:cs="Times New Roman"/>
          <w:sz w:val="24"/>
          <w:szCs w:val="24"/>
          <w:lang w:val="es-ES"/>
        </w:rPr>
        <w:t xml:space="preserve"> programa-gratuito-de-residente-en-la-autopista-toluca-atlacomulco/</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El proyecto referido consiste en el diseño, construcción, operación, conservación y mantenimiento de una autopista de 82.8 kilómetros de longitud, que iniciará en la carretera federal Toluca-Polotitlán a la altura de la localidad de San Francisco y concluirá en Polotitlán con entronque en la autopista México-Querétaro, incidiendo en Atlacomulco, Acambay, Aculco e Ixtlahuaca. El </w:t>
      </w:r>
      <w:r w:rsidRPr="00CB38AA">
        <w:rPr>
          <w:rFonts w:ascii="Times New Roman" w:eastAsia="Arial MT" w:hAnsi="Times New Roman" w:cs="Times New Roman"/>
          <w:sz w:val="24"/>
          <w:szCs w:val="24"/>
          <w:lang w:val="es-ES"/>
        </w:rPr>
        <w:lastRenderedPageBreak/>
        <w:t>objetivo es resolver la problemática actual y disminuir los tiempos de traslado, facilitando el tránsito hacia el norte del país.</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Si bien el proyecto presenta un avance razonable, ya que actualmente 25 km de derecho de vía están liberados y, según datos de </w:t>
      </w:r>
      <w:r w:rsidRPr="00CB38AA">
        <w:rPr>
          <w:rFonts w:ascii="Times New Roman" w:eastAsia="Arial MT" w:hAnsi="Times New Roman" w:cs="Times New Roman"/>
          <w:i/>
          <w:sz w:val="24"/>
          <w:szCs w:val="24"/>
          <w:lang w:val="es-ES"/>
        </w:rPr>
        <w:t xml:space="preserve">Proyectos México, </w:t>
      </w:r>
      <w:r w:rsidRPr="00CB38AA">
        <w:rPr>
          <w:rFonts w:ascii="Times New Roman" w:eastAsia="Arial MT" w:hAnsi="Times New Roman" w:cs="Times New Roman"/>
          <w:sz w:val="24"/>
          <w:szCs w:val="24"/>
          <w:lang w:val="es-ES"/>
        </w:rPr>
        <w:t>el inicio de la ejecución/construcción se estima para principios de 2026,</w:t>
      </w:r>
      <w:r w:rsidRPr="00CB38AA">
        <w:rPr>
          <w:rFonts w:ascii="Times New Roman" w:eastAsia="Arial MT" w:hAnsi="Times New Roman" w:cs="Times New Roman"/>
          <w:sz w:val="24"/>
          <w:szCs w:val="24"/>
          <w:vertAlign w:val="superscript"/>
          <w:lang w:val="es-ES"/>
        </w:rPr>
        <w:t>13</w:t>
      </w:r>
      <w:r w:rsidRPr="00CB38AA">
        <w:rPr>
          <w:rFonts w:ascii="Times New Roman" w:eastAsia="Arial MT" w:hAnsi="Times New Roman" w:cs="Times New Roman"/>
          <w:sz w:val="24"/>
          <w:szCs w:val="24"/>
          <w:lang w:val="es-ES"/>
        </w:rPr>
        <w:t xml:space="preserve"> aún no se han dado a conocer las tarifas que deberán cubrir las personas usuarias una vez concluida la obra.</w:t>
      </w:r>
      <w:r w:rsidRPr="00CB38AA">
        <w:rPr>
          <w:rFonts w:ascii="Times New Roman" w:eastAsia="Arial MT" w:hAnsi="Times New Roman" w:cs="Times New Roman"/>
          <w:sz w:val="24"/>
          <w:szCs w:val="24"/>
          <w:vertAlign w:val="superscript"/>
          <w:lang w:val="es-ES"/>
        </w:rPr>
        <w:t>14</w:t>
      </w:r>
      <w:r w:rsidRPr="00CB38AA">
        <w:rPr>
          <w:rFonts w:ascii="Times New Roman" w:eastAsia="Arial MT" w:hAnsi="Times New Roman" w:cs="Times New Roman"/>
          <w:sz w:val="24"/>
          <w:szCs w:val="24"/>
          <w:lang w:val="es-ES"/>
        </w:rPr>
        <w:t xml:space="preserve"> Es decir, el proyecto se encuentra en el momento idóneo para revisar las bases de regulación tarifaria.</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De este modo, resulta oportuno que la Secretaría de Movilidad del Gobierno del Estado de México, en coordinación con el SAASCAEM, realice todas las gestiones necesarias que permitan garantizar que las y los residentes de las poblaciones aledañas a la autopista Atlacomulco-Polotitlán queden exentos del pago de peaje, apoyando así su economía familiar y garantizando su libertad de tránsito.</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Por lo expuesto, someto a consideración de este órgano legislativo, la Proposición con punto de acuerdo que se acompaña.</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126B3" w:rsidRPr="00CB38AA" w:rsidRDefault="001126B3" w:rsidP="001126B3">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A T E N T A M E N T E</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vertAlign w:val="superscript"/>
          <w:lang w:val="es-ES"/>
        </w:rPr>
        <w:t>13</w:t>
      </w:r>
      <w:r w:rsidRPr="00CB38AA">
        <w:rPr>
          <w:rFonts w:ascii="Times New Roman" w:eastAsia="Arial MT" w:hAnsi="Times New Roman" w:cs="Times New Roman"/>
          <w:sz w:val="24"/>
          <w:szCs w:val="24"/>
          <w:lang w:val="es-ES"/>
        </w:rPr>
        <w:t xml:space="preserve"> </w:t>
      </w:r>
      <w:r w:rsidRPr="00CB38AA">
        <w:rPr>
          <w:rFonts w:ascii="Times New Roman" w:eastAsia="Arial MT" w:hAnsi="Times New Roman" w:cs="Times New Roman"/>
          <w:i/>
          <w:sz w:val="24"/>
          <w:szCs w:val="24"/>
          <w:lang w:val="es-ES"/>
        </w:rPr>
        <w:t xml:space="preserve">Proyectos México </w:t>
      </w:r>
      <w:r w:rsidRPr="00CB38AA">
        <w:rPr>
          <w:rFonts w:ascii="Times New Roman" w:eastAsia="Arial MT" w:hAnsi="Times New Roman" w:cs="Times New Roman"/>
          <w:sz w:val="24"/>
          <w:szCs w:val="24"/>
          <w:lang w:val="es-ES"/>
        </w:rPr>
        <w:t>es una plataforma administrada por el Banco Nacional de Obras y Servicios</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Públicos (Banobras), que concentra las oportunidades de inversión en infraestructura y energía del país.</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vertAlign w:val="superscript"/>
          <w:lang w:val="es-ES"/>
        </w:rPr>
        <w:t>14</w:t>
      </w:r>
      <w:r w:rsidRPr="00CB38AA">
        <w:rPr>
          <w:rFonts w:ascii="Times New Roman" w:eastAsia="Arial MT" w:hAnsi="Times New Roman" w:cs="Times New Roman"/>
          <w:sz w:val="24"/>
          <w:szCs w:val="24"/>
          <w:lang w:val="es-ES"/>
        </w:rPr>
        <w:t xml:space="preserve"> Anexo 19 (Bases de Regulación Tarifaria) del expediente público de la construcción de la autopista Atlacomulco-Polotitlán.</w:t>
      </w:r>
      <w:r w:rsidRPr="00CB38AA">
        <w:rPr>
          <w:rFonts w:ascii="Times New Roman" w:eastAsia="Arial MT" w:hAnsi="Times New Roman" w:cs="Times New Roman"/>
          <w:sz w:val="24"/>
          <w:szCs w:val="24"/>
          <w:lang w:val="es-ES"/>
        </w:rPr>
        <w:tab/>
        <w:t>Disponible</w:t>
      </w:r>
      <w:r w:rsidRPr="00CB38AA">
        <w:rPr>
          <w:rFonts w:ascii="Times New Roman" w:eastAsia="Arial MT" w:hAnsi="Times New Roman" w:cs="Times New Roman"/>
          <w:sz w:val="24"/>
          <w:szCs w:val="24"/>
          <w:lang w:val="es-ES"/>
        </w:rPr>
        <w:tab/>
        <w:t>en: https://saascaem.edomex.gob.mx/sites/saascaem.edomex.gob.mx/files/files/atlacomulco%20potitl%C3% A1n/apendiceIII/Anexo%2019%20(Bases%20de%20Regulaci%C3%B3n%20Tarifaria).pdf</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126B3" w:rsidRPr="00CB38AA" w:rsidRDefault="001126B3" w:rsidP="001126B3">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PROYECTO DE ACUERDO</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LA H. "LXII" LEGISLATURA, EN EJERCICIO DE LAS FACULTADES QUE LE CONFIEREN LOS ARTÍCULOS 51, FRACCIÓN II, 57 Y 61, FRACCIÓN I, DE LA CONSTITUCIÓN POLÍTICA DEL ESTADO LIBRE Y SOBERANO DE MÉXICO; Y 38, FRACCIÓN IV, DE LA LEY ORGÁNICA DEL PODER LEGISLATIVO DEL ESTADO LIBRE Y SOBERANO DE MÉXICO, HA TENIDO A BIEN EMITIR EL SIGUIENTE:</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1126B3" w:rsidRPr="00CB38AA" w:rsidRDefault="001126B3" w:rsidP="001126B3">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A C U E R D O</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b/>
          <w:sz w:val="24"/>
          <w:szCs w:val="24"/>
          <w:lang w:val="es-ES"/>
        </w:rPr>
        <w:t xml:space="preserve">ÚNICO.- </w:t>
      </w:r>
      <w:r w:rsidRPr="00CB38AA">
        <w:rPr>
          <w:rFonts w:ascii="Times New Roman" w:eastAsia="Arial MT" w:hAnsi="Times New Roman" w:cs="Times New Roman"/>
          <w:sz w:val="24"/>
          <w:szCs w:val="24"/>
          <w:lang w:val="es-ES"/>
        </w:rPr>
        <w:t>Se exhorta a la Secretaría de Movilidad del Gobierno del Estado de México y al Sistema de Autopistas, Aeropuertos, Servicios Conexos y Auxiliares del Estado de México, a realizar las acciones necesarias para garantizar que las y los residentes de las comunidades colindantes a la autopista Atlacomulco-Polotitlán estén exentos del pago de peaje, una vez que dicha carretera de cuota sea concluida y entre en operación.</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126B3" w:rsidRPr="00CB38AA" w:rsidRDefault="001126B3" w:rsidP="001126B3">
      <w:pPr>
        <w:widowControl w:val="0"/>
        <w:autoSpaceDE w:val="0"/>
        <w:autoSpaceDN w:val="0"/>
        <w:spacing w:after="0" w:line="240" w:lineRule="auto"/>
        <w:ind w:right="49"/>
        <w:jc w:val="center"/>
        <w:rPr>
          <w:rFonts w:ascii="Times New Roman" w:eastAsia="Arial MT" w:hAnsi="Times New Roman" w:cs="Times New Roman"/>
          <w:b/>
          <w:sz w:val="24"/>
          <w:szCs w:val="24"/>
          <w:lang w:val="es-ES"/>
        </w:rPr>
      </w:pPr>
      <w:r w:rsidRPr="00CB38AA">
        <w:rPr>
          <w:rFonts w:ascii="Times New Roman" w:eastAsia="Arial MT" w:hAnsi="Times New Roman" w:cs="Times New Roman"/>
          <w:b/>
          <w:sz w:val="24"/>
          <w:szCs w:val="24"/>
          <w:lang w:val="es-ES"/>
        </w:rPr>
        <w:t>T R A N S I T O R I O S</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b/>
          <w:sz w:val="24"/>
          <w:szCs w:val="24"/>
          <w:lang w:val="es-ES"/>
        </w:rPr>
      </w:pP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b/>
          <w:sz w:val="24"/>
          <w:szCs w:val="24"/>
          <w:lang w:val="es-ES"/>
        </w:rPr>
        <w:t xml:space="preserve">PRIMERO.- </w:t>
      </w:r>
      <w:r w:rsidRPr="00CB38AA">
        <w:rPr>
          <w:rFonts w:ascii="Times New Roman" w:eastAsia="Arial MT" w:hAnsi="Times New Roman" w:cs="Times New Roman"/>
          <w:sz w:val="24"/>
          <w:szCs w:val="24"/>
          <w:lang w:val="es-ES"/>
        </w:rPr>
        <w:t>Publíquese el presente Acuerdo en el Periódico Oficial “Gaceta del Gobierno”.</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b/>
          <w:sz w:val="24"/>
          <w:szCs w:val="24"/>
          <w:lang w:val="es-ES"/>
        </w:rPr>
        <w:t xml:space="preserve">SEGUNDO.- </w:t>
      </w:r>
      <w:r w:rsidRPr="00CB38AA">
        <w:rPr>
          <w:rFonts w:ascii="Times New Roman" w:eastAsia="Arial MT" w:hAnsi="Times New Roman" w:cs="Times New Roman"/>
          <w:sz w:val="24"/>
          <w:szCs w:val="24"/>
          <w:lang w:val="es-ES"/>
        </w:rPr>
        <w:t>Comuníquese a las autoridades respectivas.</w:t>
      </w: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p>
    <w:p w:rsidR="001126B3" w:rsidRPr="00CB38AA" w:rsidRDefault="001126B3" w:rsidP="001126B3">
      <w:pPr>
        <w:widowControl w:val="0"/>
        <w:autoSpaceDE w:val="0"/>
        <w:autoSpaceDN w:val="0"/>
        <w:spacing w:after="0" w:line="240" w:lineRule="auto"/>
        <w:ind w:right="49"/>
        <w:jc w:val="both"/>
        <w:rPr>
          <w:rFonts w:ascii="Times New Roman" w:eastAsia="Arial MT" w:hAnsi="Times New Roman" w:cs="Times New Roman"/>
          <w:sz w:val="24"/>
          <w:szCs w:val="24"/>
          <w:lang w:val="es-ES"/>
        </w:rPr>
      </w:pPr>
      <w:r w:rsidRPr="00CB38AA">
        <w:rPr>
          <w:rFonts w:ascii="Times New Roman" w:eastAsia="Arial MT" w:hAnsi="Times New Roman" w:cs="Times New Roman"/>
          <w:sz w:val="24"/>
          <w:szCs w:val="24"/>
          <w:lang w:val="es-ES"/>
        </w:rPr>
        <w:t xml:space="preserve">Dado en el Palacio del Poder Legislativo, en la ciudad de Toluca de Lerdo, capital del Estado de México, a los </w:t>
      </w:r>
      <w:r w:rsidRPr="00CB38AA">
        <w:rPr>
          <w:rFonts w:ascii="Times New Roman" w:eastAsia="Arial MT" w:hAnsi="Times New Roman" w:cs="Times New Roman"/>
          <w:sz w:val="24"/>
          <w:szCs w:val="24"/>
          <w:u w:val="single"/>
          <w:lang w:val="es-ES"/>
        </w:rPr>
        <w:tab/>
      </w:r>
      <w:r w:rsidRPr="00CB38AA">
        <w:rPr>
          <w:rFonts w:ascii="Times New Roman" w:eastAsia="Arial MT" w:hAnsi="Times New Roman" w:cs="Times New Roman"/>
          <w:sz w:val="24"/>
          <w:szCs w:val="24"/>
          <w:u w:val="single"/>
          <w:lang w:val="es-ES"/>
        </w:rPr>
        <w:tab/>
      </w:r>
      <w:r w:rsidRPr="00CB38AA">
        <w:rPr>
          <w:rFonts w:ascii="Times New Roman" w:eastAsia="Arial MT" w:hAnsi="Times New Roman" w:cs="Times New Roman"/>
          <w:sz w:val="24"/>
          <w:szCs w:val="24"/>
          <w:lang w:val="es-ES"/>
        </w:rPr>
        <w:t xml:space="preserve"> días del mes de </w:t>
      </w:r>
      <w:r w:rsidRPr="00CB38AA">
        <w:rPr>
          <w:rFonts w:ascii="Times New Roman" w:eastAsia="Arial MT" w:hAnsi="Times New Roman" w:cs="Times New Roman"/>
          <w:sz w:val="24"/>
          <w:szCs w:val="24"/>
          <w:u w:val="single"/>
          <w:lang w:val="es-ES"/>
        </w:rPr>
        <w:tab/>
      </w:r>
      <w:r w:rsidRPr="00CB38AA">
        <w:rPr>
          <w:rFonts w:ascii="Times New Roman" w:eastAsia="Arial MT" w:hAnsi="Times New Roman" w:cs="Times New Roman"/>
          <w:sz w:val="24"/>
          <w:szCs w:val="24"/>
          <w:u w:val="single"/>
          <w:lang w:val="es-ES"/>
        </w:rPr>
        <w:tab/>
      </w:r>
      <w:r w:rsidRPr="00CB38AA">
        <w:rPr>
          <w:rFonts w:ascii="Times New Roman" w:eastAsia="Arial MT" w:hAnsi="Times New Roman" w:cs="Times New Roman"/>
          <w:sz w:val="24"/>
          <w:szCs w:val="24"/>
          <w:lang w:val="es-ES"/>
        </w:rPr>
        <w:t xml:space="preserve"> del año </w:t>
      </w:r>
      <w:r w:rsidRPr="00CB38AA">
        <w:rPr>
          <w:rFonts w:ascii="Times New Roman" w:eastAsia="Arial MT" w:hAnsi="Times New Roman" w:cs="Times New Roman"/>
          <w:sz w:val="24"/>
          <w:szCs w:val="24"/>
          <w:u w:val="single"/>
          <w:lang w:val="es-ES"/>
        </w:rPr>
        <w:tab/>
      </w:r>
      <w:r w:rsidRPr="00CB38AA">
        <w:rPr>
          <w:rFonts w:ascii="Times New Roman" w:eastAsia="Arial MT" w:hAnsi="Times New Roman" w:cs="Times New Roman"/>
          <w:sz w:val="24"/>
          <w:szCs w:val="24"/>
          <w:u w:val="single"/>
          <w:lang w:val="es-ES"/>
        </w:rPr>
        <w:tab/>
      </w:r>
      <w:r w:rsidRPr="00CB38AA">
        <w:rPr>
          <w:rFonts w:ascii="Times New Roman" w:eastAsia="Arial MT" w:hAnsi="Times New Roman" w:cs="Times New Roman"/>
          <w:sz w:val="24"/>
          <w:szCs w:val="24"/>
          <w:lang w:val="es-ES"/>
        </w:rPr>
        <w:t>.</w:t>
      </w:r>
    </w:p>
    <w:p w:rsidR="001126B3" w:rsidRPr="00CB38AA" w:rsidRDefault="001126B3" w:rsidP="001126B3">
      <w:pPr>
        <w:spacing w:after="0" w:line="240" w:lineRule="auto"/>
        <w:jc w:val="center"/>
        <w:rPr>
          <w:rFonts w:ascii="Times New Roman" w:hAnsi="Times New Roman" w:cs="Times New Roman"/>
          <w:sz w:val="24"/>
          <w:szCs w:val="24"/>
        </w:rPr>
      </w:pPr>
    </w:p>
    <w:p w:rsidR="001126B3" w:rsidRPr="00CB38AA" w:rsidRDefault="001126B3" w:rsidP="001126B3">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(Fin del documento)</w:t>
      </w:r>
    </w:p>
    <w:p w:rsidR="001126B3" w:rsidRPr="00CB38AA" w:rsidRDefault="001126B3" w:rsidP="001126B3">
      <w:pPr>
        <w:spacing w:after="0" w:line="240" w:lineRule="auto"/>
        <w:jc w:val="center"/>
        <w:rPr>
          <w:rFonts w:ascii="Times New Roman" w:hAnsi="Times New Roman" w:cs="Times New Roman"/>
          <w:sz w:val="24"/>
          <w:szCs w:val="24"/>
        </w:rPr>
      </w:pP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 xml:space="preserve">PRESIDENTA DIP. MARTHA AZUCENA CAMACHO REYNOSO. Gracias diputado secretario Eduardo Zarzosa Sánchez.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Se registra y se remite a la Comisión Legislativa de Comunicaciones y Transportes para su estudio y dictamen.</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Consecuentes con el punto 24, la diputada Vicepresidenta Sara Alicia Ramírez de la O, presenta en nombre del Grupo Parlamentario del Partido del Trabajo, pronunciamiento de Solidaridad con el Pueblo de Cuba, ante la crisis humanitaria derivada de las sanciones energéticas y económicas impuestas por los Estados Unidos y por la Soberanía de México.</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VICEPRESIDENTA DIP. SARA ALICIA RAMÍREZ DE LA O. Gracias.</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Con su permiso diputada Martha Azucena Camacho, Presidenta de la Mesa Directiva de la LXII Legislatura del Estado de México; compañeros diputados de la Mesa Directiva, diputadas, diputados, diputade.</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Sara Ramírez de la O, en mi carácter de integrante y a nombre del Grupo Parlamentario del Partido del Trabajo en esta LXII Legislatura del Estado de México, y con fundamento en lo dispuesto en el artículo 32 del Reglamento del Poder Legislativo del Estado Libre y Soberano de México, presento ante esta Honorable Soberanía el siguiente pronunciamiento de solidaridad con el pueblo de Cuba ante la crisis humanitaria derivada de las sanciones energéticas y económicas impuestas por Estados Unidos, conforme a la siguiente:</w:t>
      </w:r>
    </w:p>
    <w:p w:rsidR="00A35DFE" w:rsidRPr="00CB38AA" w:rsidRDefault="00A35DFE" w:rsidP="00DF6EEA">
      <w:pPr>
        <w:pStyle w:val="Sinespaciado"/>
        <w:ind w:firstLine="708"/>
        <w:jc w:val="center"/>
        <w:rPr>
          <w:rFonts w:ascii="Times New Roman" w:hAnsi="Times New Roman" w:cs="Times New Roman"/>
          <w:sz w:val="24"/>
          <w:szCs w:val="24"/>
        </w:rPr>
      </w:pPr>
      <w:r w:rsidRPr="00CB38AA">
        <w:rPr>
          <w:rFonts w:ascii="Times New Roman" w:hAnsi="Times New Roman" w:cs="Times New Roman"/>
          <w:sz w:val="24"/>
          <w:szCs w:val="24"/>
        </w:rPr>
        <w:t>EXPOSICIÓN DE MOTIVOS</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Mucho me complace escuchar a compañeros que solicitan que se reformen códigos para la protección de los animales, quiere decir que esta Legislatura es una legislatura sensible y humanista.</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 xml:space="preserve">Lamentablemente hoy la población de Cuba atraviesa una situación económica complicada, escasez de alimentos, medicinas y productos básicos, inflación acelerada y apagones frecuentes así las cosas; el embargo estadounidense sigue siendo un obstáculo importante para el desarrollo económico truncado por esa decisión imperialista unilateral. </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De acuerdo con los reportes oficiales del Ministerio de Energía y Minas de Cuba en 2025, las reservas de combustible apenas alcanzan para 15 o 20 días de consumo lo que ha provocado apagones masivos, afectaciones en hospitales, transporte, distribución de agua y conservación de alimentos.</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No sólo hablamos de una crisis energética, hablamos de un colapso premeditado, hablamos de una nación hermana, la crisis energética en Cuba se ha intensificado tras la orden ejecutiva emitida en 2025 que impuso aranceles a cualquier país que venda petróleo a la isla, lo que frenó el suministro de crudo desde México y Venezuela.</w:t>
      </w:r>
    </w:p>
    <w:p w:rsidR="00A35DFE" w:rsidRPr="00CB38AA" w:rsidRDefault="00A35DFE" w:rsidP="00DF6EEA">
      <w:pPr>
        <w:spacing w:after="0" w:line="240" w:lineRule="auto"/>
        <w:ind w:firstLine="709"/>
        <w:jc w:val="both"/>
        <w:rPr>
          <w:rFonts w:ascii="Times New Roman" w:hAnsi="Times New Roman" w:cs="Times New Roman"/>
          <w:sz w:val="24"/>
          <w:szCs w:val="24"/>
        </w:rPr>
      </w:pPr>
      <w:r w:rsidRPr="00CB38AA">
        <w:rPr>
          <w:rFonts w:ascii="Times New Roman" w:hAnsi="Times New Roman" w:cs="Times New Roman"/>
          <w:sz w:val="24"/>
          <w:szCs w:val="24"/>
        </w:rPr>
        <w:t>Según datos de la Agencia Internacional de Energía por sus siglas AIE2025 más del 70% del sistema eléctrico cubano depende de importaciones de hidrocarburos y la restricción ha provocado un severo impacto social, largas filas en gasolineras, escases de transporte público y un aumento en la migración hacia los Estados Unidos y otros países de la región.</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La situación ha sido tan crítica que embajadas europeas y latinoamericanas evacuaron a su personal diplomático por temor a un colapso social, evidenciando que no se trata sólo de una crisis energética sino de una grave consecuencia que amenaza con hacer colapsar a todo un país.</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lastRenderedPageBreak/>
        <w:tab/>
        <w:t>En el año 2025 la Organización Panamericana de la Salud ha advertido que los apagones prolongados y la falta de combustible ponen en riesgo la atención médica, especialmente en hospitales pediátricos y de urgencias.</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Por su parte la FAO, Organización de las Naciones Unidas para la Alimentación y la Agricultura informó en dicho período que la inseguridad alimentaria en Cuba se ha incrementado por la imposibilidad de conservar y distribuir alimentos básicos, lo que agrava la vulnerabilidad de la población.</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La Presidenta Claudia Sheinbaum, nuestra Presidenta, ha defendido el apoyo que México brinda a Cuba, este gobierno ha señalado que envía petróleo a la isla a través de 2 vías, como venta y como ayuda humanitaria.</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En este sentido, desde esta tribuna, el Partido del Trabajo expresa su total e incondicional apoyo a las gestiones por la vía diplomática que la Doctora Claudia Sheinbaum realiza para continuar enviando la ayuda humanitaria al hermano pueblo cubano sin que este acto de solidaridad y humanismo afecte a nuestro país.</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El asunto ha captado más atención mediática a medida que el gobierno de los Estados Unidos ha intensificado sus presiones hacia Cuba donde dice que espera ver un cambio pronto, una de las últimas acciones que el gobierno de los Estados Unidos efectuó fue emitir una orden ejecutiva con la que amenaza con imponer aranceles adicionales a los países que directa o indirectamente entreguen petróleo a la isla.</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Ante esta grave situación humanitaria el Partido del Trabajo respalda completamente a nuestra Presidenta que reafirma que la solidaridad, respeto y la cooperación, seguirán siendo ejes rectos de su política exterior, trabajando de la mano con el pueblo cubano y la comunidad internacional para superar los desafíos humanitarios y energéticos que hoy lamentablemente enfrenta la isla.</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Compañeras y compañeros legisladores, éste, no es un tema de ideología, ni de dónde nos ubicamos en la geografía política, izquierda, derecha, centro, este es un asunto de respeto a la dignidad, a la Soberanía, al derecho de decidir de todos los pueblos de la tierra, podemos o no estar de acuerdo con los diversos gobiernos en el mundo, pero defender el derecho de los pueblos a decidir a la libre autodeterminación eso está fuera de toda discusión, no podemos permitir que ningún gobierno o nación vulnere la Soberanía y ponga en grave riesgo a la población, esto es un tema de un despiadado plan desestabilizador para poner de rodillas al pueblo cubano, aunque con ello pongan en grave en riesgo a miles de niños, niñas y hermanos.</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Como mexicanos y como latinoamericanos, debemos tener conciencia de que, si permitimos esos actos criminales, nosotros mismos; es decir, México podría ser el siguiente en la lista del imperio decadente y rapaz.</w:t>
      </w:r>
    </w:p>
    <w:p w:rsidR="00A35DFE" w:rsidRPr="00CB38AA" w:rsidRDefault="00A35DFE" w:rsidP="00DF6EEA">
      <w:pPr>
        <w:spacing w:after="0" w:line="240" w:lineRule="auto"/>
        <w:jc w:val="both"/>
        <w:rPr>
          <w:rFonts w:ascii="Times New Roman" w:hAnsi="Times New Roman" w:cs="Times New Roman"/>
          <w:sz w:val="24"/>
          <w:szCs w:val="24"/>
          <w:lang w:eastAsia="es-MX"/>
        </w:rPr>
      </w:pPr>
      <w:r w:rsidRPr="00CB38AA">
        <w:rPr>
          <w:rFonts w:ascii="Times New Roman" w:hAnsi="Times New Roman" w:cs="Times New Roman"/>
          <w:sz w:val="24"/>
          <w:szCs w:val="24"/>
        </w:rPr>
        <w:tab/>
        <w:t>Esto, compañeros que sucede en Cuba es un genocidio a cuenta gotas, el dolor, el sufrimiento de nuestros hermanos latinoamericanos</w:t>
      </w:r>
      <w:r w:rsidRPr="00CB38AA">
        <w:rPr>
          <w:rFonts w:ascii="Times New Roman" w:hAnsi="Times New Roman" w:cs="Times New Roman"/>
          <w:sz w:val="24"/>
          <w:szCs w:val="24"/>
          <w:lang w:eastAsia="es-MX"/>
        </w:rPr>
        <w:t xml:space="preserve"> nos recuerdan que el humanismo y la solidaridad son valores irrenunciables y que deben guiarnos siempre, nadie, ningún Gobierno tiene derecho a derrocar un gobierno legitimado por su pueblo.</w:t>
      </w:r>
    </w:p>
    <w:p w:rsidR="00A35DFE" w:rsidRPr="00CB38AA" w:rsidRDefault="00A35DFE" w:rsidP="00DF6EEA">
      <w:pPr>
        <w:spacing w:after="0" w:line="240" w:lineRule="auto"/>
        <w:ind w:firstLine="708"/>
        <w:jc w:val="both"/>
        <w:rPr>
          <w:rFonts w:ascii="Times New Roman" w:hAnsi="Times New Roman" w:cs="Times New Roman"/>
          <w:sz w:val="24"/>
          <w:szCs w:val="24"/>
        </w:rPr>
      </w:pPr>
      <w:r w:rsidRPr="00CB38AA">
        <w:rPr>
          <w:rFonts w:ascii="Times New Roman" w:hAnsi="Times New Roman" w:cs="Times New Roman"/>
          <w:sz w:val="24"/>
          <w:szCs w:val="24"/>
          <w:lang w:eastAsia="es-MX"/>
        </w:rPr>
        <w:t xml:space="preserve">En Gaza ensayaron sin consecuencias en Venezuela, secuestraron, invadieron sin pudor, en Cuba apuestan a ahogar en la miseria al pueblo. </w:t>
      </w:r>
    </w:p>
    <w:p w:rsidR="00A35DFE" w:rsidRPr="00CB38AA" w:rsidRDefault="00A35DFE" w:rsidP="00DF6EEA">
      <w:pPr>
        <w:pStyle w:val="Sinespaciado"/>
        <w:ind w:firstLine="708"/>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Compañeros legisladores, Cuba nos necesita hoy, no podemos ni debemos permanecer sólo como testigos estupefactos de este crimen de lesa humanidad, porque de lo contrario corremos el riesgo de muy pronto dejar de llamarnos hombres y mujeres libres.</w:t>
      </w:r>
    </w:p>
    <w:p w:rsidR="00A35DFE" w:rsidRPr="00CB38AA" w:rsidRDefault="00A35DFE" w:rsidP="00DF6EEA">
      <w:pPr>
        <w:pStyle w:val="Sinespaciado"/>
        <w:ind w:firstLine="708"/>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 xml:space="preserve"> Es cuanto compañeros. </w:t>
      </w:r>
    </w:p>
    <w:p w:rsidR="00A35DFE" w:rsidRPr="00CB38AA" w:rsidRDefault="00A35DFE" w:rsidP="00DF6EEA">
      <w:pPr>
        <w:pStyle w:val="Sinespaciado"/>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PRESIDENTA DIP. MARTHA AZUCENA CAMACHO REYNOSO. Gracias diputada Vicepresidenta Sara Alicia Ramírez de la O.</w:t>
      </w:r>
    </w:p>
    <w:p w:rsidR="00A35DFE" w:rsidRPr="00CB38AA" w:rsidRDefault="00A35DFE" w:rsidP="00DF6EEA">
      <w:pPr>
        <w:pStyle w:val="Sinespaciado"/>
        <w:ind w:firstLine="708"/>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Se registra lo expresado por la diputada Sara Alicia Ramírez de la O.</w:t>
      </w:r>
    </w:p>
    <w:p w:rsidR="00A35DFE" w:rsidRPr="00CB38AA" w:rsidRDefault="00A35DFE" w:rsidP="00DF6EEA">
      <w:pPr>
        <w:pStyle w:val="Sinespaciado"/>
        <w:ind w:firstLine="708"/>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lastRenderedPageBreak/>
        <w:t>En términos del punto 25 sobre el Informe anual de actividades presentado por la C. María Teresa de Jesús Cruz Camarena, titular del Órgano Interno de Control de la Universidad Autónoma de Estado de México, me permito proponer la dispensa de lectura del informe para que sea leído únicamente el oficio de remisión, quedando a su disposición el documento íntegro en esta Directiva.</w:t>
      </w:r>
    </w:p>
    <w:p w:rsidR="00A35DFE" w:rsidRPr="00CB38AA" w:rsidRDefault="00A35DFE" w:rsidP="00DF6EEA">
      <w:pPr>
        <w:pStyle w:val="Sinespaciado"/>
        <w:ind w:firstLine="708"/>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Pido a quienes estén por la dispensa de lectura del informe y que únicamente se ha leído el oficio de remisión, se sirva levantar la mano ¿En contra? ¿En abstención?</w:t>
      </w:r>
    </w:p>
    <w:p w:rsidR="00A35DFE" w:rsidRPr="00CB38AA" w:rsidRDefault="00A35DFE" w:rsidP="00DF6EEA">
      <w:pPr>
        <w:pStyle w:val="Sinespaciado"/>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 xml:space="preserve">SECRETARIO DIP. EDGAR SAMUEL RÍOS MORENO. La propuesta ha sido aprobada por unanimidad de votos. </w:t>
      </w:r>
    </w:p>
    <w:p w:rsidR="00A35DFE" w:rsidRPr="00CB38AA" w:rsidRDefault="00A35DFE" w:rsidP="00DF6EEA">
      <w:pPr>
        <w:pStyle w:val="Sinespaciado"/>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 xml:space="preserve">PRESIDENTA DIP. MARTHA AZUCENA CAMACHO REYNOSO. Gracias Secretario. </w:t>
      </w:r>
    </w:p>
    <w:p w:rsidR="00A35DFE" w:rsidRPr="00CB38AA" w:rsidRDefault="00A35DFE" w:rsidP="00DF6EEA">
      <w:pPr>
        <w:pStyle w:val="Sinespaciado"/>
        <w:ind w:firstLine="708"/>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 xml:space="preserve">La diputada vicepresidenta Itzel Guadalupe Pérez Correa da lectura al oficio de remisión. </w:t>
      </w:r>
    </w:p>
    <w:p w:rsidR="00A35DFE" w:rsidRPr="00CB38AA" w:rsidRDefault="00A35DFE" w:rsidP="00DF6EEA">
      <w:pPr>
        <w:pStyle w:val="Sinespaciado"/>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 xml:space="preserve">VICEPRESIDENTA DIP. ITZEL GUADALUPE PÉREZ CORREA. Con su venia presidenta. </w:t>
      </w:r>
    </w:p>
    <w:p w:rsidR="00A35DFE" w:rsidRPr="00CB38AA" w:rsidRDefault="00A35DFE" w:rsidP="00DF6EEA">
      <w:pPr>
        <w:pStyle w:val="Sinespaciado"/>
        <w:jc w:val="right"/>
        <w:rPr>
          <w:rFonts w:ascii="Times New Roman" w:hAnsi="Times New Roman" w:cs="Times New Roman"/>
          <w:sz w:val="24"/>
          <w:szCs w:val="24"/>
          <w:lang w:eastAsia="es-MX"/>
        </w:rPr>
      </w:pPr>
      <w:r w:rsidRPr="00CB38AA">
        <w:rPr>
          <w:rFonts w:ascii="Times New Roman" w:hAnsi="Times New Roman" w:cs="Times New Roman"/>
          <w:sz w:val="24"/>
          <w:szCs w:val="24"/>
          <w:lang w:eastAsia="es-MX"/>
        </w:rPr>
        <w:t xml:space="preserve">Toluca, México, a 23 de enero de 2026. </w:t>
      </w:r>
    </w:p>
    <w:p w:rsidR="00A35DFE" w:rsidRPr="00CB38AA" w:rsidRDefault="00A35DFE" w:rsidP="00DF6EEA">
      <w:pPr>
        <w:pStyle w:val="Sinespaciado"/>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 xml:space="preserve">DIPUTADO JOSÉ FRANCISCO VÁZQUEZ RODRÍGUEZ. </w:t>
      </w:r>
    </w:p>
    <w:p w:rsidR="00A35DFE" w:rsidRPr="00CB38AA" w:rsidRDefault="00A35DFE" w:rsidP="00DF6EEA">
      <w:pPr>
        <w:pStyle w:val="Sinespaciado"/>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PRESIDENTE DE LA JUNTA DE COORDINACIÓN POLÍTICA DE LA</w:t>
      </w:r>
    </w:p>
    <w:p w:rsidR="00A35DFE" w:rsidRPr="00CB38AA" w:rsidRDefault="00A35DFE" w:rsidP="00DF6EEA">
      <w:pPr>
        <w:pStyle w:val="Sinespaciado"/>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LXII LEGISLATURA DEL ESTADO DE MÉXICO.</w:t>
      </w:r>
    </w:p>
    <w:p w:rsidR="00A35DFE" w:rsidRPr="00CB38AA" w:rsidRDefault="00A35DFE" w:rsidP="00DF6EEA">
      <w:pPr>
        <w:pStyle w:val="Sinespaciado"/>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PRESENTE.</w:t>
      </w:r>
    </w:p>
    <w:p w:rsidR="00A35DFE" w:rsidRPr="00CB38AA" w:rsidRDefault="00A35DFE" w:rsidP="00DF6EEA">
      <w:pPr>
        <w:pStyle w:val="Sinespaciado"/>
        <w:ind w:firstLine="708"/>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A fin de dar cumplimiento a los artículos 41 fracción XVIII, de la Ley de la Universidad Autónoma del Estado de México y 33 Ter, cuarto párrafo de la Ley Orgánica del Poder Legislativo del Estado Libre y Soberano de México, envió usted el Informe Anual de Actividades 2025 del Órgano Interno de Control de la Universidad Autónoma del Estado de México.</w:t>
      </w:r>
    </w:p>
    <w:p w:rsidR="00A35DFE" w:rsidRPr="00CB38AA" w:rsidRDefault="00A35DFE" w:rsidP="00DF6EEA">
      <w:pPr>
        <w:pStyle w:val="Sinespaciado"/>
        <w:ind w:firstLine="708"/>
        <w:rPr>
          <w:rFonts w:ascii="Times New Roman" w:hAnsi="Times New Roman" w:cs="Times New Roman"/>
          <w:sz w:val="24"/>
          <w:szCs w:val="24"/>
          <w:lang w:eastAsia="es-MX"/>
        </w:rPr>
      </w:pPr>
      <w:r w:rsidRPr="00CB38AA">
        <w:rPr>
          <w:rFonts w:ascii="Times New Roman" w:hAnsi="Times New Roman" w:cs="Times New Roman"/>
          <w:sz w:val="24"/>
          <w:szCs w:val="24"/>
          <w:lang w:eastAsia="es-MX"/>
        </w:rPr>
        <w:t>Sin otro particular, quedo a sus órdenes para cualquier aclaración al respecto.</w:t>
      </w:r>
    </w:p>
    <w:p w:rsidR="00A35DFE" w:rsidRPr="00CB38AA" w:rsidRDefault="00A35DFE" w:rsidP="00DF6EEA">
      <w:pPr>
        <w:pStyle w:val="Sinespaciado"/>
        <w:ind w:firstLine="708"/>
        <w:jc w:val="center"/>
        <w:rPr>
          <w:rFonts w:ascii="Times New Roman" w:hAnsi="Times New Roman" w:cs="Times New Roman"/>
          <w:sz w:val="24"/>
          <w:szCs w:val="24"/>
          <w:lang w:eastAsia="es-MX"/>
        </w:rPr>
      </w:pPr>
      <w:r w:rsidRPr="00CB38AA">
        <w:rPr>
          <w:rFonts w:ascii="Times New Roman" w:hAnsi="Times New Roman" w:cs="Times New Roman"/>
          <w:sz w:val="24"/>
          <w:szCs w:val="24"/>
          <w:lang w:eastAsia="es-MX"/>
        </w:rPr>
        <w:t>ATENTAMENTE.</w:t>
      </w:r>
    </w:p>
    <w:p w:rsidR="00A35DFE" w:rsidRPr="00CB38AA" w:rsidRDefault="00A35DFE" w:rsidP="00DF6EEA">
      <w:pPr>
        <w:pStyle w:val="Sinespaciado"/>
        <w:ind w:firstLine="708"/>
        <w:jc w:val="center"/>
        <w:rPr>
          <w:rFonts w:ascii="Times New Roman" w:hAnsi="Times New Roman" w:cs="Times New Roman"/>
          <w:sz w:val="24"/>
          <w:szCs w:val="24"/>
          <w:lang w:eastAsia="es-MX"/>
        </w:rPr>
      </w:pPr>
      <w:r w:rsidRPr="00CB38AA">
        <w:rPr>
          <w:rFonts w:ascii="Times New Roman" w:hAnsi="Times New Roman" w:cs="Times New Roman"/>
          <w:sz w:val="24"/>
          <w:szCs w:val="24"/>
          <w:lang w:eastAsia="es-MX"/>
        </w:rPr>
        <w:t>MARÍA TERESA DE JESÚS CRUZ CAMARENA</w:t>
      </w:r>
    </w:p>
    <w:p w:rsidR="00A35DFE" w:rsidRPr="00CB38AA" w:rsidRDefault="00A35DFE" w:rsidP="00DF6EEA">
      <w:pPr>
        <w:pStyle w:val="Sinespaciado"/>
        <w:ind w:firstLine="708"/>
        <w:jc w:val="center"/>
        <w:rPr>
          <w:rFonts w:ascii="Times New Roman" w:hAnsi="Times New Roman" w:cs="Times New Roman"/>
          <w:sz w:val="24"/>
          <w:szCs w:val="24"/>
          <w:lang w:eastAsia="es-MX"/>
        </w:rPr>
      </w:pPr>
      <w:r w:rsidRPr="00CB38AA">
        <w:rPr>
          <w:rFonts w:ascii="Times New Roman" w:hAnsi="Times New Roman" w:cs="Times New Roman"/>
          <w:sz w:val="24"/>
          <w:szCs w:val="24"/>
          <w:lang w:eastAsia="es-MX"/>
        </w:rPr>
        <w:t>TITULAR DEL ÓRGANO INTERNO DE CONTROLEN LA</w:t>
      </w:r>
    </w:p>
    <w:p w:rsidR="00A35DFE" w:rsidRPr="00CB38AA" w:rsidRDefault="00A35DFE" w:rsidP="00DF6EEA">
      <w:pPr>
        <w:pStyle w:val="Sinespaciado"/>
        <w:ind w:firstLine="708"/>
        <w:jc w:val="center"/>
        <w:rPr>
          <w:rFonts w:ascii="Times New Roman" w:hAnsi="Times New Roman" w:cs="Times New Roman"/>
          <w:sz w:val="24"/>
          <w:szCs w:val="24"/>
          <w:lang w:eastAsia="es-MX"/>
        </w:rPr>
      </w:pPr>
      <w:r w:rsidRPr="00CB38AA">
        <w:rPr>
          <w:rFonts w:ascii="Times New Roman" w:hAnsi="Times New Roman" w:cs="Times New Roman"/>
          <w:sz w:val="24"/>
          <w:szCs w:val="24"/>
          <w:lang w:eastAsia="es-MX"/>
        </w:rPr>
        <w:t>UNIVERSIDAD AUTÓNOMA DEL ESTADO DE MÉXICO.</w:t>
      </w:r>
    </w:p>
    <w:p w:rsidR="00A35DFE" w:rsidRPr="00CB38AA" w:rsidRDefault="00A35DFE" w:rsidP="00DF6EEA">
      <w:pPr>
        <w:pStyle w:val="Sinespaciado"/>
        <w:ind w:firstLine="708"/>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Es cuanto Presidenta.</w:t>
      </w:r>
    </w:p>
    <w:p w:rsidR="0075750B" w:rsidRPr="00CB38AA" w:rsidRDefault="0075750B" w:rsidP="00B32A80">
      <w:pPr>
        <w:pStyle w:val="Sinespaciado"/>
        <w:jc w:val="both"/>
        <w:rPr>
          <w:rFonts w:ascii="Times New Roman" w:hAnsi="Times New Roman" w:cs="Times New Roman"/>
          <w:sz w:val="24"/>
          <w:szCs w:val="24"/>
        </w:rPr>
      </w:pPr>
    </w:p>
    <w:p w:rsidR="00EF1D5C" w:rsidRPr="00CB38AA" w:rsidRDefault="00EF1D5C" w:rsidP="00B32A80">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(Se inserta documento)</w:t>
      </w:r>
    </w:p>
    <w:p w:rsidR="00EF1D5C" w:rsidRPr="00CB38AA" w:rsidRDefault="00EF1D5C" w:rsidP="00B32A80">
      <w:pPr>
        <w:spacing w:after="0" w:line="240" w:lineRule="auto"/>
        <w:jc w:val="center"/>
        <w:rPr>
          <w:rFonts w:ascii="Times New Roman" w:hAnsi="Times New Roman" w:cs="Times New Roman"/>
          <w:sz w:val="24"/>
          <w:szCs w:val="24"/>
        </w:rPr>
      </w:pPr>
    </w:p>
    <w:p w:rsidR="00EF1D5C" w:rsidRPr="00CB38AA" w:rsidRDefault="00EF1D5C" w:rsidP="00B32A80">
      <w:pPr>
        <w:pStyle w:val="Default"/>
        <w:ind w:right="289"/>
        <w:jc w:val="both"/>
        <w:rPr>
          <w:rFonts w:ascii="Times New Roman" w:hAnsi="Times New Roman" w:cs="Times New Roman"/>
          <w:b/>
          <w:bCs/>
          <w:color w:val="auto"/>
        </w:rPr>
      </w:pPr>
      <w:r w:rsidRPr="00CB38AA">
        <w:rPr>
          <w:rFonts w:ascii="Times New Roman" w:hAnsi="Times New Roman" w:cs="Times New Roman"/>
          <w:b/>
          <w:bCs/>
          <w:color w:val="auto"/>
        </w:rPr>
        <w:t>CONGRESO</w:t>
      </w:r>
    </w:p>
    <w:p w:rsidR="00EF1D5C" w:rsidRPr="00CB38AA" w:rsidRDefault="00EF1D5C" w:rsidP="00B32A80">
      <w:pPr>
        <w:pStyle w:val="Default"/>
        <w:ind w:right="289"/>
        <w:jc w:val="both"/>
        <w:rPr>
          <w:rFonts w:ascii="Times New Roman" w:hAnsi="Times New Roman" w:cs="Times New Roman"/>
          <w:b/>
          <w:bCs/>
          <w:color w:val="auto"/>
        </w:rPr>
      </w:pPr>
      <w:r w:rsidRPr="00CB38AA">
        <w:rPr>
          <w:rFonts w:ascii="Times New Roman" w:hAnsi="Times New Roman" w:cs="Times New Roman"/>
          <w:b/>
          <w:bCs/>
          <w:color w:val="auto"/>
        </w:rPr>
        <w:t>ESTADO DE MÉXICO</w:t>
      </w:r>
    </w:p>
    <w:p w:rsidR="00EF1D5C" w:rsidRPr="00CB38AA" w:rsidRDefault="00EF1D5C" w:rsidP="00B32A80">
      <w:pPr>
        <w:spacing w:after="0" w:line="240" w:lineRule="auto"/>
        <w:ind w:right="289"/>
        <w:jc w:val="both"/>
        <w:rPr>
          <w:rFonts w:ascii="Times New Roman" w:hAnsi="Times New Roman" w:cs="Times New Roman"/>
          <w:sz w:val="24"/>
          <w:szCs w:val="24"/>
        </w:rPr>
      </w:pPr>
    </w:p>
    <w:p w:rsidR="00EF1D5C" w:rsidRPr="00CB38AA" w:rsidRDefault="00EF1D5C" w:rsidP="00B32A80">
      <w:pPr>
        <w:spacing w:after="0" w:line="240" w:lineRule="auto"/>
        <w:ind w:right="289"/>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Dr. en E. </w:t>
      </w:r>
      <w:r w:rsidRPr="00CB38AA">
        <w:rPr>
          <w:rFonts w:ascii="Times New Roman" w:hAnsi="Times New Roman" w:cs="Times New Roman"/>
          <w:b/>
          <w:sz w:val="24"/>
          <w:szCs w:val="24"/>
        </w:rPr>
        <w:t xml:space="preserve">J. </w:t>
      </w:r>
      <w:r w:rsidRPr="00CB38AA">
        <w:rPr>
          <w:rFonts w:ascii="Times New Roman" w:eastAsia="Arial" w:hAnsi="Times New Roman" w:cs="Times New Roman"/>
          <w:b/>
          <w:sz w:val="24"/>
          <w:szCs w:val="24"/>
        </w:rPr>
        <w:t>Omar Salvador Olvera Herreros</w:t>
      </w:r>
    </w:p>
    <w:p w:rsidR="00EF1D5C" w:rsidRPr="00CB38AA" w:rsidRDefault="00EF1D5C" w:rsidP="00B32A80">
      <w:pPr>
        <w:spacing w:after="0" w:line="240" w:lineRule="auto"/>
        <w:ind w:right="289"/>
        <w:jc w:val="center"/>
        <w:rPr>
          <w:rFonts w:ascii="Times New Roman" w:eastAsia="Arial" w:hAnsi="Times New Roman" w:cs="Times New Roman"/>
          <w:sz w:val="24"/>
          <w:szCs w:val="24"/>
        </w:rPr>
      </w:pPr>
      <w:r w:rsidRPr="00CB38AA">
        <w:rPr>
          <w:rFonts w:ascii="Times New Roman" w:eastAsia="Arial" w:hAnsi="Times New Roman" w:cs="Times New Roman"/>
          <w:sz w:val="24"/>
          <w:szCs w:val="24"/>
        </w:rPr>
        <w:t>SECRETARIO EJECUTIVO DE LA JUNTA DE COORDINACIÓN POLÍTICA</w:t>
      </w:r>
    </w:p>
    <w:p w:rsidR="00EF1D5C" w:rsidRPr="00CB38AA" w:rsidRDefault="00EF1D5C" w:rsidP="00B32A80">
      <w:pPr>
        <w:spacing w:after="0" w:line="240" w:lineRule="auto"/>
        <w:ind w:right="289"/>
        <w:jc w:val="center"/>
        <w:rPr>
          <w:rFonts w:ascii="Times New Roman" w:eastAsia="Arial" w:hAnsi="Times New Roman" w:cs="Times New Roman"/>
          <w:b/>
          <w:sz w:val="24"/>
          <w:szCs w:val="24"/>
        </w:rPr>
      </w:pPr>
    </w:p>
    <w:p w:rsidR="00EF1D5C" w:rsidRPr="00CB38AA" w:rsidRDefault="00EF1D5C" w:rsidP="00B32A80">
      <w:pPr>
        <w:spacing w:after="0" w:line="240" w:lineRule="auto"/>
        <w:ind w:right="289"/>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"2026. Año del Humanismo Mexicano en el Estado de México".</w:t>
      </w:r>
    </w:p>
    <w:p w:rsidR="00EF1D5C" w:rsidRPr="00CB38AA" w:rsidRDefault="00EF1D5C" w:rsidP="00B32A80">
      <w:pPr>
        <w:spacing w:after="0" w:line="240" w:lineRule="auto"/>
        <w:ind w:right="289"/>
        <w:jc w:val="both"/>
        <w:rPr>
          <w:rFonts w:ascii="Times New Roman" w:hAnsi="Times New Roman" w:cs="Times New Roman"/>
          <w:sz w:val="24"/>
          <w:szCs w:val="24"/>
        </w:rPr>
      </w:pPr>
    </w:p>
    <w:p w:rsidR="00EF1D5C" w:rsidRPr="00CB38AA" w:rsidRDefault="00EF1D5C" w:rsidP="00B32A80">
      <w:pPr>
        <w:spacing w:after="0" w:line="240" w:lineRule="auto"/>
        <w:ind w:right="289"/>
        <w:jc w:val="right"/>
        <w:rPr>
          <w:rFonts w:ascii="Times New Roman" w:eastAsia="Arial" w:hAnsi="Times New Roman" w:cs="Times New Roman"/>
          <w:sz w:val="24"/>
          <w:szCs w:val="24"/>
        </w:rPr>
      </w:pPr>
      <w:r w:rsidRPr="00CB38AA">
        <w:rPr>
          <w:rFonts w:ascii="Times New Roman" w:eastAsia="Arial" w:hAnsi="Times New Roman" w:cs="Times New Roman"/>
          <w:sz w:val="24"/>
          <w:szCs w:val="24"/>
        </w:rPr>
        <w:t>Toluca de Lerdo, México; a 23 de enero de 2026</w:t>
      </w:r>
    </w:p>
    <w:p w:rsidR="00EF1D5C" w:rsidRPr="00CB38AA" w:rsidRDefault="00EF1D5C" w:rsidP="00B32A80">
      <w:pPr>
        <w:spacing w:after="0" w:line="240" w:lineRule="auto"/>
        <w:ind w:right="289"/>
        <w:jc w:val="right"/>
        <w:rPr>
          <w:rFonts w:ascii="Times New Roman" w:eastAsia="Arial" w:hAnsi="Times New Roman" w:cs="Times New Roman"/>
          <w:sz w:val="24"/>
          <w:szCs w:val="24"/>
        </w:rPr>
      </w:pPr>
      <w:r w:rsidRPr="00CB38AA">
        <w:rPr>
          <w:rFonts w:ascii="Times New Roman" w:eastAsia="Arial" w:hAnsi="Times New Roman" w:cs="Times New Roman"/>
          <w:sz w:val="24"/>
          <w:szCs w:val="24"/>
        </w:rPr>
        <w:t>JUCOPO/SE/LXII/007 /2026</w:t>
      </w:r>
    </w:p>
    <w:p w:rsidR="00EF1D5C" w:rsidRPr="00CB38AA" w:rsidRDefault="00EF1D5C" w:rsidP="00B32A80">
      <w:pPr>
        <w:spacing w:after="0" w:line="240" w:lineRule="auto"/>
        <w:ind w:right="289"/>
        <w:jc w:val="both"/>
        <w:rPr>
          <w:rFonts w:ascii="Times New Roman" w:hAnsi="Times New Roman" w:cs="Times New Roman"/>
          <w:sz w:val="24"/>
          <w:szCs w:val="24"/>
        </w:rPr>
      </w:pPr>
    </w:p>
    <w:p w:rsidR="00EF1D5C" w:rsidRPr="00CB38AA" w:rsidRDefault="00EF1D5C" w:rsidP="00B32A80">
      <w:pPr>
        <w:spacing w:after="0" w:line="240" w:lineRule="auto"/>
        <w:ind w:right="289"/>
        <w:jc w:val="both"/>
        <w:rPr>
          <w:rFonts w:ascii="Times New Roman" w:eastAsia="Arial" w:hAnsi="Times New Roman" w:cs="Times New Roman"/>
          <w:b/>
          <w:sz w:val="24"/>
          <w:szCs w:val="24"/>
        </w:rPr>
      </w:pPr>
      <w:r w:rsidRPr="00CB38AA">
        <w:rPr>
          <w:rFonts w:ascii="Times New Roman" w:eastAsia="Arial" w:hAnsi="Times New Roman" w:cs="Times New Roman"/>
          <w:b/>
          <w:sz w:val="24"/>
          <w:szCs w:val="24"/>
        </w:rPr>
        <w:t>MAESTRO JAVIER DOMÍNGUEZ MORALES</w:t>
      </w:r>
    </w:p>
    <w:p w:rsidR="00EF1D5C" w:rsidRPr="00CB38AA" w:rsidRDefault="00EF1D5C" w:rsidP="00B32A80">
      <w:pPr>
        <w:spacing w:after="0" w:line="240" w:lineRule="auto"/>
        <w:ind w:right="289"/>
        <w:jc w:val="both"/>
        <w:rPr>
          <w:rFonts w:ascii="Times New Roman" w:eastAsia="Arial" w:hAnsi="Times New Roman" w:cs="Times New Roman"/>
          <w:b/>
          <w:sz w:val="24"/>
          <w:szCs w:val="24"/>
        </w:rPr>
      </w:pPr>
      <w:r w:rsidRPr="00CB38AA">
        <w:rPr>
          <w:rFonts w:ascii="Times New Roman" w:eastAsia="Arial" w:hAnsi="Times New Roman" w:cs="Times New Roman"/>
          <w:b/>
          <w:sz w:val="24"/>
          <w:szCs w:val="24"/>
        </w:rPr>
        <w:t>SECRETARIO DE ASUNTOS PARLAMÉNTARIOS</w:t>
      </w:r>
    </w:p>
    <w:p w:rsidR="00EF1D5C" w:rsidRPr="00CB38AA" w:rsidRDefault="00EF1D5C" w:rsidP="00B32A80">
      <w:pPr>
        <w:spacing w:after="0" w:line="240" w:lineRule="auto"/>
        <w:ind w:right="289"/>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DEL PODER LEGISLATIVO DEL ESTADO DE MÉXICO</w:t>
      </w:r>
    </w:p>
    <w:p w:rsidR="00EF1D5C" w:rsidRPr="00CB38AA" w:rsidRDefault="00EF1D5C" w:rsidP="00B32A80">
      <w:pPr>
        <w:spacing w:after="0" w:line="240" w:lineRule="auto"/>
        <w:ind w:right="289"/>
        <w:jc w:val="both"/>
        <w:rPr>
          <w:rFonts w:ascii="Times New Roman" w:eastAsia="Arial" w:hAnsi="Times New Roman" w:cs="Times New Roman"/>
          <w:sz w:val="24"/>
          <w:szCs w:val="24"/>
        </w:rPr>
      </w:pPr>
    </w:p>
    <w:p w:rsidR="00EF1D5C" w:rsidRPr="00CB38AA" w:rsidRDefault="00EF1D5C" w:rsidP="00B32A80">
      <w:pPr>
        <w:spacing w:after="0" w:line="240" w:lineRule="auto"/>
        <w:ind w:right="289"/>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Anticipándole un cordial saludo, y con fundamento en el artículo 63 Bis de la Ley Orgánica del Poder Legislativo del Estado Libre y Soberano de México y 152, fracción </w:t>
      </w:r>
      <w:r w:rsidRPr="00CB38AA">
        <w:rPr>
          <w:rFonts w:ascii="Times New Roman" w:hAnsi="Times New Roman" w:cs="Times New Roman"/>
          <w:sz w:val="24"/>
          <w:szCs w:val="24"/>
        </w:rPr>
        <w:t xml:space="preserve">111 </w:t>
      </w:r>
      <w:r w:rsidRPr="00CB38AA">
        <w:rPr>
          <w:rFonts w:ascii="Times New Roman" w:eastAsia="Arial" w:hAnsi="Times New Roman" w:cs="Times New Roman"/>
          <w:sz w:val="24"/>
          <w:szCs w:val="24"/>
        </w:rPr>
        <w:t xml:space="preserve">del Reglamento del Poder Legislativo del Estado Libre y Soberano de México, remito a usted oficio número </w:t>
      </w:r>
      <w:r w:rsidRPr="00CB38AA">
        <w:rPr>
          <w:rFonts w:ascii="Times New Roman" w:eastAsia="Arial" w:hAnsi="Times New Roman" w:cs="Times New Roman"/>
          <w:b/>
          <w:sz w:val="24"/>
          <w:szCs w:val="24"/>
        </w:rPr>
        <w:t xml:space="preserve">OIC/057/2026, </w:t>
      </w:r>
      <w:r w:rsidRPr="00CB38AA">
        <w:rPr>
          <w:rFonts w:ascii="Times New Roman" w:eastAsia="Arial" w:hAnsi="Times New Roman" w:cs="Times New Roman"/>
          <w:sz w:val="24"/>
          <w:szCs w:val="24"/>
        </w:rPr>
        <w:t xml:space="preserve">signado por la C. María Teresa de Jesús Cruz Camarena, Titular del Órgano </w:t>
      </w:r>
      <w:r w:rsidRPr="00CB38AA">
        <w:rPr>
          <w:rFonts w:ascii="Times New Roman" w:eastAsia="Arial" w:hAnsi="Times New Roman" w:cs="Times New Roman"/>
          <w:sz w:val="24"/>
          <w:szCs w:val="24"/>
        </w:rPr>
        <w:lastRenderedPageBreak/>
        <w:t>Interno de Control en la Universidad Autónoma del Estado de México, mediante el cual remite Informe Anual de Actividades de dicho órgano.</w:t>
      </w:r>
    </w:p>
    <w:p w:rsidR="00EF1D5C" w:rsidRPr="00CB38AA" w:rsidRDefault="00EF1D5C" w:rsidP="00B32A80">
      <w:pPr>
        <w:spacing w:after="0" w:line="240" w:lineRule="auto"/>
        <w:ind w:right="289"/>
        <w:jc w:val="both"/>
        <w:rPr>
          <w:rFonts w:ascii="Times New Roman" w:hAnsi="Times New Roman" w:cs="Times New Roman"/>
          <w:sz w:val="24"/>
          <w:szCs w:val="24"/>
        </w:rPr>
      </w:pPr>
    </w:p>
    <w:p w:rsidR="00EF1D5C" w:rsidRPr="00CB38AA" w:rsidRDefault="00EF1D5C" w:rsidP="00B32A80">
      <w:pPr>
        <w:spacing w:after="0" w:line="240" w:lineRule="auto"/>
        <w:ind w:right="289"/>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Lo anterior para los efectos que haya lugar.</w:t>
      </w:r>
    </w:p>
    <w:p w:rsidR="00EF1D5C" w:rsidRPr="00CB38AA" w:rsidRDefault="00EF1D5C" w:rsidP="00B32A80">
      <w:pPr>
        <w:spacing w:after="0" w:line="240" w:lineRule="auto"/>
        <w:ind w:right="289"/>
        <w:jc w:val="both"/>
        <w:rPr>
          <w:rFonts w:ascii="Times New Roman" w:hAnsi="Times New Roman" w:cs="Times New Roman"/>
          <w:sz w:val="24"/>
          <w:szCs w:val="24"/>
        </w:rPr>
      </w:pPr>
    </w:p>
    <w:p w:rsidR="00EF1D5C" w:rsidRPr="00CB38AA" w:rsidRDefault="00EF1D5C" w:rsidP="00B32A80">
      <w:pPr>
        <w:spacing w:after="0" w:line="240" w:lineRule="auto"/>
        <w:ind w:right="289"/>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Sin otro particular, le reitero mi distinguida consideración</w:t>
      </w:r>
    </w:p>
    <w:p w:rsidR="00EF1D5C" w:rsidRPr="00CB38AA" w:rsidRDefault="00EF1D5C" w:rsidP="00B32A80">
      <w:pPr>
        <w:spacing w:after="0" w:line="240" w:lineRule="auto"/>
        <w:ind w:right="289"/>
        <w:jc w:val="both"/>
        <w:rPr>
          <w:rFonts w:ascii="Times New Roman" w:eastAsia="Arial" w:hAnsi="Times New Roman" w:cs="Times New Roman"/>
          <w:sz w:val="24"/>
          <w:szCs w:val="24"/>
        </w:rPr>
      </w:pPr>
    </w:p>
    <w:p w:rsidR="00EF1D5C" w:rsidRPr="00CB38AA" w:rsidRDefault="00EF1D5C" w:rsidP="00B32A80">
      <w:pPr>
        <w:spacing w:after="0" w:line="240" w:lineRule="auto"/>
        <w:ind w:right="289"/>
        <w:jc w:val="center"/>
        <w:rPr>
          <w:rFonts w:ascii="Times New Roman" w:eastAsia="Arial" w:hAnsi="Times New Roman" w:cs="Times New Roman"/>
          <w:b/>
          <w:sz w:val="24"/>
          <w:szCs w:val="24"/>
        </w:rPr>
      </w:pPr>
      <w:r w:rsidRPr="00CB38AA">
        <w:rPr>
          <w:rFonts w:ascii="Times New Roman" w:eastAsia="Arial" w:hAnsi="Times New Roman" w:cs="Times New Roman"/>
          <w:b/>
          <w:sz w:val="24"/>
          <w:szCs w:val="24"/>
        </w:rPr>
        <w:t>ATENTAMENTE</w:t>
      </w:r>
    </w:p>
    <w:p w:rsidR="00EF1D5C" w:rsidRPr="00CB38AA" w:rsidRDefault="00EF1D5C" w:rsidP="00B32A80">
      <w:pPr>
        <w:spacing w:after="0" w:line="240" w:lineRule="auto"/>
        <w:ind w:right="289"/>
        <w:jc w:val="center"/>
        <w:rPr>
          <w:rFonts w:ascii="Times New Roman" w:hAnsi="Times New Roman" w:cs="Times New Roman"/>
          <w:b/>
          <w:sz w:val="24"/>
          <w:szCs w:val="24"/>
        </w:rPr>
      </w:pPr>
      <w:r w:rsidRPr="00CB38AA">
        <w:rPr>
          <w:rFonts w:ascii="Times New Roman" w:hAnsi="Times New Roman" w:cs="Times New Roman"/>
          <w:b/>
          <w:sz w:val="24"/>
          <w:szCs w:val="24"/>
        </w:rPr>
        <w:t>(Rúbrica)</w:t>
      </w:r>
    </w:p>
    <w:p w:rsidR="00EF1D5C" w:rsidRPr="00CB38AA" w:rsidRDefault="00EF1D5C" w:rsidP="00B32A80">
      <w:pPr>
        <w:spacing w:after="0" w:line="240" w:lineRule="auto"/>
        <w:ind w:right="289"/>
        <w:jc w:val="both"/>
        <w:rPr>
          <w:rFonts w:ascii="Times New Roman" w:hAnsi="Times New Roman" w:cs="Times New Roman"/>
          <w:sz w:val="24"/>
          <w:szCs w:val="24"/>
        </w:rPr>
      </w:pPr>
    </w:p>
    <w:p w:rsidR="00EF1D5C" w:rsidRPr="00CB38AA" w:rsidRDefault="00EF1D5C" w:rsidP="00B32A80">
      <w:pPr>
        <w:spacing w:after="0" w:line="240" w:lineRule="auto"/>
        <w:ind w:right="289"/>
        <w:jc w:val="both"/>
        <w:rPr>
          <w:rFonts w:ascii="Times New Roman" w:hAnsi="Times New Roman" w:cs="Times New Roman"/>
          <w:sz w:val="24"/>
          <w:szCs w:val="24"/>
        </w:rPr>
      </w:pPr>
    </w:p>
    <w:p w:rsidR="00EF1D5C" w:rsidRPr="00CB38AA" w:rsidRDefault="00EF1D5C" w:rsidP="00B32A80">
      <w:pPr>
        <w:spacing w:after="0" w:line="240" w:lineRule="auto"/>
        <w:ind w:right="289"/>
        <w:jc w:val="right"/>
        <w:rPr>
          <w:rFonts w:ascii="Times New Roman" w:eastAsia="Arial" w:hAnsi="Times New Roman" w:cs="Times New Roman"/>
          <w:sz w:val="24"/>
          <w:szCs w:val="24"/>
        </w:rPr>
      </w:pPr>
      <w:r w:rsidRPr="00CB38AA">
        <w:rPr>
          <w:rFonts w:ascii="Times New Roman" w:eastAsia="Arial" w:hAnsi="Times New Roman" w:cs="Times New Roman"/>
          <w:sz w:val="24"/>
          <w:szCs w:val="24"/>
        </w:rPr>
        <w:t>Toluca, México; a 23 de enero de 2026</w:t>
      </w:r>
    </w:p>
    <w:p w:rsidR="00EF1D5C" w:rsidRPr="00CB38AA" w:rsidRDefault="00EF1D5C" w:rsidP="00B32A80">
      <w:pPr>
        <w:spacing w:after="0" w:line="240" w:lineRule="auto"/>
        <w:ind w:right="289"/>
        <w:jc w:val="right"/>
        <w:rPr>
          <w:rFonts w:ascii="Times New Roman" w:eastAsia="Arial" w:hAnsi="Times New Roman" w:cs="Times New Roman"/>
          <w:sz w:val="24"/>
          <w:szCs w:val="24"/>
        </w:rPr>
      </w:pPr>
      <w:r w:rsidRPr="00CB38AA">
        <w:rPr>
          <w:rFonts w:ascii="Times New Roman" w:eastAsia="Arial" w:hAnsi="Times New Roman" w:cs="Times New Roman"/>
          <w:sz w:val="24"/>
          <w:szCs w:val="24"/>
        </w:rPr>
        <w:t>OIC/057 /2026</w:t>
      </w:r>
    </w:p>
    <w:p w:rsidR="00EF1D5C" w:rsidRPr="00CB38AA" w:rsidRDefault="00EF1D5C" w:rsidP="00B32A80">
      <w:pPr>
        <w:spacing w:after="0" w:line="240" w:lineRule="auto"/>
        <w:ind w:right="289"/>
        <w:jc w:val="both"/>
        <w:rPr>
          <w:rFonts w:ascii="Times New Roman" w:hAnsi="Times New Roman" w:cs="Times New Roman"/>
          <w:sz w:val="24"/>
          <w:szCs w:val="24"/>
        </w:rPr>
      </w:pPr>
    </w:p>
    <w:p w:rsidR="00EF1D5C" w:rsidRPr="00CB38AA" w:rsidRDefault="00EF1D5C" w:rsidP="00B32A80">
      <w:pPr>
        <w:spacing w:after="0" w:line="240" w:lineRule="auto"/>
        <w:ind w:right="289"/>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DIPUTADO</w:t>
      </w:r>
    </w:p>
    <w:p w:rsidR="00EF1D5C" w:rsidRPr="00CB38AA" w:rsidRDefault="00EF1D5C" w:rsidP="00B32A80">
      <w:pPr>
        <w:spacing w:after="0" w:line="240" w:lineRule="auto"/>
        <w:ind w:right="289"/>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JOSÉ FRANCISCO VÁZQUEZ RODRÍGUEZ</w:t>
      </w:r>
    </w:p>
    <w:p w:rsidR="00EF1D5C" w:rsidRPr="00CB38AA" w:rsidRDefault="00EF1D5C" w:rsidP="00B32A80">
      <w:pPr>
        <w:spacing w:after="0" w:line="240" w:lineRule="auto"/>
        <w:ind w:right="289"/>
        <w:jc w:val="both"/>
        <w:rPr>
          <w:rFonts w:ascii="Times New Roman" w:eastAsia="Arial" w:hAnsi="Times New Roman" w:cs="Times New Roman"/>
          <w:b/>
          <w:sz w:val="24"/>
          <w:szCs w:val="24"/>
        </w:rPr>
      </w:pPr>
      <w:r w:rsidRPr="00CB38AA">
        <w:rPr>
          <w:rFonts w:ascii="Times New Roman" w:eastAsia="Arial" w:hAnsi="Times New Roman" w:cs="Times New Roman"/>
          <w:b/>
          <w:sz w:val="24"/>
          <w:szCs w:val="24"/>
        </w:rPr>
        <w:t>PRESIDENTE DE LA JUNTA DE COORDINACIÓN POLÍTICA</w:t>
      </w:r>
    </w:p>
    <w:p w:rsidR="00EF1D5C" w:rsidRPr="00CB38AA" w:rsidRDefault="00EF1D5C" w:rsidP="00B32A80">
      <w:pPr>
        <w:spacing w:after="0" w:line="240" w:lineRule="auto"/>
        <w:ind w:right="289"/>
        <w:jc w:val="both"/>
        <w:rPr>
          <w:rFonts w:ascii="Times New Roman" w:eastAsia="Arial" w:hAnsi="Times New Roman" w:cs="Times New Roman"/>
          <w:b/>
          <w:sz w:val="24"/>
          <w:szCs w:val="24"/>
        </w:rPr>
      </w:pPr>
      <w:r w:rsidRPr="00CB38AA">
        <w:rPr>
          <w:rFonts w:ascii="Times New Roman" w:eastAsia="Arial" w:hAnsi="Times New Roman" w:cs="Times New Roman"/>
          <w:b/>
          <w:sz w:val="24"/>
          <w:szCs w:val="24"/>
        </w:rPr>
        <w:t>DE LA LXII LEGISLATURA DEL ESTADO DE MÉXICO</w:t>
      </w:r>
    </w:p>
    <w:p w:rsidR="00EF1D5C" w:rsidRPr="00CB38AA" w:rsidRDefault="00EF1D5C" w:rsidP="00B32A80">
      <w:pPr>
        <w:spacing w:after="0" w:line="240" w:lineRule="auto"/>
        <w:ind w:right="289"/>
        <w:jc w:val="both"/>
        <w:rPr>
          <w:rFonts w:ascii="Times New Roman" w:eastAsia="Arial" w:hAnsi="Times New Roman" w:cs="Times New Roman"/>
          <w:sz w:val="24"/>
          <w:szCs w:val="24"/>
        </w:rPr>
      </w:pPr>
      <w:r w:rsidRPr="00CB38AA">
        <w:rPr>
          <w:rFonts w:ascii="Times New Roman" w:eastAsia="Arial" w:hAnsi="Times New Roman" w:cs="Times New Roman"/>
          <w:b/>
          <w:sz w:val="24"/>
          <w:szCs w:val="24"/>
        </w:rPr>
        <w:t>PRESENTE</w:t>
      </w:r>
    </w:p>
    <w:p w:rsidR="00EF1D5C" w:rsidRPr="00CB38AA" w:rsidRDefault="00EF1D5C" w:rsidP="00B32A80">
      <w:pPr>
        <w:spacing w:after="0" w:line="240" w:lineRule="auto"/>
        <w:ind w:right="289"/>
        <w:jc w:val="both"/>
        <w:rPr>
          <w:rFonts w:ascii="Times New Roman" w:eastAsia="Arial" w:hAnsi="Times New Roman" w:cs="Times New Roman"/>
          <w:sz w:val="24"/>
          <w:szCs w:val="24"/>
        </w:rPr>
      </w:pPr>
    </w:p>
    <w:p w:rsidR="00EF1D5C" w:rsidRPr="00CB38AA" w:rsidRDefault="00EF1D5C" w:rsidP="00B32A80">
      <w:pPr>
        <w:spacing w:after="0" w:line="240" w:lineRule="auto"/>
        <w:ind w:right="289"/>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 xml:space="preserve">A fin de dar cumplimiento a los artículos 41 fracción XVIII de la Ley de la Universidad Autónoma del Estado de México y 33 Ter, cuarto párrafo de la Ley Orgánica del Poder Legislativo del Estado Libre y Soberano de México, envío a usted el </w:t>
      </w:r>
      <w:r w:rsidRPr="00CB38AA">
        <w:rPr>
          <w:rFonts w:ascii="Times New Roman" w:eastAsia="Arial" w:hAnsi="Times New Roman" w:cs="Times New Roman"/>
          <w:b/>
          <w:sz w:val="24"/>
          <w:szCs w:val="24"/>
        </w:rPr>
        <w:t xml:space="preserve">Informe Anual de Actividades 2025 </w:t>
      </w:r>
      <w:r w:rsidRPr="00CB38AA">
        <w:rPr>
          <w:rFonts w:ascii="Times New Roman" w:eastAsia="Arial" w:hAnsi="Times New Roman" w:cs="Times New Roman"/>
          <w:sz w:val="24"/>
          <w:szCs w:val="24"/>
        </w:rPr>
        <w:t>del Órgano Interno de Control en la Universidad Autónoma del Estado de México.</w:t>
      </w:r>
    </w:p>
    <w:p w:rsidR="00EF1D5C" w:rsidRPr="00CB38AA" w:rsidRDefault="00EF1D5C" w:rsidP="00B32A80">
      <w:pPr>
        <w:spacing w:after="0" w:line="240" w:lineRule="auto"/>
        <w:ind w:right="289"/>
        <w:jc w:val="both"/>
        <w:rPr>
          <w:rFonts w:ascii="Times New Roman" w:hAnsi="Times New Roman" w:cs="Times New Roman"/>
          <w:sz w:val="24"/>
          <w:szCs w:val="24"/>
        </w:rPr>
      </w:pPr>
    </w:p>
    <w:p w:rsidR="00EF1D5C" w:rsidRPr="00CB38AA" w:rsidRDefault="00EF1D5C" w:rsidP="00B32A80">
      <w:pPr>
        <w:spacing w:after="0" w:line="240" w:lineRule="auto"/>
        <w:ind w:right="289"/>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Sin otro particular, quedo a sus órdenes para cualquier aclaración al respecto.</w:t>
      </w:r>
    </w:p>
    <w:p w:rsidR="00EF1D5C" w:rsidRPr="00CB38AA" w:rsidRDefault="00EF1D5C" w:rsidP="00B32A80">
      <w:pPr>
        <w:spacing w:after="0" w:line="240" w:lineRule="auto"/>
        <w:ind w:right="289"/>
        <w:jc w:val="both"/>
        <w:rPr>
          <w:rFonts w:ascii="Times New Roman" w:hAnsi="Times New Roman" w:cs="Times New Roman"/>
          <w:sz w:val="24"/>
          <w:szCs w:val="24"/>
        </w:rPr>
      </w:pPr>
    </w:p>
    <w:p w:rsidR="00EF1D5C" w:rsidRPr="00CB38AA" w:rsidRDefault="00EF1D5C" w:rsidP="00B32A80">
      <w:pPr>
        <w:spacing w:after="0" w:line="240" w:lineRule="auto"/>
        <w:ind w:right="289"/>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ATENTAMENTE</w:t>
      </w:r>
    </w:p>
    <w:p w:rsidR="00EF1D5C" w:rsidRPr="00CB38AA" w:rsidRDefault="00EF1D5C" w:rsidP="00B32A80">
      <w:pPr>
        <w:spacing w:after="0" w:line="240" w:lineRule="auto"/>
        <w:ind w:right="289"/>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 xml:space="preserve">Patria, Ciencia </w:t>
      </w:r>
      <w:r w:rsidRPr="00CB38AA">
        <w:rPr>
          <w:rFonts w:ascii="Times New Roman" w:hAnsi="Times New Roman" w:cs="Times New Roman"/>
          <w:b/>
          <w:sz w:val="24"/>
          <w:szCs w:val="24"/>
        </w:rPr>
        <w:t xml:space="preserve">y </w:t>
      </w:r>
      <w:r w:rsidRPr="00CB38AA">
        <w:rPr>
          <w:rFonts w:ascii="Times New Roman" w:eastAsia="Arial" w:hAnsi="Times New Roman" w:cs="Times New Roman"/>
          <w:b/>
          <w:sz w:val="24"/>
          <w:szCs w:val="24"/>
        </w:rPr>
        <w:t>Trabajo</w:t>
      </w:r>
    </w:p>
    <w:p w:rsidR="00EF1D5C" w:rsidRPr="00CB38AA" w:rsidRDefault="00EF1D5C" w:rsidP="00B32A80">
      <w:pPr>
        <w:spacing w:after="0" w:line="240" w:lineRule="auto"/>
        <w:ind w:right="289"/>
        <w:jc w:val="center"/>
        <w:rPr>
          <w:rFonts w:ascii="Times New Roman" w:hAnsi="Times New Roman" w:cs="Times New Roman"/>
          <w:sz w:val="24"/>
          <w:szCs w:val="24"/>
        </w:rPr>
      </w:pPr>
      <w:r w:rsidRPr="00CB38AA">
        <w:rPr>
          <w:rFonts w:ascii="Times New Roman" w:hAnsi="Times New Roman" w:cs="Times New Roman"/>
          <w:b/>
          <w:i/>
          <w:sz w:val="24"/>
          <w:szCs w:val="24"/>
        </w:rPr>
        <w:t xml:space="preserve">"2026, Conmemoración del ingreso de la científica </w:t>
      </w:r>
      <w:r w:rsidRPr="00CB38AA">
        <w:rPr>
          <w:rFonts w:ascii="Times New Roman" w:eastAsia="Arial" w:hAnsi="Times New Roman" w:cs="Times New Roman"/>
          <w:b/>
          <w:i/>
          <w:sz w:val="24"/>
          <w:szCs w:val="24"/>
        </w:rPr>
        <w:t xml:space="preserve">y </w:t>
      </w:r>
      <w:r w:rsidRPr="00CB38AA">
        <w:rPr>
          <w:rFonts w:ascii="Times New Roman" w:hAnsi="Times New Roman" w:cs="Times New Roman"/>
          <w:b/>
          <w:i/>
          <w:sz w:val="24"/>
          <w:szCs w:val="24"/>
        </w:rPr>
        <w:t>académica</w:t>
      </w:r>
    </w:p>
    <w:p w:rsidR="00EF1D5C" w:rsidRPr="00CB38AA" w:rsidRDefault="00EF1D5C" w:rsidP="00B32A80">
      <w:pPr>
        <w:spacing w:after="0" w:line="240" w:lineRule="auto"/>
        <w:ind w:right="289"/>
        <w:jc w:val="center"/>
        <w:rPr>
          <w:rFonts w:ascii="Times New Roman" w:hAnsi="Times New Roman" w:cs="Times New Roman"/>
          <w:sz w:val="24"/>
          <w:szCs w:val="24"/>
        </w:rPr>
      </w:pPr>
      <w:r w:rsidRPr="00CB38AA">
        <w:rPr>
          <w:rFonts w:ascii="Times New Roman" w:hAnsi="Times New Roman" w:cs="Times New Roman"/>
          <w:b/>
          <w:i/>
          <w:sz w:val="24"/>
          <w:szCs w:val="24"/>
        </w:rPr>
        <w:t xml:space="preserve">Elena Cárdenas Guerrero al Instituto Científico </w:t>
      </w:r>
      <w:r w:rsidRPr="00CB38AA">
        <w:rPr>
          <w:rFonts w:ascii="Times New Roman" w:eastAsia="Arial" w:hAnsi="Times New Roman" w:cs="Times New Roman"/>
          <w:b/>
          <w:i/>
          <w:sz w:val="24"/>
          <w:szCs w:val="24"/>
        </w:rPr>
        <w:t xml:space="preserve">y </w:t>
      </w:r>
      <w:r w:rsidRPr="00CB38AA">
        <w:rPr>
          <w:rFonts w:ascii="Times New Roman" w:hAnsi="Times New Roman" w:cs="Times New Roman"/>
          <w:b/>
          <w:i/>
          <w:sz w:val="24"/>
          <w:szCs w:val="24"/>
        </w:rPr>
        <w:t>Literario,</w:t>
      </w:r>
    </w:p>
    <w:p w:rsidR="00EF1D5C" w:rsidRPr="00CB38AA" w:rsidRDefault="00EF1D5C" w:rsidP="00B32A80">
      <w:pPr>
        <w:spacing w:after="0" w:line="240" w:lineRule="auto"/>
        <w:ind w:right="289"/>
        <w:jc w:val="center"/>
        <w:rPr>
          <w:rFonts w:ascii="Times New Roman" w:hAnsi="Times New Roman" w:cs="Times New Roman"/>
          <w:sz w:val="24"/>
          <w:szCs w:val="24"/>
        </w:rPr>
      </w:pPr>
    </w:p>
    <w:p w:rsidR="00EF1D5C" w:rsidRPr="00CB38AA" w:rsidRDefault="00EF1D5C" w:rsidP="00B32A80">
      <w:pPr>
        <w:spacing w:after="0" w:line="240" w:lineRule="auto"/>
        <w:ind w:right="289"/>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MARIA TERESA DE JESUS CRUZ CAMARENA</w:t>
      </w:r>
    </w:p>
    <w:p w:rsidR="00EF1D5C" w:rsidRPr="00CB38AA" w:rsidRDefault="00EF1D5C" w:rsidP="00B32A80">
      <w:pPr>
        <w:spacing w:after="0" w:line="240" w:lineRule="auto"/>
        <w:ind w:right="289"/>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TITULAR DEL ÓRGANO INTERNO DE CONTROL</w:t>
      </w:r>
    </w:p>
    <w:p w:rsidR="00EF1D5C" w:rsidRPr="00CB38AA" w:rsidRDefault="00EF1D5C" w:rsidP="00B32A80">
      <w:pPr>
        <w:spacing w:after="0" w:line="240" w:lineRule="auto"/>
        <w:ind w:right="289"/>
        <w:jc w:val="center"/>
        <w:rPr>
          <w:rFonts w:ascii="Times New Roman" w:eastAsia="Arial" w:hAnsi="Times New Roman" w:cs="Times New Roman"/>
          <w:sz w:val="24"/>
          <w:szCs w:val="24"/>
        </w:rPr>
      </w:pPr>
      <w:r w:rsidRPr="00CB38AA">
        <w:rPr>
          <w:rFonts w:ascii="Times New Roman" w:eastAsia="Arial" w:hAnsi="Times New Roman" w:cs="Times New Roman"/>
          <w:b/>
          <w:sz w:val="24"/>
          <w:szCs w:val="24"/>
        </w:rPr>
        <w:t>EN LA UNIVERSIDAD AUTÓNOMA DEL ESTADO DE MÉXICO</w:t>
      </w:r>
    </w:p>
    <w:p w:rsidR="00EF1D5C" w:rsidRPr="00CB38AA" w:rsidRDefault="00EF1D5C" w:rsidP="00B32A80">
      <w:pPr>
        <w:spacing w:after="0" w:line="240" w:lineRule="auto"/>
        <w:ind w:right="289"/>
        <w:jc w:val="center"/>
        <w:rPr>
          <w:rFonts w:ascii="Times New Roman" w:hAnsi="Times New Roman" w:cs="Times New Roman"/>
          <w:sz w:val="24"/>
          <w:szCs w:val="24"/>
        </w:rPr>
      </w:pPr>
      <w:r w:rsidRPr="00CB38AA">
        <w:rPr>
          <w:rFonts w:ascii="Times New Roman" w:hAnsi="Times New Roman" w:cs="Times New Roman"/>
          <w:sz w:val="24"/>
          <w:szCs w:val="24"/>
        </w:rPr>
        <w:t>(Rúbrica)</w:t>
      </w:r>
    </w:p>
    <w:p w:rsidR="00EF1D5C" w:rsidRPr="00CB38AA" w:rsidRDefault="00EF1D5C" w:rsidP="00B32A80">
      <w:pPr>
        <w:spacing w:after="0" w:line="240" w:lineRule="auto"/>
        <w:ind w:right="289"/>
        <w:jc w:val="center"/>
        <w:rPr>
          <w:rFonts w:ascii="Times New Roman" w:hAnsi="Times New Roman" w:cs="Times New Roman"/>
          <w:sz w:val="24"/>
          <w:szCs w:val="24"/>
        </w:rPr>
      </w:pPr>
    </w:p>
    <w:p w:rsidR="00EF1D5C" w:rsidRPr="00CB38AA" w:rsidRDefault="00EF1D5C" w:rsidP="00B32A80">
      <w:pPr>
        <w:spacing w:after="0" w:line="240" w:lineRule="auto"/>
        <w:ind w:right="289"/>
        <w:jc w:val="both"/>
        <w:rPr>
          <w:rFonts w:ascii="Times New Roman" w:eastAsia="Arial" w:hAnsi="Times New Roman" w:cs="Times New Roman"/>
          <w:sz w:val="24"/>
          <w:szCs w:val="24"/>
        </w:rPr>
      </w:pPr>
      <w:r w:rsidRPr="00CB38AA">
        <w:rPr>
          <w:rFonts w:ascii="Times New Roman" w:eastAsia="Arial" w:hAnsi="Times New Roman" w:cs="Times New Roman"/>
          <w:sz w:val="24"/>
          <w:szCs w:val="24"/>
        </w:rPr>
        <w:t>C.c.p. Archivo.</w:t>
      </w:r>
    </w:p>
    <w:p w:rsidR="00EF1D5C" w:rsidRPr="00CB38AA" w:rsidRDefault="00EF1D5C" w:rsidP="00B32A80">
      <w:pPr>
        <w:spacing w:after="0" w:line="240" w:lineRule="auto"/>
        <w:jc w:val="center"/>
        <w:rPr>
          <w:rFonts w:ascii="Times New Roman" w:hAnsi="Times New Roman" w:cs="Times New Roman"/>
          <w:sz w:val="24"/>
          <w:szCs w:val="24"/>
        </w:rPr>
      </w:pPr>
    </w:p>
    <w:p w:rsidR="00EF1D5C" w:rsidRPr="00CB38AA" w:rsidRDefault="00EF1D5C" w:rsidP="00B32A80">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(El informe se encuentra para consulta en el Archivo del Poder Legislativo)</w:t>
      </w:r>
    </w:p>
    <w:p w:rsidR="00EF1D5C" w:rsidRPr="00CB38AA" w:rsidRDefault="00EF1D5C" w:rsidP="00B32A80">
      <w:pPr>
        <w:spacing w:after="0" w:line="240" w:lineRule="auto"/>
        <w:jc w:val="center"/>
        <w:rPr>
          <w:rFonts w:ascii="Times New Roman" w:hAnsi="Times New Roman" w:cs="Times New Roman"/>
          <w:sz w:val="24"/>
          <w:szCs w:val="24"/>
        </w:rPr>
      </w:pPr>
    </w:p>
    <w:p w:rsidR="00EF1D5C" w:rsidRPr="00CB38AA" w:rsidRDefault="00EF1D5C" w:rsidP="00B32A80">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(Fin del documento)</w:t>
      </w:r>
    </w:p>
    <w:p w:rsidR="00EF1D5C" w:rsidRPr="00CB38AA" w:rsidRDefault="00EF1D5C" w:rsidP="00B32A80">
      <w:pPr>
        <w:spacing w:after="0" w:line="240" w:lineRule="auto"/>
        <w:jc w:val="center"/>
        <w:rPr>
          <w:rFonts w:ascii="Times New Roman" w:hAnsi="Times New Roman" w:cs="Times New Roman"/>
          <w:sz w:val="24"/>
          <w:szCs w:val="24"/>
        </w:rPr>
      </w:pPr>
    </w:p>
    <w:p w:rsidR="00A35DFE" w:rsidRPr="00CB38AA" w:rsidRDefault="00A35DFE" w:rsidP="00DF6EEA">
      <w:pPr>
        <w:pStyle w:val="Sinespaciado"/>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 xml:space="preserve">PRESIDENTA DIP. MARTHA AZUCENA CAMACHO REYNOSO. Gracias diputada Vicepresidenta Itzel Guadalupe Pérez Correa. </w:t>
      </w:r>
    </w:p>
    <w:p w:rsidR="00A35DFE" w:rsidRPr="00CB38AA" w:rsidRDefault="00A35DFE" w:rsidP="0075750B">
      <w:pPr>
        <w:pStyle w:val="Sinespaciado"/>
        <w:ind w:firstLine="709"/>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 xml:space="preserve">Queda enterada la LXII Legislatura del Informe Anual de Actividades presentado por el Titular del Órgano Interno de Control de la Universidad Autónoma del Estado de México y se tiene </w:t>
      </w:r>
      <w:r w:rsidRPr="00CB38AA">
        <w:rPr>
          <w:rFonts w:ascii="Times New Roman" w:hAnsi="Times New Roman" w:cs="Times New Roman"/>
          <w:sz w:val="24"/>
          <w:szCs w:val="24"/>
          <w:lang w:eastAsia="es-MX"/>
        </w:rPr>
        <w:lastRenderedPageBreak/>
        <w:t xml:space="preserve">por cumplido lo establecido en el artículo 33 Ter de la Ley Orgánica del Poder Legislativo del Estado Libre y Soberano de México. </w:t>
      </w:r>
    </w:p>
    <w:p w:rsidR="00A35DFE" w:rsidRPr="00CB38AA" w:rsidRDefault="00A35DFE" w:rsidP="00DF6EEA">
      <w:pPr>
        <w:pStyle w:val="Sinespaciado"/>
        <w:ind w:firstLine="708"/>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 xml:space="preserve">En atención al punto 26, la diputada Vicepresidenta Sara Alicia Ramírez de la O, leerá el informe del presidente Municipal Constitucional de Metepec en relación con su salida de trabajo al extranjero 46 Edición de la Feria Internacional de Turismo, a celebrarse en IFAMA Madrid, España, del 19 al 23 de enero del 2026. </w:t>
      </w:r>
    </w:p>
    <w:p w:rsidR="00A35DFE" w:rsidRPr="00CB38AA" w:rsidRDefault="00A35DFE" w:rsidP="00DF6EEA">
      <w:pPr>
        <w:pStyle w:val="Sinespaciado"/>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VICEPRESIDENTA SARA ALICIA RAMÍREZ DE LA O. Vamos a cosas serias.</w:t>
      </w:r>
    </w:p>
    <w:p w:rsidR="00A35DFE" w:rsidRPr="00CB38AA" w:rsidRDefault="00A35DFE" w:rsidP="00DF6EEA">
      <w:pPr>
        <w:pStyle w:val="Sinespaciado"/>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 xml:space="preserve">DIPUTADA MARTHA AZUCENA CAMACHO REYNOSO, </w:t>
      </w:r>
    </w:p>
    <w:p w:rsidR="00A35DFE" w:rsidRPr="00CB38AA" w:rsidRDefault="00A35DFE" w:rsidP="00DF6EEA">
      <w:pPr>
        <w:pStyle w:val="Sinespaciado"/>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 xml:space="preserve">PRESIDENTA DE LA DIPUTACIÓN PERMANENTE </w:t>
      </w:r>
    </w:p>
    <w:p w:rsidR="00A35DFE" w:rsidRPr="00CB38AA" w:rsidRDefault="00A35DFE" w:rsidP="00DF6EEA">
      <w:pPr>
        <w:pStyle w:val="Sinespaciado"/>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DE LA LXII LEGISLATURA DEL ESTADO DE MÉXICO</w:t>
      </w:r>
    </w:p>
    <w:p w:rsidR="00A35DFE" w:rsidRPr="00CB38AA" w:rsidRDefault="00A35DFE" w:rsidP="00DF6EEA">
      <w:pPr>
        <w:pStyle w:val="Sinespaciado"/>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PRESENTE</w:t>
      </w:r>
    </w:p>
    <w:p w:rsidR="00A35DFE" w:rsidRPr="00CB38AA" w:rsidRDefault="00A35DFE" w:rsidP="00DF6EEA">
      <w:pPr>
        <w:pStyle w:val="Sinespaciado"/>
        <w:ind w:firstLine="709"/>
        <w:jc w:val="both"/>
        <w:rPr>
          <w:rFonts w:ascii="Times New Roman" w:hAnsi="Times New Roman" w:cs="Times New Roman"/>
          <w:sz w:val="24"/>
          <w:szCs w:val="24"/>
          <w:lang w:eastAsia="es-MX"/>
        </w:rPr>
      </w:pPr>
      <w:r w:rsidRPr="00CB38AA">
        <w:rPr>
          <w:rFonts w:ascii="Times New Roman" w:hAnsi="Times New Roman" w:cs="Times New Roman"/>
          <w:sz w:val="24"/>
          <w:szCs w:val="24"/>
          <w:lang w:eastAsia="es-MX"/>
        </w:rPr>
        <w:t xml:space="preserve">En cumplimiento con los artículos 128 fracción XIII de la Constitución Política del Estado Libre y Soberano de México y 48 fracción XIX de la Ley Orgánica Municipal del Estado de México, remito a usted el informe que da cuenta sobre las actividades realizadas por el suscrito, durante la gira de trabajo realizada </w:t>
      </w:r>
      <w:r w:rsidRPr="00CB38AA">
        <w:rPr>
          <w:rFonts w:ascii="Times New Roman" w:hAnsi="Times New Roman" w:cs="Times New Roman"/>
          <w:sz w:val="24"/>
          <w:szCs w:val="24"/>
        </w:rPr>
        <w:t>del 19 al 23 de enero de la presente anualidad en la Ciudad de Madrid España, con motivo de la 46ª edición de la feria internacional de turismo, el evento tuvo como cede la institución ferial de Madrid, lugar en el cual estuve presente para presenciar la inauguración, del XIII Foro de Liderazgo Turístico de Exceltur, mismo que representa el máximo diálogo del liderazgo y pensamiento estratégico del sector turístico público y privado en España, durante el mismo, se presentaron oportunidades propicias para tener un acercamiento con Quirino Ordaz Coppel, Embajador de México en España, Josefina Rodríguez Zamora, Secretaria de Turismo del Gobierno de México y con Gloria Guevara Manzo, Presidenta del Consejo Mundial de Viajes y Turismo.</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En el marco de este acuerdo global, nuestro país tuvo un lugar preponderante por el que acudí a la inauguración del pabellón México en espacio de promoción integral de los 32 Estados de la República, donde se presentó nuestra riqueza cultural y gastronómica, pueblos mágicos de la UNESCO, haciendo posible el establecimiento de vínculos estratégicos con operadores turísticos internacionales y representantes gubernamentales logrando posicionar a Metepec como el destino claro para el presente año.</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Asimismo, por medio de la Organización Woman Leading Tourism participé dentro del portal temático, soluciones regionales para el crecimiento turístico, donde destaqué cómo la creación de marcos turísticos únicas a la mejora de infraestructura y la organización de eventos promovidos por el ámbito público, mejoran la competitividad local para diversificar el turismo regional y favorece la prosperidad compartida por medio de la conexión de productos locales y prestadores de servicios enfocados en crear una renovada experiencia para el viajero.</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De igual manera, comparto que el Municipio de Metepec mediante el proyecto la ruta Árbol de la Vida, participó en la candidatura del premio excelencias turísticas 2025, el cual fue convocado por el Clúster de Comunicación y Editorial Iberoamericano, Grupo Excelencias, logrando hacerse acreedor al galardón por la protección y proyección de la identidad y el territorio ya que nuestra iniciativa turística visualiza, respalda e impulsa la huella cultural tangible e intangible de los maestros y las maestras artesanas de Metepec, quienes con su talento atraen el ánimo e interés de visitantes permitiendo el desarrollo de servicios turísticos, todo ello, conjuntado, ha hecho posible que la economía local se mejore constantemente y que tanto la identidad municipal, como estatal, crezcan exponencialmente. Tuve el honor de recibir institucionalmente este reconocimiento en nombre del ayuntamiento.</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 xml:space="preserve">En este mismo sentido, resultó gratamente beneficioso reunirme con empresarios y medios de comunicación e información con quienes en diversas mesas de conversación me permití exponer a Metepec como un lugar cercano a la capital del país, la cual albergará diversos partidos de la copa Mundial FIFA 2026, convirtiendo este tiempo en una experiencia única e inmejorable en lo que el </w:t>
      </w:r>
      <w:r w:rsidRPr="00CB38AA">
        <w:rPr>
          <w:rFonts w:ascii="Times New Roman" w:hAnsi="Times New Roman" w:cs="Times New Roman"/>
          <w:sz w:val="24"/>
          <w:szCs w:val="24"/>
        </w:rPr>
        <w:lastRenderedPageBreak/>
        <w:t>mundo descubrirá mucho más allá del Estado, invitándolos a que hicieran de Metepec una escaparate como ruta cultural de gastronomía, de artesanía y de hospitalidad.</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Finalmente destaco el encuentro con el CEO de City Sightseeing, la empresa de autobuses turísticos lidera a nivel mundial con presencia en 119 ciudades de los 5 continentes buscando que, con la calidad de pueblo mágico, Metepec sea un socio adecuado para expandir tours más innovadores, integrando tecnología y experiencias locales.</w:t>
      </w:r>
    </w:p>
    <w:p w:rsidR="00A35DFE" w:rsidRPr="00CB38AA" w:rsidRDefault="00A35DFE" w:rsidP="00DF6EEA">
      <w:pPr>
        <w:spacing w:after="0" w:line="240" w:lineRule="auto"/>
        <w:ind w:firstLine="709"/>
        <w:jc w:val="both"/>
        <w:rPr>
          <w:rFonts w:ascii="Times New Roman" w:hAnsi="Times New Roman" w:cs="Times New Roman"/>
          <w:sz w:val="24"/>
          <w:szCs w:val="24"/>
        </w:rPr>
      </w:pPr>
      <w:r w:rsidRPr="00CB38AA">
        <w:rPr>
          <w:rFonts w:ascii="Times New Roman" w:hAnsi="Times New Roman" w:cs="Times New Roman"/>
          <w:sz w:val="24"/>
          <w:szCs w:val="24"/>
        </w:rPr>
        <w:t>Sin otro particular, aprovecho la ocasión para reiterarle mi estima y consideración.</w:t>
      </w:r>
    </w:p>
    <w:p w:rsidR="00A35DFE" w:rsidRPr="00CB38AA" w:rsidRDefault="00A35DFE" w:rsidP="00DF6EEA">
      <w:pPr>
        <w:spacing w:after="0" w:line="240" w:lineRule="auto"/>
        <w:jc w:val="center"/>
        <w:rPr>
          <w:rFonts w:ascii="Times New Roman" w:hAnsi="Times New Roman" w:cs="Times New Roman"/>
          <w:sz w:val="24"/>
          <w:szCs w:val="24"/>
        </w:rPr>
      </w:pPr>
      <w:r w:rsidRPr="00CB38AA">
        <w:rPr>
          <w:rFonts w:ascii="Times New Roman" w:hAnsi="Times New Roman" w:cs="Times New Roman"/>
          <w:sz w:val="24"/>
          <w:szCs w:val="24"/>
        </w:rPr>
        <w:t>ATENTAMENTE</w:t>
      </w:r>
    </w:p>
    <w:p w:rsidR="00A35DFE" w:rsidRPr="00CB38AA" w:rsidRDefault="00A35DFE" w:rsidP="00DF6EEA">
      <w:pPr>
        <w:spacing w:after="0" w:line="240" w:lineRule="auto"/>
        <w:jc w:val="center"/>
        <w:rPr>
          <w:rFonts w:ascii="Times New Roman" w:hAnsi="Times New Roman" w:cs="Times New Roman"/>
          <w:sz w:val="24"/>
          <w:szCs w:val="24"/>
        </w:rPr>
      </w:pPr>
      <w:r w:rsidRPr="00CB38AA">
        <w:rPr>
          <w:rFonts w:ascii="Times New Roman" w:hAnsi="Times New Roman" w:cs="Times New Roman"/>
          <w:sz w:val="24"/>
          <w:szCs w:val="24"/>
        </w:rPr>
        <w:t>FERNANDO GUSTAVO FLORES FERNÁNDEZ</w:t>
      </w:r>
    </w:p>
    <w:p w:rsidR="00A35DFE" w:rsidRPr="00CB38AA" w:rsidRDefault="00A35DFE" w:rsidP="00DF6EEA">
      <w:pPr>
        <w:spacing w:after="0" w:line="240" w:lineRule="auto"/>
        <w:jc w:val="center"/>
        <w:rPr>
          <w:rFonts w:ascii="Times New Roman" w:hAnsi="Times New Roman" w:cs="Times New Roman"/>
          <w:sz w:val="24"/>
          <w:szCs w:val="24"/>
        </w:rPr>
      </w:pPr>
      <w:r w:rsidRPr="00CB38AA">
        <w:rPr>
          <w:rFonts w:ascii="Times New Roman" w:hAnsi="Times New Roman" w:cs="Times New Roman"/>
          <w:sz w:val="24"/>
          <w:szCs w:val="24"/>
        </w:rPr>
        <w:t>PRESIDENTE MUNICIPAL CONSTITUCIONAL.</w:t>
      </w: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ab/>
        <w:t>Es cuanto Presidenta.</w:t>
      </w:r>
    </w:p>
    <w:p w:rsidR="00F25EA4" w:rsidRPr="00CB38AA" w:rsidRDefault="00F25EA4" w:rsidP="00AC1015">
      <w:pPr>
        <w:pStyle w:val="Sinespaciado"/>
        <w:jc w:val="both"/>
        <w:rPr>
          <w:rFonts w:ascii="Times New Roman" w:hAnsi="Times New Roman" w:cs="Times New Roman"/>
          <w:sz w:val="24"/>
          <w:szCs w:val="24"/>
        </w:rPr>
      </w:pPr>
    </w:p>
    <w:p w:rsidR="00F25EA4" w:rsidRPr="00CB38AA" w:rsidRDefault="00F25EA4" w:rsidP="00AC1015">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(Se inserta documento)</w:t>
      </w:r>
    </w:p>
    <w:p w:rsidR="00F25EA4" w:rsidRPr="00CB38AA" w:rsidRDefault="00F25EA4" w:rsidP="00AC1015">
      <w:pPr>
        <w:spacing w:after="0" w:line="240" w:lineRule="auto"/>
        <w:jc w:val="center"/>
        <w:rPr>
          <w:rFonts w:ascii="Times New Roman" w:hAnsi="Times New Roman" w:cs="Times New Roman"/>
          <w:sz w:val="24"/>
          <w:szCs w:val="24"/>
        </w:rPr>
      </w:pPr>
    </w:p>
    <w:p w:rsidR="00663998" w:rsidRPr="00CB38AA" w:rsidRDefault="00663998" w:rsidP="00663998">
      <w:pPr>
        <w:spacing w:after="0" w:line="240" w:lineRule="auto"/>
        <w:jc w:val="center"/>
        <w:rPr>
          <w:rFonts w:ascii="Times New Roman" w:eastAsia="Calibri" w:hAnsi="Times New Roman" w:cs="Times New Roman"/>
          <w:sz w:val="24"/>
          <w:szCs w:val="24"/>
        </w:rPr>
      </w:pPr>
      <w:r w:rsidRPr="00CB38AA">
        <w:rPr>
          <w:rFonts w:ascii="Times New Roman" w:eastAsia="Calibri" w:hAnsi="Times New Roman" w:cs="Times New Roman"/>
          <w:b/>
          <w:sz w:val="24"/>
          <w:szCs w:val="24"/>
        </w:rPr>
        <w:t>"2026. Año del Humanismo Mexicano en el Estado de México”</w:t>
      </w:r>
    </w:p>
    <w:p w:rsidR="00663998" w:rsidRPr="00CB38AA" w:rsidRDefault="00663998" w:rsidP="00663998">
      <w:pPr>
        <w:spacing w:after="0" w:line="240" w:lineRule="auto"/>
        <w:jc w:val="both"/>
        <w:rPr>
          <w:rFonts w:ascii="Times New Roman" w:hAnsi="Times New Roman" w:cs="Times New Roman"/>
          <w:sz w:val="24"/>
          <w:szCs w:val="24"/>
        </w:rPr>
      </w:pPr>
    </w:p>
    <w:p w:rsidR="00663998" w:rsidRPr="00CB38AA" w:rsidRDefault="00663998" w:rsidP="00663998">
      <w:pPr>
        <w:spacing w:after="0" w:line="240" w:lineRule="auto"/>
        <w:jc w:val="right"/>
        <w:rPr>
          <w:rFonts w:ascii="Times New Roman" w:hAnsi="Times New Roman" w:cs="Times New Roman"/>
          <w:sz w:val="24"/>
          <w:szCs w:val="24"/>
        </w:rPr>
      </w:pPr>
      <w:r w:rsidRPr="00CB38AA">
        <w:rPr>
          <w:rFonts w:ascii="Times New Roman" w:hAnsi="Times New Roman" w:cs="Times New Roman"/>
          <w:sz w:val="24"/>
          <w:szCs w:val="24"/>
        </w:rPr>
        <w:t>Ciudad Típica de Metepec, Estado de México,</w:t>
      </w:r>
    </w:p>
    <w:p w:rsidR="00663998" w:rsidRPr="00CB38AA" w:rsidRDefault="00663998" w:rsidP="00663998">
      <w:pPr>
        <w:spacing w:after="0" w:line="240" w:lineRule="auto"/>
        <w:jc w:val="right"/>
        <w:rPr>
          <w:rFonts w:ascii="Times New Roman" w:hAnsi="Times New Roman" w:cs="Times New Roman"/>
          <w:sz w:val="24"/>
          <w:szCs w:val="24"/>
        </w:rPr>
      </w:pPr>
      <w:r w:rsidRPr="00CB38AA">
        <w:rPr>
          <w:rFonts w:ascii="Times New Roman" w:hAnsi="Times New Roman" w:cs="Times New Roman"/>
          <w:sz w:val="24"/>
          <w:szCs w:val="24"/>
        </w:rPr>
        <w:t>30 de enero de 2026</w:t>
      </w:r>
    </w:p>
    <w:p w:rsidR="00663998" w:rsidRPr="00CB38AA" w:rsidRDefault="00663998" w:rsidP="00663998">
      <w:pPr>
        <w:spacing w:after="0" w:line="240" w:lineRule="auto"/>
        <w:jc w:val="right"/>
        <w:rPr>
          <w:rFonts w:ascii="Times New Roman" w:hAnsi="Times New Roman" w:cs="Times New Roman"/>
          <w:b/>
          <w:sz w:val="24"/>
          <w:szCs w:val="24"/>
        </w:rPr>
      </w:pPr>
      <w:r w:rsidRPr="00CB38AA">
        <w:rPr>
          <w:rFonts w:ascii="Times New Roman" w:hAnsi="Times New Roman" w:cs="Times New Roman"/>
          <w:sz w:val="24"/>
          <w:szCs w:val="24"/>
        </w:rPr>
        <w:t xml:space="preserve">OFICIO No. </w:t>
      </w:r>
      <w:r w:rsidRPr="00CB38AA">
        <w:rPr>
          <w:rFonts w:ascii="Times New Roman" w:hAnsi="Times New Roman" w:cs="Times New Roman"/>
          <w:b/>
          <w:sz w:val="24"/>
          <w:szCs w:val="24"/>
        </w:rPr>
        <w:t>MET/PM/032/2026</w:t>
      </w:r>
    </w:p>
    <w:p w:rsidR="00663998" w:rsidRPr="00CB38AA" w:rsidRDefault="00663998" w:rsidP="00663998">
      <w:pPr>
        <w:spacing w:after="0" w:line="240" w:lineRule="auto"/>
        <w:jc w:val="right"/>
        <w:rPr>
          <w:rFonts w:ascii="Times New Roman" w:hAnsi="Times New Roman" w:cs="Times New Roman"/>
          <w:sz w:val="24"/>
          <w:szCs w:val="24"/>
        </w:rPr>
      </w:pPr>
      <w:r w:rsidRPr="00CB38AA">
        <w:rPr>
          <w:rFonts w:ascii="Times New Roman" w:hAnsi="Times New Roman" w:cs="Times New Roman"/>
          <w:sz w:val="24"/>
          <w:szCs w:val="24"/>
        </w:rPr>
        <w:t>Asunto: Se rinde informe</w:t>
      </w:r>
    </w:p>
    <w:p w:rsidR="00663998" w:rsidRPr="00CB38AA" w:rsidRDefault="00663998" w:rsidP="00663998">
      <w:pPr>
        <w:spacing w:after="0" w:line="240" w:lineRule="auto"/>
        <w:jc w:val="both"/>
        <w:rPr>
          <w:rFonts w:ascii="Times New Roman" w:hAnsi="Times New Roman" w:cs="Times New Roman"/>
          <w:b/>
          <w:sz w:val="24"/>
          <w:szCs w:val="24"/>
        </w:rPr>
      </w:pPr>
    </w:p>
    <w:p w:rsidR="00663998" w:rsidRPr="00CB38AA" w:rsidRDefault="00663998" w:rsidP="00663998">
      <w:pPr>
        <w:spacing w:after="0" w:line="240" w:lineRule="auto"/>
        <w:jc w:val="both"/>
        <w:rPr>
          <w:rFonts w:ascii="Times New Roman" w:hAnsi="Times New Roman" w:cs="Times New Roman"/>
          <w:b/>
          <w:sz w:val="24"/>
          <w:szCs w:val="24"/>
        </w:rPr>
      </w:pPr>
      <w:r w:rsidRPr="00CB38AA">
        <w:rPr>
          <w:rFonts w:ascii="Times New Roman" w:hAnsi="Times New Roman" w:cs="Times New Roman"/>
          <w:b/>
          <w:sz w:val="24"/>
          <w:szCs w:val="24"/>
        </w:rPr>
        <w:t>DIP. MARTHA AZUCENA CAMACHO REYNOSO</w:t>
      </w:r>
    </w:p>
    <w:p w:rsidR="00663998" w:rsidRPr="00CB38AA" w:rsidRDefault="00663998" w:rsidP="00663998">
      <w:pPr>
        <w:spacing w:after="0" w:line="240" w:lineRule="auto"/>
        <w:jc w:val="both"/>
        <w:rPr>
          <w:rFonts w:ascii="Times New Roman" w:hAnsi="Times New Roman" w:cs="Times New Roman"/>
          <w:b/>
          <w:sz w:val="24"/>
          <w:szCs w:val="24"/>
        </w:rPr>
      </w:pPr>
      <w:r w:rsidRPr="00CB38AA">
        <w:rPr>
          <w:rFonts w:ascii="Times New Roman" w:hAnsi="Times New Roman" w:cs="Times New Roman"/>
          <w:b/>
          <w:sz w:val="24"/>
          <w:szCs w:val="24"/>
        </w:rPr>
        <w:t>PRESIDENTA DE LA DIPUTACIÓN PERMANENTE</w:t>
      </w:r>
    </w:p>
    <w:p w:rsidR="00663998" w:rsidRPr="00CB38AA" w:rsidRDefault="00663998" w:rsidP="00663998">
      <w:pPr>
        <w:spacing w:after="0" w:line="240" w:lineRule="auto"/>
        <w:jc w:val="both"/>
        <w:rPr>
          <w:rFonts w:ascii="Times New Roman" w:hAnsi="Times New Roman" w:cs="Times New Roman"/>
          <w:b/>
          <w:sz w:val="24"/>
          <w:szCs w:val="24"/>
        </w:rPr>
      </w:pPr>
      <w:r w:rsidRPr="00CB38AA">
        <w:rPr>
          <w:rFonts w:ascii="Times New Roman" w:hAnsi="Times New Roman" w:cs="Times New Roman"/>
          <w:b/>
          <w:sz w:val="24"/>
          <w:szCs w:val="24"/>
        </w:rPr>
        <w:t>DE LA "LXII" LEGISLATURA DEL ESTADO DE MÉXICO.</w:t>
      </w:r>
    </w:p>
    <w:p w:rsidR="00663998" w:rsidRPr="00CB38AA" w:rsidRDefault="00663998" w:rsidP="00663998">
      <w:pPr>
        <w:spacing w:after="0" w:line="240" w:lineRule="auto"/>
        <w:jc w:val="both"/>
        <w:rPr>
          <w:rFonts w:ascii="Times New Roman" w:hAnsi="Times New Roman" w:cs="Times New Roman"/>
          <w:b/>
          <w:sz w:val="24"/>
          <w:szCs w:val="24"/>
        </w:rPr>
      </w:pPr>
      <w:r w:rsidRPr="00CB38AA">
        <w:rPr>
          <w:rFonts w:ascii="Times New Roman" w:hAnsi="Times New Roman" w:cs="Times New Roman"/>
          <w:b/>
          <w:sz w:val="24"/>
          <w:szCs w:val="24"/>
        </w:rPr>
        <w:t>PRESENTE</w:t>
      </w:r>
    </w:p>
    <w:p w:rsidR="00663998" w:rsidRPr="00CB38AA" w:rsidRDefault="00663998" w:rsidP="00663998">
      <w:pPr>
        <w:spacing w:after="0" w:line="240" w:lineRule="auto"/>
        <w:jc w:val="both"/>
        <w:rPr>
          <w:rFonts w:ascii="Times New Roman" w:hAnsi="Times New Roman" w:cs="Times New Roman"/>
          <w:b/>
          <w:sz w:val="24"/>
          <w:szCs w:val="24"/>
        </w:rPr>
      </w:pPr>
    </w:p>
    <w:p w:rsidR="00663998" w:rsidRPr="00CB38AA" w:rsidRDefault="00663998" w:rsidP="00663998">
      <w:pPr>
        <w:spacing w:after="0" w:line="240" w:lineRule="auto"/>
        <w:jc w:val="both"/>
        <w:rPr>
          <w:rFonts w:ascii="Times New Roman" w:hAnsi="Times New Roman" w:cs="Times New Roman"/>
          <w:i/>
          <w:sz w:val="24"/>
          <w:szCs w:val="24"/>
        </w:rPr>
      </w:pPr>
      <w:r w:rsidRPr="00CB38AA">
        <w:rPr>
          <w:rFonts w:ascii="Times New Roman" w:hAnsi="Times New Roman" w:cs="Times New Roman"/>
          <w:sz w:val="24"/>
          <w:szCs w:val="24"/>
        </w:rPr>
        <w:t xml:space="preserve">En cumplimiento con los artículos 128 Fracción XIII de la Constitución Política del Estado Libre y Soberano de México, y 48 Fracción XIX de la Ley Orgánica Municipal del Estado de México; remito a usted el informe que da cuenta sobre las actividades realizadas por el suscrito, durante </w:t>
      </w:r>
      <w:r w:rsidRPr="00CB38AA">
        <w:rPr>
          <w:rFonts w:ascii="Times New Roman" w:hAnsi="Times New Roman" w:cs="Times New Roman"/>
          <w:b/>
          <w:sz w:val="24"/>
          <w:szCs w:val="24"/>
        </w:rPr>
        <w:t xml:space="preserve">la gira de trabajo realizada del </w:t>
      </w:r>
      <w:r w:rsidRPr="00CB38AA">
        <w:rPr>
          <w:rFonts w:ascii="Times New Roman" w:hAnsi="Times New Roman" w:cs="Times New Roman"/>
          <w:i/>
          <w:sz w:val="24"/>
          <w:szCs w:val="24"/>
        </w:rPr>
        <w:t>79 a/23 de enero de la presente anualidad, en la ciudad de Madrid, España, con motivo de la 46a edición de la Feria Internacional de Turismo.</w:t>
      </w:r>
    </w:p>
    <w:p w:rsidR="00663998" w:rsidRPr="00CB38AA" w:rsidRDefault="00663998" w:rsidP="00663998">
      <w:pPr>
        <w:spacing w:after="0" w:line="240" w:lineRule="auto"/>
        <w:jc w:val="both"/>
        <w:rPr>
          <w:rFonts w:ascii="Times New Roman" w:hAnsi="Times New Roman" w:cs="Times New Roman"/>
          <w:sz w:val="24"/>
          <w:szCs w:val="24"/>
        </w:rPr>
      </w:pPr>
    </w:p>
    <w:p w:rsidR="00663998" w:rsidRPr="00CB38AA" w:rsidRDefault="00663998" w:rsidP="00663998">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El evento tuvo como sede la Institución Ferial de Madrid (IFEMA), lugar en el cual estuve presente para presenciar la inauguración del 13° Foro de Liderazgo Turístico de EXCELTUR, mismo que representa el máximo diálogo de liderazgo y pensamiento estratégico del sector turístico público y privado en España, durante el mismo, se presentaron oportunidades propicias para tener un acercamiento con Quirino Ordaz Coppel, Embajador de México en España; Josefina Rodríguez Zamora, Secretaria de Turismo del Gobierno de México y con Gloria Guevara Manzo, Presidenta del Consejo Mundial de Viajes y Turismo (WTTC).</w:t>
      </w:r>
    </w:p>
    <w:p w:rsidR="00663998" w:rsidRPr="00CB38AA" w:rsidRDefault="00663998" w:rsidP="00663998">
      <w:pPr>
        <w:spacing w:after="0" w:line="240" w:lineRule="auto"/>
        <w:jc w:val="both"/>
        <w:rPr>
          <w:rFonts w:ascii="Times New Roman" w:hAnsi="Times New Roman" w:cs="Times New Roman"/>
          <w:sz w:val="24"/>
          <w:szCs w:val="24"/>
        </w:rPr>
      </w:pPr>
    </w:p>
    <w:p w:rsidR="00663998" w:rsidRPr="00CB38AA" w:rsidRDefault="00663998" w:rsidP="00663998">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 xml:space="preserve">En el marco de este encuentro global, nuestro país tuvo un lugar preponderante, por lo que </w:t>
      </w:r>
      <w:r w:rsidRPr="00CB38AA">
        <w:rPr>
          <w:rFonts w:ascii="Times New Roman" w:hAnsi="Times New Roman" w:cs="Times New Roman"/>
          <w:sz w:val="24"/>
          <w:szCs w:val="24"/>
          <w:vertAlign w:val="superscript"/>
        </w:rPr>
        <w:t>--</w:t>
      </w:r>
      <w:r w:rsidRPr="00CB38AA">
        <w:rPr>
          <w:rFonts w:ascii="Times New Roman" w:hAnsi="Times New Roman" w:cs="Times New Roman"/>
          <w:sz w:val="24"/>
          <w:szCs w:val="24"/>
        </w:rPr>
        <w:t>acudí a la inauguración del Pabellón México, un espacio de promoción integral de los 32 estados de la República Me donde se presentó nuestra riqueza cultural, gastronómica, Pueblos Mágicos y patrimonio de la UNESCO, haciendo posible el establecimiento de vínculos estratégicos con operadores turísticos internacionales y representantes gubernamentales, logrando posicionar a Metepec como un destino clave para el presente año.</w:t>
      </w:r>
    </w:p>
    <w:p w:rsidR="00663998" w:rsidRPr="00CB38AA" w:rsidRDefault="00663998" w:rsidP="00663998">
      <w:pPr>
        <w:spacing w:after="0" w:line="240" w:lineRule="auto"/>
        <w:jc w:val="both"/>
        <w:rPr>
          <w:rFonts w:ascii="Times New Roman" w:hAnsi="Times New Roman" w:cs="Times New Roman"/>
          <w:sz w:val="24"/>
          <w:szCs w:val="24"/>
        </w:rPr>
      </w:pPr>
    </w:p>
    <w:p w:rsidR="00663998" w:rsidRPr="00CB38AA" w:rsidRDefault="00663998" w:rsidP="00663998">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 xml:space="preserve">Asimismo, por medio de la organización Women Leading Tourism, participé dentro del Panel temático "Soluciones Regionales para el Crecimiento Turístico", donde destaqué como la creación </w:t>
      </w:r>
      <w:r w:rsidRPr="00CB38AA">
        <w:rPr>
          <w:rFonts w:ascii="Times New Roman" w:hAnsi="Times New Roman" w:cs="Times New Roman"/>
          <w:sz w:val="24"/>
          <w:szCs w:val="24"/>
        </w:rPr>
        <w:lastRenderedPageBreak/>
        <w:t>de marcas turísticas únicas; la mejora de infraestructura y la organización de eventos promovidos por el ámbito público, mejoran la competitividad local para diversificar el turismo regional y Favorece la prosperidad compartida por medio de la conexión de productores locales y prestadores de servicios enfocados en crear una renovada experiencia para el viajero.</w:t>
      </w:r>
    </w:p>
    <w:p w:rsidR="00663998" w:rsidRPr="00CB38AA" w:rsidRDefault="00663998" w:rsidP="00663998">
      <w:pPr>
        <w:spacing w:after="0" w:line="240" w:lineRule="auto"/>
        <w:jc w:val="both"/>
        <w:rPr>
          <w:rFonts w:ascii="Times New Roman" w:hAnsi="Times New Roman" w:cs="Times New Roman"/>
          <w:sz w:val="24"/>
          <w:szCs w:val="24"/>
        </w:rPr>
      </w:pPr>
    </w:p>
    <w:p w:rsidR="00663998" w:rsidRPr="00CB38AA" w:rsidRDefault="00663998" w:rsidP="00663998">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De igual manera, comparto que el municipio de Metepec mediante el proyecto "La Ruta Árbol de la Vida", participó en la candidatura del Premio Excelencias Turísticas 2025, el cual Fue convocado por el clúster de comunicación y editorial iberoamericano Grupo Excelencias; logrando hacerse acreedor al galardón por la protección y proyección de la identidad y el territorio ya que nuestra iniciativa turística visualizo, respalda e impulsa la huella cultural tangible e intangible de las maestras y los maestros artesanos de Metepec, quienes con su talento atraen el ánimo e interés de visitantes permitiendo el desarrollo de servicios turísticos, todo ello conjuntado ha hecho posible que la economía local se mejore constante y que tanto la identidad municipal como estatal crezcan exponencialmente; tuve el honor de recibir institucionalmente este reconocimiento en nombre del Ayuntamiento.</w:t>
      </w:r>
    </w:p>
    <w:p w:rsidR="00663998" w:rsidRPr="00CB38AA" w:rsidRDefault="00663998" w:rsidP="00663998">
      <w:pPr>
        <w:spacing w:after="0" w:line="240" w:lineRule="auto"/>
        <w:jc w:val="both"/>
        <w:rPr>
          <w:rFonts w:ascii="Times New Roman" w:hAnsi="Times New Roman" w:cs="Times New Roman"/>
          <w:sz w:val="24"/>
          <w:szCs w:val="24"/>
        </w:rPr>
      </w:pPr>
    </w:p>
    <w:p w:rsidR="00663998" w:rsidRPr="00CB38AA" w:rsidRDefault="00663998" w:rsidP="00663998">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En este mismo sentido, resultó gratamente beneficioso reunirme con empresarios y medios de comunicación informativa, con quienes en diversas mesas de conversación, me permití exponer a Metepec como un lugar cercano a lo capital del país, la cual albergará diversos partidos de la Copa Mundial de la FIFA 2026, convirtiendo este tiempo en una experiencia única e inmejorable en la que el mundo descubra mucho más allá del estadio, invitándoles a que hicieran de Metepec un escaparate como ruta cultural, de gastronomía, de artesanía y de hospitalidad.</w:t>
      </w:r>
    </w:p>
    <w:p w:rsidR="00663998" w:rsidRPr="00CB38AA" w:rsidRDefault="00663998" w:rsidP="00663998">
      <w:pPr>
        <w:spacing w:after="0" w:line="240" w:lineRule="auto"/>
        <w:jc w:val="both"/>
        <w:rPr>
          <w:rFonts w:ascii="Times New Roman" w:hAnsi="Times New Roman" w:cs="Times New Roman"/>
          <w:sz w:val="24"/>
          <w:szCs w:val="24"/>
        </w:rPr>
      </w:pPr>
    </w:p>
    <w:p w:rsidR="00663998" w:rsidRPr="00CB38AA" w:rsidRDefault="00663998" w:rsidP="00663998">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Finalmente, destacó el encuentro con el CEO de City Sightseeing, la empresa de autobuses turísticos líder a nivel mundial, con presencia en 119 ciudades de los cinco continentes, buscando que, con la calidad de Pueblo Mágico, Metepec sea un socio adecuado para expandir tours más innovadores integrando tecnología y experiencias locales.</w:t>
      </w:r>
    </w:p>
    <w:p w:rsidR="00663998" w:rsidRPr="00CB38AA" w:rsidRDefault="00663998" w:rsidP="00663998">
      <w:pPr>
        <w:spacing w:after="0" w:line="240" w:lineRule="auto"/>
        <w:jc w:val="both"/>
        <w:rPr>
          <w:rFonts w:ascii="Times New Roman" w:hAnsi="Times New Roman" w:cs="Times New Roman"/>
          <w:sz w:val="24"/>
          <w:szCs w:val="24"/>
        </w:rPr>
      </w:pPr>
    </w:p>
    <w:p w:rsidR="00663998" w:rsidRPr="00CB38AA" w:rsidRDefault="00663998" w:rsidP="00663998">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Sin otro particular, aprovecho la ocasión para reiterarle mi estima y consideración.</w:t>
      </w:r>
    </w:p>
    <w:p w:rsidR="00663998" w:rsidRPr="00CB38AA" w:rsidRDefault="00663998" w:rsidP="00663998">
      <w:pPr>
        <w:spacing w:after="0" w:line="240" w:lineRule="auto"/>
        <w:jc w:val="both"/>
        <w:rPr>
          <w:rFonts w:ascii="Times New Roman" w:hAnsi="Times New Roman" w:cs="Times New Roman"/>
          <w:sz w:val="24"/>
          <w:szCs w:val="24"/>
        </w:rPr>
      </w:pPr>
    </w:p>
    <w:p w:rsidR="00663998" w:rsidRPr="00CB38AA" w:rsidRDefault="00663998" w:rsidP="00663998">
      <w:pPr>
        <w:spacing w:after="0" w:line="240" w:lineRule="auto"/>
        <w:jc w:val="center"/>
        <w:rPr>
          <w:rFonts w:ascii="Times New Roman" w:hAnsi="Times New Roman" w:cs="Times New Roman"/>
          <w:b/>
          <w:sz w:val="24"/>
          <w:szCs w:val="24"/>
        </w:rPr>
      </w:pPr>
      <w:r w:rsidRPr="00CB38AA">
        <w:rPr>
          <w:rFonts w:ascii="Times New Roman" w:hAnsi="Times New Roman" w:cs="Times New Roman"/>
          <w:b/>
          <w:sz w:val="24"/>
          <w:szCs w:val="24"/>
        </w:rPr>
        <w:t>ATENTAMENTE</w:t>
      </w:r>
    </w:p>
    <w:p w:rsidR="00663998" w:rsidRPr="00CB38AA" w:rsidRDefault="00663998" w:rsidP="00663998">
      <w:pPr>
        <w:spacing w:after="0" w:line="240" w:lineRule="auto"/>
        <w:jc w:val="center"/>
        <w:rPr>
          <w:rFonts w:ascii="Times New Roman" w:hAnsi="Times New Roman" w:cs="Times New Roman"/>
          <w:b/>
          <w:sz w:val="24"/>
          <w:szCs w:val="24"/>
        </w:rPr>
      </w:pPr>
      <w:r w:rsidRPr="00CB38AA">
        <w:rPr>
          <w:rFonts w:ascii="Times New Roman" w:hAnsi="Times New Roman" w:cs="Times New Roman"/>
          <w:b/>
          <w:sz w:val="24"/>
          <w:szCs w:val="24"/>
        </w:rPr>
        <w:t>FERNANDO GUSTAVO FLORES FERNÁNDEZ</w:t>
      </w:r>
    </w:p>
    <w:p w:rsidR="00663998" w:rsidRPr="00CB38AA" w:rsidRDefault="00663998" w:rsidP="00663998">
      <w:pPr>
        <w:spacing w:after="0" w:line="240" w:lineRule="auto"/>
        <w:jc w:val="center"/>
        <w:rPr>
          <w:rFonts w:ascii="Times New Roman" w:hAnsi="Times New Roman" w:cs="Times New Roman"/>
          <w:b/>
          <w:sz w:val="24"/>
          <w:szCs w:val="24"/>
        </w:rPr>
      </w:pPr>
      <w:r w:rsidRPr="00CB38AA">
        <w:rPr>
          <w:rFonts w:ascii="Times New Roman" w:hAnsi="Times New Roman" w:cs="Times New Roman"/>
          <w:b/>
          <w:sz w:val="24"/>
          <w:szCs w:val="24"/>
        </w:rPr>
        <w:t>PREIDENTE MUNICIPAL CONSTITUCIONAL</w:t>
      </w:r>
    </w:p>
    <w:p w:rsidR="00663998" w:rsidRPr="00CB38AA" w:rsidRDefault="00663998" w:rsidP="00663998">
      <w:pPr>
        <w:spacing w:after="0" w:line="240" w:lineRule="auto"/>
        <w:jc w:val="center"/>
        <w:rPr>
          <w:rFonts w:ascii="Times New Roman" w:hAnsi="Times New Roman" w:cs="Times New Roman"/>
          <w:b/>
          <w:sz w:val="24"/>
          <w:szCs w:val="24"/>
        </w:rPr>
      </w:pPr>
      <w:r w:rsidRPr="00CB38AA">
        <w:rPr>
          <w:rFonts w:ascii="Times New Roman" w:hAnsi="Times New Roman" w:cs="Times New Roman"/>
          <w:b/>
          <w:sz w:val="24"/>
          <w:szCs w:val="24"/>
        </w:rPr>
        <w:t>(RÚBRICA)</w:t>
      </w:r>
    </w:p>
    <w:p w:rsidR="00663998" w:rsidRPr="00CB38AA" w:rsidRDefault="00663998" w:rsidP="00663998">
      <w:pPr>
        <w:spacing w:after="0" w:line="240" w:lineRule="auto"/>
        <w:jc w:val="both"/>
        <w:rPr>
          <w:rFonts w:ascii="Times New Roman" w:hAnsi="Times New Roman" w:cs="Times New Roman"/>
          <w:sz w:val="24"/>
          <w:szCs w:val="24"/>
        </w:rPr>
      </w:pPr>
    </w:p>
    <w:p w:rsidR="00663998" w:rsidRPr="00CB38AA" w:rsidRDefault="00663998" w:rsidP="00663998">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c.c.p. Archivo</w:t>
      </w:r>
    </w:p>
    <w:p w:rsidR="00663998" w:rsidRPr="00CB38AA" w:rsidRDefault="00663998" w:rsidP="00663998">
      <w:pPr>
        <w:spacing w:after="0" w:line="240" w:lineRule="auto"/>
        <w:ind w:firstLine="567"/>
        <w:jc w:val="both"/>
        <w:rPr>
          <w:rFonts w:ascii="Times New Roman" w:hAnsi="Times New Roman" w:cs="Times New Roman"/>
          <w:sz w:val="24"/>
          <w:szCs w:val="24"/>
        </w:rPr>
      </w:pPr>
      <w:r w:rsidRPr="00CB38AA">
        <w:rPr>
          <w:rFonts w:ascii="Times New Roman" w:hAnsi="Times New Roman" w:cs="Times New Roman"/>
          <w:sz w:val="24"/>
          <w:szCs w:val="24"/>
        </w:rPr>
        <w:t>FGFF/rfe/ivh/ctd*</w:t>
      </w:r>
    </w:p>
    <w:p w:rsidR="00F25EA4" w:rsidRPr="00CB38AA" w:rsidRDefault="00F25EA4" w:rsidP="00AC1015">
      <w:pPr>
        <w:spacing w:after="0" w:line="240" w:lineRule="auto"/>
        <w:jc w:val="center"/>
        <w:rPr>
          <w:rFonts w:ascii="Times New Roman" w:hAnsi="Times New Roman" w:cs="Times New Roman"/>
          <w:sz w:val="24"/>
          <w:szCs w:val="24"/>
        </w:rPr>
      </w:pPr>
    </w:p>
    <w:p w:rsidR="00F25EA4" w:rsidRPr="00CB38AA" w:rsidRDefault="00F25EA4" w:rsidP="00AC1015">
      <w:pPr>
        <w:spacing w:after="0" w:line="240" w:lineRule="auto"/>
        <w:jc w:val="center"/>
        <w:rPr>
          <w:rFonts w:ascii="Times New Roman" w:hAnsi="Times New Roman" w:cs="Times New Roman"/>
          <w:i/>
          <w:sz w:val="24"/>
          <w:szCs w:val="24"/>
        </w:rPr>
      </w:pPr>
      <w:r w:rsidRPr="00CB38AA">
        <w:rPr>
          <w:rFonts w:ascii="Times New Roman" w:hAnsi="Times New Roman" w:cs="Times New Roman"/>
          <w:i/>
          <w:sz w:val="24"/>
          <w:szCs w:val="24"/>
        </w:rPr>
        <w:t>(Fin del documento)</w:t>
      </w:r>
    </w:p>
    <w:p w:rsidR="00F25EA4" w:rsidRPr="00CB38AA" w:rsidRDefault="00F25EA4" w:rsidP="00AC1015">
      <w:pPr>
        <w:spacing w:after="0" w:line="240" w:lineRule="auto"/>
        <w:jc w:val="center"/>
        <w:rPr>
          <w:rFonts w:ascii="Times New Roman" w:hAnsi="Times New Roman" w:cs="Times New Roman"/>
          <w:sz w:val="24"/>
          <w:szCs w:val="24"/>
        </w:rPr>
      </w:pPr>
    </w:p>
    <w:p w:rsidR="00A35DFE" w:rsidRPr="00CB38AA" w:rsidRDefault="00A35DFE" w:rsidP="00DF6EEA">
      <w:pPr>
        <w:spacing w:after="0" w:line="240" w:lineRule="auto"/>
        <w:jc w:val="both"/>
        <w:rPr>
          <w:rFonts w:ascii="Times New Roman" w:hAnsi="Times New Roman" w:cs="Times New Roman"/>
          <w:sz w:val="24"/>
          <w:szCs w:val="24"/>
        </w:rPr>
      </w:pPr>
      <w:r w:rsidRPr="00CB38AA">
        <w:rPr>
          <w:rFonts w:ascii="Times New Roman" w:hAnsi="Times New Roman" w:cs="Times New Roman"/>
          <w:sz w:val="24"/>
          <w:szCs w:val="24"/>
        </w:rPr>
        <w:t>PRESIDENTA DIP. MARTHA AZUCENA CAMACHO REYNOSO. Gracias diputada Vicepresidenta Sara Alicia Ramírez de la O.</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Proceda la Secretaría a registrar el informe y se tiene por enterada esta Legislatura de su contenido para los efectos procedentes.</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Esta LXII Legislatura da la bienvenida a la ciudadana Rosa Isela Guerrero Zepeda, al ciudadano Rigoberto García Calvo y al ciudadano Martín Pineda Guillermo, Presidente de la Alianza de Comerciantes del Valle de Toluca, así como a los comerciantes del Mercado 16 de Septiembre. Bienvenidos a esta su casa, la “Casa del Pueblo Mexiquense”.</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Muchas gracias por acompañarnos.</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lastRenderedPageBreak/>
        <w:t>SECRETARIO DIP. EDGAR S</w:t>
      </w:r>
      <w:r w:rsidR="00516287" w:rsidRPr="00CB38AA">
        <w:rPr>
          <w:rFonts w:ascii="Times New Roman" w:hAnsi="Times New Roman" w:cs="Times New Roman"/>
          <w:sz w:val="24"/>
          <w:szCs w:val="24"/>
        </w:rPr>
        <w:t>A</w:t>
      </w:r>
      <w:r w:rsidRPr="00CB38AA">
        <w:rPr>
          <w:rFonts w:ascii="Times New Roman" w:hAnsi="Times New Roman" w:cs="Times New Roman"/>
          <w:sz w:val="24"/>
          <w:szCs w:val="24"/>
        </w:rPr>
        <w:t>MUEL RÍOS MORENO. Han concluido los asuntos del orden del día.</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 xml:space="preserve">PRESIDENTA DIP. MARTHA AZUCENA CAMACHO REYNOSO. Sírvase la Vicepresidenta diputada Itzel Guadalupe Pérez Correa dar lectura a los comunicados. </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VICEPRESIDENTA DIP. ITZEL GUADALUPE PÉREZ CORREA. Gracias Presidenta.</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Se cita a comisiones el jueves 12 de febrero de 2026 a las 10:00 horas, en el Salón Narciso Bassols, en modalidad mixta. Comisión Procuración y Administración de Justicia, Protección Ambiental y Cambio Climático; con temas de iniciativa con proyecto de decreto por el que se reforman y adicionan diversos artículos del Código Penal del Estado de México, por el diputado Israel Espíndola López, y también la iniciativa con proyecto de decreto por el que se reforma el artículo 228, con adición fracción XI del Código Penal del Estado de México, con la autoría del diputado Javier Cruz Jaramillo.</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También se cita a la Comisión de Legislación y Administración Municipal y Desarrollo Agropecuario y Forestal, el jueves 12 de febrero de 2026, a las</w:t>
      </w:r>
      <w:r w:rsidR="00A3234A" w:rsidRPr="00CB38AA">
        <w:rPr>
          <w:rFonts w:ascii="Times New Roman" w:hAnsi="Times New Roman" w:cs="Times New Roman"/>
          <w:sz w:val="24"/>
          <w:szCs w:val="24"/>
        </w:rPr>
        <w:t xml:space="preserve"> </w:t>
      </w:r>
      <w:r w:rsidRPr="00CB38AA">
        <w:rPr>
          <w:rFonts w:ascii="Times New Roman" w:hAnsi="Times New Roman" w:cs="Times New Roman"/>
          <w:sz w:val="24"/>
          <w:szCs w:val="24"/>
        </w:rPr>
        <w:t>13:00 horas, en el Salón Narciso Bassols y en modalidad mixta, con la iniciativa con proyecto de decreto que reforma la Ley Orgánica Municipal del Estado de México por la diputada Susana Estrada Rojas.</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ab/>
        <w:t>Además, se agrega la iniciativa con proyecto de decreto por la que se adiciona el capítulo IV, denominado Ecocidio al subtítulo VII del Código Penal del Estado de México en materia de ecocidio, el jueves 12 de febrero a 10:00 horas, en el Salón Narciso Bassols, en modalidad mixta.</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Es cuanto Presidenta.</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PRESIDENTA DIP. MARTHA AZUCENA CAMACHO REYNOSO. Gracias Vicepresidenta.</w:t>
      </w:r>
    </w:p>
    <w:p w:rsidR="00A35DFE" w:rsidRPr="00CB38AA" w:rsidRDefault="00A35DFE" w:rsidP="00DF6EEA">
      <w:pPr>
        <w:pStyle w:val="Sinespaciado"/>
        <w:ind w:firstLine="709"/>
        <w:jc w:val="both"/>
        <w:rPr>
          <w:rFonts w:ascii="Times New Roman" w:hAnsi="Times New Roman" w:cs="Times New Roman"/>
          <w:sz w:val="24"/>
          <w:szCs w:val="24"/>
        </w:rPr>
      </w:pPr>
      <w:r w:rsidRPr="00CB38AA">
        <w:rPr>
          <w:rFonts w:ascii="Times New Roman" w:hAnsi="Times New Roman" w:cs="Times New Roman"/>
          <w:sz w:val="24"/>
          <w:szCs w:val="24"/>
        </w:rPr>
        <w:t>Se registra la Secretaría la asistencia a la sesión.</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SECRETARIO DIP. EDGAR S</w:t>
      </w:r>
      <w:r w:rsidR="00516287" w:rsidRPr="00CB38AA">
        <w:rPr>
          <w:rFonts w:ascii="Times New Roman" w:hAnsi="Times New Roman" w:cs="Times New Roman"/>
          <w:sz w:val="24"/>
          <w:szCs w:val="24"/>
        </w:rPr>
        <w:t>A</w:t>
      </w:r>
      <w:r w:rsidRPr="00CB38AA">
        <w:rPr>
          <w:rFonts w:ascii="Times New Roman" w:hAnsi="Times New Roman" w:cs="Times New Roman"/>
          <w:sz w:val="24"/>
          <w:szCs w:val="24"/>
        </w:rPr>
        <w:t>MUEL RÍOS MORENO. Ha sido registrada la asistencia.</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PRESIDENTA DIP. MARTHA AZUCENA CAMACHO REYNOSO. Habiendo agotado los asuntos en cartera, se levanta la Sesión Deliberante siendo diecisiete horas con cuarenta y dos minutos, el día miércoles once de febrero del año en curso y se cita la Legislatura a la sesión que realizaremos el día dieciocho de febrero del año en curso a las trece horas en este Recinto.</w:t>
      </w:r>
    </w:p>
    <w:p w:rsidR="00A35DFE" w:rsidRPr="00CB38AA" w:rsidRDefault="00A35DFE" w:rsidP="00DF6EEA">
      <w:pPr>
        <w:pStyle w:val="Sinespaciado"/>
        <w:jc w:val="both"/>
        <w:rPr>
          <w:rFonts w:ascii="Times New Roman" w:hAnsi="Times New Roman" w:cs="Times New Roman"/>
          <w:sz w:val="24"/>
          <w:szCs w:val="24"/>
        </w:rPr>
      </w:pPr>
      <w:r w:rsidRPr="00CB38AA">
        <w:rPr>
          <w:rFonts w:ascii="Times New Roman" w:hAnsi="Times New Roman" w:cs="Times New Roman"/>
          <w:sz w:val="24"/>
          <w:szCs w:val="24"/>
        </w:rPr>
        <w:t>SECRETARIO DIP. EDGAR S</w:t>
      </w:r>
      <w:r w:rsidR="00516287" w:rsidRPr="00CB38AA">
        <w:rPr>
          <w:rFonts w:ascii="Times New Roman" w:hAnsi="Times New Roman" w:cs="Times New Roman"/>
          <w:sz w:val="24"/>
          <w:szCs w:val="24"/>
        </w:rPr>
        <w:t>A</w:t>
      </w:r>
      <w:r w:rsidRPr="00CB38AA">
        <w:rPr>
          <w:rFonts w:ascii="Times New Roman" w:hAnsi="Times New Roman" w:cs="Times New Roman"/>
          <w:sz w:val="24"/>
          <w:szCs w:val="24"/>
        </w:rPr>
        <w:t>MUEL RÍOS MORENO. Esta sesión ha quedado grabada en la cinta marcada con la clave número 103-A-LXII.</w:t>
      </w:r>
    </w:p>
    <w:p w:rsidR="00A35DFE" w:rsidRPr="00CB38AA" w:rsidRDefault="00A35DFE" w:rsidP="00DF6EEA">
      <w:pPr>
        <w:pStyle w:val="Sinespaciado"/>
        <w:ind w:firstLine="708"/>
        <w:jc w:val="both"/>
        <w:rPr>
          <w:rFonts w:ascii="Times New Roman" w:hAnsi="Times New Roman" w:cs="Times New Roman"/>
          <w:sz w:val="24"/>
          <w:szCs w:val="24"/>
        </w:rPr>
      </w:pPr>
      <w:r w:rsidRPr="00CB38AA">
        <w:rPr>
          <w:rFonts w:ascii="Times New Roman" w:hAnsi="Times New Roman" w:cs="Times New Roman"/>
          <w:sz w:val="24"/>
          <w:szCs w:val="24"/>
        </w:rPr>
        <w:t>Muchas gracias.</w:t>
      </w:r>
    </w:p>
    <w:p w:rsidR="00CB38AA" w:rsidRPr="00CB38AA" w:rsidRDefault="00CB38AA">
      <w:pPr>
        <w:pStyle w:val="Sinespaciado"/>
        <w:ind w:firstLine="708"/>
        <w:jc w:val="both"/>
        <w:rPr>
          <w:rFonts w:ascii="Times New Roman" w:hAnsi="Times New Roman" w:cs="Times New Roman"/>
          <w:sz w:val="24"/>
          <w:szCs w:val="24"/>
        </w:rPr>
      </w:pPr>
    </w:p>
    <w:sectPr w:rsidR="00CB38AA" w:rsidRPr="00CB38AA" w:rsidSect="000C35A6">
      <w:footerReference w:type="default" r:id="rId66"/>
      <w:pgSz w:w="12240" w:h="15840" w:code="1"/>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0CE6" w:rsidRDefault="000E0CE6" w:rsidP="001105DF">
      <w:pPr>
        <w:spacing w:after="0" w:line="240" w:lineRule="auto"/>
      </w:pPr>
      <w:r>
        <w:separator/>
      </w:r>
    </w:p>
  </w:endnote>
  <w:endnote w:type="continuationSeparator" w:id="0">
    <w:p w:rsidR="000E0CE6" w:rsidRDefault="000E0CE6"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Aptos">
    <w:altName w:val="Calibri"/>
    <w:charset w:val="00"/>
    <w:family w:val="swiss"/>
    <w:pitch w:val="variable"/>
    <w:sig w:usb0="20000287" w:usb1="00000003" w:usb2="00000000" w:usb3="00000000" w:csb0="0000019F" w:csb1="00000000"/>
  </w:font>
  <w:font w:name="Segoe MDL2 Assets">
    <w:panose1 w:val="050A0102010101010101"/>
    <w:charset w:val="00"/>
    <w:family w:val="roman"/>
    <w:pitch w:val="variable"/>
    <w:sig w:usb0="00000003" w:usb1="1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9831914"/>
      <w:docPartObj>
        <w:docPartGallery w:val="Page Numbers (Bottom of Page)"/>
        <w:docPartUnique/>
      </w:docPartObj>
    </w:sdtPr>
    <w:sdtContent>
      <w:p w:rsidR="00C01019" w:rsidRDefault="00C01019" w:rsidP="00845FDF">
        <w:pPr>
          <w:pStyle w:val="Piedepgina"/>
          <w:tabs>
            <w:tab w:val="clear" w:pos="4419"/>
            <w:tab w:val="clear" w:pos="8838"/>
          </w:tabs>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0CE6" w:rsidRDefault="000E0CE6" w:rsidP="001105DF">
      <w:pPr>
        <w:spacing w:after="0" w:line="240" w:lineRule="auto"/>
      </w:pPr>
      <w:r>
        <w:separator/>
      </w:r>
    </w:p>
  </w:footnote>
  <w:footnote w:type="continuationSeparator" w:id="0">
    <w:p w:rsidR="000E0CE6" w:rsidRDefault="000E0CE6" w:rsidP="001105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4B387"/>
    <w:multiLevelType w:val="hybridMultilevel"/>
    <w:tmpl w:val="9B2EBADE"/>
    <w:lvl w:ilvl="0" w:tplc="323C7948">
      <w:start w:val="1"/>
      <w:numFmt w:val="decimal"/>
      <w:lvlText w:val="%1."/>
      <w:lvlJc w:val="left"/>
      <w:pPr>
        <w:ind w:left="1068" w:hanging="360"/>
      </w:pPr>
    </w:lvl>
    <w:lvl w:ilvl="1" w:tplc="61AA0E46">
      <w:start w:val="1"/>
      <w:numFmt w:val="lowerLetter"/>
      <w:lvlText w:val="%2."/>
      <w:lvlJc w:val="left"/>
      <w:pPr>
        <w:ind w:left="1788" w:hanging="360"/>
      </w:pPr>
    </w:lvl>
    <w:lvl w:ilvl="2" w:tplc="126C16EE">
      <w:start w:val="1"/>
      <w:numFmt w:val="lowerRoman"/>
      <w:lvlText w:val="%3."/>
      <w:lvlJc w:val="right"/>
      <w:pPr>
        <w:ind w:left="2508" w:hanging="180"/>
      </w:pPr>
    </w:lvl>
    <w:lvl w:ilvl="3" w:tplc="5D0C336A">
      <w:start w:val="1"/>
      <w:numFmt w:val="decimal"/>
      <w:lvlText w:val="%4."/>
      <w:lvlJc w:val="left"/>
      <w:pPr>
        <w:ind w:left="3228" w:hanging="360"/>
      </w:pPr>
      <w:rPr>
        <w:b/>
      </w:rPr>
    </w:lvl>
    <w:lvl w:ilvl="4" w:tplc="BC00DBFA">
      <w:start w:val="1"/>
      <w:numFmt w:val="lowerLetter"/>
      <w:lvlText w:val="%5."/>
      <w:lvlJc w:val="left"/>
      <w:pPr>
        <w:ind w:left="3948" w:hanging="360"/>
      </w:pPr>
    </w:lvl>
    <w:lvl w:ilvl="5" w:tplc="9148E44C">
      <w:start w:val="1"/>
      <w:numFmt w:val="lowerRoman"/>
      <w:lvlText w:val="%6."/>
      <w:lvlJc w:val="right"/>
      <w:pPr>
        <w:ind w:left="4668" w:hanging="180"/>
      </w:pPr>
    </w:lvl>
    <w:lvl w:ilvl="6" w:tplc="C5F030AE">
      <w:start w:val="1"/>
      <w:numFmt w:val="decimal"/>
      <w:lvlText w:val="%7."/>
      <w:lvlJc w:val="left"/>
      <w:pPr>
        <w:ind w:left="5388" w:hanging="360"/>
      </w:pPr>
    </w:lvl>
    <w:lvl w:ilvl="7" w:tplc="DFAA3752">
      <w:start w:val="1"/>
      <w:numFmt w:val="lowerLetter"/>
      <w:lvlText w:val="%8."/>
      <w:lvlJc w:val="left"/>
      <w:pPr>
        <w:ind w:left="6108" w:hanging="360"/>
      </w:pPr>
    </w:lvl>
    <w:lvl w:ilvl="8" w:tplc="95824674">
      <w:start w:val="1"/>
      <w:numFmt w:val="lowerRoman"/>
      <w:lvlText w:val="%9."/>
      <w:lvlJc w:val="right"/>
      <w:pPr>
        <w:ind w:left="6828" w:hanging="180"/>
      </w:pPr>
    </w:lvl>
  </w:abstractNum>
  <w:abstractNum w:abstractNumId="1" w15:restartNumberingAfterBreak="0">
    <w:nsid w:val="023308BB"/>
    <w:multiLevelType w:val="hybridMultilevel"/>
    <w:tmpl w:val="6D3AC402"/>
    <w:lvl w:ilvl="0" w:tplc="07D85708">
      <w:start w:val="1"/>
      <w:numFmt w:val="upperRoman"/>
      <w:lvlText w:val="%1."/>
      <w:lvlJc w:val="right"/>
      <w:pPr>
        <w:ind w:left="720" w:hanging="360"/>
      </w:pPr>
      <w:rPr>
        <w:rFonts w:hint="default"/>
        <w:b/>
        <w:color w:val="auto"/>
      </w:rPr>
    </w:lvl>
    <w:lvl w:ilvl="1" w:tplc="BB7E7372">
      <w:start w:val="1"/>
      <w:numFmt w:val="bullet"/>
      <w:lvlText w:val="o"/>
      <w:lvlJc w:val="left"/>
      <w:pPr>
        <w:ind w:left="1440" w:hanging="360"/>
      </w:pPr>
      <w:rPr>
        <w:rFonts w:ascii="Courier New" w:hAnsi="Courier New" w:hint="default"/>
      </w:rPr>
    </w:lvl>
    <w:lvl w:ilvl="2" w:tplc="4740F028">
      <w:start w:val="1"/>
      <w:numFmt w:val="bullet"/>
      <w:lvlText w:val=""/>
      <w:lvlJc w:val="left"/>
      <w:pPr>
        <w:ind w:left="2160" w:hanging="360"/>
      </w:pPr>
      <w:rPr>
        <w:rFonts w:ascii="Wingdings" w:hAnsi="Wingdings" w:hint="default"/>
      </w:rPr>
    </w:lvl>
    <w:lvl w:ilvl="3" w:tplc="BE540CD2">
      <w:start w:val="1"/>
      <w:numFmt w:val="bullet"/>
      <w:lvlText w:val=""/>
      <w:lvlJc w:val="left"/>
      <w:pPr>
        <w:ind w:left="2880" w:hanging="360"/>
      </w:pPr>
      <w:rPr>
        <w:rFonts w:ascii="Symbol" w:hAnsi="Symbol" w:hint="default"/>
      </w:rPr>
    </w:lvl>
    <w:lvl w:ilvl="4" w:tplc="4F8E61EC">
      <w:start w:val="1"/>
      <w:numFmt w:val="bullet"/>
      <w:lvlText w:val="o"/>
      <w:lvlJc w:val="left"/>
      <w:pPr>
        <w:ind w:left="3600" w:hanging="360"/>
      </w:pPr>
      <w:rPr>
        <w:rFonts w:ascii="Courier New" w:hAnsi="Courier New" w:hint="default"/>
      </w:rPr>
    </w:lvl>
    <w:lvl w:ilvl="5" w:tplc="28940BD2">
      <w:start w:val="1"/>
      <w:numFmt w:val="bullet"/>
      <w:lvlText w:val=""/>
      <w:lvlJc w:val="left"/>
      <w:pPr>
        <w:ind w:left="4320" w:hanging="360"/>
      </w:pPr>
      <w:rPr>
        <w:rFonts w:ascii="Wingdings" w:hAnsi="Wingdings" w:hint="default"/>
      </w:rPr>
    </w:lvl>
    <w:lvl w:ilvl="6" w:tplc="EFCAC542">
      <w:start w:val="1"/>
      <w:numFmt w:val="bullet"/>
      <w:lvlText w:val=""/>
      <w:lvlJc w:val="left"/>
      <w:pPr>
        <w:ind w:left="5040" w:hanging="360"/>
      </w:pPr>
      <w:rPr>
        <w:rFonts w:ascii="Symbol" w:hAnsi="Symbol" w:hint="default"/>
      </w:rPr>
    </w:lvl>
    <w:lvl w:ilvl="7" w:tplc="FE0E29FE">
      <w:start w:val="1"/>
      <w:numFmt w:val="bullet"/>
      <w:lvlText w:val="o"/>
      <w:lvlJc w:val="left"/>
      <w:pPr>
        <w:ind w:left="5760" w:hanging="360"/>
      </w:pPr>
      <w:rPr>
        <w:rFonts w:ascii="Courier New" w:hAnsi="Courier New" w:hint="default"/>
      </w:rPr>
    </w:lvl>
    <w:lvl w:ilvl="8" w:tplc="4F5E1DA0">
      <w:start w:val="1"/>
      <w:numFmt w:val="bullet"/>
      <w:lvlText w:val=""/>
      <w:lvlJc w:val="left"/>
      <w:pPr>
        <w:ind w:left="6480" w:hanging="360"/>
      </w:pPr>
      <w:rPr>
        <w:rFonts w:ascii="Wingdings" w:hAnsi="Wingdings" w:hint="default"/>
      </w:rPr>
    </w:lvl>
  </w:abstractNum>
  <w:abstractNum w:abstractNumId="2" w15:restartNumberingAfterBreak="0">
    <w:nsid w:val="0327230E"/>
    <w:multiLevelType w:val="hybridMultilevel"/>
    <w:tmpl w:val="F5D47116"/>
    <w:lvl w:ilvl="0" w:tplc="D43C9DF8">
      <w:numFmt w:val="bullet"/>
      <w:lvlText w:val=""/>
      <w:lvlJc w:val="left"/>
      <w:pPr>
        <w:ind w:left="828" w:hanging="348"/>
      </w:pPr>
      <w:rPr>
        <w:rFonts w:ascii="Symbol" w:eastAsia="Symbol" w:hAnsi="Symbol" w:cs="Symbol" w:hint="default"/>
        <w:b w:val="0"/>
        <w:bCs w:val="0"/>
        <w:i w:val="0"/>
        <w:iCs w:val="0"/>
        <w:spacing w:val="0"/>
        <w:w w:val="99"/>
        <w:sz w:val="20"/>
        <w:szCs w:val="20"/>
        <w:lang w:val="es-ES" w:eastAsia="en-US" w:bidi="ar-SA"/>
      </w:rPr>
    </w:lvl>
    <w:lvl w:ilvl="1" w:tplc="C9B6C92A">
      <w:numFmt w:val="bullet"/>
      <w:lvlText w:val="•"/>
      <w:lvlJc w:val="left"/>
      <w:pPr>
        <w:ind w:left="1521" w:hanging="348"/>
      </w:pPr>
      <w:rPr>
        <w:rFonts w:hint="default"/>
        <w:lang w:val="es-ES" w:eastAsia="en-US" w:bidi="ar-SA"/>
      </w:rPr>
    </w:lvl>
    <w:lvl w:ilvl="2" w:tplc="C3981ADC">
      <w:numFmt w:val="bullet"/>
      <w:lvlText w:val="•"/>
      <w:lvlJc w:val="left"/>
      <w:pPr>
        <w:ind w:left="2223" w:hanging="348"/>
      </w:pPr>
      <w:rPr>
        <w:rFonts w:hint="default"/>
        <w:lang w:val="es-ES" w:eastAsia="en-US" w:bidi="ar-SA"/>
      </w:rPr>
    </w:lvl>
    <w:lvl w:ilvl="3" w:tplc="AD6CABA0">
      <w:numFmt w:val="bullet"/>
      <w:lvlText w:val="•"/>
      <w:lvlJc w:val="left"/>
      <w:pPr>
        <w:ind w:left="2924" w:hanging="348"/>
      </w:pPr>
      <w:rPr>
        <w:rFonts w:hint="default"/>
        <w:lang w:val="es-ES" w:eastAsia="en-US" w:bidi="ar-SA"/>
      </w:rPr>
    </w:lvl>
    <w:lvl w:ilvl="4" w:tplc="B4AA7452">
      <w:numFmt w:val="bullet"/>
      <w:lvlText w:val="•"/>
      <w:lvlJc w:val="left"/>
      <w:pPr>
        <w:ind w:left="3626" w:hanging="348"/>
      </w:pPr>
      <w:rPr>
        <w:rFonts w:hint="default"/>
        <w:lang w:val="es-ES" w:eastAsia="en-US" w:bidi="ar-SA"/>
      </w:rPr>
    </w:lvl>
    <w:lvl w:ilvl="5" w:tplc="F9C81258">
      <w:numFmt w:val="bullet"/>
      <w:lvlText w:val="•"/>
      <w:lvlJc w:val="left"/>
      <w:pPr>
        <w:ind w:left="4328" w:hanging="348"/>
      </w:pPr>
      <w:rPr>
        <w:rFonts w:hint="default"/>
        <w:lang w:val="es-ES" w:eastAsia="en-US" w:bidi="ar-SA"/>
      </w:rPr>
    </w:lvl>
    <w:lvl w:ilvl="6" w:tplc="05C21C5C">
      <w:numFmt w:val="bullet"/>
      <w:lvlText w:val="•"/>
      <w:lvlJc w:val="left"/>
      <w:pPr>
        <w:ind w:left="5029" w:hanging="348"/>
      </w:pPr>
      <w:rPr>
        <w:rFonts w:hint="default"/>
        <w:lang w:val="es-ES" w:eastAsia="en-US" w:bidi="ar-SA"/>
      </w:rPr>
    </w:lvl>
    <w:lvl w:ilvl="7" w:tplc="603EB4D2">
      <w:numFmt w:val="bullet"/>
      <w:lvlText w:val="•"/>
      <w:lvlJc w:val="left"/>
      <w:pPr>
        <w:ind w:left="5731" w:hanging="348"/>
      </w:pPr>
      <w:rPr>
        <w:rFonts w:hint="default"/>
        <w:lang w:val="es-ES" w:eastAsia="en-US" w:bidi="ar-SA"/>
      </w:rPr>
    </w:lvl>
    <w:lvl w:ilvl="8" w:tplc="625860F0">
      <w:numFmt w:val="bullet"/>
      <w:lvlText w:val="•"/>
      <w:lvlJc w:val="left"/>
      <w:pPr>
        <w:ind w:left="6432" w:hanging="348"/>
      </w:pPr>
      <w:rPr>
        <w:rFonts w:hint="default"/>
        <w:lang w:val="es-ES" w:eastAsia="en-US" w:bidi="ar-SA"/>
      </w:rPr>
    </w:lvl>
  </w:abstractNum>
  <w:abstractNum w:abstractNumId="3" w15:restartNumberingAfterBreak="0">
    <w:nsid w:val="0390555D"/>
    <w:multiLevelType w:val="hybridMultilevel"/>
    <w:tmpl w:val="31BA13C4"/>
    <w:lvl w:ilvl="0" w:tplc="C5FAAB50">
      <w:numFmt w:val="bullet"/>
      <w:lvlText w:val=""/>
      <w:lvlJc w:val="left"/>
      <w:pPr>
        <w:ind w:left="2061" w:hanging="348"/>
      </w:pPr>
      <w:rPr>
        <w:rFonts w:ascii="Symbol" w:eastAsia="Symbol" w:hAnsi="Symbol" w:cs="Symbol" w:hint="default"/>
        <w:b w:val="0"/>
        <w:bCs w:val="0"/>
        <w:i w:val="0"/>
        <w:iCs w:val="0"/>
        <w:spacing w:val="0"/>
        <w:w w:val="100"/>
        <w:sz w:val="24"/>
        <w:szCs w:val="24"/>
        <w:lang w:val="es-ES" w:eastAsia="en-US" w:bidi="ar-SA"/>
      </w:rPr>
    </w:lvl>
    <w:lvl w:ilvl="1" w:tplc="8CF06B6C">
      <w:numFmt w:val="bullet"/>
      <w:lvlText w:val="•"/>
      <w:lvlJc w:val="left"/>
      <w:pPr>
        <w:ind w:left="3006" w:hanging="348"/>
      </w:pPr>
      <w:rPr>
        <w:rFonts w:hint="default"/>
        <w:lang w:val="es-ES" w:eastAsia="en-US" w:bidi="ar-SA"/>
      </w:rPr>
    </w:lvl>
    <w:lvl w:ilvl="2" w:tplc="A3A6B63C">
      <w:numFmt w:val="bullet"/>
      <w:lvlText w:val="•"/>
      <w:lvlJc w:val="left"/>
      <w:pPr>
        <w:ind w:left="3952" w:hanging="348"/>
      </w:pPr>
      <w:rPr>
        <w:rFonts w:hint="default"/>
        <w:lang w:val="es-ES" w:eastAsia="en-US" w:bidi="ar-SA"/>
      </w:rPr>
    </w:lvl>
    <w:lvl w:ilvl="3" w:tplc="BA5E1674">
      <w:numFmt w:val="bullet"/>
      <w:lvlText w:val="•"/>
      <w:lvlJc w:val="left"/>
      <w:pPr>
        <w:ind w:left="4898" w:hanging="348"/>
      </w:pPr>
      <w:rPr>
        <w:rFonts w:hint="default"/>
        <w:lang w:val="es-ES" w:eastAsia="en-US" w:bidi="ar-SA"/>
      </w:rPr>
    </w:lvl>
    <w:lvl w:ilvl="4" w:tplc="B0424AB2">
      <w:numFmt w:val="bullet"/>
      <w:lvlText w:val="•"/>
      <w:lvlJc w:val="left"/>
      <w:pPr>
        <w:ind w:left="5844" w:hanging="348"/>
      </w:pPr>
      <w:rPr>
        <w:rFonts w:hint="default"/>
        <w:lang w:val="es-ES" w:eastAsia="en-US" w:bidi="ar-SA"/>
      </w:rPr>
    </w:lvl>
    <w:lvl w:ilvl="5" w:tplc="DF36D206">
      <w:numFmt w:val="bullet"/>
      <w:lvlText w:val="•"/>
      <w:lvlJc w:val="left"/>
      <w:pPr>
        <w:ind w:left="6790" w:hanging="348"/>
      </w:pPr>
      <w:rPr>
        <w:rFonts w:hint="default"/>
        <w:lang w:val="es-ES" w:eastAsia="en-US" w:bidi="ar-SA"/>
      </w:rPr>
    </w:lvl>
    <w:lvl w:ilvl="6" w:tplc="E9727D9E">
      <w:numFmt w:val="bullet"/>
      <w:lvlText w:val="•"/>
      <w:lvlJc w:val="left"/>
      <w:pPr>
        <w:ind w:left="7736" w:hanging="348"/>
      </w:pPr>
      <w:rPr>
        <w:rFonts w:hint="default"/>
        <w:lang w:val="es-ES" w:eastAsia="en-US" w:bidi="ar-SA"/>
      </w:rPr>
    </w:lvl>
    <w:lvl w:ilvl="7" w:tplc="82741166">
      <w:numFmt w:val="bullet"/>
      <w:lvlText w:val="•"/>
      <w:lvlJc w:val="left"/>
      <w:pPr>
        <w:ind w:left="8682" w:hanging="348"/>
      </w:pPr>
      <w:rPr>
        <w:rFonts w:hint="default"/>
        <w:lang w:val="es-ES" w:eastAsia="en-US" w:bidi="ar-SA"/>
      </w:rPr>
    </w:lvl>
    <w:lvl w:ilvl="8" w:tplc="F672FF78">
      <w:numFmt w:val="bullet"/>
      <w:lvlText w:val="•"/>
      <w:lvlJc w:val="left"/>
      <w:pPr>
        <w:ind w:left="9628" w:hanging="348"/>
      </w:pPr>
      <w:rPr>
        <w:rFonts w:hint="default"/>
        <w:lang w:val="es-ES" w:eastAsia="en-US" w:bidi="ar-SA"/>
      </w:rPr>
    </w:lvl>
  </w:abstractNum>
  <w:abstractNum w:abstractNumId="4" w15:restartNumberingAfterBreak="0">
    <w:nsid w:val="046412AE"/>
    <w:multiLevelType w:val="multilevel"/>
    <w:tmpl w:val="B5DA057E"/>
    <w:lvl w:ilvl="0">
      <w:start w:val="1"/>
      <w:numFmt w:val="decimal"/>
      <w:lvlText w:val="z.%1)."/>
      <w:lvlJc w:val="left"/>
      <w:pPr>
        <w:tabs>
          <w:tab w:val="decimal" w:pos="432"/>
        </w:tabs>
        <w:ind w:left="720"/>
      </w:pPr>
      <w:rPr>
        <w:rFonts w:ascii="Arial" w:hAnsi="Arial"/>
        <w:strike w:val="0"/>
        <w:color w:val="000000"/>
        <w:spacing w:val="28"/>
        <w:w w:val="100"/>
        <w:sz w:val="19"/>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54B4AF8"/>
    <w:multiLevelType w:val="hybridMultilevel"/>
    <w:tmpl w:val="991E94B8"/>
    <w:lvl w:ilvl="0" w:tplc="C82CFB46">
      <w:start w:val="1"/>
      <w:numFmt w:val="upperRoman"/>
      <w:lvlText w:val="%1."/>
      <w:lvlJc w:val="left"/>
      <w:pPr>
        <w:ind w:left="0" w:hanging="249"/>
      </w:pPr>
      <w:rPr>
        <w:rFonts w:ascii="Times New Roman" w:eastAsia="Arial" w:hAnsi="Times New Roman" w:cs="Times New Roman" w:hint="default"/>
        <w:b/>
        <w:bCs/>
        <w:i w:val="0"/>
        <w:iCs w:val="0"/>
        <w:spacing w:val="0"/>
        <w:w w:val="100"/>
        <w:sz w:val="24"/>
        <w:szCs w:val="24"/>
        <w:lang w:val="es-ES" w:eastAsia="en-US" w:bidi="ar-SA"/>
      </w:rPr>
    </w:lvl>
    <w:lvl w:ilvl="1" w:tplc="5ABAEF22">
      <w:numFmt w:val="bullet"/>
      <w:lvlText w:val="•"/>
      <w:lvlJc w:val="left"/>
      <w:pPr>
        <w:ind w:left="972" w:hanging="249"/>
      </w:pPr>
      <w:rPr>
        <w:rFonts w:hint="default"/>
        <w:lang w:val="es-ES" w:eastAsia="en-US" w:bidi="ar-SA"/>
      </w:rPr>
    </w:lvl>
    <w:lvl w:ilvl="2" w:tplc="6C02199C">
      <w:numFmt w:val="bullet"/>
      <w:lvlText w:val="•"/>
      <w:lvlJc w:val="left"/>
      <w:pPr>
        <w:ind w:left="1944" w:hanging="249"/>
      </w:pPr>
      <w:rPr>
        <w:rFonts w:hint="default"/>
        <w:lang w:val="es-ES" w:eastAsia="en-US" w:bidi="ar-SA"/>
      </w:rPr>
    </w:lvl>
    <w:lvl w:ilvl="3" w:tplc="C0AAC280">
      <w:numFmt w:val="bullet"/>
      <w:lvlText w:val="•"/>
      <w:lvlJc w:val="left"/>
      <w:pPr>
        <w:ind w:left="2916" w:hanging="249"/>
      </w:pPr>
      <w:rPr>
        <w:rFonts w:hint="default"/>
        <w:lang w:val="es-ES" w:eastAsia="en-US" w:bidi="ar-SA"/>
      </w:rPr>
    </w:lvl>
    <w:lvl w:ilvl="4" w:tplc="307A36BA">
      <w:numFmt w:val="bullet"/>
      <w:lvlText w:val="•"/>
      <w:lvlJc w:val="left"/>
      <w:pPr>
        <w:ind w:left="3888" w:hanging="249"/>
      </w:pPr>
      <w:rPr>
        <w:rFonts w:hint="default"/>
        <w:lang w:val="es-ES" w:eastAsia="en-US" w:bidi="ar-SA"/>
      </w:rPr>
    </w:lvl>
    <w:lvl w:ilvl="5" w:tplc="FB0A51B8">
      <w:numFmt w:val="bullet"/>
      <w:lvlText w:val="•"/>
      <w:lvlJc w:val="left"/>
      <w:pPr>
        <w:ind w:left="4860" w:hanging="249"/>
      </w:pPr>
      <w:rPr>
        <w:rFonts w:hint="default"/>
        <w:lang w:val="es-ES" w:eastAsia="en-US" w:bidi="ar-SA"/>
      </w:rPr>
    </w:lvl>
    <w:lvl w:ilvl="6" w:tplc="9B2099C8">
      <w:numFmt w:val="bullet"/>
      <w:lvlText w:val="•"/>
      <w:lvlJc w:val="left"/>
      <w:pPr>
        <w:ind w:left="5832" w:hanging="249"/>
      </w:pPr>
      <w:rPr>
        <w:rFonts w:hint="default"/>
        <w:lang w:val="es-ES" w:eastAsia="en-US" w:bidi="ar-SA"/>
      </w:rPr>
    </w:lvl>
    <w:lvl w:ilvl="7" w:tplc="2BA25E9C">
      <w:numFmt w:val="bullet"/>
      <w:lvlText w:val="•"/>
      <w:lvlJc w:val="left"/>
      <w:pPr>
        <w:ind w:left="6804" w:hanging="249"/>
      </w:pPr>
      <w:rPr>
        <w:rFonts w:hint="default"/>
        <w:lang w:val="es-ES" w:eastAsia="en-US" w:bidi="ar-SA"/>
      </w:rPr>
    </w:lvl>
    <w:lvl w:ilvl="8" w:tplc="F894D7F4">
      <w:numFmt w:val="bullet"/>
      <w:lvlText w:val="•"/>
      <w:lvlJc w:val="left"/>
      <w:pPr>
        <w:ind w:left="7776" w:hanging="249"/>
      </w:pPr>
      <w:rPr>
        <w:rFonts w:hint="default"/>
        <w:lang w:val="es-ES" w:eastAsia="en-US" w:bidi="ar-SA"/>
      </w:rPr>
    </w:lvl>
  </w:abstractNum>
  <w:abstractNum w:abstractNumId="6" w15:restartNumberingAfterBreak="0">
    <w:nsid w:val="06144CE6"/>
    <w:multiLevelType w:val="hybridMultilevel"/>
    <w:tmpl w:val="E15648F6"/>
    <w:lvl w:ilvl="0" w:tplc="564642B4">
      <w:start w:val="1"/>
      <w:numFmt w:val="upperRoman"/>
      <w:lvlText w:val="%1."/>
      <w:lvlJc w:val="left"/>
      <w:pPr>
        <w:ind w:left="105" w:hanging="403"/>
      </w:pPr>
      <w:rPr>
        <w:rFonts w:ascii="Times New Roman" w:eastAsia="Arial" w:hAnsi="Times New Roman" w:cs="Times New Roman" w:hint="default"/>
        <w:b/>
        <w:bCs/>
        <w:i w:val="0"/>
        <w:iCs w:val="0"/>
        <w:spacing w:val="-5"/>
        <w:w w:val="100"/>
        <w:sz w:val="24"/>
        <w:szCs w:val="24"/>
        <w:lang w:val="es-ES" w:eastAsia="en-US" w:bidi="ar-SA"/>
      </w:rPr>
    </w:lvl>
    <w:lvl w:ilvl="1" w:tplc="5686A8E4">
      <w:numFmt w:val="bullet"/>
      <w:lvlText w:val="•"/>
      <w:lvlJc w:val="left"/>
      <w:pPr>
        <w:ind w:left="530" w:hanging="403"/>
      </w:pPr>
      <w:rPr>
        <w:rFonts w:hint="default"/>
        <w:lang w:val="es-ES" w:eastAsia="en-US" w:bidi="ar-SA"/>
      </w:rPr>
    </w:lvl>
    <w:lvl w:ilvl="2" w:tplc="B5BA4390">
      <w:numFmt w:val="bullet"/>
      <w:lvlText w:val="•"/>
      <w:lvlJc w:val="left"/>
      <w:pPr>
        <w:ind w:left="960" w:hanging="403"/>
      </w:pPr>
      <w:rPr>
        <w:rFonts w:hint="default"/>
        <w:lang w:val="es-ES" w:eastAsia="en-US" w:bidi="ar-SA"/>
      </w:rPr>
    </w:lvl>
    <w:lvl w:ilvl="3" w:tplc="780CDCE8">
      <w:numFmt w:val="bullet"/>
      <w:lvlText w:val="•"/>
      <w:lvlJc w:val="left"/>
      <w:pPr>
        <w:ind w:left="1390" w:hanging="403"/>
      </w:pPr>
      <w:rPr>
        <w:rFonts w:hint="default"/>
        <w:lang w:val="es-ES" w:eastAsia="en-US" w:bidi="ar-SA"/>
      </w:rPr>
    </w:lvl>
    <w:lvl w:ilvl="4" w:tplc="70EECC78">
      <w:numFmt w:val="bullet"/>
      <w:lvlText w:val="•"/>
      <w:lvlJc w:val="left"/>
      <w:pPr>
        <w:ind w:left="1821" w:hanging="403"/>
      </w:pPr>
      <w:rPr>
        <w:rFonts w:hint="default"/>
        <w:lang w:val="es-ES" w:eastAsia="en-US" w:bidi="ar-SA"/>
      </w:rPr>
    </w:lvl>
    <w:lvl w:ilvl="5" w:tplc="BE0A3A94">
      <w:numFmt w:val="bullet"/>
      <w:lvlText w:val="•"/>
      <w:lvlJc w:val="left"/>
      <w:pPr>
        <w:ind w:left="2251" w:hanging="403"/>
      </w:pPr>
      <w:rPr>
        <w:rFonts w:hint="default"/>
        <w:lang w:val="es-ES" w:eastAsia="en-US" w:bidi="ar-SA"/>
      </w:rPr>
    </w:lvl>
    <w:lvl w:ilvl="6" w:tplc="C81463E2">
      <w:numFmt w:val="bullet"/>
      <w:lvlText w:val="•"/>
      <w:lvlJc w:val="left"/>
      <w:pPr>
        <w:ind w:left="2681" w:hanging="403"/>
      </w:pPr>
      <w:rPr>
        <w:rFonts w:hint="default"/>
        <w:lang w:val="es-ES" w:eastAsia="en-US" w:bidi="ar-SA"/>
      </w:rPr>
    </w:lvl>
    <w:lvl w:ilvl="7" w:tplc="4994374A">
      <w:numFmt w:val="bullet"/>
      <w:lvlText w:val="•"/>
      <w:lvlJc w:val="left"/>
      <w:pPr>
        <w:ind w:left="3112" w:hanging="403"/>
      </w:pPr>
      <w:rPr>
        <w:rFonts w:hint="default"/>
        <w:lang w:val="es-ES" w:eastAsia="en-US" w:bidi="ar-SA"/>
      </w:rPr>
    </w:lvl>
    <w:lvl w:ilvl="8" w:tplc="9E72F4C6">
      <w:numFmt w:val="bullet"/>
      <w:lvlText w:val="•"/>
      <w:lvlJc w:val="left"/>
      <w:pPr>
        <w:ind w:left="3542" w:hanging="403"/>
      </w:pPr>
      <w:rPr>
        <w:rFonts w:hint="default"/>
        <w:lang w:val="es-ES" w:eastAsia="en-US" w:bidi="ar-SA"/>
      </w:rPr>
    </w:lvl>
  </w:abstractNum>
  <w:abstractNum w:abstractNumId="7" w15:restartNumberingAfterBreak="0">
    <w:nsid w:val="0B4E67CC"/>
    <w:multiLevelType w:val="hybridMultilevel"/>
    <w:tmpl w:val="883A7E78"/>
    <w:lvl w:ilvl="0" w:tplc="5978D276">
      <w:numFmt w:val="bullet"/>
      <w:lvlText w:val=""/>
      <w:lvlJc w:val="left"/>
      <w:pPr>
        <w:ind w:left="980" w:hanging="360"/>
      </w:pPr>
      <w:rPr>
        <w:rFonts w:ascii="Symbol" w:eastAsia="Symbol" w:hAnsi="Symbol" w:cs="Symbol" w:hint="default"/>
        <w:b w:val="0"/>
        <w:bCs w:val="0"/>
        <w:i w:val="0"/>
        <w:iCs w:val="0"/>
        <w:spacing w:val="0"/>
        <w:w w:val="100"/>
        <w:sz w:val="24"/>
        <w:szCs w:val="24"/>
        <w:lang w:val="es-ES" w:eastAsia="en-US" w:bidi="ar-SA"/>
      </w:rPr>
    </w:lvl>
    <w:lvl w:ilvl="1" w:tplc="9E5CAAE8">
      <w:numFmt w:val="bullet"/>
      <w:lvlText w:val="•"/>
      <w:lvlJc w:val="left"/>
      <w:pPr>
        <w:ind w:left="1818" w:hanging="360"/>
      </w:pPr>
      <w:rPr>
        <w:rFonts w:hint="default"/>
        <w:lang w:val="es-ES" w:eastAsia="en-US" w:bidi="ar-SA"/>
      </w:rPr>
    </w:lvl>
    <w:lvl w:ilvl="2" w:tplc="042C7684">
      <w:numFmt w:val="bullet"/>
      <w:lvlText w:val="•"/>
      <w:lvlJc w:val="left"/>
      <w:pPr>
        <w:ind w:left="2656" w:hanging="360"/>
      </w:pPr>
      <w:rPr>
        <w:rFonts w:hint="default"/>
        <w:lang w:val="es-ES" w:eastAsia="en-US" w:bidi="ar-SA"/>
      </w:rPr>
    </w:lvl>
    <w:lvl w:ilvl="3" w:tplc="3350E028">
      <w:numFmt w:val="bullet"/>
      <w:lvlText w:val="•"/>
      <w:lvlJc w:val="left"/>
      <w:pPr>
        <w:ind w:left="3494" w:hanging="360"/>
      </w:pPr>
      <w:rPr>
        <w:rFonts w:hint="default"/>
        <w:lang w:val="es-ES" w:eastAsia="en-US" w:bidi="ar-SA"/>
      </w:rPr>
    </w:lvl>
    <w:lvl w:ilvl="4" w:tplc="212016AC">
      <w:numFmt w:val="bullet"/>
      <w:lvlText w:val="•"/>
      <w:lvlJc w:val="left"/>
      <w:pPr>
        <w:ind w:left="4332" w:hanging="360"/>
      </w:pPr>
      <w:rPr>
        <w:rFonts w:hint="default"/>
        <w:lang w:val="es-ES" w:eastAsia="en-US" w:bidi="ar-SA"/>
      </w:rPr>
    </w:lvl>
    <w:lvl w:ilvl="5" w:tplc="475AB448">
      <w:numFmt w:val="bullet"/>
      <w:lvlText w:val="•"/>
      <w:lvlJc w:val="left"/>
      <w:pPr>
        <w:ind w:left="5170" w:hanging="360"/>
      </w:pPr>
      <w:rPr>
        <w:rFonts w:hint="default"/>
        <w:lang w:val="es-ES" w:eastAsia="en-US" w:bidi="ar-SA"/>
      </w:rPr>
    </w:lvl>
    <w:lvl w:ilvl="6" w:tplc="CE4A66F8">
      <w:numFmt w:val="bullet"/>
      <w:lvlText w:val="•"/>
      <w:lvlJc w:val="left"/>
      <w:pPr>
        <w:ind w:left="6008" w:hanging="360"/>
      </w:pPr>
      <w:rPr>
        <w:rFonts w:hint="default"/>
        <w:lang w:val="es-ES" w:eastAsia="en-US" w:bidi="ar-SA"/>
      </w:rPr>
    </w:lvl>
    <w:lvl w:ilvl="7" w:tplc="CE16BF3A">
      <w:numFmt w:val="bullet"/>
      <w:lvlText w:val="•"/>
      <w:lvlJc w:val="left"/>
      <w:pPr>
        <w:ind w:left="6846" w:hanging="360"/>
      </w:pPr>
      <w:rPr>
        <w:rFonts w:hint="default"/>
        <w:lang w:val="es-ES" w:eastAsia="en-US" w:bidi="ar-SA"/>
      </w:rPr>
    </w:lvl>
    <w:lvl w:ilvl="8" w:tplc="C12C507A">
      <w:numFmt w:val="bullet"/>
      <w:lvlText w:val="•"/>
      <w:lvlJc w:val="left"/>
      <w:pPr>
        <w:ind w:left="7684" w:hanging="360"/>
      </w:pPr>
      <w:rPr>
        <w:rFonts w:hint="default"/>
        <w:lang w:val="es-ES" w:eastAsia="en-US" w:bidi="ar-SA"/>
      </w:rPr>
    </w:lvl>
  </w:abstractNum>
  <w:abstractNum w:abstractNumId="8" w15:restartNumberingAfterBreak="0">
    <w:nsid w:val="0B501CE0"/>
    <w:multiLevelType w:val="hybridMultilevel"/>
    <w:tmpl w:val="E85E1AEA"/>
    <w:lvl w:ilvl="0" w:tplc="D32E41FA">
      <w:start w:val="1"/>
      <w:numFmt w:val="upperRoman"/>
      <w:lvlText w:val="%1."/>
      <w:lvlJc w:val="left"/>
      <w:pPr>
        <w:ind w:left="259" w:hanging="202"/>
      </w:pPr>
      <w:rPr>
        <w:rFonts w:ascii="Times New Roman" w:eastAsia="Arial" w:hAnsi="Times New Roman" w:cs="Times New Roman" w:hint="default"/>
        <w:b/>
        <w:bCs/>
        <w:i w:val="0"/>
        <w:iCs w:val="0"/>
        <w:spacing w:val="-5"/>
        <w:w w:val="100"/>
        <w:sz w:val="24"/>
        <w:szCs w:val="24"/>
        <w:lang w:val="es-ES" w:eastAsia="en-US" w:bidi="ar-SA"/>
      </w:rPr>
    </w:lvl>
    <w:lvl w:ilvl="1" w:tplc="354C0990">
      <w:numFmt w:val="bullet"/>
      <w:lvlText w:val="•"/>
      <w:lvlJc w:val="left"/>
      <w:pPr>
        <w:ind w:left="1170" w:hanging="202"/>
      </w:pPr>
      <w:rPr>
        <w:rFonts w:hint="default"/>
        <w:lang w:val="es-ES" w:eastAsia="en-US" w:bidi="ar-SA"/>
      </w:rPr>
    </w:lvl>
    <w:lvl w:ilvl="2" w:tplc="3052FF82">
      <w:numFmt w:val="bullet"/>
      <w:lvlText w:val="•"/>
      <w:lvlJc w:val="left"/>
      <w:pPr>
        <w:ind w:left="2080" w:hanging="202"/>
      </w:pPr>
      <w:rPr>
        <w:rFonts w:hint="default"/>
        <w:lang w:val="es-ES" w:eastAsia="en-US" w:bidi="ar-SA"/>
      </w:rPr>
    </w:lvl>
    <w:lvl w:ilvl="3" w:tplc="D08AE1DA">
      <w:numFmt w:val="bullet"/>
      <w:lvlText w:val="•"/>
      <w:lvlJc w:val="left"/>
      <w:pPr>
        <w:ind w:left="2990" w:hanging="202"/>
      </w:pPr>
      <w:rPr>
        <w:rFonts w:hint="default"/>
        <w:lang w:val="es-ES" w:eastAsia="en-US" w:bidi="ar-SA"/>
      </w:rPr>
    </w:lvl>
    <w:lvl w:ilvl="4" w:tplc="15060A22">
      <w:numFmt w:val="bullet"/>
      <w:lvlText w:val="•"/>
      <w:lvlJc w:val="left"/>
      <w:pPr>
        <w:ind w:left="3900" w:hanging="202"/>
      </w:pPr>
      <w:rPr>
        <w:rFonts w:hint="default"/>
        <w:lang w:val="es-ES" w:eastAsia="en-US" w:bidi="ar-SA"/>
      </w:rPr>
    </w:lvl>
    <w:lvl w:ilvl="5" w:tplc="F4F4FC28">
      <w:numFmt w:val="bullet"/>
      <w:lvlText w:val="•"/>
      <w:lvlJc w:val="left"/>
      <w:pPr>
        <w:ind w:left="4810" w:hanging="202"/>
      </w:pPr>
      <w:rPr>
        <w:rFonts w:hint="default"/>
        <w:lang w:val="es-ES" w:eastAsia="en-US" w:bidi="ar-SA"/>
      </w:rPr>
    </w:lvl>
    <w:lvl w:ilvl="6" w:tplc="4A364812">
      <w:numFmt w:val="bullet"/>
      <w:lvlText w:val="•"/>
      <w:lvlJc w:val="left"/>
      <w:pPr>
        <w:ind w:left="5720" w:hanging="202"/>
      </w:pPr>
      <w:rPr>
        <w:rFonts w:hint="default"/>
        <w:lang w:val="es-ES" w:eastAsia="en-US" w:bidi="ar-SA"/>
      </w:rPr>
    </w:lvl>
    <w:lvl w:ilvl="7" w:tplc="39E68992">
      <w:numFmt w:val="bullet"/>
      <w:lvlText w:val="•"/>
      <w:lvlJc w:val="left"/>
      <w:pPr>
        <w:ind w:left="6630" w:hanging="202"/>
      </w:pPr>
      <w:rPr>
        <w:rFonts w:hint="default"/>
        <w:lang w:val="es-ES" w:eastAsia="en-US" w:bidi="ar-SA"/>
      </w:rPr>
    </w:lvl>
    <w:lvl w:ilvl="8" w:tplc="32EABC24">
      <w:numFmt w:val="bullet"/>
      <w:lvlText w:val="•"/>
      <w:lvlJc w:val="left"/>
      <w:pPr>
        <w:ind w:left="7540" w:hanging="202"/>
      </w:pPr>
      <w:rPr>
        <w:rFonts w:hint="default"/>
        <w:lang w:val="es-ES" w:eastAsia="en-US" w:bidi="ar-SA"/>
      </w:rPr>
    </w:lvl>
  </w:abstractNum>
  <w:abstractNum w:abstractNumId="9" w15:restartNumberingAfterBreak="0">
    <w:nsid w:val="1142D2BE"/>
    <w:multiLevelType w:val="hybridMultilevel"/>
    <w:tmpl w:val="FFFFFFFF"/>
    <w:lvl w:ilvl="0" w:tplc="8A9876BC">
      <w:start w:val="2"/>
      <w:numFmt w:val="decimal"/>
      <w:lvlText w:val="%1."/>
      <w:lvlJc w:val="left"/>
      <w:pPr>
        <w:ind w:left="1068" w:hanging="360"/>
      </w:pPr>
    </w:lvl>
    <w:lvl w:ilvl="1" w:tplc="989645FC">
      <w:start w:val="1"/>
      <w:numFmt w:val="lowerLetter"/>
      <w:lvlText w:val="%2."/>
      <w:lvlJc w:val="left"/>
      <w:pPr>
        <w:ind w:left="1788" w:hanging="360"/>
      </w:pPr>
    </w:lvl>
    <w:lvl w:ilvl="2" w:tplc="4BFED95C">
      <w:start w:val="1"/>
      <w:numFmt w:val="lowerRoman"/>
      <w:lvlText w:val="%3."/>
      <w:lvlJc w:val="right"/>
      <w:pPr>
        <w:ind w:left="2508" w:hanging="180"/>
      </w:pPr>
    </w:lvl>
    <w:lvl w:ilvl="3" w:tplc="51161DFA">
      <w:start w:val="1"/>
      <w:numFmt w:val="decimal"/>
      <w:lvlText w:val="%4."/>
      <w:lvlJc w:val="left"/>
      <w:pPr>
        <w:ind w:left="3228" w:hanging="360"/>
      </w:pPr>
    </w:lvl>
    <w:lvl w:ilvl="4" w:tplc="427E425E">
      <w:start w:val="1"/>
      <w:numFmt w:val="lowerLetter"/>
      <w:lvlText w:val="%5."/>
      <w:lvlJc w:val="left"/>
      <w:pPr>
        <w:ind w:left="3948" w:hanging="360"/>
      </w:pPr>
    </w:lvl>
    <w:lvl w:ilvl="5" w:tplc="9488C2FC">
      <w:start w:val="1"/>
      <w:numFmt w:val="lowerRoman"/>
      <w:lvlText w:val="%6."/>
      <w:lvlJc w:val="right"/>
      <w:pPr>
        <w:ind w:left="4668" w:hanging="180"/>
      </w:pPr>
    </w:lvl>
    <w:lvl w:ilvl="6" w:tplc="CEB465E2">
      <w:start w:val="1"/>
      <w:numFmt w:val="decimal"/>
      <w:lvlText w:val="%7."/>
      <w:lvlJc w:val="left"/>
      <w:pPr>
        <w:ind w:left="5388" w:hanging="360"/>
      </w:pPr>
    </w:lvl>
    <w:lvl w:ilvl="7" w:tplc="192294E6">
      <w:start w:val="1"/>
      <w:numFmt w:val="lowerLetter"/>
      <w:lvlText w:val="%8."/>
      <w:lvlJc w:val="left"/>
      <w:pPr>
        <w:ind w:left="6108" w:hanging="360"/>
      </w:pPr>
    </w:lvl>
    <w:lvl w:ilvl="8" w:tplc="BEF8B6B0">
      <w:start w:val="1"/>
      <w:numFmt w:val="lowerRoman"/>
      <w:lvlText w:val="%9."/>
      <w:lvlJc w:val="right"/>
      <w:pPr>
        <w:ind w:left="6828" w:hanging="180"/>
      </w:pPr>
    </w:lvl>
  </w:abstractNum>
  <w:abstractNum w:abstractNumId="10" w15:restartNumberingAfterBreak="0">
    <w:nsid w:val="13EE414A"/>
    <w:multiLevelType w:val="hybridMultilevel"/>
    <w:tmpl w:val="DBAAC74C"/>
    <w:lvl w:ilvl="0" w:tplc="3E84B8A2">
      <w:start w:val="1"/>
      <w:numFmt w:val="upperRoman"/>
      <w:lvlText w:val="%1."/>
      <w:lvlJc w:val="left"/>
      <w:pPr>
        <w:ind w:left="459" w:hanging="201"/>
      </w:pPr>
      <w:rPr>
        <w:rFonts w:ascii="Arial MT" w:eastAsia="Arial MT" w:hAnsi="Arial MT" w:cs="Arial MT" w:hint="default"/>
        <w:b w:val="0"/>
        <w:bCs w:val="0"/>
        <w:i w:val="0"/>
        <w:iCs w:val="0"/>
        <w:spacing w:val="0"/>
        <w:w w:val="100"/>
        <w:sz w:val="24"/>
        <w:szCs w:val="24"/>
        <w:lang w:val="es-ES" w:eastAsia="en-US" w:bidi="ar-SA"/>
      </w:rPr>
    </w:lvl>
    <w:lvl w:ilvl="1" w:tplc="AA66AA0A">
      <w:numFmt w:val="bullet"/>
      <w:lvlText w:val="•"/>
      <w:lvlJc w:val="left"/>
      <w:pPr>
        <w:ind w:left="1350" w:hanging="201"/>
      </w:pPr>
      <w:rPr>
        <w:rFonts w:hint="default"/>
        <w:lang w:val="es-ES" w:eastAsia="en-US" w:bidi="ar-SA"/>
      </w:rPr>
    </w:lvl>
    <w:lvl w:ilvl="2" w:tplc="B48A9F24">
      <w:numFmt w:val="bullet"/>
      <w:lvlText w:val="•"/>
      <w:lvlJc w:val="left"/>
      <w:pPr>
        <w:ind w:left="2240" w:hanging="201"/>
      </w:pPr>
      <w:rPr>
        <w:rFonts w:hint="default"/>
        <w:lang w:val="es-ES" w:eastAsia="en-US" w:bidi="ar-SA"/>
      </w:rPr>
    </w:lvl>
    <w:lvl w:ilvl="3" w:tplc="96A853DA">
      <w:numFmt w:val="bullet"/>
      <w:lvlText w:val="•"/>
      <w:lvlJc w:val="left"/>
      <w:pPr>
        <w:ind w:left="3130" w:hanging="201"/>
      </w:pPr>
      <w:rPr>
        <w:rFonts w:hint="default"/>
        <w:lang w:val="es-ES" w:eastAsia="en-US" w:bidi="ar-SA"/>
      </w:rPr>
    </w:lvl>
    <w:lvl w:ilvl="4" w:tplc="59C441C0">
      <w:numFmt w:val="bullet"/>
      <w:lvlText w:val="•"/>
      <w:lvlJc w:val="left"/>
      <w:pPr>
        <w:ind w:left="4020" w:hanging="201"/>
      </w:pPr>
      <w:rPr>
        <w:rFonts w:hint="default"/>
        <w:lang w:val="es-ES" w:eastAsia="en-US" w:bidi="ar-SA"/>
      </w:rPr>
    </w:lvl>
    <w:lvl w:ilvl="5" w:tplc="E2FED3C8">
      <w:numFmt w:val="bullet"/>
      <w:lvlText w:val="•"/>
      <w:lvlJc w:val="left"/>
      <w:pPr>
        <w:ind w:left="4910" w:hanging="201"/>
      </w:pPr>
      <w:rPr>
        <w:rFonts w:hint="default"/>
        <w:lang w:val="es-ES" w:eastAsia="en-US" w:bidi="ar-SA"/>
      </w:rPr>
    </w:lvl>
    <w:lvl w:ilvl="6" w:tplc="27EE4410">
      <w:numFmt w:val="bullet"/>
      <w:lvlText w:val="•"/>
      <w:lvlJc w:val="left"/>
      <w:pPr>
        <w:ind w:left="5800" w:hanging="201"/>
      </w:pPr>
      <w:rPr>
        <w:rFonts w:hint="default"/>
        <w:lang w:val="es-ES" w:eastAsia="en-US" w:bidi="ar-SA"/>
      </w:rPr>
    </w:lvl>
    <w:lvl w:ilvl="7" w:tplc="8F0E88B6">
      <w:numFmt w:val="bullet"/>
      <w:lvlText w:val="•"/>
      <w:lvlJc w:val="left"/>
      <w:pPr>
        <w:ind w:left="6690" w:hanging="201"/>
      </w:pPr>
      <w:rPr>
        <w:rFonts w:hint="default"/>
        <w:lang w:val="es-ES" w:eastAsia="en-US" w:bidi="ar-SA"/>
      </w:rPr>
    </w:lvl>
    <w:lvl w:ilvl="8" w:tplc="203AB386">
      <w:numFmt w:val="bullet"/>
      <w:lvlText w:val="•"/>
      <w:lvlJc w:val="left"/>
      <w:pPr>
        <w:ind w:left="7580" w:hanging="201"/>
      </w:pPr>
      <w:rPr>
        <w:rFonts w:hint="default"/>
        <w:lang w:val="es-ES" w:eastAsia="en-US" w:bidi="ar-SA"/>
      </w:rPr>
    </w:lvl>
  </w:abstractNum>
  <w:abstractNum w:abstractNumId="11" w15:restartNumberingAfterBreak="0">
    <w:nsid w:val="1AEA4248"/>
    <w:multiLevelType w:val="hybridMultilevel"/>
    <w:tmpl w:val="FC3E631C"/>
    <w:lvl w:ilvl="0" w:tplc="C0BA115C">
      <w:start w:val="1"/>
      <w:numFmt w:val="lowerLetter"/>
      <w:lvlText w:val="%1)"/>
      <w:lvlJc w:val="left"/>
      <w:pPr>
        <w:ind w:left="1440" w:hanging="360"/>
      </w:pPr>
      <w:rPr>
        <w:b/>
      </w:rPr>
    </w:lvl>
    <w:lvl w:ilvl="1" w:tplc="080A0019" w:tentative="1">
      <w:start w:val="1"/>
      <w:numFmt w:val="lowerLetter"/>
      <w:lvlText w:val="%2."/>
      <w:lvlJc w:val="left"/>
      <w:pPr>
        <w:ind w:left="2160" w:hanging="360"/>
      </w:pPr>
    </w:lvl>
    <w:lvl w:ilvl="2" w:tplc="080A001B">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2" w15:restartNumberingAfterBreak="0">
    <w:nsid w:val="1C48346E"/>
    <w:multiLevelType w:val="hybridMultilevel"/>
    <w:tmpl w:val="19C27176"/>
    <w:lvl w:ilvl="0" w:tplc="324044BC">
      <w:start w:val="1"/>
      <w:numFmt w:val="upperRoman"/>
      <w:lvlText w:val="%1."/>
      <w:lvlJc w:val="left"/>
      <w:pPr>
        <w:ind w:left="105" w:hanging="196"/>
      </w:pPr>
      <w:rPr>
        <w:rFonts w:ascii="Arial MT" w:eastAsia="Arial MT" w:hAnsi="Arial MT" w:cs="Arial MT" w:hint="default"/>
        <w:b w:val="0"/>
        <w:bCs w:val="0"/>
        <w:i w:val="0"/>
        <w:iCs w:val="0"/>
        <w:spacing w:val="-1"/>
        <w:w w:val="100"/>
        <w:sz w:val="20"/>
        <w:szCs w:val="20"/>
        <w:lang w:val="es-ES" w:eastAsia="en-US" w:bidi="ar-SA"/>
      </w:rPr>
    </w:lvl>
    <w:lvl w:ilvl="1" w:tplc="3D568F4E">
      <w:numFmt w:val="bullet"/>
      <w:lvlText w:val="•"/>
      <w:lvlJc w:val="left"/>
      <w:pPr>
        <w:ind w:left="530" w:hanging="196"/>
      </w:pPr>
      <w:rPr>
        <w:rFonts w:hint="default"/>
        <w:lang w:val="es-ES" w:eastAsia="en-US" w:bidi="ar-SA"/>
      </w:rPr>
    </w:lvl>
    <w:lvl w:ilvl="2" w:tplc="44861F50">
      <w:numFmt w:val="bullet"/>
      <w:lvlText w:val="•"/>
      <w:lvlJc w:val="left"/>
      <w:pPr>
        <w:ind w:left="960" w:hanging="196"/>
      </w:pPr>
      <w:rPr>
        <w:rFonts w:hint="default"/>
        <w:lang w:val="es-ES" w:eastAsia="en-US" w:bidi="ar-SA"/>
      </w:rPr>
    </w:lvl>
    <w:lvl w:ilvl="3" w:tplc="8C46CE82">
      <w:numFmt w:val="bullet"/>
      <w:lvlText w:val="•"/>
      <w:lvlJc w:val="left"/>
      <w:pPr>
        <w:ind w:left="1390" w:hanging="196"/>
      </w:pPr>
      <w:rPr>
        <w:rFonts w:hint="default"/>
        <w:lang w:val="es-ES" w:eastAsia="en-US" w:bidi="ar-SA"/>
      </w:rPr>
    </w:lvl>
    <w:lvl w:ilvl="4" w:tplc="D460F3C4">
      <w:numFmt w:val="bullet"/>
      <w:lvlText w:val="•"/>
      <w:lvlJc w:val="left"/>
      <w:pPr>
        <w:ind w:left="1820" w:hanging="196"/>
      </w:pPr>
      <w:rPr>
        <w:rFonts w:hint="default"/>
        <w:lang w:val="es-ES" w:eastAsia="en-US" w:bidi="ar-SA"/>
      </w:rPr>
    </w:lvl>
    <w:lvl w:ilvl="5" w:tplc="2A86DB20">
      <w:numFmt w:val="bullet"/>
      <w:lvlText w:val="•"/>
      <w:lvlJc w:val="left"/>
      <w:pPr>
        <w:ind w:left="2250" w:hanging="196"/>
      </w:pPr>
      <w:rPr>
        <w:rFonts w:hint="default"/>
        <w:lang w:val="es-ES" w:eastAsia="en-US" w:bidi="ar-SA"/>
      </w:rPr>
    </w:lvl>
    <w:lvl w:ilvl="6" w:tplc="E2102926">
      <w:numFmt w:val="bullet"/>
      <w:lvlText w:val="•"/>
      <w:lvlJc w:val="left"/>
      <w:pPr>
        <w:ind w:left="2680" w:hanging="196"/>
      </w:pPr>
      <w:rPr>
        <w:rFonts w:hint="default"/>
        <w:lang w:val="es-ES" w:eastAsia="en-US" w:bidi="ar-SA"/>
      </w:rPr>
    </w:lvl>
    <w:lvl w:ilvl="7" w:tplc="E49A7634">
      <w:numFmt w:val="bullet"/>
      <w:lvlText w:val="•"/>
      <w:lvlJc w:val="left"/>
      <w:pPr>
        <w:ind w:left="3110" w:hanging="196"/>
      </w:pPr>
      <w:rPr>
        <w:rFonts w:hint="default"/>
        <w:lang w:val="es-ES" w:eastAsia="en-US" w:bidi="ar-SA"/>
      </w:rPr>
    </w:lvl>
    <w:lvl w:ilvl="8" w:tplc="139CC4A0">
      <w:numFmt w:val="bullet"/>
      <w:lvlText w:val="•"/>
      <w:lvlJc w:val="left"/>
      <w:pPr>
        <w:ind w:left="3540" w:hanging="196"/>
      </w:pPr>
      <w:rPr>
        <w:rFonts w:hint="default"/>
        <w:lang w:val="es-ES" w:eastAsia="en-US" w:bidi="ar-SA"/>
      </w:rPr>
    </w:lvl>
  </w:abstractNum>
  <w:abstractNum w:abstractNumId="13" w15:restartNumberingAfterBreak="0">
    <w:nsid w:val="1F1A4CD4"/>
    <w:multiLevelType w:val="hybridMultilevel"/>
    <w:tmpl w:val="4AD66408"/>
    <w:lvl w:ilvl="0" w:tplc="DB92EFF2">
      <w:start w:val="1"/>
      <w:numFmt w:val="decimal"/>
      <w:lvlText w:val="%1."/>
      <w:lvlJc w:val="left"/>
      <w:pPr>
        <w:ind w:left="2049" w:hanging="348"/>
      </w:pPr>
      <w:rPr>
        <w:rFonts w:ascii="Times New Roman" w:eastAsia="Arial MT" w:hAnsi="Times New Roman" w:cs="Times New Roman" w:hint="default"/>
        <w:b w:val="0"/>
        <w:bCs w:val="0"/>
        <w:i w:val="0"/>
        <w:iCs w:val="0"/>
        <w:spacing w:val="0"/>
        <w:w w:val="100"/>
        <w:sz w:val="24"/>
        <w:szCs w:val="24"/>
        <w:lang w:val="es-ES" w:eastAsia="en-US" w:bidi="ar-SA"/>
      </w:rPr>
    </w:lvl>
    <w:lvl w:ilvl="1" w:tplc="78A6EDAC">
      <w:numFmt w:val="bullet"/>
      <w:lvlText w:val="•"/>
      <w:lvlJc w:val="left"/>
      <w:pPr>
        <w:ind w:left="2988" w:hanging="348"/>
      </w:pPr>
      <w:rPr>
        <w:rFonts w:hint="default"/>
        <w:lang w:val="es-ES" w:eastAsia="en-US" w:bidi="ar-SA"/>
      </w:rPr>
    </w:lvl>
    <w:lvl w:ilvl="2" w:tplc="73E0E54A">
      <w:numFmt w:val="bullet"/>
      <w:lvlText w:val="•"/>
      <w:lvlJc w:val="left"/>
      <w:pPr>
        <w:ind w:left="3936" w:hanging="348"/>
      </w:pPr>
      <w:rPr>
        <w:rFonts w:hint="default"/>
        <w:lang w:val="es-ES" w:eastAsia="en-US" w:bidi="ar-SA"/>
      </w:rPr>
    </w:lvl>
    <w:lvl w:ilvl="3" w:tplc="CA801D6A">
      <w:numFmt w:val="bullet"/>
      <w:lvlText w:val="•"/>
      <w:lvlJc w:val="left"/>
      <w:pPr>
        <w:ind w:left="4884" w:hanging="348"/>
      </w:pPr>
      <w:rPr>
        <w:rFonts w:hint="default"/>
        <w:lang w:val="es-ES" w:eastAsia="en-US" w:bidi="ar-SA"/>
      </w:rPr>
    </w:lvl>
    <w:lvl w:ilvl="4" w:tplc="BF52641C">
      <w:numFmt w:val="bullet"/>
      <w:lvlText w:val="•"/>
      <w:lvlJc w:val="left"/>
      <w:pPr>
        <w:ind w:left="5832" w:hanging="348"/>
      </w:pPr>
      <w:rPr>
        <w:rFonts w:hint="default"/>
        <w:lang w:val="es-ES" w:eastAsia="en-US" w:bidi="ar-SA"/>
      </w:rPr>
    </w:lvl>
    <w:lvl w:ilvl="5" w:tplc="256E7270">
      <w:numFmt w:val="bullet"/>
      <w:lvlText w:val="•"/>
      <w:lvlJc w:val="left"/>
      <w:pPr>
        <w:ind w:left="6780" w:hanging="348"/>
      </w:pPr>
      <w:rPr>
        <w:rFonts w:hint="default"/>
        <w:lang w:val="es-ES" w:eastAsia="en-US" w:bidi="ar-SA"/>
      </w:rPr>
    </w:lvl>
    <w:lvl w:ilvl="6" w:tplc="CCEAE934">
      <w:numFmt w:val="bullet"/>
      <w:lvlText w:val="•"/>
      <w:lvlJc w:val="left"/>
      <w:pPr>
        <w:ind w:left="7728" w:hanging="348"/>
      </w:pPr>
      <w:rPr>
        <w:rFonts w:hint="default"/>
        <w:lang w:val="es-ES" w:eastAsia="en-US" w:bidi="ar-SA"/>
      </w:rPr>
    </w:lvl>
    <w:lvl w:ilvl="7" w:tplc="0EBCA084">
      <w:numFmt w:val="bullet"/>
      <w:lvlText w:val="•"/>
      <w:lvlJc w:val="left"/>
      <w:pPr>
        <w:ind w:left="8676" w:hanging="348"/>
      </w:pPr>
      <w:rPr>
        <w:rFonts w:hint="default"/>
        <w:lang w:val="es-ES" w:eastAsia="en-US" w:bidi="ar-SA"/>
      </w:rPr>
    </w:lvl>
    <w:lvl w:ilvl="8" w:tplc="77846830">
      <w:numFmt w:val="bullet"/>
      <w:lvlText w:val="•"/>
      <w:lvlJc w:val="left"/>
      <w:pPr>
        <w:ind w:left="9624" w:hanging="348"/>
      </w:pPr>
      <w:rPr>
        <w:rFonts w:hint="default"/>
        <w:lang w:val="es-ES" w:eastAsia="en-US" w:bidi="ar-SA"/>
      </w:rPr>
    </w:lvl>
  </w:abstractNum>
  <w:abstractNum w:abstractNumId="14" w15:restartNumberingAfterBreak="0">
    <w:nsid w:val="1F5A05ED"/>
    <w:multiLevelType w:val="multilevel"/>
    <w:tmpl w:val="7D989A26"/>
    <w:lvl w:ilvl="0">
      <w:start w:val="1"/>
      <w:numFmt w:val="lowerLetter"/>
      <w:lvlText w:val="%1)."/>
      <w:lvlJc w:val="left"/>
      <w:pPr>
        <w:tabs>
          <w:tab w:val="num" w:pos="1428"/>
        </w:tabs>
        <w:ind w:left="1428" w:hanging="360"/>
      </w:pPr>
      <w:rPr>
        <w:rFonts w:ascii="Arial" w:hAnsi="Arial" w:cs="Arial" w:hint="default"/>
        <w:b/>
        <w:sz w:val="26"/>
        <w:szCs w:val="26"/>
      </w:rPr>
    </w:lvl>
    <w:lvl w:ilvl="1">
      <w:start w:val="3"/>
      <w:numFmt w:val="decimal"/>
      <w:lvlText w:val="%2."/>
      <w:lvlJc w:val="left"/>
      <w:pPr>
        <w:ind w:left="2148" w:hanging="360"/>
      </w:pPr>
      <w:rPr>
        <w:rFonts w:hint="default"/>
      </w:rPr>
    </w:lvl>
    <w:lvl w:ilvl="2" w:tentative="1">
      <w:start w:val="1"/>
      <w:numFmt w:val="bullet"/>
      <w:lvlText w:val=""/>
      <w:lvlJc w:val="left"/>
      <w:pPr>
        <w:tabs>
          <w:tab w:val="num" w:pos="2868"/>
        </w:tabs>
        <w:ind w:left="2868" w:hanging="360"/>
      </w:pPr>
      <w:rPr>
        <w:rFonts w:ascii="Wingdings" w:hAnsi="Wingdings" w:hint="default"/>
        <w:sz w:val="20"/>
      </w:rPr>
    </w:lvl>
    <w:lvl w:ilvl="3" w:tentative="1">
      <w:start w:val="1"/>
      <w:numFmt w:val="bullet"/>
      <w:lvlText w:val=""/>
      <w:lvlJc w:val="left"/>
      <w:pPr>
        <w:tabs>
          <w:tab w:val="num" w:pos="3588"/>
        </w:tabs>
        <w:ind w:left="3588" w:hanging="360"/>
      </w:pPr>
      <w:rPr>
        <w:rFonts w:ascii="Wingdings" w:hAnsi="Wingdings" w:hint="default"/>
        <w:sz w:val="20"/>
      </w:rPr>
    </w:lvl>
    <w:lvl w:ilvl="4" w:tentative="1">
      <w:start w:val="1"/>
      <w:numFmt w:val="bullet"/>
      <w:lvlText w:val=""/>
      <w:lvlJc w:val="left"/>
      <w:pPr>
        <w:tabs>
          <w:tab w:val="num" w:pos="4308"/>
        </w:tabs>
        <w:ind w:left="4308" w:hanging="360"/>
      </w:pPr>
      <w:rPr>
        <w:rFonts w:ascii="Wingdings" w:hAnsi="Wingdings" w:hint="default"/>
        <w:sz w:val="20"/>
      </w:rPr>
    </w:lvl>
    <w:lvl w:ilvl="5" w:tentative="1">
      <w:start w:val="1"/>
      <w:numFmt w:val="bullet"/>
      <w:lvlText w:val=""/>
      <w:lvlJc w:val="left"/>
      <w:pPr>
        <w:tabs>
          <w:tab w:val="num" w:pos="5028"/>
        </w:tabs>
        <w:ind w:left="5028" w:hanging="360"/>
      </w:pPr>
      <w:rPr>
        <w:rFonts w:ascii="Wingdings" w:hAnsi="Wingdings" w:hint="default"/>
        <w:sz w:val="20"/>
      </w:rPr>
    </w:lvl>
    <w:lvl w:ilvl="6" w:tentative="1">
      <w:start w:val="1"/>
      <w:numFmt w:val="bullet"/>
      <w:lvlText w:val=""/>
      <w:lvlJc w:val="left"/>
      <w:pPr>
        <w:tabs>
          <w:tab w:val="num" w:pos="5748"/>
        </w:tabs>
        <w:ind w:left="5748" w:hanging="360"/>
      </w:pPr>
      <w:rPr>
        <w:rFonts w:ascii="Wingdings" w:hAnsi="Wingdings" w:hint="default"/>
        <w:sz w:val="20"/>
      </w:rPr>
    </w:lvl>
    <w:lvl w:ilvl="7" w:tentative="1">
      <w:start w:val="1"/>
      <w:numFmt w:val="bullet"/>
      <w:lvlText w:val=""/>
      <w:lvlJc w:val="left"/>
      <w:pPr>
        <w:tabs>
          <w:tab w:val="num" w:pos="6468"/>
        </w:tabs>
        <w:ind w:left="6468" w:hanging="360"/>
      </w:pPr>
      <w:rPr>
        <w:rFonts w:ascii="Wingdings" w:hAnsi="Wingdings" w:hint="default"/>
        <w:sz w:val="20"/>
      </w:rPr>
    </w:lvl>
    <w:lvl w:ilvl="8" w:tentative="1">
      <w:start w:val="1"/>
      <w:numFmt w:val="bullet"/>
      <w:lvlText w:val=""/>
      <w:lvlJc w:val="left"/>
      <w:pPr>
        <w:tabs>
          <w:tab w:val="num" w:pos="7188"/>
        </w:tabs>
        <w:ind w:left="7188" w:hanging="360"/>
      </w:pPr>
      <w:rPr>
        <w:rFonts w:ascii="Wingdings" w:hAnsi="Wingdings" w:hint="default"/>
        <w:sz w:val="20"/>
      </w:rPr>
    </w:lvl>
  </w:abstractNum>
  <w:abstractNum w:abstractNumId="15" w15:restartNumberingAfterBreak="0">
    <w:nsid w:val="21933692"/>
    <w:multiLevelType w:val="hybridMultilevel"/>
    <w:tmpl w:val="1B98109A"/>
    <w:lvl w:ilvl="0" w:tplc="54162B28">
      <w:start w:val="1"/>
      <w:numFmt w:val="decimal"/>
      <w:lvlText w:val="%1."/>
      <w:lvlJc w:val="left"/>
      <w:pPr>
        <w:ind w:left="2061" w:hanging="348"/>
      </w:pPr>
      <w:rPr>
        <w:rFonts w:ascii="Times New Roman" w:eastAsia="Arial MT" w:hAnsi="Times New Roman" w:cs="Times New Roman" w:hint="default"/>
        <w:b w:val="0"/>
        <w:bCs w:val="0"/>
        <w:i w:val="0"/>
        <w:iCs w:val="0"/>
        <w:spacing w:val="0"/>
        <w:w w:val="98"/>
        <w:sz w:val="24"/>
        <w:szCs w:val="24"/>
        <w:lang w:val="es-ES" w:eastAsia="en-US" w:bidi="ar-SA"/>
      </w:rPr>
    </w:lvl>
    <w:lvl w:ilvl="1" w:tplc="47922468">
      <w:numFmt w:val="bullet"/>
      <w:lvlText w:val="•"/>
      <w:lvlJc w:val="left"/>
      <w:pPr>
        <w:ind w:left="3006" w:hanging="348"/>
      </w:pPr>
      <w:rPr>
        <w:rFonts w:hint="default"/>
        <w:lang w:val="es-ES" w:eastAsia="en-US" w:bidi="ar-SA"/>
      </w:rPr>
    </w:lvl>
    <w:lvl w:ilvl="2" w:tplc="0D2A5D06">
      <w:numFmt w:val="bullet"/>
      <w:lvlText w:val="•"/>
      <w:lvlJc w:val="left"/>
      <w:pPr>
        <w:ind w:left="3952" w:hanging="348"/>
      </w:pPr>
      <w:rPr>
        <w:rFonts w:hint="default"/>
        <w:lang w:val="es-ES" w:eastAsia="en-US" w:bidi="ar-SA"/>
      </w:rPr>
    </w:lvl>
    <w:lvl w:ilvl="3" w:tplc="4C04968E">
      <w:numFmt w:val="bullet"/>
      <w:lvlText w:val="•"/>
      <w:lvlJc w:val="left"/>
      <w:pPr>
        <w:ind w:left="4898" w:hanging="348"/>
      </w:pPr>
      <w:rPr>
        <w:rFonts w:hint="default"/>
        <w:lang w:val="es-ES" w:eastAsia="en-US" w:bidi="ar-SA"/>
      </w:rPr>
    </w:lvl>
    <w:lvl w:ilvl="4" w:tplc="4332281C">
      <w:numFmt w:val="bullet"/>
      <w:lvlText w:val="•"/>
      <w:lvlJc w:val="left"/>
      <w:pPr>
        <w:ind w:left="5844" w:hanging="348"/>
      </w:pPr>
      <w:rPr>
        <w:rFonts w:hint="default"/>
        <w:lang w:val="es-ES" w:eastAsia="en-US" w:bidi="ar-SA"/>
      </w:rPr>
    </w:lvl>
    <w:lvl w:ilvl="5" w:tplc="2DF0C790">
      <w:numFmt w:val="bullet"/>
      <w:lvlText w:val="•"/>
      <w:lvlJc w:val="left"/>
      <w:pPr>
        <w:ind w:left="6790" w:hanging="348"/>
      </w:pPr>
      <w:rPr>
        <w:rFonts w:hint="default"/>
        <w:lang w:val="es-ES" w:eastAsia="en-US" w:bidi="ar-SA"/>
      </w:rPr>
    </w:lvl>
    <w:lvl w:ilvl="6" w:tplc="87985CF8">
      <w:numFmt w:val="bullet"/>
      <w:lvlText w:val="•"/>
      <w:lvlJc w:val="left"/>
      <w:pPr>
        <w:ind w:left="7736" w:hanging="348"/>
      </w:pPr>
      <w:rPr>
        <w:rFonts w:hint="default"/>
        <w:lang w:val="es-ES" w:eastAsia="en-US" w:bidi="ar-SA"/>
      </w:rPr>
    </w:lvl>
    <w:lvl w:ilvl="7" w:tplc="FEFA7DDE">
      <w:numFmt w:val="bullet"/>
      <w:lvlText w:val="•"/>
      <w:lvlJc w:val="left"/>
      <w:pPr>
        <w:ind w:left="8682" w:hanging="348"/>
      </w:pPr>
      <w:rPr>
        <w:rFonts w:hint="default"/>
        <w:lang w:val="es-ES" w:eastAsia="en-US" w:bidi="ar-SA"/>
      </w:rPr>
    </w:lvl>
    <w:lvl w:ilvl="8" w:tplc="150CEA9A">
      <w:numFmt w:val="bullet"/>
      <w:lvlText w:val="•"/>
      <w:lvlJc w:val="left"/>
      <w:pPr>
        <w:ind w:left="9628" w:hanging="348"/>
      </w:pPr>
      <w:rPr>
        <w:rFonts w:hint="default"/>
        <w:lang w:val="es-ES" w:eastAsia="en-US" w:bidi="ar-SA"/>
      </w:rPr>
    </w:lvl>
  </w:abstractNum>
  <w:abstractNum w:abstractNumId="16" w15:restartNumberingAfterBreak="0">
    <w:nsid w:val="225D0B30"/>
    <w:multiLevelType w:val="hybridMultilevel"/>
    <w:tmpl w:val="9E9C78FA"/>
    <w:lvl w:ilvl="0" w:tplc="9CDC4DF2">
      <w:numFmt w:val="bullet"/>
      <w:lvlText w:val=""/>
      <w:lvlJc w:val="left"/>
      <w:pPr>
        <w:ind w:left="816" w:hanging="348"/>
      </w:pPr>
      <w:rPr>
        <w:rFonts w:ascii="Symbol" w:eastAsia="Symbol" w:hAnsi="Symbol" w:cs="Symbol" w:hint="default"/>
        <w:b w:val="0"/>
        <w:bCs w:val="0"/>
        <w:i w:val="0"/>
        <w:iCs w:val="0"/>
        <w:spacing w:val="0"/>
        <w:w w:val="99"/>
        <w:sz w:val="20"/>
        <w:szCs w:val="20"/>
        <w:lang w:val="es-ES" w:eastAsia="en-US" w:bidi="ar-SA"/>
      </w:rPr>
    </w:lvl>
    <w:lvl w:ilvl="1" w:tplc="9F446716">
      <w:numFmt w:val="bullet"/>
      <w:lvlText w:val="•"/>
      <w:lvlJc w:val="left"/>
      <w:pPr>
        <w:ind w:left="1521" w:hanging="348"/>
      </w:pPr>
      <w:rPr>
        <w:rFonts w:hint="default"/>
        <w:lang w:val="es-ES" w:eastAsia="en-US" w:bidi="ar-SA"/>
      </w:rPr>
    </w:lvl>
    <w:lvl w:ilvl="2" w:tplc="527E24F8">
      <w:numFmt w:val="bullet"/>
      <w:lvlText w:val="•"/>
      <w:lvlJc w:val="left"/>
      <w:pPr>
        <w:ind w:left="2223" w:hanging="348"/>
      </w:pPr>
      <w:rPr>
        <w:rFonts w:hint="default"/>
        <w:lang w:val="es-ES" w:eastAsia="en-US" w:bidi="ar-SA"/>
      </w:rPr>
    </w:lvl>
    <w:lvl w:ilvl="3" w:tplc="8A14B900">
      <w:numFmt w:val="bullet"/>
      <w:lvlText w:val="•"/>
      <w:lvlJc w:val="left"/>
      <w:pPr>
        <w:ind w:left="2925" w:hanging="348"/>
      </w:pPr>
      <w:rPr>
        <w:rFonts w:hint="default"/>
        <w:lang w:val="es-ES" w:eastAsia="en-US" w:bidi="ar-SA"/>
      </w:rPr>
    </w:lvl>
    <w:lvl w:ilvl="4" w:tplc="E05EF600">
      <w:numFmt w:val="bullet"/>
      <w:lvlText w:val="•"/>
      <w:lvlJc w:val="left"/>
      <w:pPr>
        <w:ind w:left="3626" w:hanging="348"/>
      </w:pPr>
      <w:rPr>
        <w:rFonts w:hint="default"/>
        <w:lang w:val="es-ES" w:eastAsia="en-US" w:bidi="ar-SA"/>
      </w:rPr>
    </w:lvl>
    <w:lvl w:ilvl="5" w:tplc="EB7A63CE">
      <w:numFmt w:val="bullet"/>
      <w:lvlText w:val="•"/>
      <w:lvlJc w:val="left"/>
      <w:pPr>
        <w:ind w:left="4328" w:hanging="348"/>
      </w:pPr>
      <w:rPr>
        <w:rFonts w:hint="default"/>
        <w:lang w:val="es-ES" w:eastAsia="en-US" w:bidi="ar-SA"/>
      </w:rPr>
    </w:lvl>
    <w:lvl w:ilvl="6" w:tplc="5D248602">
      <w:numFmt w:val="bullet"/>
      <w:lvlText w:val="•"/>
      <w:lvlJc w:val="left"/>
      <w:pPr>
        <w:ind w:left="5030" w:hanging="348"/>
      </w:pPr>
      <w:rPr>
        <w:rFonts w:hint="default"/>
        <w:lang w:val="es-ES" w:eastAsia="en-US" w:bidi="ar-SA"/>
      </w:rPr>
    </w:lvl>
    <w:lvl w:ilvl="7" w:tplc="72885D92">
      <w:numFmt w:val="bullet"/>
      <w:lvlText w:val="•"/>
      <w:lvlJc w:val="left"/>
      <w:pPr>
        <w:ind w:left="5731" w:hanging="348"/>
      </w:pPr>
      <w:rPr>
        <w:rFonts w:hint="default"/>
        <w:lang w:val="es-ES" w:eastAsia="en-US" w:bidi="ar-SA"/>
      </w:rPr>
    </w:lvl>
    <w:lvl w:ilvl="8" w:tplc="13A299B4">
      <w:numFmt w:val="bullet"/>
      <w:lvlText w:val="•"/>
      <w:lvlJc w:val="left"/>
      <w:pPr>
        <w:ind w:left="6433" w:hanging="348"/>
      </w:pPr>
      <w:rPr>
        <w:rFonts w:hint="default"/>
        <w:lang w:val="es-ES" w:eastAsia="en-US" w:bidi="ar-SA"/>
      </w:rPr>
    </w:lvl>
  </w:abstractNum>
  <w:abstractNum w:abstractNumId="17" w15:restartNumberingAfterBreak="0">
    <w:nsid w:val="22A01354"/>
    <w:multiLevelType w:val="hybridMultilevel"/>
    <w:tmpl w:val="7028471E"/>
    <w:lvl w:ilvl="0" w:tplc="975C4904">
      <w:start w:val="1"/>
      <w:numFmt w:val="upperRoman"/>
      <w:lvlText w:val="%1."/>
      <w:lvlJc w:val="left"/>
      <w:pPr>
        <w:ind w:left="0" w:hanging="320"/>
      </w:pPr>
      <w:rPr>
        <w:rFonts w:ascii="Times New Roman" w:eastAsia="Arial" w:hAnsi="Times New Roman" w:cs="Times New Roman" w:hint="default"/>
        <w:b/>
        <w:bCs/>
        <w:i w:val="0"/>
        <w:iCs w:val="0"/>
        <w:spacing w:val="0"/>
        <w:w w:val="100"/>
        <w:sz w:val="24"/>
        <w:szCs w:val="24"/>
        <w:lang w:val="es-ES" w:eastAsia="en-US" w:bidi="ar-SA"/>
      </w:rPr>
    </w:lvl>
    <w:lvl w:ilvl="1" w:tplc="496C141C">
      <w:numFmt w:val="bullet"/>
      <w:lvlText w:val="•"/>
      <w:lvlJc w:val="left"/>
      <w:pPr>
        <w:ind w:left="972" w:hanging="320"/>
      </w:pPr>
      <w:rPr>
        <w:rFonts w:hint="default"/>
        <w:lang w:val="es-ES" w:eastAsia="en-US" w:bidi="ar-SA"/>
      </w:rPr>
    </w:lvl>
    <w:lvl w:ilvl="2" w:tplc="CEEE07FA">
      <w:numFmt w:val="bullet"/>
      <w:lvlText w:val="•"/>
      <w:lvlJc w:val="left"/>
      <w:pPr>
        <w:ind w:left="1944" w:hanging="320"/>
      </w:pPr>
      <w:rPr>
        <w:rFonts w:hint="default"/>
        <w:lang w:val="es-ES" w:eastAsia="en-US" w:bidi="ar-SA"/>
      </w:rPr>
    </w:lvl>
    <w:lvl w:ilvl="3" w:tplc="5F84CDC2">
      <w:numFmt w:val="bullet"/>
      <w:lvlText w:val="•"/>
      <w:lvlJc w:val="left"/>
      <w:pPr>
        <w:ind w:left="2916" w:hanging="320"/>
      </w:pPr>
      <w:rPr>
        <w:rFonts w:hint="default"/>
        <w:lang w:val="es-ES" w:eastAsia="en-US" w:bidi="ar-SA"/>
      </w:rPr>
    </w:lvl>
    <w:lvl w:ilvl="4" w:tplc="37F4FB7E">
      <w:numFmt w:val="bullet"/>
      <w:lvlText w:val="•"/>
      <w:lvlJc w:val="left"/>
      <w:pPr>
        <w:ind w:left="3888" w:hanging="320"/>
      </w:pPr>
      <w:rPr>
        <w:rFonts w:hint="default"/>
        <w:lang w:val="es-ES" w:eastAsia="en-US" w:bidi="ar-SA"/>
      </w:rPr>
    </w:lvl>
    <w:lvl w:ilvl="5" w:tplc="CFA0CB1C">
      <w:numFmt w:val="bullet"/>
      <w:lvlText w:val="•"/>
      <w:lvlJc w:val="left"/>
      <w:pPr>
        <w:ind w:left="4860" w:hanging="320"/>
      </w:pPr>
      <w:rPr>
        <w:rFonts w:hint="default"/>
        <w:lang w:val="es-ES" w:eastAsia="en-US" w:bidi="ar-SA"/>
      </w:rPr>
    </w:lvl>
    <w:lvl w:ilvl="6" w:tplc="70784D98">
      <w:numFmt w:val="bullet"/>
      <w:lvlText w:val="•"/>
      <w:lvlJc w:val="left"/>
      <w:pPr>
        <w:ind w:left="5832" w:hanging="320"/>
      </w:pPr>
      <w:rPr>
        <w:rFonts w:hint="default"/>
        <w:lang w:val="es-ES" w:eastAsia="en-US" w:bidi="ar-SA"/>
      </w:rPr>
    </w:lvl>
    <w:lvl w:ilvl="7" w:tplc="4000C196">
      <w:numFmt w:val="bullet"/>
      <w:lvlText w:val="•"/>
      <w:lvlJc w:val="left"/>
      <w:pPr>
        <w:ind w:left="6804" w:hanging="320"/>
      </w:pPr>
      <w:rPr>
        <w:rFonts w:hint="default"/>
        <w:lang w:val="es-ES" w:eastAsia="en-US" w:bidi="ar-SA"/>
      </w:rPr>
    </w:lvl>
    <w:lvl w:ilvl="8" w:tplc="3B221074">
      <w:numFmt w:val="bullet"/>
      <w:lvlText w:val="•"/>
      <w:lvlJc w:val="left"/>
      <w:pPr>
        <w:ind w:left="7776" w:hanging="320"/>
      </w:pPr>
      <w:rPr>
        <w:rFonts w:hint="default"/>
        <w:lang w:val="es-ES" w:eastAsia="en-US" w:bidi="ar-SA"/>
      </w:rPr>
    </w:lvl>
  </w:abstractNum>
  <w:abstractNum w:abstractNumId="18" w15:restartNumberingAfterBreak="0">
    <w:nsid w:val="2A0E1AB5"/>
    <w:multiLevelType w:val="hybridMultilevel"/>
    <w:tmpl w:val="69A2F9DC"/>
    <w:lvl w:ilvl="0" w:tplc="F6580E0A">
      <w:start w:val="3"/>
      <w:numFmt w:val="upperRoman"/>
      <w:lvlText w:val="%1."/>
      <w:lvlJc w:val="left"/>
      <w:pPr>
        <w:ind w:left="105" w:hanging="355"/>
      </w:pPr>
      <w:rPr>
        <w:rFonts w:ascii="Times New Roman" w:eastAsia="Arial" w:hAnsi="Times New Roman" w:cs="Times New Roman" w:hint="default"/>
        <w:b/>
        <w:bCs/>
        <w:i w:val="0"/>
        <w:iCs w:val="0"/>
        <w:spacing w:val="-5"/>
        <w:w w:val="100"/>
        <w:sz w:val="24"/>
        <w:szCs w:val="24"/>
        <w:lang w:val="es-ES" w:eastAsia="en-US" w:bidi="ar-SA"/>
      </w:rPr>
    </w:lvl>
    <w:lvl w:ilvl="1" w:tplc="36B08C10">
      <w:numFmt w:val="bullet"/>
      <w:lvlText w:val="•"/>
      <w:lvlJc w:val="left"/>
      <w:pPr>
        <w:ind w:left="530" w:hanging="355"/>
      </w:pPr>
      <w:rPr>
        <w:rFonts w:hint="default"/>
        <w:lang w:val="es-ES" w:eastAsia="en-US" w:bidi="ar-SA"/>
      </w:rPr>
    </w:lvl>
    <w:lvl w:ilvl="2" w:tplc="C0D8C74A">
      <w:numFmt w:val="bullet"/>
      <w:lvlText w:val="•"/>
      <w:lvlJc w:val="left"/>
      <w:pPr>
        <w:ind w:left="960" w:hanging="355"/>
      </w:pPr>
      <w:rPr>
        <w:rFonts w:hint="default"/>
        <w:lang w:val="es-ES" w:eastAsia="en-US" w:bidi="ar-SA"/>
      </w:rPr>
    </w:lvl>
    <w:lvl w:ilvl="3" w:tplc="0F2437C4">
      <w:numFmt w:val="bullet"/>
      <w:lvlText w:val="•"/>
      <w:lvlJc w:val="left"/>
      <w:pPr>
        <w:ind w:left="1390" w:hanging="355"/>
      </w:pPr>
      <w:rPr>
        <w:rFonts w:hint="default"/>
        <w:lang w:val="es-ES" w:eastAsia="en-US" w:bidi="ar-SA"/>
      </w:rPr>
    </w:lvl>
    <w:lvl w:ilvl="4" w:tplc="E09A06C0">
      <w:numFmt w:val="bullet"/>
      <w:lvlText w:val="•"/>
      <w:lvlJc w:val="left"/>
      <w:pPr>
        <w:ind w:left="1821" w:hanging="355"/>
      </w:pPr>
      <w:rPr>
        <w:rFonts w:hint="default"/>
        <w:lang w:val="es-ES" w:eastAsia="en-US" w:bidi="ar-SA"/>
      </w:rPr>
    </w:lvl>
    <w:lvl w:ilvl="5" w:tplc="63320E14">
      <w:numFmt w:val="bullet"/>
      <w:lvlText w:val="•"/>
      <w:lvlJc w:val="left"/>
      <w:pPr>
        <w:ind w:left="2251" w:hanging="355"/>
      </w:pPr>
      <w:rPr>
        <w:rFonts w:hint="default"/>
        <w:lang w:val="es-ES" w:eastAsia="en-US" w:bidi="ar-SA"/>
      </w:rPr>
    </w:lvl>
    <w:lvl w:ilvl="6" w:tplc="51D6112C">
      <w:numFmt w:val="bullet"/>
      <w:lvlText w:val="•"/>
      <w:lvlJc w:val="left"/>
      <w:pPr>
        <w:ind w:left="2681" w:hanging="355"/>
      </w:pPr>
      <w:rPr>
        <w:rFonts w:hint="default"/>
        <w:lang w:val="es-ES" w:eastAsia="en-US" w:bidi="ar-SA"/>
      </w:rPr>
    </w:lvl>
    <w:lvl w:ilvl="7" w:tplc="2DDA6332">
      <w:numFmt w:val="bullet"/>
      <w:lvlText w:val="•"/>
      <w:lvlJc w:val="left"/>
      <w:pPr>
        <w:ind w:left="3112" w:hanging="355"/>
      </w:pPr>
      <w:rPr>
        <w:rFonts w:hint="default"/>
        <w:lang w:val="es-ES" w:eastAsia="en-US" w:bidi="ar-SA"/>
      </w:rPr>
    </w:lvl>
    <w:lvl w:ilvl="8" w:tplc="056C6638">
      <w:numFmt w:val="bullet"/>
      <w:lvlText w:val="•"/>
      <w:lvlJc w:val="left"/>
      <w:pPr>
        <w:ind w:left="3542" w:hanging="355"/>
      </w:pPr>
      <w:rPr>
        <w:rFonts w:hint="default"/>
        <w:lang w:val="es-ES" w:eastAsia="en-US" w:bidi="ar-SA"/>
      </w:rPr>
    </w:lvl>
  </w:abstractNum>
  <w:abstractNum w:abstractNumId="19" w15:restartNumberingAfterBreak="0">
    <w:nsid w:val="300034EF"/>
    <w:multiLevelType w:val="hybridMultilevel"/>
    <w:tmpl w:val="C220EBA4"/>
    <w:lvl w:ilvl="0" w:tplc="FB00E828">
      <w:start w:val="1"/>
      <w:numFmt w:val="lowerLetter"/>
      <w:lvlText w:val="%1)."/>
      <w:lvlJc w:val="left"/>
      <w:pPr>
        <w:ind w:left="720" w:hanging="360"/>
      </w:pPr>
      <w:rPr>
        <w:rFonts w:hint="default"/>
      </w:rPr>
    </w:lvl>
    <w:lvl w:ilvl="1" w:tplc="AEF47648">
      <w:start w:val="1"/>
      <w:numFmt w:val="lowerLetter"/>
      <w:lvlText w:val="%2)"/>
      <w:lvlJc w:val="left"/>
      <w:pPr>
        <w:ind w:left="1440" w:hanging="360"/>
      </w:pPr>
      <w:rPr>
        <w:b/>
        <w:color w:val="auto"/>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30044EB5"/>
    <w:multiLevelType w:val="multilevel"/>
    <w:tmpl w:val="9A52B48C"/>
    <w:lvl w:ilvl="0">
      <w:start w:val="15"/>
      <w:numFmt w:val="lowerLetter"/>
      <w:lvlText w:val="%1)."/>
      <w:lvlJc w:val="left"/>
      <w:pPr>
        <w:tabs>
          <w:tab w:val="decimal" w:pos="288"/>
        </w:tabs>
        <w:ind w:left="720"/>
      </w:pPr>
      <w:rPr>
        <w:rFonts w:ascii="Arial" w:hAnsi="Arial"/>
        <w:strike w:val="0"/>
        <w:color w:val="000000"/>
        <w:spacing w:val="14"/>
        <w:w w:val="100"/>
        <w:sz w:val="19"/>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5262DB5"/>
    <w:multiLevelType w:val="hybridMultilevel"/>
    <w:tmpl w:val="1A84A4C2"/>
    <w:lvl w:ilvl="0" w:tplc="1F38112C">
      <w:start w:val="1"/>
      <w:numFmt w:val="upperRoman"/>
      <w:lvlText w:val="%1."/>
      <w:lvlJc w:val="right"/>
      <w:pPr>
        <w:ind w:left="720" w:hanging="360"/>
      </w:pPr>
      <w:rPr>
        <w:b/>
        <w:color w:val="00000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6A767BF"/>
    <w:multiLevelType w:val="hybridMultilevel"/>
    <w:tmpl w:val="518CC572"/>
    <w:lvl w:ilvl="0" w:tplc="3E1E86B4">
      <w:start w:val="1"/>
      <w:numFmt w:val="decimal"/>
      <w:lvlText w:val="%1."/>
      <w:lvlJc w:val="left"/>
      <w:pPr>
        <w:ind w:left="2061" w:hanging="348"/>
      </w:pPr>
      <w:rPr>
        <w:rFonts w:ascii="Times New Roman" w:eastAsia="Arial MT" w:hAnsi="Times New Roman" w:cs="Times New Roman" w:hint="default"/>
        <w:b w:val="0"/>
        <w:bCs w:val="0"/>
        <w:i w:val="0"/>
        <w:iCs w:val="0"/>
        <w:spacing w:val="0"/>
        <w:w w:val="100"/>
        <w:sz w:val="24"/>
        <w:szCs w:val="24"/>
        <w:lang w:val="es-ES" w:eastAsia="en-US" w:bidi="ar-SA"/>
      </w:rPr>
    </w:lvl>
    <w:lvl w:ilvl="1" w:tplc="59D23324">
      <w:numFmt w:val="bullet"/>
      <w:lvlText w:val="•"/>
      <w:lvlJc w:val="left"/>
      <w:pPr>
        <w:ind w:left="3006" w:hanging="348"/>
      </w:pPr>
      <w:rPr>
        <w:rFonts w:hint="default"/>
        <w:lang w:val="es-ES" w:eastAsia="en-US" w:bidi="ar-SA"/>
      </w:rPr>
    </w:lvl>
    <w:lvl w:ilvl="2" w:tplc="472AAC0E">
      <w:numFmt w:val="bullet"/>
      <w:lvlText w:val="•"/>
      <w:lvlJc w:val="left"/>
      <w:pPr>
        <w:ind w:left="3952" w:hanging="348"/>
      </w:pPr>
      <w:rPr>
        <w:rFonts w:hint="default"/>
        <w:lang w:val="es-ES" w:eastAsia="en-US" w:bidi="ar-SA"/>
      </w:rPr>
    </w:lvl>
    <w:lvl w:ilvl="3" w:tplc="15DAB944">
      <w:numFmt w:val="bullet"/>
      <w:lvlText w:val="•"/>
      <w:lvlJc w:val="left"/>
      <w:pPr>
        <w:ind w:left="4898" w:hanging="348"/>
      </w:pPr>
      <w:rPr>
        <w:rFonts w:hint="default"/>
        <w:lang w:val="es-ES" w:eastAsia="en-US" w:bidi="ar-SA"/>
      </w:rPr>
    </w:lvl>
    <w:lvl w:ilvl="4" w:tplc="F5185628">
      <w:numFmt w:val="bullet"/>
      <w:lvlText w:val="•"/>
      <w:lvlJc w:val="left"/>
      <w:pPr>
        <w:ind w:left="5844" w:hanging="348"/>
      </w:pPr>
      <w:rPr>
        <w:rFonts w:hint="default"/>
        <w:lang w:val="es-ES" w:eastAsia="en-US" w:bidi="ar-SA"/>
      </w:rPr>
    </w:lvl>
    <w:lvl w:ilvl="5" w:tplc="C45C961C">
      <w:numFmt w:val="bullet"/>
      <w:lvlText w:val="•"/>
      <w:lvlJc w:val="left"/>
      <w:pPr>
        <w:ind w:left="6790" w:hanging="348"/>
      </w:pPr>
      <w:rPr>
        <w:rFonts w:hint="default"/>
        <w:lang w:val="es-ES" w:eastAsia="en-US" w:bidi="ar-SA"/>
      </w:rPr>
    </w:lvl>
    <w:lvl w:ilvl="6" w:tplc="46C8FB42">
      <w:numFmt w:val="bullet"/>
      <w:lvlText w:val="•"/>
      <w:lvlJc w:val="left"/>
      <w:pPr>
        <w:ind w:left="7736" w:hanging="348"/>
      </w:pPr>
      <w:rPr>
        <w:rFonts w:hint="default"/>
        <w:lang w:val="es-ES" w:eastAsia="en-US" w:bidi="ar-SA"/>
      </w:rPr>
    </w:lvl>
    <w:lvl w:ilvl="7" w:tplc="BD700638">
      <w:numFmt w:val="bullet"/>
      <w:lvlText w:val="•"/>
      <w:lvlJc w:val="left"/>
      <w:pPr>
        <w:ind w:left="8682" w:hanging="348"/>
      </w:pPr>
      <w:rPr>
        <w:rFonts w:hint="default"/>
        <w:lang w:val="es-ES" w:eastAsia="en-US" w:bidi="ar-SA"/>
      </w:rPr>
    </w:lvl>
    <w:lvl w:ilvl="8" w:tplc="EFECBCB4">
      <w:numFmt w:val="bullet"/>
      <w:lvlText w:val="•"/>
      <w:lvlJc w:val="left"/>
      <w:pPr>
        <w:ind w:left="9628" w:hanging="348"/>
      </w:pPr>
      <w:rPr>
        <w:rFonts w:hint="default"/>
        <w:lang w:val="es-ES" w:eastAsia="en-US" w:bidi="ar-SA"/>
      </w:rPr>
    </w:lvl>
  </w:abstractNum>
  <w:abstractNum w:abstractNumId="23" w15:restartNumberingAfterBreak="0">
    <w:nsid w:val="433C26EF"/>
    <w:multiLevelType w:val="hybridMultilevel"/>
    <w:tmpl w:val="67EA0208"/>
    <w:lvl w:ilvl="0" w:tplc="F00228D2">
      <w:start w:val="1"/>
      <w:numFmt w:val="upperRoman"/>
      <w:lvlText w:val="%1."/>
      <w:lvlJc w:val="left"/>
      <w:pPr>
        <w:ind w:left="1047" w:hanging="720"/>
      </w:pPr>
      <w:rPr>
        <w:rFonts w:hint="default"/>
      </w:rPr>
    </w:lvl>
    <w:lvl w:ilvl="1" w:tplc="080A0019" w:tentative="1">
      <w:start w:val="1"/>
      <w:numFmt w:val="lowerLetter"/>
      <w:lvlText w:val="%2."/>
      <w:lvlJc w:val="left"/>
      <w:pPr>
        <w:ind w:left="1407" w:hanging="360"/>
      </w:pPr>
    </w:lvl>
    <w:lvl w:ilvl="2" w:tplc="080A001B" w:tentative="1">
      <w:start w:val="1"/>
      <w:numFmt w:val="lowerRoman"/>
      <w:lvlText w:val="%3."/>
      <w:lvlJc w:val="right"/>
      <w:pPr>
        <w:ind w:left="2127" w:hanging="180"/>
      </w:pPr>
    </w:lvl>
    <w:lvl w:ilvl="3" w:tplc="080A000F" w:tentative="1">
      <w:start w:val="1"/>
      <w:numFmt w:val="decimal"/>
      <w:lvlText w:val="%4."/>
      <w:lvlJc w:val="left"/>
      <w:pPr>
        <w:ind w:left="2847" w:hanging="360"/>
      </w:pPr>
    </w:lvl>
    <w:lvl w:ilvl="4" w:tplc="080A0019" w:tentative="1">
      <w:start w:val="1"/>
      <w:numFmt w:val="lowerLetter"/>
      <w:lvlText w:val="%5."/>
      <w:lvlJc w:val="left"/>
      <w:pPr>
        <w:ind w:left="3567" w:hanging="360"/>
      </w:pPr>
    </w:lvl>
    <w:lvl w:ilvl="5" w:tplc="080A001B" w:tentative="1">
      <w:start w:val="1"/>
      <w:numFmt w:val="lowerRoman"/>
      <w:lvlText w:val="%6."/>
      <w:lvlJc w:val="right"/>
      <w:pPr>
        <w:ind w:left="4287" w:hanging="180"/>
      </w:pPr>
    </w:lvl>
    <w:lvl w:ilvl="6" w:tplc="080A000F" w:tentative="1">
      <w:start w:val="1"/>
      <w:numFmt w:val="decimal"/>
      <w:lvlText w:val="%7."/>
      <w:lvlJc w:val="left"/>
      <w:pPr>
        <w:ind w:left="5007" w:hanging="360"/>
      </w:pPr>
    </w:lvl>
    <w:lvl w:ilvl="7" w:tplc="080A0019" w:tentative="1">
      <w:start w:val="1"/>
      <w:numFmt w:val="lowerLetter"/>
      <w:lvlText w:val="%8."/>
      <w:lvlJc w:val="left"/>
      <w:pPr>
        <w:ind w:left="5727" w:hanging="360"/>
      </w:pPr>
    </w:lvl>
    <w:lvl w:ilvl="8" w:tplc="080A001B" w:tentative="1">
      <w:start w:val="1"/>
      <w:numFmt w:val="lowerRoman"/>
      <w:lvlText w:val="%9."/>
      <w:lvlJc w:val="right"/>
      <w:pPr>
        <w:ind w:left="6447" w:hanging="180"/>
      </w:pPr>
    </w:lvl>
  </w:abstractNum>
  <w:abstractNum w:abstractNumId="24" w15:restartNumberingAfterBreak="0">
    <w:nsid w:val="454D5CB5"/>
    <w:multiLevelType w:val="hybridMultilevel"/>
    <w:tmpl w:val="8D743C42"/>
    <w:lvl w:ilvl="0" w:tplc="080A0001">
      <w:start w:val="1"/>
      <w:numFmt w:val="bullet"/>
      <w:lvlText w:val=""/>
      <w:lvlJc w:val="left"/>
      <w:pPr>
        <w:ind w:left="1350" w:hanging="360"/>
      </w:pPr>
      <w:rPr>
        <w:rFonts w:ascii="Symbol" w:hAnsi="Symbol" w:hint="default"/>
      </w:rPr>
    </w:lvl>
    <w:lvl w:ilvl="1" w:tplc="080A0003" w:tentative="1">
      <w:start w:val="1"/>
      <w:numFmt w:val="bullet"/>
      <w:lvlText w:val="o"/>
      <w:lvlJc w:val="left"/>
      <w:pPr>
        <w:ind w:left="2070" w:hanging="360"/>
      </w:pPr>
      <w:rPr>
        <w:rFonts w:ascii="Courier New" w:hAnsi="Courier New" w:cs="Courier New" w:hint="default"/>
      </w:rPr>
    </w:lvl>
    <w:lvl w:ilvl="2" w:tplc="080A0005" w:tentative="1">
      <w:start w:val="1"/>
      <w:numFmt w:val="bullet"/>
      <w:lvlText w:val=""/>
      <w:lvlJc w:val="left"/>
      <w:pPr>
        <w:ind w:left="2790" w:hanging="360"/>
      </w:pPr>
      <w:rPr>
        <w:rFonts w:ascii="Wingdings" w:hAnsi="Wingdings" w:hint="default"/>
      </w:rPr>
    </w:lvl>
    <w:lvl w:ilvl="3" w:tplc="080A0001" w:tentative="1">
      <w:start w:val="1"/>
      <w:numFmt w:val="bullet"/>
      <w:lvlText w:val=""/>
      <w:lvlJc w:val="left"/>
      <w:pPr>
        <w:ind w:left="3510" w:hanging="360"/>
      </w:pPr>
      <w:rPr>
        <w:rFonts w:ascii="Symbol" w:hAnsi="Symbol" w:hint="default"/>
      </w:rPr>
    </w:lvl>
    <w:lvl w:ilvl="4" w:tplc="080A0003" w:tentative="1">
      <w:start w:val="1"/>
      <w:numFmt w:val="bullet"/>
      <w:lvlText w:val="o"/>
      <w:lvlJc w:val="left"/>
      <w:pPr>
        <w:ind w:left="4230" w:hanging="360"/>
      </w:pPr>
      <w:rPr>
        <w:rFonts w:ascii="Courier New" w:hAnsi="Courier New" w:cs="Courier New" w:hint="default"/>
      </w:rPr>
    </w:lvl>
    <w:lvl w:ilvl="5" w:tplc="080A0005" w:tentative="1">
      <w:start w:val="1"/>
      <w:numFmt w:val="bullet"/>
      <w:lvlText w:val=""/>
      <w:lvlJc w:val="left"/>
      <w:pPr>
        <w:ind w:left="4950" w:hanging="360"/>
      </w:pPr>
      <w:rPr>
        <w:rFonts w:ascii="Wingdings" w:hAnsi="Wingdings" w:hint="default"/>
      </w:rPr>
    </w:lvl>
    <w:lvl w:ilvl="6" w:tplc="080A0001" w:tentative="1">
      <w:start w:val="1"/>
      <w:numFmt w:val="bullet"/>
      <w:lvlText w:val=""/>
      <w:lvlJc w:val="left"/>
      <w:pPr>
        <w:ind w:left="5670" w:hanging="360"/>
      </w:pPr>
      <w:rPr>
        <w:rFonts w:ascii="Symbol" w:hAnsi="Symbol" w:hint="default"/>
      </w:rPr>
    </w:lvl>
    <w:lvl w:ilvl="7" w:tplc="080A0003" w:tentative="1">
      <w:start w:val="1"/>
      <w:numFmt w:val="bullet"/>
      <w:lvlText w:val="o"/>
      <w:lvlJc w:val="left"/>
      <w:pPr>
        <w:ind w:left="6390" w:hanging="360"/>
      </w:pPr>
      <w:rPr>
        <w:rFonts w:ascii="Courier New" w:hAnsi="Courier New" w:cs="Courier New" w:hint="default"/>
      </w:rPr>
    </w:lvl>
    <w:lvl w:ilvl="8" w:tplc="080A0005" w:tentative="1">
      <w:start w:val="1"/>
      <w:numFmt w:val="bullet"/>
      <w:lvlText w:val=""/>
      <w:lvlJc w:val="left"/>
      <w:pPr>
        <w:ind w:left="7110" w:hanging="360"/>
      </w:pPr>
      <w:rPr>
        <w:rFonts w:ascii="Wingdings" w:hAnsi="Wingdings" w:hint="default"/>
      </w:rPr>
    </w:lvl>
  </w:abstractNum>
  <w:abstractNum w:abstractNumId="25" w15:restartNumberingAfterBreak="0">
    <w:nsid w:val="4CFD3AB4"/>
    <w:multiLevelType w:val="hybridMultilevel"/>
    <w:tmpl w:val="50C88DA6"/>
    <w:lvl w:ilvl="0" w:tplc="8C38CE36">
      <w:start w:val="1"/>
      <w:numFmt w:val="decimal"/>
      <w:lvlText w:val="%1."/>
      <w:lvlJc w:val="left"/>
      <w:pPr>
        <w:ind w:left="266" w:hanging="267"/>
      </w:pPr>
      <w:rPr>
        <w:rFonts w:ascii="Times New Roman" w:eastAsia="Arial" w:hAnsi="Times New Roman" w:cs="Times New Roman" w:hint="default"/>
        <w:b/>
        <w:bCs/>
        <w:i w:val="0"/>
        <w:iCs w:val="0"/>
        <w:spacing w:val="0"/>
        <w:w w:val="100"/>
        <w:sz w:val="24"/>
        <w:szCs w:val="24"/>
        <w:lang w:val="es-ES" w:eastAsia="en-US" w:bidi="ar-SA"/>
      </w:rPr>
    </w:lvl>
    <w:lvl w:ilvl="1" w:tplc="B26A1150">
      <w:numFmt w:val="bullet"/>
      <w:lvlText w:val="•"/>
      <w:lvlJc w:val="left"/>
      <w:pPr>
        <w:ind w:left="1206" w:hanging="267"/>
      </w:pPr>
      <w:rPr>
        <w:rFonts w:hint="default"/>
        <w:lang w:val="es-ES" w:eastAsia="en-US" w:bidi="ar-SA"/>
      </w:rPr>
    </w:lvl>
    <w:lvl w:ilvl="2" w:tplc="741E118C">
      <w:numFmt w:val="bullet"/>
      <w:lvlText w:val="•"/>
      <w:lvlJc w:val="left"/>
      <w:pPr>
        <w:ind w:left="2152" w:hanging="267"/>
      </w:pPr>
      <w:rPr>
        <w:rFonts w:hint="default"/>
        <w:lang w:val="es-ES" w:eastAsia="en-US" w:bidi="ar-SA"/>
      </w:rPr>
    </w:lvl>
    <w:lvl w:ilvl="3" w:tplc="AC7EE7A6">
      <w:numFmt w:val="bullet"/>
      <w:lvlText w:val="•"/>
      <w:lvlJc w:val="left"/>
      <w:pPr>
        <w:ind w:left="3098" w:hanging="267"/>
      </w:pPr>
      <w:rPr>
        <w:rFonts w:hint="default"/>
        <w:lang w:val="es-ES" w:eastAsia="en-US" w:bidi="ar-SA"/>
      </w:rPr>
    </w:lvl>
    <w:lvl w:ilvl="4" w:tplc="7FDC8474">
      <w:numFmt w:val="bullet"/>
      <w:lvlText w:val="•"/>
      <w:lvlJc w:val="left"/>
      <w:pPr>
        <w:ind w:left="4044" w:hanging="267"/>
      </w:pPr>
      <w:rPr>
        <w:rFonts w:hint="default"/>
        <w:lang w:val="es-ES" w:eastAsia="en-US" w:bidi="ar-SA"/>
      </w:rPr>
    </w:lvl>
    <w:lvl w:ilvl="5" w:tplc="CF08061E">
      <w:numFmt w:val="bullet"/>
      <w:lvlText w:val="•"/>
      <w:lvlJc w:val="left"/>
      <w:pPr>
        <w:ind w:left="4990" w:hanging="267"/>
      </w:pPr>
      <w:rPr>
        <w:rFonts w:hint="default"/>
        <w:lang w:val="es-ES" w:eastAsia="en-US" w:bidi="ar-SA"/>
      </w:rPr>
    </w:lvl>
    <w:lvl w:ilvl="6" w:tplc="21AAF866">
      <w:numFmt w:val="bullet"/>
      <w:lvlText w:val="•"/>
      <w:lvlJc w:val="left"/>
      <w:pPr>
        <w:ind w:left="5936" w:hanging="267"/>
      </w:pPr>
      <w:rPr>
        <w:rFonts w:hint="default"/>
        <w:lang w:val="es-ES" w:eastAsia="en-US" w:bidi="ar-SA"/>
      </w:rPr>
    </w:lvl>
    <w:lvl w:ilvl="7" w:tplc="10608212">
      <w:numFmt w:val="bullet"/>
      <w:lvlText w:val="•"/>
      <w:lvlJc w:val="left"/>
      <w:pPr>
        <w:ind w:left="6882" w:hanging="267"/>
      </w:pPr>
      <w:rPr>
        <w:rFonts w:hint="default"/>
        <w:lang w:val="es-ES" w:eastAsia="en-US" w:bidi="ar-SA"/>
      </w:rPr>
    </w:lvl>
    <w:lvl w:ilvl="8" w:tplc="5C94290C">
      <w:numFmt w:val="bullet"/>
      <w:lvlText w:val="•"/>
      <w:lvlJc w:val="left"/>
      <w:pPr>
        <w:ind w:left="7828" w:hanging="267"/>
      </w:pPr>
      <w:rPr>
        <w:rFonts w:hint="default"/>
        <w:lang w:val="es-ES" w:eastAsia="en-US" w:bidi="ar-SA"/>
      </w:rPr>
    </w:lvl>
  </w:abstractNum>
  <w:abstractNum w:abstractNumId="26" w15:restartNumberingAfterBreak="0">
    <w:nsid w:val="4D2D7991"/>
    <w:multiLevelType w:val="hybridMultilevel"/>
    <w:tmpl w:val="1690EF50"/>
    <w:lvl w:ilvl="0" w:tplc="394A36EA">
      <w:start w:val="1"/>
      <w:numFmt w:val="upperRoman"/>
      <w:lvlText w:val="%1."/>
      <w:lvlJc w:val="left"/>
      <w:pPr>
        <w:ind w:left="1127" w:hanging="720"/>
      </w:pPr>
      <w:rPr>
        <w:rFonts w:hint="default"/>
      </w:rPr>
    </w:lvl>
    <w:lvl w:ilvl="1" w:tplc="080A0019" w:tentative="1">
      <w:start w:val="1"/>
      <w:numFmt w:val="lowerLetter"/>
      <w:lvlText w:val="%2."/>
      <w:lvlJc w:val="left"/>
      <w:pPr>
        <w:ind w:left="1487" w:hanging="360"/>
      </w:pPr>
    </w:lvl>
    <w:lvl w:ilvl="2" w:tplc="080A001B" w:tentative="1">
      <w:start w:val="1"/>
      <w:numFmt w:val="lowerRoman"/>
      <w:lvlText w:val="%3."/>
      <w:lvlJc w:val="right"/>
      <w:pPr>
        <w:ind w:left="2207" w:hanging="180"/>
      </w:pPr>
    </w:lvl>
    <w:lvl w:ilvl="3" w:tplc="080A000F" w:tentative="1">
      <w:start w:val="1"/>
      <w:numFmt w:val="decimal"/>
      <w:lvlText w:val="%4."/>
      <w:lvlJc w:val="left"/>
      <w:pPr>
        <w:ind w:left="2927" w:hanging="360"/>
      </w:pPr>
    </w:lvl>
    <w:lvl w:ilvl="4" w:tplc="080A0019" w:tentative="1">
      <w:start w:val="1"/>
      <w:numFmt w:val="lowerLetter"/>
      <w:lvlText w:val="%5."/>
      <w:lvlJc w:val="left"/>
      <w:pPr>
        <w:ind w:left="3647" w:hanging="360"/>
      </w:pPr>
    </w:lvl>
    <w:lvl w:ilvl="5" w:tplc="080A001B" w:tentative="1">
      <w:start w:val="1"/>
      <w:numFmt w:val="lowerRoman"/>
      <w:lvlText w:val="%6."/>
      <w:lvlJc w:val="right"/>
      <w:pPr>
        <w:ind w:left="4367" w:hanging="180"/>
      </w:pPr>
    </w:lvl>
    <w:lvl w:ilvl="6" w:tplc="080A000F" w:tentative="1">
      <w:start w:val="1"/>
      <w:numFmt w:val="decimal"/>
      <w:lvlText w:val="%7."/>
      <w:lvlJc w:val="left"/>
      <w:pPr>
        <w:ind w:left="5087" w:hanging="360"/>
      </w:pPr>
    </w:lvl>
    <w:lvl w:ilvl="7" w:tplc="080A0019" w:tentative="1">
      <w:start w:val="1"/>
      <w:numFmt w:val="lowerLetter"/>
      <w:lvlText w:val="%8."/>
      <w:lvlJc w:val="left"/>
      <w:pPr>
        <w:ind w:left="5807" w:hanging="360"/>
      </w:pPr>
    </w:lvl>
    <w:lvl w:ilvl="8" w:tplc="080A001B" w:tentative="1">
      <w:start w:val="1"/>
      <w:numFmt w:val="lowerRoman"/>
      <w:lvlText w:val="%9."/>
      <w:lvlJc w:val="right"/>
      <w:pPr>
        <w:ind w:left="6527" w:hanging="180"/>
      </w:pPr>
    </w:lvl>
  </w:abstractNum>
  <w:abstractNum w:abstractNumId="27" w15:restartNumberingAfterBreak="0">
    <w:nsid w:val="4D5E5DE3"/>
    <w:multiLevelType w:val="hybridMultilevel"/>
    <w:tmpl w:val="48901CE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4E9A1FBD"/>
    <w:multiLevelType w:val="hybridMultilevel"/>
    <w:tmpl w:val="9BE8A050"/>
    <w:lvl w:ilvl="0" w:tplc="C4CC7B4E">
      <w:start w:val="1"/>
      <w:numFmt w:val="upperRoman"/>
      <w:lvlText w:val="%1."/>
      <w:lvlJc w:val="left"/>
      <w:pPr>
        <w:ind w:left="200" w:hanging="201"/>
      </w:pPr>
      <w:rPr>
        <w:rFonts w:ascii="Arial MT" w:eastAsia="Arial MT" w:hAnsi="Arial MT" w:cs="Arial MT" w:hint="default"/>
        <w:b w:val="0"/>
        <w:bCs w:val="0"/>
        <w:i w:val="0"/>
        <w:iCs w:val="0"/>
        <w:spacing w:val="0"/>
        <w:w w:val="100"/>
        <w:sz w:val="24"/>
        <w:szCs w:val="24"/>
        <w:lang w:val="es-ES" w:eastAsia="en-US" w:bidi="ar-SA"/>
      </w:rPr>
    </w:lvl>
    <w:lvl w:ilvl="1" w:tplc="BDDA0DA0">
      <w:numFmt w:val="bullet"/>
      <w:lvlText w:val="•"/>
      <w:lvlJc w:val="left"/>
      <w:pPr>
        <w:ind w:left="1152" w:hanging="201"/>
      </w:pPr>
      <w:rPr>
        <w:rFonts w:hint="default"/>
        <w:lang w:val="es-ES" w:eastAsia="en-US" w:bidi="ar-SA"/>
      </w:rPr>
    </w:lvl>
    <w:lvl w:ilvl="2" w:tplc="F9501CBE">
      <w:numFmt w:val="bullet"/>
      <w:lvlText w:val="•"/>
      <w:lvlJc w:val="left"/>
      <w:pPr>
        <w:ind w:left="2104" w:hanging="201"/>
      </w:pPr>
      <w:rPr>
        <w:rFonts w:hint="default"/>
        <w:lang w:val="es-ES" w:eastAsia="en-US" w:bidi="ar-SA"/>
      </w:rPr>
    </w:lvl>
    <w:lvl w:ilvl="3" w:tplc="2AFC631E">
      <w:numFmt w:val="bullet"/>
      <w:lvlText w:val="•"/>
      <w:lvlJc w:val="left"/>
      <w:pPr>
        <w:ind w:left="3056" w:hanging="201"/>
      </w:pPr>
      <w:rPr>
        <w:rFonts w:hint="default"/>
        <w:lang w:val="es-ES" w:eastAsia="en-US" w:bidi="ar-SA"/>
      </w:rPr>
    </w:lvl>
    <w:lvl w:ilvl="4" w:tplc="0074A0A8">
      <w:numFmt w:val="bullet"/>
      <w:lvlText w:val="•"/>
      <w:lvlJc w:val="left"/>
      <w:pPr>
        <w:ind w:left="4008" w:hanging="201"/>
      </w:pPr>
      <w:rPr>
        <w:rFonts w:hint="default"/>
        <w:lang w:val="es-ES" w:eastAsia="en-US" w:bidi="ar-SA"/>
      </w:rPr>
    </w:lvl>
    <w:lvl w:ilvl="5" w:tplc="B614C234">
      <w:numFmt w:val="bullet"/>
      <w:lvlText w:val="•"/>
      <w:lvlJc w:val="left"/>
      <w:pPr>
        <w:ind w:left="4960" w:hanging="201"/>
      </w:pPr>
      <w:rPr>
        <w:rFonts w:hint="default"/>
        <w:lang w:val="es-ES" w:eastAsia="en-US" w:bidi="ar-SA"/>
      </w:rPr>
    </w:lvl>
    <w:lvl w:ilvl="6" w:tplc="C4A8DB08">
      <w:numFmt w:val="bullet"/>
      <w:lvlText w:val="•"/>
      <w:lvlJc w:val="left"/>
      <w:pPr>
        <w:ind w:left="5912" w:hanging="201"/>
      </w:pPr>
      <w:rPr>
        <w:rFonts w:hint="default"/>
        <w:lang w:val="es-ES" w:eastAsia="en-US" w:bidi="ar-SA"/>
      </w:rPr>
    </w:lvl>
    <w:lvl w:ilvl="7" w:tplc="655E427A">
      <w:numFmt w:val="bullet"/>
      <w:lvlText w:val="•"/>
      <w:lvlJc w:val="left"/>
      <w:pPr>
        <w:ind w:left="6864" w:hanging="201"/>
      </w:pPr>
      <w:rPr>
        <w:rFonts w:hint="default"/>
        <w:lang w:val="es-ES" w:eastAsia="en-US" w:bidi="ar-SA"/>
      </w:rPr>
    </w:lvl>
    <w:lvl w:ilvl="8" w:tplc="CAC22E3A">
      <w:numFmt w:val="bullet"/>
      <w:lvlText w:val="•"/>
      <w:lvlJc w:val="left"/>
      <w:pPr>
        <w:ind w:left="7816" w:hanging="201"/>
      </w:pPr>
      <w:rPr>
        <w:rFonts w:hint="default"/>
        <w:lang w:val="es-ES" w:eastAsia="en-US" w:bidi="ar-SA"/>
      </w:rPr>
    </w:lvl>
  </w:abstractNum>
  <w:abstractNum w:abstractNumId="29" w15:restartNumberingAfterBreak="0">
    <w:nsid w:val="524B5845"/>
    <w:multiLevelType w:val="multilevel"/>
    <w:tmpl w:val="7F460F18"/>
    <w:lvl w:ilvl="0">
      <w:start w:val="1"/>
      <w:numFmt w:val="lowerLetter"/>
      <w:lvlText w:val="%1)."/>
      <w:lvlJc w:val="left"/>
      <w:pPr>
        <w:tabs>
          <w:tab w:val="num" w:pos="720"/>
        </w:tabs>
        <w:ind w:left="720" w:hanging="360"/>
      </w:pPr>
      <w:rPr>
        <w:rFonts w:hint="default"/>
        <w:b/>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50432B0"/>
    <w:multiLevelType w:val="hybridMultilevel"/>
    <w:tmpl w:val="547A5E66"/>
    <w:lvl w:ilvl="0" w:tplc="F0EE97FE">
      <w:start w:val="1"/>
      <w:numFmt w:val="upperRoman"/>
      <w:lvlText w:val="%1."/>
      <w:lvlJc w:val="right"/>
      <w:pPr>
        <w:ind w:left="720" w:hanging="360"/>
      </w:pPr>
      <w:rPr>
        <w:b/>
        <w:color w:val="000000"/>
      </w:rPr>
    </w:lvl>
    <w:lvl w:ilvl="1" w:tplc="D0C23086">
      <w:start w:val="1"/>
      <w:numFmt w:val="lowerLetter"/>
      <w:lvlText w:val="%2."/>
      <w:lvlJc w:val="left"/>
      <w:pPr>
        <w:ind w:left="1440" w:hanging="360"/>
      </w:pPr>
    </w:lvl>
    <w:lvl w:ilvl="2" w:tplc="0BF2C652">
      <w:start w:val="1"/>
      <w:numFmt w:val="lowerRoman"/>
      <w:lvlText w:val="%3."/>
      <w:lvlJc w:val="right"/>
      <w:pPr>
        <w:ind w:left="2160" w:hanging="180"/>
      </w:pPr>
    </w:lvl>
    <w:lvl w:ilvl="3" w:tplc="B1AA3F2E">
      <w:start w:val="1"/>
      <w:numFmt w:val="decimal"/>
      <w:lvlText w:val="%4."/>
      <w:lvlJc w:val="left"/>
      <w:pPr>
        <w:ind w:left="2880" w:hanging="360"/>
      </w:pPr>
    </w:lvl>
    <w:lvl w:ilvl="4" w:tplc="5CACA27A">
      <w:start w:val="1"/>
      <w:numFmt w:val="lowerLetter"/>
      <w:lvlText w:val="%5."/>
      <w:lvlJc w:val="left"/>
      <w:pPr>
        <w:ind w:left="3600" w:hanging="360"/>
      </w:pPr>
    </w:lvl>
    <w:lvl w:ilvl="5" w:tplc="B0AC397A">
      <w:start w:val="1"/>
      <w:numFmt w:val="lowerRoman"/>
      <w:lvlText w:val="%6."/>
      <w:lvlJc w:val="right"/>
      <w:pPr>
        <w:ind w:left="4320" w:hanging="180"/>
      </w:pPr>
    </w:lvl>
    <w:lvl w:ilvl="6" w:tplc="66705726">
      <w:start w:val="1"/>
      <w:numFmt w:val="decimal"/>
      <w:lvlText w:val="%7."/>
      <w:lvlJc w:val="left"/>
      <w:pPr>
        <w:ind w:left="5040" w:hanging="360"/>
      </w:pPr>
    </w:lvl>
    <w:lvl w:ilvl="7" w:tplc="AE4C251E">
      <w:start w:val="1"/>
      <w:numFmt w:val="lowerLetter"/>
      <w:lvlText w:val="%8."/>
      <w:lvlJc w:val="left"/>
      <w:pPr>
        <w:ind w:left="5760" w:hanging="360"/>
      </w:pPr>
    </w:lvl>
    <w:lvl w:ilvl="8" w:tplc="56FC922C">
      <w:start w:val="1"/>
      <w:numFmt w:val="lowerRoman"/>
      <w:lvlText w:val="%9."/>
      <w:lvlJc w:val="right"/>
      <w:pPr>
        <w:ind w:left="6480" w:hanging="180"/>
      </w:pPr>
    </w:lvl>
  </w:abstractNum>
  <w:abstractNum w:abstractNumId="31" w15:restartNumberingAfterBreak="0">
    <w:nsid w:val="56303346"/>
    <w:multiLevelType w:val="hybridMultilevel"/>
    <w:tmpl w:val="5080CD28"/>
    <w:lvl w:ilvl="0" w:tplc="32962E38">
      <w:start w:val="1"/>
      <w:numFmt w:val="decimal"/>
      <w:lvlText w:val="%1."/>
      <w:lvlJc w:val="left"/>
      <w:pPr>
        <w:ind w:left="979" w:hanging="360"/>
      </w:pPr>
      <w:rPr>
        <w:rFonts w:ascii="Times New Roman" w:eastAsia="Arial MT" w:hAnsi="Times New Roman" w:cs="Times New Roman" w:hint="default"/>
        <w:b w:val="0"/>
        <w:bCs w:val="0"/>
        <w:i w:val="0"/>
        <w:iCs w:val="0"/>
        <w:spacing w:val="0"/>
        <w:w w:val="100"/>
        <w:sz w:val="24"/>
        <w:szCs w:val="24"/>
        <w:lang w:val="es-ES" w:eastAsia="en-US" w:bidi="ar-SA"/>
      </w:rPr>
    </w:lvl>
    <w:lvl w:ilvl="1" w:tplc="B92C471E">
      <w:numFmt w:val="bullet"/>
      <w:lvlText w:val=""/>
      <w:lvlJc w:val="left"/>
      <w:pPr>
        <w:ind w:left="979" w:hanging="360"/>
      </w:pPr>
      <w:rPr>
        <w:rFonts w:ascii="Symbol" w:eastAsia="Symbol" w:hAnsi="Symbol" w:cs="Symbol" w:hint="default"/>
        <w:b w:val="0"/>
        <w:bCs w:val="0"/>
        <w:i w:val="0"/>
        <w:iCs w:val="0"/>
        <w:spacing w:val="0"/>
        <w:w w:val="100"/>
        <w:sz w:val="20"/>
        <w:szCs w:val="20"/>
        <w:lang w:val="es-ES" w:eastAsia="en-US" w:bidi="ar-SA"/>
      </w:rPr>
    </w:lvl>
    <w:lvl w:ilvl="2" w:tplc="A4FA7F5A">
      <w:numFmt w:val="bullet"/>
      <w:lvlText w:val="•"/>
      <w:lvlJc w:val="left"/>
      <w:pPr>
        <w:ind w:left="2656" w:hanging="360"/>
      </w:pPr>
      <w:rPr>
        <w:rFonts w:hint="default"/>
        <w:lang w:val="es-ES" w:eastAsia="en-US" w:bidi="ar-SA"/>
      </w:rPr>
    </w:lvl>
    <w:lvl w:ilvl="3" w:tplc="0B506A32">
      <w:numFmt w:val="bullet"/>
      <w:lvlText w:val="•"/>
      <w:lvlJc w:val="left"/>
      <w:pPr>
        <w:ind w:left="3494" w:hanging="360"/>
      </w:pPr>
      <w:rPr>
        <w:rFonts w:hint="default"/>
        <w:lang w:val="es-ES" w:eastAsia="en-US" w:bidi="ar-SA"/>
      </w:rPr>
    </w:lvl>
    <w:lvl w:ilvl="4" w:tplc="68DA007A">
      <w:numFmt w:val="bullet"/>
      <w:lvlText w:val="•"/>
      <w:lvlJc w:val="left"/>
      <w:pPr>
        <w:ind w:left="4332" w:hanging="360"/>
      </w:pPr>
      <w:rPr>
        <w:rFonts w:hint="default"/>
        <w:lang w:val="es-ES" w:eastAsia="en-US" w:bidi="ar-SA"/>
      </w:rPr>
    </w:lvl>
    <w:lvl w:ilvl="5" w:tplc="C7D6D27C">
      <w:numFmt w:val="bullet"/>
      <w:lvlText w:val="•"/>
      <w:lvlJc w:val="left"/>
      <w:pPr>
        <w:ind w:left="5170" w:hanging="360"/>
      </w:pPr>
      <w:rPr>
        <w:rFonts w:hint="default"/>
        <w:lang w:val="es-ES" w:eastAsia="en-US" w:bidi="ar-SA"/>
      </w:rPr>
    </w:lvl>
    <w:lvl w:ilvl="6" w:tplc="588451C8">
      <w:numFmt w:val="bullet"/>
      <w:lvlText w:val="•"/>
      <w:lvlJc w:val="left"/>
      <w:pPr>
        <w:ind w:left="6008" w:hanging="360"/>
      </w:pPr>
      <w:rPr>
        <w:rFonts w:hint="default"/>
        <w:lang w:val="es-ES" w:eastAsia="en-US" w:bidi="ar-SA"/>
      </w:rPr>
    </w:lvl>
    <w:lvl w:ilvl="7" w:tplc="E214DED0">
      <w:numFmt w:val="bullet"/>
      <w:lvlText w:val="•"/>
      <w:lvlJc w:val="left"/>
      <w:pPr>
        <w:ind w:left="6846" w:hanging="360"/>
      </w:pPr>
      <w:rPr>
        <w:rFonts w:hint="default"/>
        <w:lang w:val="es-ES" w:eastAsia="en-US" w:bidi="ar-SA"/>
      </w:rPr>
    </w:lvl>
    <w:lvl w:ilvl="8" w:tplc="5A4A5F36">
      <w:numFmt w:val="bullet"/>
      <w:lvlText w:val="•"/>
      <w:lvlJc w:val="left"/>
      <w:pPr>
        <w:ind w:left="7684" w:hanging="360"/>
      </w:pPr>
      <w:rPr>
        <w:rFonts w:hint="default"/>
        <w:lang w:val="es-ES" w:eastAsia="en-US" w:bidi="ar-SA"/>
      </w:rPr>
    </w:lvl>
  </w:abstractNum>
  <w:abstractNum w:abstractNumId="32" w15:restartNumberingAfterBreak="0">
    <w:nsid w:val="58A50AE6"/>
    <w:multiLevelType w:val="hybridMultilevel"/>
    <w:tmpl w:val="5A722D54"/>
    <w:lvl w:ilvl="0" w:tplc="3816F566">
      <w:start w:val="2"/>
      <w:numFmt w:val="upperRoman"/>
      <w:lvlText w:val="%1."/>
      <w:lvlJc w:val="left"/>
      <w:pPr>
        <w:ind w:left="259" w:hanging="273"/>
      </w:pPr>
      <w:rPr>
        <w:rFonts w:ascii="Times New Roman" w:eastAsia="Arial MT" w:hAnsi="Times New Roman" w:cs="Times New Roman" w:hint="default"/>
        <w:b w:val="0"/>
        <w:bCs w:val="0"/>
        <w:i w:val="0"/>
        <w:iCs w:val="0"/>
        <w:spacing w:val="0"/>
        <w:w w:val="100"/>
        <w:sz w:val="24"/>
        <w:szCs w:val="24"/>
        <w:lang w:val="es-ES" w:eastAsia="en-US" w:bidi="ar-SA"/>
      </w:rPr>
    </w:lvl>
    <w:lvl w:ilvl="1" w:tplc="E74E5D14">
      <w:numFmt w:val="bullet"/>
      <w:lvlText w:val="•"/>
      <w:lvlJc w:val="left"/>
      <w:pPr>
        <w:ind w:left="1170" w:hanging="273"/>
      </w:pPr>
      <w:rPr>
        <w:rFonts w:hint="default"/>
        <w:lang w:val="es-ES" w:eastAsia="en-US" w:bidi="ar-SA"/>
      </w:rPr>
    </w:lvl>
    <w:lvl w:ilvl="2" w:tplc="5762B420">
      <w:numFmt w:val="bullet"/>
      <w:lvlText w:val="•"/>
      <w:lvlJc w:val="left"/>
      <w:pPr>
        <w:ind w:left="2080" w:hanging="273"/>
      </w:pPr>
      <w:rPr>
        <w:rFonts w:hint="default"/>
        <w:lang w:val="es-ES" w:eastAsia="en-US" w:bidi="ar-SA"/>
      </w:rPr>
    </w:lvl>
    <w:lvl w:ilvl="3" w:tplc="D624B5D6">
      <w:numFmt w:val="bullet"/>
      <w:lvlText w:val="•"/>
      <w:lvlJc w:val="left"/>
      <w:pPr>
        <w:ind w:left="2990" w:hanging="273"/>
      </w:pPr>
      <w:rPr>
        <w:rFonts w:hint="default"/>
        <w:lang w:val="es-ES" w:eastAsia="en-US" w:bidi="ar-SA"/>
      </w:rPr>
    </w:lvl>
    <w:lvl w:ilvl="4" w:tplc="50542F1C">
      <w:numFmt w:val="bullet"/>
      <w:lvlText w:val="•"/>
      <w:lvlJc w:val="left"/>
      <w:pPr>
        <w:ind w:left="3900" w:hanging="273"/>
      </w:pPr>
      <w:rPr>
        <w:rFonts w:hint="default"/>
        <w:lang w:val="es-ES" w:eastAsia="en-US" w:bidi="ar-SA"/>
      </w:rPr>
    </w:lvl>
    <w:lvl w:ilvl="5" w:tplc="99F4BCA2">
      <w:numFmt w:val="bullet"/>
      <w:lvlText w:val="•"/>
      <w:lvlJc w:val="left"/>
      <w:pPr>
        <w:ind w:left="4810" w:hanging="273"/>
      </w:pPr>
      <w:rPr>
        <w:rFonts w:hint="default"/>
        <w:lang w:val="es-ES" w:eastAsia="en-US" w:bidi="ar-SA"/>
      </w:rPr>
    </w:lvl>
    <w:lvl w:ilvl="6" w:tplc="4B5692B6">
      <w:numFmt w:val="bullet"/>
      <w:lvlText w:val="•"/>
      <w:lvlJc w:val="left"/>
      <w:pPr>
        <w:ind w:left="5720" w:hanging="273"/>
      </w:pPr>
      <w:rPr>
        <w:rFonts w:hint="default"/>
        <w:lang w:val="es-ES" w:eastAsia="en-US" w:bidi="ar-SA"/>
      </w:rPr>
    </w:lvl>
    <w:lvl w:ilvl="7" w:tplc="DF821974">
      <w:numFmt w:val="bullet"/>
      <w:lvlText w:val="•"/>
      <w:lvlJc w:val="left"/>
      <w:pPr>
        <w:ind w:left="6630" w:hanging="273"/>
      </w:pPr>
      <w:rPr>
        <w:rFonts w:hint="default"/>
        <w:lang w:val="es-ES" w:eastAsia="en-US" w:bidi="ar-SA"/>
      </w:rPr>
    </w:lvl>
    <w:lvl w:ilvl="8" w:tplc="E1FADE62">
      <w:numFmt w:val="bullet"/>
      <w:lvlText w:val="•"/>
      <w:lvlJc w:val="left"/>
      <w:pPr>
        <w:ind w:left="7540" w:hanging="273"/>
      </w:pPr>
      <w:rPr>
        <w:rFonts w:hint="default"/>
        <w:lang w:val="es-ES" w:eastAsia="en-US" w:bidi="ar-SA"/>
      </w:rPr>
    </w:lvl>
  </w:abstractNum>
  <w:abstractNum w:abstractNumId="33" w15:restartNumberingAfterBreak="0">
    <w:nsid w:val="6056081D"/>
    <w:multiLevelType w:val="hybridMultilevel"/>
    <w:tmpl w:val="BFF4A95E"/>
    <w:lvl w:ilvl="0" w:tplc="0B762EB0">
      <w:start w:val="1"/>
      <w:numFmt w:val="decimal"/>
      <w:lvlText w:val="%1."/>
      <w:lvlJc w:val="left"/>
      <w:pPr>
        <w:ind w:left="720" w:hanging="360"/>
      </w:pPr>
      <w:rPr>
        <w:rFonts w:ascii="Times New Roman" w:eastAsia="Arial MT" w:hAnsi="Times New Roman" w:cs="Times New Roman" w:hint="default"/>
        <w:b w:val="0"/>
        <w:bCs w:val="0"/>
        <w:i w:val="0"/>
        <w:iCs w:val="0"/>
        <w:spacing w:val="0"/>
        <w:w w:val="100"/>
        <w:sz w:val="24"/>
        <w:szCs w:val="24"/>
        <w:lang w:val="es-ES" w:eastAsia="en-US" w:bidi="ar-SA"/>
      </w:rPr>
    </w:lvl>
    <w:lvl w:ilvl="1" w:tplc="BB3433EE">
      <w:numFmt w:val="bullet"/>
      <w:lvlText w:val="•"/>
      <w:lvlJc w:val="left"/>
      <w:pPr>
        <w:ind w:left="1620" w:hanging="360"/>
      </w:pPr>
      <w:rPr>
        <w:rFonts w:hint="default"/>
        <w:lang w:val="es-ES" w:eastAsia="en-US" w:bidi="ar-SA"/>
      </w:rPr>
    </w:lvl>
    <w:lvl w:ilvl="2" w:tplc="87AC3852">
      <w:numFmt w:val="bullet"/>
      <w:lvlText w:val="•"/>
      <w:lvlJc w:val="left"/>
      <w:pPr>
        <w:ind w:left="2520" w:hanging="360"/>
      </w:pPr>
      <w:rPr>
        <w:rFonts w:hint="default"/>
        <w:lang w:val="es-ES" w:eastAsia="en-US" w:bidi="ar-SA"/>
      </w:rPr>
    </w:lvl>
    <w:lvl w:ilvl="3" w:tplc="EEF6DCB4">
      <w:numFmt w:val="bullet"/>
      <w:lvlText w:val="•"/>
      <w:lvlJc w:val="left"/>
      <w:pPr>
        <w:ind w:left="3420" w:hanging="360"/>
      </w:pPr>
      <w:rPr>
        <w:rFonts w:hint="default"/>
        <w:lang w:val="es-ES" w:eastAsia="en-US" w:bidi="ar-SA"/>
      </w:rPr>
    </w:lvl>
    <w:lvl w:ilvl="4" w:tplc="7B7A8976">
      <w:numFmt w:val="bullet"/>
      <w:lvlText w:val="•"/>
      <w:lvlJc w:val="left"/>
      <w:pPr>
        <w:ind w:left="4320" w:hanging="360"/>
      </w:pPr>
      <w:rPr>
        <w:rFonts w:hint="default"/>
        <w:lang w:val="es-ES" w:eastAsia="en-US" w:bidi="ar-SA"/>
      </w:rPr>
    </w:lvl>
    <w:lvl w:ilvl="5" w:tplc="F3EE9A7E">
      <w:numFmt w:val="bullet"/>
      <w:lvlText w:val="•"/>
      <w:lvlJc w:val="left"/>
      <w:pPr>
        <w:ind w:left="5220" w:hanging="360"/>
      </w:pPr>
      <w:rPr>
        <w:rFonts w:hint="default"/>
        <w:lang w:val="es-ES" w:eastAsia="en-US" w:bidi="ar-SA"/>
      </w:rPr>
    </w:lvl>
    <w:lvl w:ilvl="6" w:tplc="6276B8C0">
      <w:numFmt w:val="bullet"/>
      <w:lvlText w:val="•"/>
      <w:lvlJc w:val="left"/>
      <w:pPr>
        <w:ind w:left="6120" w:hanging="360"/>
      </w:pPr>
      <w:rPr>
        <w:rFonts w:hint="default"/>
        <w:lang w:val="es-ES" w:eastAsia="en-US" w:bidi="ar-SA"/>
      </w:rPr>
    </w:lvl>
    <w:lvl w:ilvl="7" w:tplc="20BAF2D0">
      <w:numFmt w:val="bullet"/>
      <w:lvlText w:val="•"/>
      <w:lvlJc w:val="left"/>
      <w:pPr>
        <w:ind w:left="7020" w:hanging="360"/>
      </w:pPr>
      <w:rPr>
        <w:rFonts w:hint="default"/>
        <w:lang w:val="es-ES" w:eastAsia="en-US" w:bidi="ar-SA"/>
      </w:rPr>
    </w:lvl>
    <w:lvl w:ilvl="8" w:tplc="E0C0E1B0">
      <w:numFmt w:val="bullet"/>
      <w:lvlText w:val="•"/>
      <w:lvlJc w:val="left"/>
      <w:pPr>
        <w:ind w:left="7920" w:hanging="360"/>
      </w:pPr>
      <w:rPr>
        <w:rFonts w:hint="default"/>
        <w:lang w:val="es-ES" w:eastAsia="en-US" w:bidi="ar-SA"/>
      </w:rPr>
    </w:lvl>
  </w:abstractNum>
  <w:abstractNum w:abstractNumId="34" w15:restartNumberingAfterBreak="0">
    <w:nsid w:val="61843F0D"/>
    <w:multiLevelType w:val="hybridMultilevel"/>
    <w:tmpl w:val="A420CE26"/>
    <w:lvl w:ilvl="0" w:tplc="2F7651BC">
      <w:start w:val="1"/>
      <w:numFmt w:val="decimal"/>
      <w:lvlText w:val="%1."/>
      <w:lvlJc w:val="left"/>
      <w:pPr>
        <w:ind w:left="2049" w:hanging="348"/>
      </w:pPr>
      <w:rPr>
        <w:rFonts w:ascii="Times New Roman" w:eastAsia="Arial MT" w:hAnsi="Times New Roman" w:cs="Times New Roman" w:hint="default"/>
        <w:b w:val="0"/>
        <w:bCs w:val="0"/>
        <w:i w:val="0"/>
        <w:iCs w:val="0"/>
        <w:spacing w:val="0"/>
        <w:w w:val="98"/>
        <w:sz w:val="24"/>
        <w:szCs w:val="24"/>
        <w:lang w:val="es-ES" w:eastAsia="en-US" w:bidi="ar-SA"/>
      </w:rPr>
    </w:lvl>
    <w:lvl w:ilvl="1" w:tplc="631E10AE">
      <w:numFmt w:val="bullet"/>
      <w:lvlText w:val="•"/>
      <w:lvlJc w:val="left"/>
      <w:pPr>
        <w:ind w:left="2988" w:hanging="348"/>
      </w:pPr>
      <w:rPr>
        <w:rFonts w:hint="default"/>
        <w:lang w:val="es-ES" w:eastAsia="en-US" w:bidi="ar-SA"/>
      </w:rPr>
    </w:lvl>
    <w:lvl w:ilvl="2" w:tplc="4A44646A">
      <w:numFmt w:val="bullet"/>
      <w:lvlText w:val="•"/>
      <w:lvlJc w:val="left"/>
      <w:pPr>
        <w:ind w:left="3936" w:hanging="348"/>
      </w:pPr>
      <w:rPr>
        <w:rFonts w:hint="default"/>
        <w:lang w:val="es-ES" w:eastAsia="en-US" w:bidi="ar-SA"/>
      </w:rPr>
    </w:lvl>
    <w:lvl w:ilvl="3" w:tplc="CECE49CA">
      <w:numFmt w:val="bullet"/>
      <w:lvlText w:val="•"/>
      <w:lvlJc w:val="left"/>
      <w:pPr>
        <w:ind w:left="4884" w:hanging="348"/>
      </w:pPr>
      <w:rPr>
        <w:rFonts w:hint="default"/>
        <w:lang w:val="es-ES" w:eastAsia="en-US" w:bidi="ar-SA"/>
      </w:rPr>
    </w:lvl>
    <w:lvl w:ilvl="4" w:tplc="2C227650">
      <w:numFmt w:val="bullet"/>
      <w:lvlText w:val="•"/>
      <w:lvlJc w:val="left"/>
      <w:pPr>
        <w:ind w:left="5832" w:hanging="348"/>
      </w:pPr>
      <w:rPr>
        <w:rFonts w:hint="default"/>
        <w:lang w:val="es-ES" w:eastAsia="en-US" w:bidi="ar-SA"/>
      </w:rPr>
    </w:lvl>
    <w:lvl w:ilvl="5" w:tplc="79E81730">
      <w:numFmt w:val="bullet"/>
      <w:lvlText w:val="•"/>
      <w:lvlJc w:val="left"/>
      <w:pPr>
        <w:ind w:left="6780" w:hanging="348"/>
      </w:pPr>
      <w:rPr>
        <w:rFonts w:hint="default"/>
        <w:lang w:val="es-ES" w:eastAsia="en-US" w:bidi="ar-SA"/>
      </w:rPr>
    </w:lvl>
    <w:lvl w:ilvl="6" w:tplc="095C83B2">
      <w:numFmt w:val="bullet"/>
      <w:lvlText w:val="•"/>
      <w:lvlJc w:val="left"/>
      <w:pPr>
        <w:ind w:left="7728" w:hanging="348"/>
      </w:pPr>
      <w:rPr>
        <w:rFonts w:hint="default"/>
        <w:lang w:val="es-ES" w:eastAsia="en-US" w:bidi="ar-SA"/>
      </w:rPr>
    </w:lvl>
    <w:lvl w:ilvl="7" w:tplc="E6A26C0C">
      <w:numFmt w:val="bullet"/>
      <w:lvlText w:val="•"/>
      <w:lvlJc w:val="left"/>
      <w:pPr>
        <w:ind w:left="8676" w:hanging="348"/>
      </w:pPr>
      <w:rPr>
        <w:rFonts w:hint="default"/>
        <w:lang w:val="es-ES" w:eastAsia="en-US" w:bidi="ar-SA"/>
      </w:rPr>
    </w:lvl>
    <w:lvl w:ilvl="8" w:tplc="7C84473A">
      <w:numFmt w:val="bullet"/>
      <w:lvlText w:val="•"/>
      <w:lvlJc w:val="left"/>
      <w:pPr>
        <w:ind w:left="9624" w:hanging="348"/>
      </w:pPr>
      <w:rPr>
        <w:rFonts w:hint="default"/>
        <w:lang w:val="es-ES" w:eastAsia="en-US" w:bidi="ar-SA"/>
      </w:rPr>
    </w:lvl>
  </w:abstractNum>
  <w:abstractNum w:abstractNumId="35" w15:restartNumberingAfterBreak="0">
    <w:nsid w:val="68751532"/>
    <w:multiLevelType w:val="hybridMultilevel"/>
    <w:tmpl w:val="8E7EFC94"/>
    <w:lvl w:ilvl="0" w:tplc="80D61862">
      <w:start w:val="1"/>
      <w:numFmt w:val="decimal"/>
      <w:lvlText w:val="%1."/>
      <w:lvlJc w:val="left"/>
      <w:pPr>
        <w:ind w:left="2049" w:hanging="348"/>
      </w:pPr>
      <w:rPr>
        <w:rFonts w:ascii="Times New Roman" w:eastAsia="Arial MT" w:hAnsi="Times New Roman" w:cs="Times New Roman" w:hint="default"/>
        <w:b w:val="0"/>
        <w:bCs w:val="0"/>
        <w:i w:val="0"/>
        <w:iCs w:val="0"/>
        <w:spacing w:val="0"/>
        <w:w w:val="100"/>
        <w:sz w:val="24"/>
        <w:szCs w:val="24"/>
        <w:lang w:val="es-ES" w:eastAsia="en-US" w:bidi="ar-SA"/>
      </w:rPr>
    </w:lvl>
    <w:lvl w:ilvl="1" w:tplc="89C84178">
      <w:numFmt w:val="bullet"/>
      <w:lvlText w:val="•"/>
      <w:lvlJc w:val="left"/>
      <w:pPr>
        <w:ind w:left="2988" w:hanging="348"/>
      </w:pPr>
      <w:rPr>
        <w:rFonts w:hint="default"/>
        <w:lang w:val="es-ES" w:eastAsia="en-US" w:bidi="ar-SA"/>
      </w:rPr>
    </w:lvl>
    <w:lvl w:ilvl="2" w:tplc="E5F8202E">
      <w:numFmt w:val="bullet"/>
      <w:lvlText w:val="•"/>
      <w:lvlJc w:val="left"/>
      <w:pPr>
        <w:ind w:left="3936" w:hanging="348"/>
      </w:pPr>
      <w:rPr>
        <w:rFonts w:hint="default"/>
        <w:lang w:val="es-ES" w:eastAsia="en-US" w:bidi="ar-SA"/>
      </w:rPr>
    </w:lvl>
    <w:lvl w:ilvl="3" w:tplc="E390B6CA">
      <w:numFmt w:val="bullet"/>
      <w:lvlText w:val="•"/>
      <w:lvlJc w:val="left"/>
      <w:pPr>
        <w:ind w:left="4884" w:hanging="348"/>
      </w:pPr>
      <w:rPr>
        <w:rFonts w:hint="default"/>
        <w:lang w:val="es-ES" w:eastAsia="en-US" w:bidi="ar-SA"/>
      </w:rPr>
    </w:lvl>
    <w:lvl w:ilvl="4" w:tplc="1A6E4932">
      <w:numFmt w:val="bullet"/>
      <w:lvlText w:val="•"/>
      <w:lvlJc w:val="left"/>
      <w:pPr>
        <w:ind w:left="5832" w:hanging="348"/>
      </w:pPr>
      <w:rPr>
        <w:rFonts w:hint="default"/>
        <w:lang w:val="es-ES" w:eastAsia="en-US" w:bidi="ar-SA"/>
      </w:rPr>
    </w:lvl>
    <w:lvl w:ilvl="5" w:tplc="9738E61A">
      <w:numFmt w:val="bullet"/>
      <w:lvlText w:val="•"/>
      <w:lvlJc w:val="left"/>
      <w:pPr>
        <w:ind w:left="6780" w:hanging="348"/>
      </w:pPr>
      <w:rPr>
        <w:rFonts w:hint="default"/>
        <w:lang w:val="es-ES" w:eastAsia="en-US" w:bidi="ar-SA"/>
      </w:rPr>
    </w:lvl>
    <w:lvl w:ilvl="6" w:tplc="F6F0F642">
      <w:numFmt w:val="bullet"/>
      <w:lvlText w:val="•"/>
      <w:lvlJc w:val="left"/>
      <w:pPr>
        <w:ind w:left="7728" w:hanging="348"/>
      </w:pPr>
      <w:rPr>
        <w:rFonts w:hint="default"/>
        <w:lang w:val="es-ES" w:eastAsia="en-US" w:bidi="ar-SA"/>
      </w:rPr>
    </w:lvl>
    <w:lvl w:ilvl="7" w:tplc="C492C328">
      <w:numFmt w:val="bullet"/>
      <w:lvlText w:val="•"/>
      <w:lvlJc w:val="left"/>
      <w:pPr>
        <w:ind w:left="8676" w:hanging="348"/>
      </w:pPr>
      <w:rPr>
        <w:rFonts w:hint="default"/>
        <w:lang w:val="es-ES" w:eastAsia="en-US" w:bidi="ar-SA"/>
      </w:rPr>
    </w:lvl>
    <w:lvl w:ilvl="8" w:tplc="672A2AC8">
      <w:numFmt w:val="bullet"/>
      <w:lvlText w:val="•"/>
      <w:lvlJc w:val="left"/>
      <w:pPr>
        <w:ind w:left="9624" w:hanging="348"/>
      </w:pPr>
      <w:rPr>
        <w:rFonts w:hint="default"/>
        <w:lang w:val="es-ES" w:eastAsia="en-US" w:bidi="ar-SA"/>
      </w:rPr>
    </w:lvl>
  </w:abstractNum>
  <w:abstractNum w:abstractNumId="36" w15:restartNumberingAfterBreak="0">
    <w:nsid w:val="68A72C9E"/>
    <w:multiLevelType w:val="hybridMultilevel"/>
    <w:tmpl w:val="D206BDFC"/>
    <w:lvl w:ilvl="0" w:tplc="F4B8F2AA">
      <w:start w:val="1"/>
      <w:numFmt w:val="decimal"/>
      <w:lvlText w:val="%1."/>
      <w:lvlJc w:val="left"/>
      <w:pPr>
        <w:ind w:left="2049" w:hanging="348"/>
      </w:pPr>
      <w:rPr>
        <w:rFonts w:ascii="Times New Roman" w:eastAsia="Arial MT" w:hAnsi="Times New Roman" w:cs="Times New Roman" w:hint="default"/>
        <w:b w:val="0"/>
        <w:bCs w:val="0"/>
        <w:i w:val="0"/>
        <w:iCs w:val="0"/>
        <w:spacing w:val="0"/>
        <w:w w:val="100"/>
        <w:sz w:val="24"/>
        <w:szCs w:val="24"/>
        <w:lang w:val="es-ES" w:eastAsia="en-US" w:bidi="ar-SA"/>
      </w:rPr>
    </w:lvl>
    <w:lvl w:ilvl="1" w:tplc="B9CEC27A">
      <w:numFmt w:val="bullet"/>
      <w:lvlText w:val="•"/>
      <w:lvlJc w:val="left"/>
      <w:pPr>
        <w:ind w:left="2988" w:hanging="348"/>
      </w:pPr>
      <w:rPr>
        <w:rFonts w:hint="default"/>
        <w:lang w:val="es-ES" w:eastAsia="en-US" w:bidi="ar-SA"/>
      </w:rPr>
    </w:lvl>
    <w:lvl w:ilvl="2" w:tplc="3DD46116">
      <w:numFmt w:val="bullet"/>
      <w:lvlText w:val="•"/>
      <w:lvlJc w:val="left"/>
      <w:pPr>
        <w:ind w:left="3936" w:hanging="348"/>
      </w:pPr>
      <w:rPr>
        <w:rFonts w:hint="default"/>
        <w:lang w:val="es-ES" w:eastAsia="en-US" w:bidi="ar-SA"/>
      </w:rPr>
    </w:lvl>
    <w:lvl w:ilvl="3" w:tplc="F88A7176">
      <w:numFmt w:val="bullet"/>
      <w:lvlText w:val="•"/>
      <w:lvlJc w:val="left"/>
      <w:pPr>
        <w:ind w:left="4884" w:hanging="348"/>
      </w:pPr>
      <w:rPr>
        <w:rFonts w:hint="default"/>
        <w:lang w:val="es-ES" w:eastAsia="en-US" w:bidi="ar-SA"/>
      </w:rPr>
    </w:lvl>
    <w:lvl w:ilvl="4" w:tplc="2A24FD04">
      <w:numFmt w:val="bullet"/>
      <w:lvlText w:val="•"/>
      <w:lvlJc w:val="left"/>
      <w:pPr>
        <w:ind w:left="5832" w:hanging="348"/>
      </w:pPr>
      <w:rPr>
        <w:rFonts w:hint="default"/>
        <w:lang w:val="es-ES" w:eastAsia="en-US" w:bidi="ar-SA"/>
      </w:rPr>
    </w:lvl>
    <w:lvl w:ilvl="5" w:tplc="2AE28E96">
      <w:numFmt w:val="bullet"/>
      <w:lvlText w:val="•"/>
      <w:lvlJc w:val="left"/>
      <w:pPr>
        <w:ind w:left="6780" w:hanging="348"/>
      </w:pPr>
      <w:rPr>
        <w:rFonts w:hint="default"/>
        <w:lang w:val="es-ES" w:eastAsia="en-US" w:bidi="ar-SA"/>
      </w:rPr>
    </w:lvl>
    <w:lvl w:ilvl="6" w:tplc="B066E044">
      <w:numFmt w:val="bullet"/>
      <w:lvlText w:val="•"/>
      <w:lvlJc w:val="left"/>
      <w:pPr>
        <w:ind w:left="7728" w:hanging="348"/>
      </w:pPr>
      <w:rPr>
        <w:rFonts w:hint="default"/>
        <w:lang w:val="es-ES" w:eastAsia="en-US" w:bidi="ar-SA"/>
      </w:rPr>
    </w:lvl>
    <w:lvl w:ilvl="7" w:tplc="29AC28D2">
      <w:numFmt w:val="bullet"/>
      <w:lvlText w:val="•"/>
      <w:lvlJc w:val="left"/>
      <w:pPr>
        <w:ind w:left="8676" w:hanging="348"/>
      </w:pPr>
      <w:rPr>
        <w:rFonts w:hint="default"/>
        <w:lang w:val="es-ES" w:eastAsia="en-US" w:bidi="ar-SA"/>
      </w:rPr>
    </w:lvl>
    <w:lvl w:ilvl="8" w:tplc="696CCABC">
      <w:numFmt w:val="bullet"/>
      <w:lvlText w:val="•"/>
      <w:lvlJc w:val="left"/>
      <w:pPr>
        <w:ind w:left="9624" w:hanging="348"/>
      </w:pPr>
      <w:rPr>
        <w:rFonts w:hint="default"/>
        <w:lang w:val="es-ES" w:eastAsia="en-US" w:bidi="ar-SA"/>
      </w:rPr>
    </w:lvl>
  </w:abstractNum>
  <w:abstractNum w:abstractNumId="37" w15:restartNumberingAfterBreak="0">
    <w:nsid w:val="6A1A396A"/>
    <w:multiLevelType w:val="hybridMultilevel"/>
    <w:tmpl w:val="1C925220"/>
    <w:lvl w:ilvl="0" w:tplc="FAB8289C">
      <w:start w:val="1"/>
      <w:numFmt w:val="decimal"/>
      <w:lvlText w:val="%1."/>
      <w:lvlJc w:val="left"/>
      <w:pPr>
        <w:ind w:left="720" w:hanging="360"/>
      </w:pPr>
      <w:rPr>
        <w:rFonts w:ascii="Times New Roman" w:eastAsia="Arial MT" w:hAnsi="Times New Roman" w:cs="Times New Roman" w:hint="default"/>
        <w:b w:val="0"/>
        <w:bCs w:val="0"/>
        <w:i w:val="0"/>
        <w:iCs w:val="0"/>
        <w:spacing w:val="0"/>
        <w:w w:val="100"/>
        <w:sz w:val="24"/>
        <w:szCs w:val="24"/>
        <w:lang w:val="es-ES" w:eastAsia="en-US" w:bidi="ar-SA"/>
      </w:rPr>
    </w:lvl>
    <w:lvl w:ilvl="1" w:tplc="19A29B66">
      <w:numFmt w:val="bullet"/>
      <w:lvlText w:val=""/>
      <w:lvlJc w:val="left"/>
      <w:pPr>
        <w:ind w:left="1440" w:hanging="360"/>
      </w:pPr>
      <w:rPr>
        <w:rFonts w:ascii="Symbol" w:eastAsia="Symbol" w:hAnsi="Symbol" w:cs="Symbol" w:hint="default"/>
        <w:b w:val="0"/>
        <w:bCs w:val="0"/>
        <w:i w:val="0"/>
        <w:iCs w:val="0"/>
        <w:spacing w:val="0"/>
        <w:w w:val="100"/>
        <w:sz w:val="24"/>
        <w:szCs w:val="24"/>
        <w:lang w:val="es-ES" w:eastAsia="en-US" w:bidi="ar-SA"/>
      </w:rPr>
    </w:lvl>
    <w:lvl w:ilvl="2" w:tplc="1FD241BE">
      <w:numFmt w:val="bullet"/>
      <w:lvlText w:val="•"/>
      <w:lvlJc w:val="left"/>
      <w:pPr>
        <w:ind w:left="2360" w:hanging="360"/>
      </w:pPr>
      <w:rPr>
        <w:rFonts w:hint="default"/>
        <w:lang w:val="es-ES" w:eastAsia="en-US" w:bidi="ar-SA"/>
      </w:rPr>
    </w:lvl>
    <w:lvl w:ilvl="3" w:tplc="7A3E42E6">
      <w:numFmt w:val="bullet"/>
      <w:lvlText w:val="•"/>
      <w:lvlJc w:val="left"/>
      <w:pPr>
        <w:ind w:left="3280" w:hanging="360"/>
      </w:pPr>
      <w:rPr>
        <w:rFonts w:hint="default"/>
        <w:lang w:val="es-ES" w:eastAsia="en-US" w:bidi="ar-SA"/>
      </w:rPr>
    </w:lvl>
    <w:lvl w:ilvl="4" w:tplc="ED9AC3C0">
      <w:numFmt w:val="bullet"/>
      <w:lvlText w:val="•"/>
      <w:lvlJc w:val="left"/>
      <w:pPr>
        <w:ind w:left="4200" w:hanging="360"/>
      </w:pPr>
      <w:rPr>
        <w:rFonts w:hint="default"/>
        <w:lang w:val="es-ES" w:eastAsia="en-US" w:bidi="ar-SA"/>
      </w:rPr>
    </w:lvl>
    <w:lvl w:ilvl="5" w:tplc="574A0F68">
      <w:numFmt w:val="bullet"/>
      <w:lvlText w:val="•"/>
      <w:lvlJc w:val="left"/>
      <w:pPr>
        <w:ind w:left="5120" w:hanging="360"/>
      </w:pPr>
      <w:rPr>
        <w:rFonts w:hint="default"/>
        <w:lang w:val="es-ES" w:eastAsia="en-US" w:bidi="ar-SA"/>
      </w:rPr>
    </w:lvl>
    <w:lvl w:ilvl="6" w:tplc="5DD40AA4">
      <w:numFmt w:val="bullet"/>
      <w:lvlText w:val="•"/>
      <w:lvlJc w:val="left"/>
      <w:pPr>
        <w:ind w:left="6040" w:hanging="360"/>
      </w:pPr>
      <w:rPr>
        <w:rFonts w:hint="default"/>
        <w:lang w:val="es-ES" w:eastAsia="en-US" w:bidi="ar-SA"/>
      </w:rPr>
    </w:lvl>
    <w:lvl w:ilvl="7" w:tplc="AD922586">
      <w:numFmt w:val="bullet"/>
      <w:lvlText w:val="•"/>
      <w:lvlJc w:val="left"/>
      <w:pPr>
        <w:ind w:left="6960" w:hanging="360"/>
      </w:pPr>
      <w:rPr>
        <w:rFonts w:hint="default"/>
        <w:lang w:val="es-ES" w:eastAsia="en-US" w:bidi="ar-SA"/>
      </w:rPr>
    </w:lvl>
    <w:lvl w:ilvl="8" w:tplc="EB247C52">
      <w:numFmt w:val="bullet"/>
      <w:lvlText w:val="•"/>
      <w:lvlJc w:val="left"/>
      <w:pPr>
        <w:ind w:left="7880" w:hanging="360"/>
      </w:pPr>
      <w:rPr>
        <w:rFonts w:hint="default"/>
        <w:lang w:val="es-ES" w:eastAsia="en-US" w:bidi="ar-SA"/>
      </w:rPr>
    </w:lvl>
  </w:abstractNum>
  <w:abstractNum w:abstractNumId="38" w15:restartNumberingAfterBreak="0">
    <w:nsid w:val="6D2621A0"/>
    <w:multiLevelType w:val="hybridMultilevel"/>
    <w:tmpl w:val="43E400C2"/>
    <w:lvl w:ilvl="0" w:tplc="52A88F8A">
      <w:start w:val="12"/>
      <w:numFmt w:val="upperRoman"/>
      <w:lvlText w:val="%1."/>
      <w:lvlJc w:val="left"/>
      <w:pPr>
        <w:ind w:left="105" w:hanging="608"/>
      </w:pPr>
      <w:rPr>
        <w:rFonts w:ascii="Arial MT" w:eastAsia="Arial MT" w:hAnsi="Arial MT" w:cs="Arial MT" w:hint="default"/>
        <w:b w:val="0"/>
        <w:bCs w:val="0"/>
        <w:i w:val="0"/>
        <w:iCs w:val="0"/>
        <w:spacing w:val="-2"/>
        <w:w w:val="100"/>
        <w:sz w:val="20"/>
        <w:szCs w:val="20"/>
        <w:lang w:val="es-ES" w:eastAsia="en-US" w:bidi="ar-SA"/>
      </w:rPr>
    </w:lvl>
    <w:lvl w:ilvl="1" w:tplc="066EFA8C">
      <w:numFmt w:val="bullet"/>
      <w:lvlText w:val="•"/>
      <w:lvlJc w:val="left"/>
      <w:pPr>
        <w:ind w:left="530" w:hanging="608"/>
      </w:pPr>
      <w:rPr>
        <w:rFonts w:hint="default"/>
        <w:lang w:val="es-ES" w:eastAsia="en-US" w:bidi="ar-SA"/>
      </w:rPr>
    </w:lvl>
    <w:lvl w:ilvl="2" w:tplc="8B748DA0">
      <w:numFmt w:val="bullet"/>
      <w:lvlText w:val="•"/>
      <w:lvlJc w:val="left"/>
      <w:pPr>
        <w:ind w:left="960" w:hanging="608"/>
      </w:pPr>
      <w:rPr>
        <w:rFonts w:hint="default"/>
        <w:lang w:val="es-ES" w:eastAsia="en-US" w:bidi="ar-SA"/>
      </w:rPr>
    </w:lvl>
    <w:lvl w:ilvl="3" w:tplc="D692536A">
      <w:numFmt w:val="bullet"/>
      <w:lvlText w:val="•"/>
      <w:lvlJc w:val="left"/>
      <w:pPr>
        <w:ind w:left="1390" w:hanging="608"/>
      </w:pPr>
      <w:rPr>
        <w:rFonts w:hint="default"/>
        <w:lang w:val="es-ES" w:eastAsia="en-US" w:bidi="ar-SA"/>
      </w:rPr>
    </w:lvl>
    <w:lvl w:ilvl="4" w:tplc="821AAA50">
      <w:numFmt w:val="bullet"/>
      <w:lvlText w:val="•"/>
      <w:lvlJc w:val="left"/>
      <w:pPr>
        <w:ind w:left="1820" w:hanging="608"/>
      </w:pPr>
      <w:rPr>
        <w:rFonts w:hint="default"/>
        <w:lang w:val="es-ES" w:eastAsia="en-US" w:bidi="ar-SA"/>
      </w:rPr>
    </w:lvl>
    <w:lvl w:ilvl="5" w:tplc="68FC27EC">
      <w:numFmt w:val="bullet"/>
      <w:lvlText w:val="•"/>
      <w:lvlJc w:val="left"/>
      <w:pPr>
        <w:ind w:left="2250" w:hanging="608"/>
      </w:pPr>
      <w:rPr>
        <w:rFonts w:hint="default"/>
        <w:lang w:val="es-ES" w:eastAsia="en-US" w:bidi="ar-SA"/>
      </w:rPr>
    </w:lvl>
    <w:lvl w:ilvl="6" w:tplc="064E1E10">
      <w:numFmt w:val="bullet"/>
      <w:lvlText w:val="•"/>
      <w:lvlJc w:val="left"/>
      <w:pPr>
        <w:ind w:left="2680" w:hanging="608"/>
      </w:pPr>
      <w:rPr>
        <w:rFonts w:hint="default"/>
        <w:lang w:val="es-ES" w:eastAsia="en-US" w:bidi="ar-SA"/>
      </w:rPr>
    </w:lvl>
    <w:lvl w:ilvl="7" w:tplc="946A0E20">
      <w:numFmt w:val="bullet"/>
      <w:lvlText w:val="•"/>
      <w:lvlJc w:val="left"/>
      <w:pPr>
        <w:ind w:left="3110" w:hanging="608"/>
      </w:pPr>
      <w:rPr>
        <w:rFonts w:hint="default"/>
        <w:lang w:val="es-ES" w:eastAsia="en-US" w:bidi="ar-SA"/>
      </w:rPr>
    </w:lvl>
    <w:lvl w:ilvl="8" w:tplc="38DCC042">
      <w:numFmt w:val="bullet"/>
      <w:lvlText w:val="•"/>
      <w:lvlJc w:val="left"/>
      <w:pPr>
        <w:ind w:left="3540" w:hanging="608"/>
      </w:pPr>
      <w:rPr>
        <w:rFonts w:hint="default"/>
        <w:lang w:val="es-ES" w:eastAsia="en-US" w:bidi="ar-SA"/>
      </w:rPr>
    </w:lvl>
  </w:abstractNum>
  <w:abstractNum w:abstractNumId="39" w15:restartNumberingAfterBreak="0">
    <w:nsid w:val="719943DD"/>
    <w:multiLevelType w:val="hybridMultilevel"/>
    <w:tmpl w:val="7A822E84"/>
    <w:lvl w:ilvl="0" w:tplc="D45C6044">
      <w:numFmt w:val="bullet"/>
      <w:lvlText w:val=""/>
      <w:lvlJc w:val="left"/>
      <w:pPr>
        <w:ind w:left="2061" w:hanging="348"/>
      </w:pPr>
      <w:rPr>
        <w:rFonts w:ascii="Symbol" w:eastAsia="Symbol" w:hAnsi="Symbol" w:cs="Symbol" w:hint="default"/>
        <w:spacing w:val="0"/>
        <w:w w:val="100"/>
        <w:lang w:val="es-ES" w:eastAsia="en-US" w:bidi="ar-SA"/>
      </w:rPr>
    </w:lvl>
    <w:lvl w:ilvl="1" w:tplc="A97221F0">
      <w:numFmt w:val="bullet"/>
      <w:lvlText w:val="•"/>
      <w:lvlJc w:val="left"/>
      <w:pPr>
        <w:ind w:left="3006" w:hanging="348"/>
      </w:pPr>
      <w:rPr>
        <w:rFonts w:hint="default"/>
        <w:lang w:val="es-ES" w:eastAsia="en-US" w:bidi="ar-SA"/>
      </w:rPr>
    </w:lvl>
    <w:lvl w:ilvl="2" w:tplc="3560FF70">
      <w:numFmt w:val="bullet"/>
      <w:lvlText w:val="•"/>
      <w:lvlJc w:val="left"/>
      <w:pPr>
        <w:ind w:left="3952" w:hanging="348"/>
      </w:pPr>
      <w:rPr>
        <w:rFonts w:hint="default"/>
        <w:lang w:val="es-ES" w:eastAsia="en-US" w:bidi="ar-SA"/>
      </w:rPr>
    </w:lvl>
    <w:lvl w:ilvl="3" w:tplc="2E62F608">
      <w:numFmt w:val="bullet"/>
      <w:lvlText w:val="•"/>
      <w:lvlJc w:val="left"/>
      <w:pPr>
        <w:ind w:left="4898" w:hanging="348"/>
      </w:pPr>
      <w:rPr>
        <w:rFonts w:hint="default"/>
        <w:lang w:val="es-ES" w:eastAsia="en-US" w:bidi="ar-SA"/>
      </w:rPr>
    </w:lvl>
    <w:lvl w:ilvl="4" w:tplc="3F68D122">
      <w:numFmt w:val="bullet"/>
      <w:lvlText w:val="•"/>
      <w:lvlJc w:val="left"/>
      <w:pPr>
        <w:ind w:left="5844" w:hanging="348"/>
      </w:pPr>
      <w:rPr>
        <w:rFonts w:hint="default"/>
        <w:lang w:val="es-ES" w:eastAsia="en-US" w:bidi="ar-SA"/>
      </w:rPr>
    </w:lvl>
    <w:lvl w:ilvl="5" w:tplc="BA584464">
      <w:numFmt w:val="bullet"/>
      <w:lvlText w:val="•"/>
      <w:lvlJc w:val="left"/>
      <w:pPr>
        <w:ind w:left="6790" w:hanging="348"/>
      </w:pPr>
      <w:rPr>
        <w:rFonts w:hint="default"/>
        <w:lang w:val="es-ES" w:eastAsia="en-US" w:bidi="ar-SA"/>
      </w:rPr>
    </w:lvl>
    <w:lvl w:ilvl="6" w:tplc="2BDCF76C">
      <w:numFmt w:val="bullet"/>
      <w:lvlText w:val="•"/>
      <w:lvlJc w:val="left"/>
      <w:pPr>
        <w:ind w:left="7736" w:hanging="348"/>
      </w:pPr>
      <w:rPr>
        <w:rFonts w:hint="default"/>
        <w:lang w:val="es-ES" w:eastAsia="en-US" w:bidi="ar-SA"/>
      </w:rPr>
    </w:lvl>
    <w:lvl w:ilvl="7" w:tplc="75C47378">
      <w:numFmt w:val="bullet"/>
      <w:lvlText w:val="•"/>
      <w:lvlJc w:val="left"/>
      <w:pPr>
        <w:ind w:left="8682" w:hanging="348"/>
      </w:pPr>
      <w:rPr>
        <w:rFonts w:hint="default"/>
        <w:lang w:val="es-ES" w:eastAsia="en-US" w:bidi="ar-SA"/>
      </w:rPr>
    </w:lvl>
    <w:lvl w:ilvl="8" w:tplc="3C805E1E">
      <w:numFmt w:val="bullet"/>
      <w:lvlText w:val="•"/>
      <w:lvlJc w:val="left"/>
      <w:pPr>
        <w:ind w:left="9628" w:hanging="348"/>
      </w:pPr>
      <w:rPr>
        <w:rFonts w:hint="default"/>
        <w:lang w:val="es-ES" w:eastAsia="en-US" w:bidi="ar-SA"/>
      </w:rPr>
    </w:lvl>
  </w:abstractNum>
  <w:abstractNum w:abstractNumId="40" w15:restartNumberingAfterBreak="0">
    <w:nsid w:val="756339BE"/>
    <w:multiLevelType w:val="hybridMultilevel"/>
    <w:tmpl w:val="D2B066CC"/>
    <w:lvl w:ilvl="0" w:tplc="2CAC2696">
      <w:start w:val="1"/>
      <w:numFmt w:val="upperRoman"/>
      <w:lvlText w:val="%1."/>
      <w:lvlJc w:val="left"/>
      <w:pPr>
        <w:ind w:left="200" w:hanging="201"/>
      </w:pPr>
      <w:rPr>
        <w:rFonts w:ascii="Times New Roman" w:eastAsia="Arial" w:hAnsi="Times New Roman" w:cs="Times New Roman" w:hint="default"/>
        <w:b/>
        <w:bCs/>
        <w:i w:val="0"/>
        <w:iCs w:val="0"/>
        <w:spacing w:val="0"/>
        <w:w w:val="100"/>
        <w:sz w:val="24"/>
        <w:szCs w:val="24"/>
        <w:lang w:val="es-ES" w:eastAsia="en-US" w:bidi="ar-SA"/>
      </w:rPr>
    </w:lvl>
    <w:lvl w:ilvl="1" w:tplc="81D4451A">
      <w:start w:val="1"/>
      <w:numFmt w:val="lowerLetter"/>
      <w:lvlText w:val="%2)"/>
      <w:lvlJc w:val="left"/>
      <w:pPr>
        <w:ind w:left="360" w:hanging="360"/>
      </w:pPr>
      <w:rPr>
        <w:rFonts w:ascii="Arial MT" w:eastAsia="Arial MT" w:hAnsi="Arial MT" w:cs="Arial MT" w:hint="default"/>
        <w:b w:val="0"/>
        <w:bCs w:val="0"/>
        <w:i w:val="0"/>
        <w:iCs w:val="0"/>
        <w:spacing w:val="0"/>
        <w:w w:val="100"/>
        <w:sz w:val="24"/>
        <w:szCs w:val="24"/>
        <w:lang w:val="es-ES" w:eastAsia="en-US" w:bidi="ar-SA"/>
      </w:rPr>
    </w:lvl>
    <w:lvl w:ilvl="2" w:tplc="8C0637FC">
      <w:numFmt w:val="bullet"/>
      <w:lvlText w:val="•"/>
      <w:lvlJc w:val="left"/>
      <w:pPr>
        <w:ind w:left="1400" w:hanging="360"/>
      </w:pPr>
      <w:rPr>
        <w:rFonts w:hint="default"/>
        <w:lang w:val="es-ES" w:eastAsia="en-US" w:bidi="ar-SA"/>
      </w:rPr>
    </w:lvl>
    <w:lvl w:ilvl="3" w:tplc="149051DA">
      <w:numFmt w:val="bullet"/>
      <w:lvlText w:val="•"/>
      <w:lvlJc w:val="left"/>
      <w:pPr>
        <w:ind w:left="2440" w:hanging="360"/>
      </w:pPr>
      <w:rPr>
        <w:rFonts w:hint="default"/>
        <w:lang w:val="es-ES" w:eastAsia="en-US" w:bidi="ar-SA"/>
      </w:rPr>
    </w:lvl>
    <w:lvl w:ilvl="4" w:tplc="8A206E8C">
      <w:numFmt w:val="bullet"/>
      <w:lvlText w:val="•"/>
      <w:lvlJc w:val="left"/>
      <w:pPr>
        <w:ind w:left="3480" w:hanging="360"/>
      </w:pPr>
      <w:rPr>
        <w:rFonts w:hint="default"/>
        <w:lang w:val="es-ES" w:eastAsia="en-US" w:bidi="ar-SA"/>
      </w:rPr>
    </w:lvl>
    <w:lvl w:ilvl="5" w:tplc="9106F8D2">
      <w:numFmt w:val="bullet"/>
      <w:lvlText w:val="•"/>
      <w:lvlJc w:val="left"/>
      <w:pPr>
        <w:ind w:left="4520" w:hanging="360"/>
      </w:pPr>
      <w:rPr>
        <w:rFonts w:hint="default"/>
        <w:lang w:val="es-ES" w:eastAsia="en-US" w:bidi="ar-SA"/>
      </w:rPr>
    </w:lvl>
    <w:lvl w:ilvl="6" w:tplc="2A94D9D8">
      <w:numFmt w:val="bullet"/>
      <w:lvlText w:val="•"/>
      <w:lvlJc w:val="left"/>
      <w:pPr>
        <w:ind w:left="5560" w:hanging="360"/>
      </w:pPr>
      <w:rPr>
        <w:rFonts w:hint="default"/>
        <w:lang w:val="es-ES" w:eastAsia="en-US" w:bidi="ar-SA"/>
      </w:rPr>
    </w:lvl>
    <w:lvl w:ilvl="7" w:tplc="AF028932">
      <w:numFmt w:val="bullet"/>
      <w:lvlText w:val="•"/>
      <w:lvlJc w:val="left"/>
      <w:pPr>
        <w:ind w:left="6600" w:hanging="360"/>
      </w:pPr>
      <w:rPr>
        <w:rFonts w:hint="default"/>
        <w:lang w:val="es-ES" w:eastAsia="en-US" w:bidi="ar-SA"/>
      </w:rPr>
    </w:lvl>
    <w:lvl w:ilvl="8" w:tplc="EC169E86">
      <w:numFmt w:val="bullet"/>
      <w:lvlText w:val="•"/>
      <w:lvlJc w:val="left"/>
      <w:pPr>
        <w:ind w:left="7640" w:hanging="360"/>
      </w:pPr>
      <w:rPr>
        <w:rFonts w:hint="default"/>
        <w:lang w:val="es-ES" w:eastAsia="en-US" w:bidi="ar-SA"/>
      </w:rPr>
    </w:lvl>
  </w:abstractNum>
  <w:abstractNum w:abstractNumId="41" w15:restartNumberingAfterBreak="0">
    <w:nsid w:val="78553363"/>
    <w:multiLevelType w:val="hybridMultilevel"/>
    <w:tmpl w:val="5500613A"/>
    <w:lvl w:ilvl="0" w:tplc="55F28156">
      <w:start w:val="1"/>
      <w:numFmt w:val="upperRoman"/>
      <w:lvlText w:val="%1."/>
      <w:lvlJc w:val="right"/>
      <w:pPr>
        <w:ind w:left="720" w:hanging="360"/>
      </w:pPr>
      <w:rPr>
        <w:b/>
        <w:color w:val="000000"/>
      </w:rPr>
    </w:lvl>
    <w:lvl w:ilvl="1" w:tplc="B91601A2">
      <w:start w:val="1"/>
      <w:numFmt w:val="lowerLetter"/>
      <w:lvlText w:val="(%2)"/>
      <w:lvlJc w:val="left"/>
      <w:pPr>
        <w:ind w:left="1470" w:hanging="39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790634DA"/>
    <w:multiLevelType w:val="hybridMultilevel"/>
    <w:tmpl w:val="C032E8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15:restartNumberingAfterBreak="0">
    <w:nsid w:val="7A264F81"/>
    <w:multiLevelType w:val="multilevel"/>
    <w:tmpl w:val="93FEFBEC"/>
    <w:lvl w:ilvl="0">
      <w:start w:val="13"/>
      <w:numFmt w:val="lowerLetter"/>
      <w:lvlText w:val="%1)"/>
      <w:lvlJc w:val="left"/>
      <w:pPr>
        <w:tabs>
          <w:tab w:val="decimal" w:pos="360"/>
        </w:tabs>
        <w:ind w:left="720"/>
      </w:pPr>
      <w:rPr>
        <w:rFonts w:ascii="Arial" w:hAnsi="Arial"/>
        <w:b/>
        <w:strike w:val="0"/>
        <w:color w:val="000000"/>
        <w:spacing w:val="0"/>
        <w:w w:val="110"/>
        <w:sz w:val="19"/>
        <w:vertAlign w:val="baseline"/>
        <w:lang w:val="es-E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D295B5F"/>
    <w:multiLevelType w:val="hybridMultilevel"/>
    <w:tmpl w:val="A81EF420"/>
    <w:lvl w:ilvl="0" w:tplc="EF2AE376">
      <w:start w:val="3"/>
      <w:numFmt w:val="bullet"/>
      <w:lvlText w:val="•"/>
      <w:lvlJc w:val="left"/>
      <w:pPr>
        <w:ind w:left="720" w:hanging="360"/>
      </w:pPr>
      <w:rPr>
        <w:rFonts w:ascii="Times New Roman" w:eastAsia="Verdana"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15:restartNumberingAfterBreak="0">
    <w:nsid w:val="7D69703B"/>
    <w:multiLevelType w:val="hybridMultilevel"/>
    <w:tmpl w:val="96BA0D34"/>
    <w:lvl w:ilvl="0" w:tplc="FA4A9870">
      <w:numFmt w:val="bullet"/>
      <w:lvlText w:val=""/>
      <w:lvlJc w:val="left"/>
      <w:pPr>
        <w:ind w:left="881" w:hanging="360"/>
      </w:pPr>
      <w:rPr>
        <w:rFonts w:ascii="Symbol" w:eastAsia="Symbol" w:hAnsi="Symbol" w:cs="Symbol" w:hint="default"/>
        <w:b w:val="0"/>
        <w:bCs w:val="0"/>
        <w:i w:val="0"/>
        <w:iCs w:val="0"/>
        <w:spacing w:val="0"/>
        <w:w w:val="100"/>
        <w:sz w:val="24"/>
        <w:szCs w:val="24"/>
        <w:lang w:val="es-ES" w:eastAsia="en-US" w:bidi="ar-SA"/>
      </w:rPr>
    </w:lvl>
    <w:lvl w:ilvl="1" w:tplc="AEC8CB9A">
      <w:numFmt w:val="bullet"/>
      <w:lvlText w:val="•"/>
      <w:lvlJc w:val="left"/>
      <w:pPr>
        <w:ind w:left="1728" w:hanging="360"/>
      </w:pPr>
      <w:rPr>
        <w:rFonts w:hint="default"/>
        <w:lang w:val="es-ES" w:eastAsia="en-US" w:bidi="ar-SA"/>
      </w:rPr>
    </w:lvl>
    <w:lvl w:ilvl="2" w:tplc="54C8EEBA">
      <w:numFmt w:val="bullet"/>
      <w:lvlText w:val="•"/>
      <w:lvlJc w:val="left"/>
      <w:pPr>
        <w:ind w:left="2576" w:hanging="360"/>
      </w:pPr>
      <w:rPr>
        <w:rFonts w:hint="default"/>
        <w:lang w:val="es-ES" w:eastAsia="en-US" w:bidi="ar-SA"/>
      </w:rPr>
    </w:lvl>
    <w:lvl w:ilvl="3" w:tplc="FC10BF00">
      <w:numFmt w:val="bullet"/>
      <w:lvlText w:val="•"/>
      <w:lvlJc w:val="left"/>
      <w:pPr>
        <w:ind w:left="3424" w:hanging="360"/>
      </w:pPr>
      <w:rPr>
        <w:rFonts w:hint="default"/>
        <w:lang w:val="es-ES" w:eastAsia="en-US" w:bidi="ar-SA"/>
      </w:rPr>
    </w:lvl>
    <w:lvl w:ilvl="4" w:tplc="D624C9AE">
      <w:numFmt w:val="bullet"/>
      <w:lvlText w:val="•"/>
      <w:lvlJc w:val="left"/>
      <w:pPr>
        <w:ind w:left="4272" w:hanging="360"/>
      </w:pPr>
      <w:rPr>
        <w:rFonts w:hint="default"/>
        <w:lang w:val="es-ES" w:eastAsia="en-US" w:bidi="ar-SA"/>
      </w:rPr>
    </w:lvl>
    <w:lvl w:ilvl="5" w:tplc="CB68CB6A">
      <w:numFmt w:val="bullet"/>
      <w:lvlText w:val="•"/>
      <w:lvlJc w:val="left"/>
      <w:pPr>
        <w:ind w:left="5120" w:hanging="360"/>
      </w:pPr>
      <w:rPr>
        <w:rFonts w:hint="default"/>
        <w:lang w:val="es-ES" w:eastAsia="en-US" w:bidi="ar-SA"/>
      </w:rPr>
    </w:lvl>
    <w:lvl w:ilvl="6" w:tplc="262EFBEA">
      <w:numFmt w:val="bullet"/>
      <w:lvlText w:val="•"/>
      <w:lvlJc w:val="left"/>
      <w:pPr>
        <w:ind w:left="5968" w:hanging="360"/>
      </w:pPr>
      <w:rPr>
        <w:rFonts w:hint="default"/>
        <w:lang w:val="es-ES" w:eastAsia="en-US" w:bidi="ar-SA"/>
      </w:rPr>
    </w:lvl>
    <w:lvl w:ilvl="7" w:tplc="CA5A8A7E">
      <w:numFmt w:val="bullet"/>
      <w:lvlText w:val="•"/>
      <w:lvlJc w:val="left"/>
      <w:pPr>
        <w:ind w:left="6816" w:hanging="360"/>
      </w:pPr>
      <w:rPr>
        <w:rFonts w:hint="default"/>
        <w:lang w:val="es-ES" w:eastAsia="en-US" w:bidi="ar-SA"/>
      </w:rPr>
    </w:lvl>
    <w:lvl w:ilvl="8" w:tplc="64AEEC5C">
      <w:numFmt w:val="bullet"/>
      <w:lvlText w:val="•"/>
      <w:lvlJc w:val="left"/>
      <w:pPr>
        <w:ind w:left="7664" w:hanging="360"/>
      </w:pPr>
      <w:rPr>
        <w:rFonts w:hint="default"/>
        <w:lang w:val="es-ES" w:eastAsia="en-US" w:bidi="ar-SA"/>
      </w:rPr>
    </w:lvl>
  </w:abstractNum>
  <w:num w:numId="1">
    <w:abstractNumId w:val="20"/>
  </w:num>
  <w:num w:numId="2">
    <w:abstractNumId w:val="4"/>
  </w:num>
  <w:num w:numId="3">
    <w:abstractNumId w:val="43"/>
  </w:num>
  <w:num w:numId="4">
    <w:abstractNumId w:val="10"/>
  </w:num>
  <w:num w:numId="5">
    <w:abstractNumId w:val="32"/>
  </w:num>
  <w:num w:numId="6">
    <w:abstractNumId w:val="38"/>
  </w:num>
  <w:num w:numId="7">
    <w:abstractNumId w:val="12"/>
  </w:num>
  <w:num w:numId="8">
    <w:abstractNumId w:val="31"/>
  </w:num>
  <w:num w:numId="9">
    <w:abstractNumId w:val="23"/>
  </w:num>
  <w:num w:numId="10">
    <w:abstractNumId w:val="26"/>
  </w:num>
  <w:num w:numId="11">
    <w:abstractNumId w:val="44"/>
  </w:num>
  <w:num w:numId="12">
    <w:abstractNumId w:val="5"/>
  </w:num>
  <w:num w:numId="13">
    <w:abstractNumId w:val="17"/>
  </w:num>
  <w:num w:numId="14">
    <w:abstractNumId w:val="28"/>
  </w:num>
  <w:num w:numId="15">
    <w:abstractNumId w:val="40"/>
  </w:num>
  <w:num w:numId="16">
    <w:abstractNumId w:val="8"/>
  </w:num>
  <w:num w:numId="17">
    <w:abstractNumId w:val="18"/>
  </w:num>
  <w:num w:numId="18">
    <w:abstractNumId w:val="6"/>
  </w:num>
  <w:num w:numId="19">
    <w:abstractNumId w:val="7"/>
  </w:num>
  <w:num w:numId="20">
    <w:abstractNumId w:val="45"/>
  </w:num>
  <w:num w:numId="21">
    <w:abstractNumId w:val="33"/>
  </w:num>
  <w:num w:numId="22">
    <w:abstractNumId w:val="37"/>
  </w:num>
  <w:num w:numId="23">
    <w:abstractNumId w:val="25"/>
  </w:num>
  <w:num w:numId="24">
    <w:abstractNumId w:val="2"/>
  </w:num>
  <w:num w:numId="25">
    <w:abstractNumId w:val="16"/>
  </w:num>
  <w:num w:numId="26">
    <w:abstractNumId w:val="3"/>
  </w:num>
  <w:num w:numId="27">
    <w:abstractNumId w:val="15"/>
  </w:num>
  <w:num w:numId="28">
    <w:abstractNumId w:val="35"/>
  </w:num>
  <w:num w:numId="29">
    <w:abstractNumId w:val="34"/>
  </w:num>
  <w:num w:numId="30">
    <w:abstractNumId w:val="36"/>
  </w:num>
  <w:num w:numId="31">
    <w:abstractNumId w:val="13"/>
  </w:num>
  <w:num w:numId="32">
    <w:abstractNumId w:val="22"/>
  </w:num>
  <w:num w:numId="33">
    <w:abstractNumId w:val="39"/>
  </w:num>
  <w:num w:numId="34">
    <w:abstractNumId w:val="30"/>
  </w:num>
  <w:num w:numId="35">
    <w:abstractNumId w:val="27"/>
  </w:num>
  <w:num w:numId="36">
    <w:abstractNumId w:val="42"/>
  </w:num>
  <w:num w:numId="37">
    <w:abstractNumId w:val="0"/>
  </w:num>
  <w:num w:numId="38">
    <w:abstractNumId w:val="9"/>
  </w:num>
  <w:num w:numId="39">
    <w:abstractNumId w:val="29"/>
  </w:num>
  <w:num w:numId="40">
    <w:abstractNumId w:val="14"/>
  </w:num>
  <w:num w:numId="41">
    <w:abstractNumId w:val="41"/>
  </w:num>
  <w:num w:numId="42">
    <w:abstractNumId w:val="19"/>
  </w:num>
  <w:num w:numId="43">
    <w:abstractNumId w:val="24"/>
  </w:num>
  <w:num w:numId="44">
    <w:abstractNumId w:val="21"/>
  </w:num>
  <w:num w:numId="45">
    <w:abstractNumId w:val="11"/>
  </w:num>
  <w:num w:numId="46">
    <w:abstractNumId w:val="1"/>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0797"/>
    <w:rsid w:val="00011A09"/>
    <w:rsid w:val="000147BB"/>
    <w:rsid w:val="00015124"/>
    <w:rsid w:val="00015154"/>
    <w:rsid w:val="00024620"/>
    <w:rsid w:val="0002585E"/>
    <w:rsid w:val="000266D4"/>
    <w:rsid w:val="0002763E"/>
    <w:rsid w:val="00027737"/>
    <w:rsid w:val="0003755A"/>
    <w:rsid w:val="000425FD"/>
    <w:rsid w:val="00047FBB"/>
    <w:rsid w:val="00051606"/>
    <w:rsid w:val="0007005E"/>
    <w:rsid w:val="00073BC2"/>
    <w:rsid w:val="00081E16"/>
    <w:rsid w:val="00085DEB"/>
    <w:rsid w:val="000917A0"/>
    <w:rsid w:val="000A32C7"/>
    <w:rsid w:val="000A65D9"/>
    <w:rsid w:val="000C35A6"/>
    <w:rsid w:val="000C3B98"/>
    <w:rsid w:val="000D1301"/>
    <w:rsid w:val="000D2E92"/>
    <w:rsid w:val="000D60AD"/>
    <w:rsid w:val="000D7B42"/>
    <w:rsid w:val="000D7CB2"/>
    <w:rsid w:val="000E0CE6"/>
    <w:rsid w:val="000E2A14"/>
    <w:rsid w:val="000F0A1F"/>
    <w:rsid w:val="000F603A"/>
    <w:rsid w:val="00101292"/>
    <w:rsid w:val="00104979"/>
    <w:rsid w:val="00107B63"/>
    <w:rsid w:val="001105DF"/>
    <w:rsid w:val="001126B3"/>
    <w:rsid w:val="00115894"/>
    <w:rsid w:val="0012101E"/>
    <w:rsid w:val="00123E83"/>
    <w:rsid w:val="00132D95"/>
    <w:rsid w:val="00134584"/>
    <w:rsid w:val="0013616E"/>
    <w:rsid w:val="00141E53"/>
    <w:rsid w:val="00147A0E"/>
    <w:rsid w:val="0015743F"/>
    <w:rsid w:val="0015754A"/>
    <w:rsid w:val="00157D7F"/>
    <w:rsid w:val="001656BA"/>
    <w:rsid w:val="0016678F"/>
    <w:rsid w:val="00174CF7"/>
    <w:rsid w:val="00180104"/>
    <w:rsid w:val="00180A8A"/>
    <w:rsid w:val="0018598A"/>
    <w:rsid w:val="001862DE"/>
    <w:rsid w:val="00191A69"/>
    <w:rsid w:val="00197DAC"/>
    <w:rsid w:val="001A0ECC"/>
    <w:rsid w:val="001A1837"/>
    <w:rsid w:val="001A5682"/>
    <w:rsid w:val="001A7FA4"/>
    <w:rsid w:val="001C66B0"/>
    <w:rsid w:val="001D1629"/>
    <w:rsid w:val="001D426F"/>
    <w:rsid w:val="001D5D46"/>
    <w:rsid w:val="001D6622"/>
    <w:rsid w:val="001D6AF6"/>
    <w:rsid w:val="001E0F34"/>
    <w:rsid w:val="001E3784"/>
    <w:rsid w:val="001E5B1F"/>
    <w:rsid w:val="001F1A3B"/>
    <w:rsid w:val="001F4BB2"/>
    <w:rsid w:val="00206A09"/>
    <w:rsid w:val="0020759F"/>
    <w:rsid w:val="002100F8"/>
    <w:rsid w:val="0021116C"/>
    <w:rsid w:val="002210EA"/>
    <w:rsid w:val="0022428E"/>
    <w:rsid w:val="002261EA"/>
    <w:rsid w:val="00230F7D"/>
    <w:rsid w:val="00241C3D"/>
    <w:rsid w:val="00242557"/>
    <w:rsid w:val="00243BAC"/>
    <w:rsid w:val="00246B33"/>
    <w:rsid w:val="00253FE3"/>
    <w:rsid w:val="00254F04"/>
    <w:rsid w:val="00262403"/>
    <w:rsid w:val="00264F64"/>
    <w:rsid w:val="00265836"/>
    <w:rsid w:val="00270E69"/>
    <w:rsid w:val="0027205F"/>
    <w:rsid w:val="002726EF"/>
    <w:rsid w:val="00277FEE"/>
    <w:rsid w:val="002863C9"/>
    <w:rsid w:val="00287C12"/>
    <w:rsid w:val="00290D9B"/>
    <w:rsid w:val="0029221F"/>
    <w:rsid w:val="002954BB"/>
    <w:rsid w:val="002A19B3"/>
    <w:rsid w:val="002A4720"/>
    <w:rsid w:val="002A5F1F"/>
    <w:rsid w:val="002B37D4"/>
    <w:rsid w:val="002B3F87"/>
    <w:rsid w:val="002B59A2"/>
    <w:rsid w:val="002D1F6A"/>
    <w:rsid w:val="002D60A4"/>
    <w:rsid w:val="00305802"/>
    <w:rsid w:val="00306671"/>
    <w:rsid w:val="003157FA"/>
    <w:rsid w:val="003244AB"/>
    <w:rsid w:val="00333138"/>
    <w:rsid w:val="00333F85"/>
    <w:rsid w:val="00337E7C"/>
    <w:rsid w:val="003457EB"/>
    <w:rsid w:val="0034589B"/>
    <w:rsid w:val="003458DF"/>
    <w:rsid w:val="00356B4F"/>
    <w:rsid w:val="0036057F"/>
    <w:rsid w:val="003633EA"/>
    <w:rsid w:val="00372F05"/>
    <w:rsid w:val="00376D2A"/>
    <w:rsid w:val="0037778C"/>
    <w:rsid w:val="0038026C"/>
    <w:rsid w:val="00380958"/>
    <w:rsid w:val="0038351E"/>
    <w:rsid w:val="00385486"/>
    <w:rsid w:val="00390777"/>
    <w:rsid w:val="00391D35"/>
    <w:rsid w:val="003946DC"/>
    <w:rsid w:val="003B0916"/>
    <w:rsid w:val="003C043E"/>
    <w:rsid w:val="003C1981"/>
    <w:rsid w:val="003C2F01"/>
    <w:rsid w:val="003C7515"/>
    <w:rsid w:val="003D0F96"/>
    <w:rsid w:val="003E0178"/>
    <w:rsid w:val="003E3236"/>
    <w:rsid w:val="003E729D"/>
    <w:rsid w:val="003F2B08"/>
    <w:rsid w:val="003F4586"/>
    <w:rsid w:val="003F69C7"/>
    <w:rsid w:val="004007C0"/>
    <w:rsid w:val="00400835"/>
    <w:rsid w:val="00411AF3"/>
    <w:rsid w:val="0041353A"/>
    <w:rsid w:val="004150A4"/>
    <w:rsid w:val="004157BF"/>
    <w:rsid w:val="00416E54"/>
    <w:rsid w:val="00425A31"/>
    <w:rsid w:val="004269CA"/>
    <w:rsid w:val="00426C2E"/>
    <w:rsid w:val="0043166C"/>
    <w:rsid w:val="004316EB"/>
    <w:rsid w:val="00431D1D"/>
    <w:rsid w:val="004419F0"/>
    <w:rsid w:val="00442AC6"/>
    <w:rsid w:val="00445A29"/>
    <w:rsid w:val="004757FA"/>
    <w:rsid w:val="004824D1"/>
    <w:rsid w:val="004858E5"/>
    <w:rsid w:val="00486F8A"/>
    <w:rsid w:val="00493F42"/>
    <w:rsid w:val="0049527B"/>
    <w:rsid w:val="004A13BA"/>
    <w:rsid w:val="004B36A7"/>
    <w:rsid w:val="004B7CF2"/>
    <w:rsid w:val="004C5595"/>
    <w:rsid w:val="004C6CCE"/>
    <w:rsid w:val="004D03CE"/>
    <w:rsid w:val="004D50AA"/>
    <w:rsid w:val="004F7629"/>
    <w:rsid w:val="005017F6"/>
    <w:rsid w:val="00512E8C"/>
    <w:rsid w:val="00512F7F"/>
    <w:rsid w:val="00516287"/>
    <w:rsid w:val="005226FD"/>
    <w:rsid w:val="00524474"/>
    <w:rsid w:val="00524941"/>
    <w:rsid w:val="0053152E"/>
    <w:rsid w:val="00537556"/>
    <w:rsid w:val="00541B3B"/>
    <w:rsid w:val="00543452"/>
    <w:rsid w:val="00543820"/>
    <w:rsid w:val="00544832"/>
    <w:rsid w:val="00544A78"/>
    <w:rsid w:val="00545A0B"/>
    <w:rsid w:val="00545C6E"/>
    <w:rsid w:val="00546CDC"/>
    <w:rsid w:val="00550D6F"/>
    <w:rsid w:val="0055119E"/>
    <w:rsid w:val="00554B06"/>
    <w:rsid w:val="00557F39"/>
    <w:rsid w:val="00560A6A"/>
    <w:rsid w:val="005612A1"/>
    <w:rsid w:val="00572518"/>
    <w:rsid w:val="00573A4F"/>
    <w:rsid w:val="00580323"/>
    <w:rsid w:val="00583144"/>
    <w:rsid w:val="00584CE4"/>
    <w:rsid w:val="00587269"/>
    <w:rsid w:val="00594367"/>
    <w:rsid w:val="00597215"/>
    <w:rsid w:val="005A5A9A"/>
    <w:rsid w:val="005A62E8"/>
    <w:rsid w:val="005B2345"/>
    <w:rsid w:val="005B2FE5"/>
    <w:rsid w:val="005B5E3A"/>
    <w:rsid w:val="005C6979"/>
    <w:rsid w:val="005D5B99"/>
    <w:rsid w:val="005D7904"/>
    <w:rsid w:val="005E0D88"/>
    <w:rsid w:val="005E2583"/>
    <w:rsid w:val="005F2489"/>
    <w:rsid w:val="005F51E2"/>
    <w:rsid w:val="00605581"/>
    <w:rsid w:val="0062225B"/>
    <w:rsid w:val="00632341"/>
    <w:rsid w:val="00634336"/>
    <w:rsid w:val="00635F30"/>
    <w:rsid w:val="00653C5D"/>
    <w:rsid w:val="00660C9C"/>
    <w:rsid w:val="00663998"/>
    <w:rsid w:val="006651B8"/>
    <w:rsid w:val="00676B1F"/>
    <w:rsid w:val="00686810"/>
    <w:rsid w:val="0069373A"/>
    <w:rsid w:val="00695B1E"/>
    <w:rsid w:val="006A5D10"/>
    <w:rsid w:val="006B16DE"/>
    <w:rsid w:val="006B23E2"/>
    <w:rsid w:val="006B4012"/>
    <w:rsid w:val="006B62C8"/>
    <w:rsid w:val="006B6DC4"/>
    <w:rsid w:val="006C2A1D"/>
    <w:rsid w:val="006D4E43"/>
    <w:rsid w:val="006D5168"/>
    <w:rsid w:val="006D688B"/>
    <w:rsid w:val="006D7B2A"/>
    <w:rsid w:val="006E1407"/>
    <w:rsid w:val="00703331"/>
    <w:rsid w:val="00706A85"/>
    <w:rsid w:val="00713125"/>
    <w:rsid w:val="00715AAB"/>
    <w:rsid w:val="0071666A"/>
    <w:rsid w:val="007206D1"/>
    <w:rsid w:val="0072260D"/>
    <w:rsid w:val="00725165"/>
    <w:rsid w:val="00731B1A"/>
    <w:rsid w:val="007322F2"/>
    <w:rsid w:val="00744442"/>
    <w:rsid w:val="00745C14"/>
    <w:rsid w:val="0075750B"/>
    <w:rsid w:val="00757C05"/>
    <w:rsid w:val="00757DDF"/>
    <w:rsid w:val="00760254"/>
    <w:rsid w:val="00761FF8"/>
    <w:rsid w:val="00762705"/>
    <w:rsid w:val="007629D9"/>
    <w:rsid w:val="0076304E"/>
    <w:rsid w:val="007657B9"/>
    <w:rsid w:val="00770F9A"/>
    <w:rsid w:val="00774C2A"/>
    <w:rsid w:val="00775B24"/>
    <w:rsid w:val="00783853"/>
    <w:rsid w:val="007855D1"/>
    <w:rsid w:val="00791406"/>
    <w:rsid w:val="00791573"/>
    <w:rsid w:val="00792A14"/>
    <w:rsid w:val="00796F5E"/>
    <w:rsid w:val="007A0303"/>
    <w:rsid w:val="007A2206"/>
    <w:rsid w:val="007A28F0"/>
    <w:rsid w:val="007B04B2"/>
    <w:rsid w:val="007B1B19"/>
    <w:rsid w:val="007B250E"/>
    <w:rsid w:val="007C3176"/>
    <w:rsid w:val="007C33B9"/>
    <w:rsid w:val="007C76E6"/>
    <w:rsid w:val="007E1F4F"/>
    <w:rsid w:val="007E4367"/>
    <w:rsid w:val="007E5BC1"/>
    <w:rsid w:val="007E70F5"/>
    <w:rsid w:val="007F03E2"/>
    <w:rsid w:val="007F16D9"/>
    <w:rsid w:val="007F365D"/>
    <w:rsid w:val="007F7017"/>
    <w:rsid w:val="007F7F06"/>
    <w:rsid w:val="008075C6"/>
    <w:rsid w:val="00810AEE"/>
    <w:rsid w:val="00810AF3"/>
    <w:rsid w:val="008131EC"/>
    <w:rsid w:val="0081478A"/>
    <w:rsid w:val="00830326"/>
    <w:rsid w:val="00830F02"/>
    <w:rsid w:val="00832B06"/>
    <w:rsid w:val="0083438B"/>
    <w:rsid w:val="0083467C"/>
    <w:rsid w:val="00840BBA"/>
    <w:rsid w:val="00844ED2"/>
    <w:rsid w:val="00845FDF"/>
    <w:rsid w:val="0085170C"/>
    <w:rsid w:val="00854A73"/>
    <w:rsid w:val="008578D2"/>
    <w:rsid w:val="00860DE0"/>
    <w:rsid w:val="00860F9D"/>
    <w:rsid w:val="008714B6"/>
    <w:rsid w:val="00873C2E"/>
    <w:rsid w:val="008765CF"/>
    <w:rsid w:val="00877D4D"/>
    <w:rsid w:val="00880C8F"/>
    <w:rsid w:val="008839B5"/>
    <w:rsid w:val="008864C2"/>
    <w:rsid w:val="008909E9"/>
    <w:rsid w:val="00894077"/>
    <w:rsid w:val="008A073B"/>
    <w:rsid w:val="008B6839"/>
    <w:rsid w:val="008C3E8F"/>
    <w:rsid w:val="008D03DF"/>
    <w:rsid w:val="008D05E9"/>
    <w:rsid w:val="008D1D2F"/>
    <w:rsid w:val="008E5A2B"/>
    <w:rsid w:val="008E5B41"/>
    <w:rsid w:val="008F0FC3"/>
    <w:rsid w:val="008F517E"/>
    <w:rsid w:val="008F5C64"/>
    <w:rsid w:val="009056B2"/>
    <w:rsid w:val="00910BE2"/>
    <w:rsid w:val="0091615D"/>
    <w:rsid w:val="009265B1"/>
    <w:rsid w:val="00927B3C"/>
    <w:rsid w:val="00931993"/>
    <w:rsid w:val="009630CB"/>
    <w:rsid w:val="009673AC"/>
    <w:rsid w:val="00967C9A"/>
    <w:rsid w:val="00972996"/>
    <w:rsid w:val="00975947"/>
    <w:rsid w:val="0098786C"/>
    <w:rsid w:val="0099011B"/>
    <w:rsid w:val="0099568E"/>
    <w:rsid w:val="009A2D71"/>
    <w:rsid w:val="009A3542"/>
    <w:rsid w:val="009A3899"/>
    <w:rsid w:val="009B256A"/>
    <w:rsid w:val="009B5E15"/>
    <w:rsid w:val="009C0745"/>
    <w:rsid w:val="009C165B"/>
    <w:rsid w:val="009C4919"/>
    <w:rsid w:val="009D4918"/>
    <w:rsid w:val="009F04A2"/>
    <w:rsid w:val="009F48AD"/>
    <w:rsid w:val="00A024A0"/>
    <w:rsid w:val="00A11C4E"/>
    <w:rsid w:val="00A127A4"/>
    <w:rsid w:val="00A12E5D"/>
    <w:rsid w:val="00A22BB1"/>
    <w:rsid w:val="00A3234A"/>
    <w:rsid w:val="00A3364B"/>
    <w:rsid w:val="00A35DFE"/>
    <w:rsid w:val="00A56A9C"/>
    <w:rsid w:val="00A6235C"/>
    <w:rsid w:val="00A735B8"/>
    <w:rsid w:val="00A81E89"/>
    <w:rsid w:val="00A84F0D"/>
    <w:rsid w:val="00A91FAD"/>
    <w:rsid w:val="00A958DE"/>
    <w:rsid w:val="00AA3B98"/>
    <w:rsid w:val="00AB1AEF"/>
    <w:rsid w:val="00AB5430"/>
    <w:rsid w:val="00AB7BB7"/>
    <w:rsid w:val="00AC1015"/>
    <w:rsid w:val="00AC3749"/>
    <w:rsid w:val="00AD0ED4"/>
    <w:rsid w:val="00AE6930"/>
    <w:rsid w:val="00AF7815"/>
    <w:rsid w:val="00AF796D"/>
    <w:rsid w:val="00B03C59"/>
    <w:rsid w:val="00B03F4A"/>
    <w:rsid w:val="00B07E1E"/>
    <w:rsid w:val="00B10130"/>
    <w:rsid w:val="00B16329"/>
    <w:rsid w:val="00B20A89"/>
    <w:rsid w:val="00B2369E"/>
    <w:rsid w:val="00B23C36"/>
    <w:rsid w:val="00B32A80"/>
    <w:rsid w:val="00B41698"/>
    <w:rsid w:val="00B500AF"/>
    <w:rsid w:val="00B50978"/>
    <w:rsid w:val="00B51987"/>
    <w:rsid w:val="00B51B16"/>
    <w:rsid w:val="00B55406"/>
    <w:rsid w:val="00B653F8"/>
    <w:rsid w:val="00B727C8"/>
    <w:rsid w:val="00B7345F"/>
    <w:rsid w:val="00B76386"/>
    <w:rsid w:val="00B8026D"/>
    <w:rsid w:val="00B81620"/>
    <w:rsid w:val="00B825FD"/>
    <w:rsid w:val="00B9563A"/>
    <w:rsid w:val="00B9569C"/>
    <w:rsid w:val="00BA7BBF"/>
    <w:rsid w:val="00BB038A"/>
    <w:rsid w:val="00BB0465"/>
    <w:rsid w:val="00BC0C26"/>
    <w:rsid w:val="00BC30A7"/>
    <w:rsid w:val="00BC4640"/>
    <w:rsid w:val="00BC6475"/>
    <w:rsid w:val="00BD0F52"/>
    <w:rsid w:val="00BE3B53"/>
    <w:rsid w:val="00BE5CB8"/>
    <w:rsid w:val="00BE7239"/>
    <w:rsid w:val="00BF2434"/>
    <w:rsid w:val="00BF561E"/>
    <w:rsid w:val="00C01019"/>
    <w:rsid w:val="00C01C03"/>
    <w:rsid w:val="00C05EF3"/>
    <w:rsid w:val="00C06E2C"/>
    <w:rsid w:val="00C070E4"/>
    <w:rsid w:val="00C12559"/>
    <w:rsid w:val="00C218FB"/>
    <w:rsid w:val="00C22AF5"/>
    <w:rsid w:val="00C25484"/>
    <w:rsid w:val="00C25864"/>
    <w:rsid w:val="00C25E78"/>
    <w:rsid w:val="00C25FD7"/>
    <w:rsid w:val="00C2697F"/>
    <w:rsid w:val="00C3097F"/>
    <w:rsid w:val="00C31324"/>
    <w:rsid w:val="00C343B4"/>
    <w:rsid w:val="00C51838"/>
    <w:rsid w:val="00C53164"/>
    <w:rsid w:val="00C57A0C"/>
    <w:rsid w:val="00C61EAE"/>
    <w:rsid w:val="00C6389A"/>
    <w:rsid w:val="00C646C2"/>
    <w:rsid w:val="00C7203F"/>
    <w:rsid w:val="00C7323F"/>
    <w:rsid w:val="00C77CA5"/>
    <w:rsid w:val="00C94EF6"/>
    <w:rsid w:val="00C97D62"/>
    <w:rsid w:val="00CA0107"/>
    <w:rsid w:val="00CA0403"/>
    <w:rsid w:val="00CA05A3"/>
    <w:rsid w:val="00CA450C"/>
    <w:rsid w:val="00CB0A50"/>
    <w:rsid w:val="00CB38AA"/>
    <w:rsid w:val="00CB4D5A"/>
    <w:rsid w:val="00CB5CA7"/>
    <w:rsid w:val="00CB647A"/>
    <w:rsid w:val="00CB64BC"/>
    <w:rsid w:val="00CB6BE9"/>
    <w:rsid w:val="00CC3229"/>
    <w:rsid w:val="00CC398F"/>
    <w:rsid w:val="00CC4EF0"/>
    <w:rsid w:val="00CC568E"/>
    <w:rsid w:val="00CC795E"/>
    <w:rsid w:val="00CD2CEF"/>
    <w:rsid w:val="00CD45D9"/>
    <w:rsid w:val="00CD541B"/>
    <w:rsid w:val="00CE50C9"/>
    <w:rsid w:val="00CF0694"/>
    <w:rsid w:val="00CF7741"/>
    <w:rsid w:val="00CF7F20"/>
    <w:rsid w:val="00D13B72"/>
    <w:rsid w:val="00D218FF"/>
    <w:rsid w:val="00D32A2A"/>
    <w:rsid w:val="00D33DDB"/>
    <w:rsid w:val="00D34A16"/>
    <w:rsid w:val="00D46027"/>
    <w:rsid w:val="00D504A4"/>
    <w:rsid w:val="00D55CA6"/>
    <w:rsid w:val="00D5665C"/>
    <w:rsid w:val="00D56935"/>
    <w:rsid w:val="00D963E8"/>
    <w:rsid w:val="00DA6518"/>
    <w:rsid w:val="00DA72F1"/>
    <w:rsid w:val="00DA769D"/>
    <w:rsid w:val="00DA76BF"/>
    <w:rsid w:val="00DB008A"/>
    <w:rsid w:val="00DB475B"/>
    <w:rsid w:val="00DB74E9"/>
    <w:rsid w:val="00DC442C"/>
    <w:rsid w:val="00DD10C6"/>
    <w:rsid w:val="00DD70BD"/>
    <w:rsid w:val="00DE0980"/>
    <w:rsid w:val="00DE3712"/>
    <w:rsid w:val="00DF23FD"/>
    <w:rsid w:val="00DF4987"/>
    <w:rsid w:val="00DF6EEA"/>
    <w:rsid w:val="00DF7B86"/>
    <w:rsid w:val="00E0072A"/>
    <w:rsid w:val="00E0415A"/>
    <w:rsid w:val="00E13CB1"/>
    <w:rsid w:val="00E15A16"/>
    <w:rsid w:val="00E20F64"/>
    <w:rsid w:val="00E214F9"/>
    <w:rsid w:val="00E2190C"/>
    <w:rsid w:val="00E24281"/>
    <w:rsid w:val="00E258C7"/>
    <w:rsid w:val="00E264F1"/>
    <w:rsid w:val="00E332CF"/>
    <w:rsid w:val="00E343F5"/>
    <w:rsid w:val="00E37A42"/>
    <w:rsid w:val="00E52359"/>
    <w:rsid w:val="00E55A9B"/>
    <w:rsid w:val="00E56313"/>
    <w:rsid w:val="00E57DCA"/>
    <w:rsid w:val="00E61F9E"/>
    <w:rsid w:val="00E642CD"/>
    <w:rsid w:val="00E7564B"/>
    <w:rsid w:val="00E839D6"/>
    <w:rsid w:val="00E84AC2"/>
    <w:rsid w:val="00E93F79"/>
    <w:rsid w:val="00E95C60"/>
    <w:rsid w:val="00E97A99"/>
    <w:rsid w:val="00EA1A07"/>
    <w:rsid w:val="00EB360E"/>
    <w:rsid w:val="00EB37FB"/>
    <w:rsid w:val="00EB5446"/>
    <w:rsid w:val="00EC1D56"/>
    <w:rsid w:val="00EC4D1E"/>
    <w:rsid w:val="00ED0834"/>
    <w:rsid w:val="00ED0CE6"/>
    <w:rsid w:val="00ED13C4"/>
    <w:rsid w:val="00ED173F"/>
    <w:rsid w:val="00ED2B15"/>
    <w:rsid w:val="00EE6510"/>
    <w:rsid w:val="00EF1D5C"/>
    <w:rsid w:val="00EF26DE"/>
    <w:rsid w:val="00F0074E"/>
    <w:rsid w:val="00F0472F"/>
    <w:rsid w:val="00F065D8"/>
    <w:rsid w:val="00F06AAA"/>
    <w:rsid w:val="00F15436"/>
    <w:rsid w:val="00F21926"/>
    <w:rsid w:val="00F25EA4"/>
    <w:rsid w:val="00F31F1D"/>
    <w:rsid w:val="00F3600F"/>
    <w:rsid w:val="00F4423C"/>
    <w:rsid w:val="00F44C55"/>
    <w:rsid w:val="00F534A9"/>
    <w:rsid w:val="00F548AB"/>
    <w:rsid w:val="00F61340"/>
    <w:rsid w:val="00F64B5A"/>
    <w:rsid w:val="00F714A2"/>
    <w:rsid w:val="00F71635"/>
    <w:rsid w:val="00F71CC5"/>
    <w:rsid w:val="00F827FA"/>
    <w:rsid w:val="00F82A5E"/>
    <w:rsid w:val="00F8351D"/>
    <w:rsid w:val="00F84785"/>
    <w:rsid w:val="00F858EA"/>
    <w:rsid w:val="00F8738B"/>
    <w:rsid w:val="00F9541D"/>
    <w:rsid w:val="00F97E63"/>
    <w:rsid w:val="00FA1656"/>
    <w:rsid w:val="00FA55AC"/>
    <w:rsid w:val="00FC2A0D"/>
    <w:rsid w:val="00FC6263"/>
    <w:rsid w:val="00FD120E"/>
    <w:rsid w:val="00FD2F7E"/>
    <w:rsid w:val="00FD77CF"/>
    <w:rsid w:val="00FE039D"/>
    <w:rsid w:val="00FE044C"/>
    <w:rsid w:val="00FE280F"/>
    <w:rsid w:val="00FE36FA"/>
    <w:rsid w:val="00FE6A1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66BD4"/>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paragraph" w:styleId="Ttulo1">
    <w:name w:val="heading 1"/>
    <w:basedOn w:val="Normal"/>
    <w:link w:val="Ttulo1Car"/>
    <w:uiPriority w:val="9"/>
    <w:qFormat/>
    <w:rsid w:val="00FD2F7E"/>
    <w:pPr>
      <w:widowControl w:val="0"/>
      <w:autoSpaceDE w:val="0"/>
      <w:autoSpaceDN w:val="0"/>
      <w:spacing w:before="1" w:after="0" w:line="240" w:lineRule="auto"/>
      <w:ind w:left="1392" w:right="1393"/>
      <w:jc w:val="center"/>
      <w:outlineLvl w:val="0"/>
    </w:pPr>
    <w:rPr>
      <w:rFonts w:ascii="Arial" w:eastAsia="Arial" w:hAnsi="Arial" w:cs="Arial"/>
      <w:b/>
      <w:bCs/>
      <w:sz w:val="26"/>
      <w:szCs w:val="26"/>
      <w:lang w:val="es-ES"/>
    </w:rPr>
  </w:style>
  <w:style w:type="paragraph" w:styleId="Ttulo2">
    <w:name w:val="heading 2"/>
    <w:basedOn w:val="Normal"/>
    <w:link w:val="Ttulo2Car"/>
    <w:uiPriority w:val="9"/>
    <w:unhideWhenUsed/>
    <w:qFormat/>
    <w:rsid w:val="00FD2F7E"/>
    <w:pPr>
      <w:widowControl w:val="0"/>
      <w:autoSpaceDE w:val="0"/>
      <w:autoSpaceDN w:val="0"/>
      <w:spacing w:after="0" w:line="240" w:lineRule="auto"/>
      <w:ind w:left="1392" w:right="1392"/>
      <w:jc w:val="center"/>
      <w:outlineLvl w:val="1"/>
    </w:pPr>
    <w:rPr>
      <w:rFonts w:ascii="Arial" w:eastAsia="Arial" w:hAnsi="Arial" w:cs="Arial"/>
      <w:b/>
      <w:bCs/>
      <w:sz w:val="24"/>
      <w:szCs w:val="24"/>
      <w:lang w:val="es-ES"/>
    </w:rPr>
  </w:style>
  <w:style w:type="paragraph" w:styleId="Ttulo3">
    <w:name w:val="heading 3"/>
    <w:basedOn w:val="Normal"/>
    <w:link w:val="Ttulo3Car"/>
    <w:uiPriority w:val="9"/>
    <w:unhideWhenUsed/>
    <w:qFormat/>
    <w:rsid w:val="00FD2F7E"/>
    <w:pPr>
      <w:widowControl w:val="0"/>
      <w:autoSpaceDE w:val="0"/>
      <w:autoSpaceDN w:val="0"/>
      <w:spacing w:after="0" w:line="240" w:lineRule="auto"/>
      <w:ind w:left="1341"/>
      <w:outlineLvl w:val="2"/>
    </w:pPr>
    <w:rPr>
      <w:rFonts w:ascii="Arial" w:eastAsia="Arial" w:hAnsi="Arial" w:cs="Arial"/>
      <w:b/>
      <w:bCs/>
      <w:sz w:val="24"/>
      <w:szCs w:val="24"/>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aliases w:val="MAPAS,Evidencias,notaria 30,Bullets,Francesa,Título3,Titulos"/>
    <w:link w:val="SinespaciadoCar"/>
    <w:uiPriority w:val="1"/>
    <w:qFormat/>
    <w:rsid w:val="00085DEB"/>
    <w:pPr>
      <w:spacing w:after="0" w:line="240" w:lineRule="auto"/>
    </w:pPr>
  </w:style>
  <w:style w:type="character" w:customStyle="1" w:styleId="SinespaciadoCar">
    <w:name w:val="Sin espaciado Car"/>
    <w:aliases w:val="MAPAS Car,Evidencias Car,notaria 30 Car,Bullets Car,Francesa Car,Título3 Car,Titulos Car"/>
    <w:link w:val="Sinespaciado"/>
    <w:uiPriority w:val="1"/>
    <w:locked/>
    <w:rsid w:val="002A5F1F"/>
  </w:style>
  <w:style w:type="character" w:customStyle="1" w:styleId="vkekvd">
    <w:name w:val="vkekvd"/>
    <w:basedOn w:val="Fuentedeprrafopredeter"/>
    <w:rsid w:val="00D5665C"/>
  </w:style>
  <w:style w:type="character" w:styleId="Hipervnculo">
    <w:name w:val="Hyperlink"/>
    <w:basedOn w:val="Fuentedeprrafopredeter"/>
    <w:uiPriority w:val="99"/>
    <w:semiHidden/>
    <w:unhideWhenUsed/>
    <w:rsid w:val="00197DAC"/>
    <w:rPr>
      <w:color w:val="0000FF"/>
      <w:u w:val="single"/>
    </w:rPr>
  </w:style>
  <w:style w:type="character" w:styleId="Textoennegrita">
    <w:name w:val="Strong"/>
    <w:basedOn w:val="Fuentedeprrafopredeter"/>
    <w:uiPriority w:val="22"/>
    <w:qFormat/>
    <w:rsid w:val="00197DAC"/>
    <w:rPr>
      <w:b/>
      <w:bCs/>
    </w:rPr>
  </w:style>
  <w:style w:type="table" w:styleId="Tablaconcuadrcula">
    <w:name w:val="Table Grid"/>
    <w:basedOn w:val="Tablanormal"/>
    <w:uiPriority w:val="59"/>
    <w:unhideWhenUsed/>
    <w:rsid w:val="008D03DF"/>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4007C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qFormat/>
    <w:rsid w:val="00854A73"/>
    <w:pPr>
      <w:widowControl w:val="0"/>
      <w:autoSpaceDE w:val="0"/>
      <w:autoSpaceDN w:val="0"/>
      <w:spacing w:after="0" w:line="240" w:lineRule="auto"/>
    </w:pPr>
    <w:rPr>
      <w:rFonts w:ascii="Arial MT" w:eastAsia="Arial MT" w:hAnsi="Arial MT" w:cs="Arial MT"/>
      <w:sz w:val="24"/>
      <w:szCs w:val="24"/>
      <w:lang w:val="es-ES"/>
    </w:rPr>
  </w:style>
  <w:style w:type="character" w:customStyle="1" w:styleId="TextoindependienteCar">
    <w:name w:val="Texto independiente Car"/>
    <w:basedOn w:val="Fuentedeprrafopredeter"/>
    <w:link w:val="Textoindependiente"/>
    <w:rsid w:val="00854A73"/>
    <w:rPr>
      <w:rFonts w:ascii="Arial MT" w:eastAsia="Arial MT" w:hAnsi="Arial MT" w:cs="Arial MT"/>
      <w:sz w:val="24"/>
      <w:szCs w:val="24"/>
      <w:lang w:val="es-ES"/>
    </w:rPr>
  </w:style>
  <w:style w:type="paragraph" w:styleId="Prrafodelista">
    <w:name w:val="List Paragraph"/>
    <w:basedOn w:val="Normal"/>
    <w:uiPriority w:val="34"/>
    <w:qFormat/>
    <w:rsid w:val="00854A73"/>
    <w:pPr>
      <w:widowControl w:val="0"/>
      <w:autoSpaceDE w:val="0"/>
      <w:autoSpaceDN w:val="0"/>
      <w:spacing w:after="0" w:line="240" w:lineRule="auto"/>
      <w:ind w:right="357"/>
      <w:jc w:val="both"/>
    </w:pPr>
    <w:rPr>
      <w:rFonts w:ascii="Arial" w:eastAsia="Arial" w:hAnsi="Arial" w:cs="Arial"/>
      <w:lang w:val="es-ES"/>
    </w:rPr>
  </w:style>
  <w:style w:type="table" w:customStyle="1" w:styleId="TableNormal1">
    <w:name w:val="Table Normal1"/>
    <w:uiPriority w:val="2"/>
    <w:semiHidden/>
    <w:unhideWhenUsed/>
    <w:qFormat/>
    <w:rsid w:val="00F71CC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aconcuadrcula1">
    <w:name w:val="Tabla con cuadrícula1"/>
    <w:basedOn w:val="Tablanormal"/>
    <w:next w:val="Tablaconcuadrcula"/>
    <w:uiPriority w:val="39"/>
    <w:rsid w:val="00F71CC5"/>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rsid w:val="00147A0E"/>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39"/>
    <w:rsid w:val="00CC568E"/>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CD45D9"/>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F1D5C"/>
    <w:pPr>
      <w:autoSpaceDE w:val="0"/>
      <w:autoSpaceDN w:val="0"/>
      <w:adjustRightInd w:val="0"/>
      <w:spacing w:after="0" w:line="240" w:lineRule="auto"/>
    </w:pPr>
    <w:rPr>
      <w:rFonts w:ascii="Arial" w:hAnsi="Arial" w:cs="Arial"/>
      <w:color w:val="000000"/>
      <w:sz w:val="24"/>
      <w:szCs w:val="24"/>
    </w:rPr>
  </w:style>
  <w:style w:type="character" w:customStyle="1" w:styleId="Ttulo1Car">
    <w:name w:val="Título 1 Car"/>
    <w:basedOn w:val="Fuentedeprrafopredeter"/>
    <w:link w:val="Ttulo1"/>
    <w:uiPriority w:val="9"/>
    <w:rsid w:val="00FD2F7E"/>
    <w:rPr>
      <w:rFonts w:ascii="Arial" w:eastAsia="Arial" w:hAnsi="Arial" w:cs="Arial"/>
      <w:b/>
      <w:bCs/>
      <w:sz w:val="26"/>
      <w:szCs w:val="26"/>
      <w:lang w:val="es-ES"/>
    </w:rPr>
  </w:style>
  <w:style w:type="character" w:customStyle="1" w:styleId="Ttulo2Car">
    <w:name w:val="Título 2 Car"/>
    <w:basedOn w:val="Fuentedeprrafopredeter"/>
    <w:link w:val="Ttulo2"/>
    <w:uiPriority w:val="9"/>
    <w:rsid w:val="00FD2F7E"/>
    <w:rPr>
      <w:rFonts w:ascii="Arial" w:eastAsia="Arial" w:hAnsi="Arial" w:cs="Arial"/>
      <w:b/>
      <w:bCs/>
      <w:sz w:val="24"/>
      <w:szCs w:val="24"/>
      <w:lang w:val="es-ES"/>
    </w:rPr>
  </w:style>
  <w:style w:type="character" w:customStyle="1" w:styleId="Ttulo3Car">
    <w:name w:val="Título 3 Car"/>
    <w:basedOn w:val="Fuentedeprrafopredeter"/>
    <w:link w:val="Ttulo3"/>
    <w:uiPriority w:val="9"/>
    <w:rsid w:val="00FD2F7E"/>
    <w:rPr>
      <w:rFonts w:ascii="Arial" w:eastAsia="Arial" w:hAnsi="Arial" w:cs="Arial"/>
      <w:b/>
      <w:bCs/>
      <w:sz w:val="24"/>
      <w:szCs w:val="24"/>
      <w:lang w:val="es-ES"/>
    </w:rPr>
  </w:style>
  <w:style w:type="numbering" w:customStyle="1" w:styleId="Sinlista1">
    <w:name w:val="Sin lista1"/>
    <w:next w:val="Sinlista"/>
    <w:uiPriority w:val="99"/>
    <w:semiHidden/>
    <w:unhideWhenUsed/>
    <w:rsid w:val="00FD2F7E"/>
  </w:style>
  <w:style w:type="table" w:customStyle="1" w:styleId="TableNormal2">
    <w:name w:val="Table Normal2"/>
    <w:uiPriority w:val="2"/>
    <w:semiHidden/>
    <w:unhideWhenUsed/>
    <w:qFormat/>
    <w:rsid w:val="00FD2F7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DC1">
    <w:name w:val="toc 1"/>
    <w:basedOn w:val="Normal"/>
    <w:uiPriority w:val="1"/>
    <w:qFormat/>
    <w:rsid w:val="00FD2F7E"/>
    <w:pPr>
      <w:widowControl w:val="0"/>
      <w:autoSpaceDE w:val="0"/>
      <w:autoSpaceDN w:val="0"/>
      <w:spacing w:before="256" w:after="0" w:line="240" w:lineRule="auto"/>
      <w:ind w:left="1341"/>
    </w:pPr>
    <w:rPr>
      <w:rFonts w:ascii="Arial MT" w:eastAsia="Arial MT" w:hAnsi="Arial MT" w:cs="Arial MT"/>
      <w:sz w:val="24"/>
      <w:szCs w:val="24"/>
      <w:lang w:val="es-ES"/>
    </w:rPr>
  </w:style>
  <w:style w:type="paragraph" w:styleId="Ttulo">
    <w:name w:val="Title"/>
    <w:basedOn w:val="Normal"/>
    <w:link w:val="TtuloCar"/>
    <w:uiPriority w:val="10"/>
    <w:qFormat/>
    <w:rsid w:val="00FD2F7E"/>
    <w:pPr>
      <w:widowControl w:val="0"/>
      <w:autoSpaceDE w:val="0"/>
      <w:autoSpaceDN w:val="0"/>
      <w:spacing w:before="160" w:after="0" w:line="240" w:lineRule="auto"/>
      <w:ind w:left="1392" w:right="1394"/>
      <w:jc w:val="center"/>
    </w:pPr>
    <w:rPr>
      <w:rFonts w:ascii="Arial" w:eastAsia="Arial" w:hAnsi="Arial" w:cs="Arial"/>
      <w:b/>
      <w:bCs/>
      <w:sz w:val="32"/>
      <w:szCs w:val="32"/>
      <w:lang w:val="es-ES"/>
    </w:rPr>
  </w:style>
  <w:style w:type="character" w:customStyle="1" w:styleId="TtuloCar">
    <w:name w:val="Título Car"/>
    <w:basedOn w:val="Fuentedeprrafopredeter"/>
    <w:link w:val="Ttulo"/>
    <w:uiPriority w:val="10"/>
    <w:rsid w:val="00FD2F7E"/>
    <w:rPr>
      <w:rFonts w:ascii="Arial" w:eastAsia="Arial" w:hAnsi="Arial" w:cs="Arial"/>
      <w:b/>
      <w:bCs/>
      <w:sz w:val="32"/>
      <w:szCs w:val="32"/>
      <w:lang w:val="es-ES"/>
    </w:rPr>
  </w:style>
  <w:style w:type="paragraph" w:customStyle="1" w:styleId="TableParagraph">
    <w:name w:val="Table Paragraph"/>
    <w:basedOn w:val="Normal"/>
    <w:uiPriority w:val="1"/>
    <w:qFormat/>
    <w:rsid w:val="00FD2F7E"/>
    <w:pPr>
      <w:widowControl w:val="0"/>
      <w:autoSpaceDE w:val="0"/>
      <w:autoSpaceDN w:val="0"/>
      <w:spacing w:after="0" w:line="240" w:lineRule="auto"/>
    </w:pPr>
    <w:rPr>
      <w:rFonts w:ascii="Arial MT" w:eastAsia="Arial MT" w:hAnsi="Arial MT" w:cs="Arial MT"/>
      <w:lang w:val="es-ES"/>
    </w:rPr>
  </w:style>
  <w:style w:type="table" w:customStyle="1" w:styleId="Tablaconcuadrcula5">
    <w:name w:val="Tabla con cuadrícula5"/>
    <w:basedOn w:val="Tablanormal"/>
    <w:next w:val="Tablaconcuadrcula"/>
    <w:uiPriority w:val="39"/>
    <w:rsid w:val="00FD2F7E"/>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2">
    <w:name w:val="Sin lista2"/>
    <w:next w:val="Sinlista"/>
    <w:uiPriority w:val="99"/>
    <w:semiHidden/>
    <w:unhideWhenUsed/>
    <w:rsid w:val="00416E54"/>
  </w:style>
  <w:style w:type="paragraph" w:styleId="NormalWeb">
    <w:name w:val="Normal (Web)"/>
    <w:basedOn w:val="Normal"/>
    <w:uiPriority w:val="99"/>
    <w:unhideWhenUsed/>
    <w:rsid w:val="00416E54"/>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CharacterStyle2">
    <w:name w:val="Character Style 2"/>
    <w:uiPriority w:val="99"/>
    <w:rsid w:val="00416E54"/>
    <w:rPr>
      <w:rFonts w:ascii="Arial" w:hAnsi="Arial" w:cs="Arial"/>
      <w:sz w:val="24"/>
      <w:szCs w:val="24"/>
    </w:rPr>
  </w:style>
  <w:style w:type="paragraph" w:customStyle="1" w:styleId="Style3">
    <w:name w:val="Style 3"/>
    <w:basedOn w:val="Normal"/>
    <w:uiPriority w:val="99"/>
    <w:rsid w:val="00416E54"/>
    <w:pPr>
      <w:widowControl w:val="0"/>
      <w:autoSpaceDE w:val="0"/>
      <w:autoSpaceDN w:val="0"/>
      <w:spacing w:before="252" w:after="0" w:line="240" w:lineRule="auto"/>
      <w:ind w:left="1080" w:right="1152"/>
    </w:pPr>
    <w:rPr>
      <w:rFonts w:ascii="Arial" w:eastAsia="Times New Roman" w:hAnsi="Arial" w:cs="Arial"/>
      <w:lang w:val="en-US" w:eastAsia="es-MX"/>
    </w:rPr>
  </w:style>
  <w:style w:type="character" w:customStyle="1" w:styleId="TextodegloboCar">
    <w:name w:val="Texto de globo Car"/>
    <w:uiPriority w:val="99"/>
    <w:semiHidden/>
    <w:rsid w:val="00416E54"/>
    <w:rPr>
      <w:rFonts w:ascii="Segoe UI" w:hAnsi="Segoe UI" w:cs="Segoe UI"/>
      <w:sz w:val="18"/>
      <w:szCs w:val="18"/>
    </w:rPr>
  </w:style>
  <w:style w:type="character" w:styleId="Hipervnculovisitado">
    <w:name w:val="FollowedHyperlink"/>
    <w:uiPriority w:val="99"/>
    <w:semiHidden/>
    <w:unhideWhenUsed/>
    <w:rsid w:val="00416E54"/>
    <w:rPr>
      <w:color w:val="800080"/>
      <w:u w:val="single"/>
    </w:rPr>
  </w:style>
  <w:style w:type="paragraph" w:customStyle="1" w:styleId="msonormal0">
    <w:name w:val="msonormal"/>
    <w:basedOn w:val="Normal"/>
    <w:rsid w:val="00416E54"/>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font5">
    <w:name w:val="font5"/>
    <w:basedOn w:val="Normal"/>
    <w:rsid w:val="00416E54"/>
    <w:pPr>
      <w:spacing w:before="100" w:beforeAutospacing="1" w:after="100" w:afterAutospacing="1" w:line="240" w:lineRule="auto"/>
    </w:pPr>
    <w:rPr>
      <w:rFonts w:ascii="Arial" w:eastAsia="Times New Roman" w:hAnsi="Arial" w:cs="Arial"/>
      <w:b/>
      <w:bCs/>
      <w:sz w:val="24"/>
      <w:szCs w:val="24"/>
      <w:lang w:eastAsia="es-MX"/>
    </w:rPr>
  </w:style>
  <w:style w:type="paragraph" w:customStyle="1" w:styleId="xl67">
    <w:name w:val="xl67"/>
    <w:basedOn w:val="Normal"/>
    <w:rsid w:val="00416E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68">
    <w:name w:val="xl68"/>
    <w:basedOn w:val="Normal"/>
    <w:rsid w:val="00416E54"/>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70">
    <w:name w:val="xl70"/>
    <w:basedOn w:val="Normal"/>
    <w:rsid w:val="00416E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71">
    <w:name w:val="xl71"/>
    <w:basedOn w:val="Normal"/>
    <w:rsid w:val="00416E54"/>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72">
    <w:name w:val="xl72"/>
    <w:basedOn w:val="Normal"/>
    <w:rsid w:val="00416E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73">
    <w:name w:val="xl73"/>
    <w:basedOn w:val="Normal"/>
    <w:rsid w:val="00416E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74">
    <w:name w:val="xl74"/>
    <w:basedOn w:val="Normal"/>
    <w:rsid w:val="00416E54"/>
    <w:pPr>
      <w:pBdr>
        <w:top w:val="single" w:sz="8" w:space="0" w:color="auto"/>
        <w:left w:val="single" w:sz="8" w:space="0" w:color="auto"/>
        <w:bottom w:val="single" w:sz="8"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75">
    <w:name w:val="xl75"/>
    <w:basedOn w:val="Normal"/>
    <w:rsid w:val="00416E54"/>
    <w:pPr>
      <w:pBdr>
        <w:top w:val="single" w:sz="8" w:space="0" w:color="auto"/>
        <w:bottom w:val="single" w:sz="8"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76">
    <w:name w:val="xl76"/>
    <w:basedOn w:val="Normal"/>
    <w:rsid w:val="00416E54"/>
    <w:pPr>
      <w:pBdr>
        <w:top w:val="single" w:sz="8" w:space="0" w:color="auto"/>
        <w:bottom w:val="single" w:sz="8" w:space="0" w:color="auto"/>
        <w:right w:val="single" w:sz="8"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77">
    <w:name w:val="xl77"/>
    <w:basedOn w:val="Normal"/>
    <w:rsid w:val="00416E54"/>
    <w:pPr>
      <w:pBdr>
        <w:top w:val="single" w:sz="8" w:space="0" w:color="auto"/>
        <w:left w:val="single" w:sz="8"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78">
    <w:name w:val="xl78"/>
    <w:basedOn w:val="Normal"/>
    <w:rsid w:val="00416E54"/>
    <w:pPr>
      <w:pBdr>
        <w:top w:val="single" w:sz="8"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79">
    <w:name w:val="xl79"/>
    <w:basedOn w:val="Normal"/>
    <w:rsid w:val="00416E54"/>
    <w:pPr>
      <w:pBdr>
        <w:top w:val="single" w:sz="8" w:space="0" w:color="auto"/>
        <w:right w:val="single" w:sz="8"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80">
    <w:name w:val="xl80"/>
    <w:basedOn w:val="Normal"/>
    <w:rsid w:val="00416E54"/>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81">
    <w:name w:val="xl81"/>
    <w:basedOn w:val="Normal"/>
    <w:rsid w:val="00416E5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82">
    <w:name w:val="xl82"/>
    <w:basedOn w:val="Normal"/>
    <w:rsid w:val="00416E5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83">
    <w:name w:val="xl83"/>
    <w:basedOn w:val="Normal"/>
    <w:rsid w:val="00416E5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customStyle="1" w:styleId="xl84">
    <w:name w:val="xl84"/>
    <w:basedOn w:val="Normal"/>
    <w:rsid w:val="00416E5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85">
    <w:name w:val="xl85"/>
    <w:basedOn w:val="Normal"/>
    <w:rsid w:val="00416E54"/>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69">
    <w:name w:val="xl69"/>
    <w:basedOn w:val="Normal"/>
    <w:rsid w:val="00416E5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es-MX"/>
    </w:rPr>
  </w:style>
  <w:style w:type="paragraph" w:styleId="Textodeglobo">
    <w:name w:val="Balloon Text"/>
    <w:basedOn w:val="Normal"/>
    <w:link w:val="TextodegloboCar1"/>
    <w:uiPriority w:val="99"/>
    <w:semiHidden/>
    <w:unhideWhenUsed/>
    <w:rsid w:val="00416E54"/>
    <w:pPr>
      <w:spacing w:after="0" w:line="240" w:lineRule="auto"/>
    </w:pPr>
    <w:rPr>
      <w:rFonts w:ascii="Segoe UI" w:eastAsia="Calibri" w:hAnsi="Segoe UI" w:cs="Segoe UI"/>
      <w:sz w:val="18"/>
      <w:szCs w:val="18"/>
    </w:rPr>
  </w:style>
  <w:style w:type="character" w:customStyle="1" w:styleId="TextodegloboCar1">
    <w:name w:val="Texto de globo Car1"/>
    <w:basedOn w:val="Fuentedeprrafopredeter"/>
    <w:link w:val="Textodeglobo"/>
    <w:uiPriority w:val="99"/>
    <w:semiHidden/>
    <w:rsid w:val="00416E54"/>
    <w:rPr>
      <w:rFonts w:ascii="Segoe UI" w:eastAsia="Calibri" w:hAnsi="Segoe UI" w:cs="Segoe UI"/>
      <w:sz w:val="18"/>
      <w:szCs w:val="18"/>
    </w:rPr>
  </w:style>
  <w:style w:type="paragraph" w:customStyle="1" w:styleId="paragraph">
    <w:name w:val="paragraph"/>
    <w:basedOn w:val="Normal"/>
    <w:rsid w:val="00416E54"/>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normaltextrun">
    <w:name w:val="normaltextrun"/>
    <w:basedOn w:val="Fuentedeprrafopredeter"/>
    <w:rsid w:val="00416E54"/>
  </w:style>
  <w:style w:type="character" w:customStyle="1" w:styleId="eop">
    <w:name w:val="eop"/>
    <w:basedOn w:val="Fuentedeprrafopredeter"/>
    <w:rsid w:val="00416E54"/>
  </w:style>
  <w:style w:type="character" w:customStyle="1" w:styleId="tabchar">
    <w:name w:val="tabchar"/>
    <w:basedOn w:val="Fuentedeprrafopredeter"/>
    <w:rsid w:val="00416E54"/>
  </w:style>
  <w:style w:type="character" w:customStyle="1" w:styleId="TextoindependienteCar1">
    <w:name w:val="Texto independiente Car1"/>
    <w:basedOn w:val="Fuentedeprrafopredeter"/>
    <w:uiPriority w:val="99"/>
    <w:semiHidden/>
    <w:rsid w:val="00416E54"/>
    <w:rPr>
      <w:rFonts w:ascii="Calibri" w:eastAsia="Calibri" w:hAnsi="Calibri" w:cs="Arial"/>
    </w:rPr>
  </w:style>
  <w:style w:type="numbering" w:customStyle="1" w:styleId="Sinlista3">
    <w:name w:val="Sin lista3"/>
    <w:next w:val="Sinlista"/>
    <w:uiPriority w:val="99"/>
    <w:semiHidden/>
    <w:unhideWhenUsed/>
    <w:rsid w:val="00416E54"/>
  </w:style>
  <w:style w:type="character" w:styleId="Refdecomentario">
    <w:name w:val="annotation reference"/>
    <w:basedOn w:val="Fuentedeprrafopredeter"/>
    <w:uiPriority w:val="99"/>
    <w:semiHidden/>
    <w:unhideWhenUsed/>
    <w:rsid w:val="000F603A"/>
    <w:rPr>
      <w:sz w:val="16"/>
      <w:szCs w:val="16"/>
    </w:rPr>
  </w:style>
  <w:style w:type="paragraph" w:styleId="Textocomentario">
    <w:name w:val="annotation text"/>
    <w:basedOn w:val="Normal"/>
    <w:link w:val="TextocomentarioCar"/>
    <w:uiPriority w:val="99"/>
    <w:semiHidden/>
    <w:unhideWhenUsed/>
    <w:rsid w:val="000F603A"/>
    <w:pPr>
      <w:spacing w:line="240" w:lineRule="auto"/>
    </w:pPr>
    <w:rPr>
      <w:rFonts w:ascii="Calibri" w:eastAsia="Calibri" w:hAnsi="Calibri" w:cs="Times New Roman"/>
      <w:sz w:val="20"/>
      <w:szCs w:val="20"/>
    </w:rPr>
  </w:style>
  <w:style w:type="character" w:customStyle="1" w:styleId="TextocomentarioCar">
    <w:name w:val="Texto comentario Car"/>
    <w:basedOn w:val="Fuentedeprrafopredeter"/>
    <w:link w:val="Textocomentario"/>
    <w:uiPriority w:val="99"/>
    <w:semiHidden/>
    <w:rsid w:val="000F603A"/>
    <w:rPr>
      <w:rFonts w:ascii="Calibri" w:eastAsia="Calibri" w:hAnsi="Calibri"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0F603A"/>
    <w:rPr>
      <w:b/>
      <w:bCs/>
    </w:rPr>
  </w:style>
  <w:style w:type="character" w:customStyle="1" w:styleId="AsuntodelcomentarioCar">
    <w:name w:val="Asunto del comentario Car"/>
    <w:basedOn w:val="TextocomentarioCar"/>
    <w:link w:val="Asuntodelcomentario"/>
    <w:uiPriority w:val="99"/>
    <w:semiHidden/>
    <w:rsid w:val="000F603A"/>
    <w:rPr>
      <w:rFonts w:ascii="Calibri" w:eastAsia="Calibri" w:hAnsi="Calibri" w:cs="Times New Roman"/>
      <w:b/>
      <w:bCs/>
      <w:sz w:val="20"/>
      <w:szCs w:val="20"/>
    </w:rPr>
  </w:style>
  <w:style w:type="paragraph" w:styleId="Revisin">
    <w:name w:val="Revision"/>
    <w:hidden/>
    <w:uiPriority w:val="99"/>
    <w:semiHidden/>
    <w:rsid w:val="000F603A"/>
    <w:pPr>
      <w:spacing w:after="0" w:line="240" w:lineRule="auto"/>
    </w:pPr>
    <w:rPr>
      <w:rFonts w:ascii="Calibri" w:eastAsia="Calibri" w:hAnsi="Calibri" w:cs="Times New Roman"/>
    </w:rPr>
  </w:style>
  <w:style w:type="numbering" w:customStyle="1" w:styleId="Sinlista4">
    <w:name w:val="Sin lista4"/>
    <w:next w:val="Sinlista"/>
    <w:uiPriority w:val="99"/>
    <w:semiHidden/>
    <w:unhideWhenUsed/>
    <w:rsid w:val="003244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085826">
      <w:bodyDiv w:val="1"/>
      <w:marLeft w:val="0"/>
      <w:marRight w:val="0"/>
      <w:marTop w:val="0"/>
      <w:marBottom w:val="0"/>
      <w:divBdr>
        <w:top w:val="none" w:sz="0" w:space="0" w:color="auto"/>
        <w:left w:val="none" w:sz="0" w:space="0" w:color="auto"/>
        <w:bottom w:val="none" w:sz="0" w:space="0" w:color="auto"/>
        <w:right w:val="none" w:sz="0" w:space="0" w:color="auto"/>
      </w:divBdr>
    </w:div>
    <w:div w:id="21441209">
      <w:bodyDiv w:val="1"/>
      <w:marLeft w:val="0"/>
      <w:marRight w:val="0"/>
      <w:marTop w:val="0"/>
      <w:marBottom w:val="0"/>
      <w:divBdr>
        <w:top w:val="none" w:sz="0" w:space="0" w:color="auto"/>
        <w:left w:val="none" w:sz="0" w:space="0" w:color="auto"/>
        <w:bottom w:val="none" w:sz="0" w:space="0" w:color="auto"/>
        <w:right w:val="none" w:sz="0" w:space="0" w:color="auto"/>
      </w:divBdr>
    </w:div>
    <w:div w:id="88543749">
      <w:bodyDiv w:val="1"/>
      <w:marLeft w:val="0"/>
      <w:marRight w:val="0"/>
      <w:marTop w:val="0"/>
      <w:marBottom w:val="0"/>
      <w:divBdr>
        <w:top w:val="none" w:sz="0" w:space="0" w:color="auto"/>
        <w:left w:val="none" w:sz="0" w:space="0" w:color="auto"/>
        <w:bottom w:val="none" w:sz="0" w:space="0" w:color="auto"/>
        <w:right w:val="none" w:sz="0" w:space="0" w:color="auto"/>
      </w:divBdr>
    </w:div>
    <w:div w:id="90904517">
      <w:bodyDiv w:val="1"/>
      <w:marLeft w:val="0"/>
      <w:marRight w:val="0"/>
      <w:marTop w:val="0"/>
      <w:marBottom w:val="0"/>
      <w:divBdr>
        <w:top w:val="none" w:sz="0" w:space="0" w:color="auto"/>
        <w:left w:val="none" w:sz="0" w:space="0" w:color="auto"/>
        <w:bottom w:val="none" w:sz="0" w:space="0" w:color="auto"/>
        <w:right w:val="none" w:sz="0" w:space="0" w:color="auto"/>
      </w:divBdr>
    </w:div>
    <w:div w:id="273173649">
      <w:bodyDiv w:val="1"/>
      <w:marLeft w:val="0"/>
      <w:marRight w:val="0"/>
      <w:marTop w:val="0"/>
      <w:marBottom w:val="0"/>
      <w:divBdr>
        <w:top w:val="none" w:sz="0" w:space="0" w:color="auto"/>
        <w:left w:val="none" w:sz="0" w:space="0" w:color="auto"/>
        <w:bottom w:val="none" w:sz="0" w:space="0" w:color="auto"/>
        <w:right w:val="none" w:sz="0" w:space="0" w:color="auto"/>
      </w:divBdr>
    </w:div>
    <w:div w:id="276258072">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287977271">
      <w:bodyDiv w:val="1"/>
      <w:marLeft w:val="0"/>
      <w:marRight w:val="0"/>
      <w:marTop w:val="0"/>
      <w:marBottom w:val="0"/>
      <w:divBdr>
        <w:top w:val="none" w:sz="0" w:space="0" w:color="auto"/>
        <w:left w:val="none" w:sz="0" w:space="0" w:color="auto"/>
        <w:bottom w:val="none" w:sz="0" w:space="0" w:color="auto"/>
        <w:right w:val="none" w:sz="0" w:space="0" w:color="auto"/>
      </w:divBdr>
    </w:div>
    <w:div w:id="305668617">
      <w:bodyDiv w:val="1"/>
      <w:marLeft w:val="0"/>
      <w:marRight w:val="0"/>
      <w:marTop w:val="0"/>
      <w:marBottom w:val="0"/>
      <w:divBdr>
        <w:top w:val="none" w:sz="0" w:space="0" w:color="auto"/>
        <w:left w:val="none" w:sz="0" w:space="0" w:color="auto"/>
        <w:bottom w:val="none" w:sz="0" w:space="0" w:color="auto"/>
        <w:right w:val="none" w:sz="0" w:space="0" w:color="auto"/>
      </w:divBdr>
    </w:div>
    <w:div w:id="357437697">
      <w:bodyDiv w:val="1"/>
      <w:marLeft w:val="0"/>
      <w:marRight w:val="0"/>
      <w:marTop w:val="0"/>
      <w:marBottom w:val="0"/>
      <w:divBdr>
        <w:top w:val="none" w:sz="0" w:space="0" w:color="auto"/>
        <w:left w:val="none" w:sz="0" w:space="0" w:color="auto"/>
        <w:bottom w:val="none" w:sz="0" w:space="0" w:color="auto"/>
        <w:right w:val="none" w:sz="0" w:space="0" w:color="auto"/>
      </w:divBdr>
    </w:div>
    <w:div w:id="358167219">
      <w:bodyDiv w:val="1"/>
      <w:marLeft w:val="0"/>
      <w:marRight w:val="0"/>
      <w:marTop w:val="0"/>
      <w:marBottom w:val="0"/>
      <w:divBdr>
        <w:top w:val="none" w:sz="0" w:space="0" w:color="auto"/>
        <w:left w:val="none" w:sz="0" w:space="0" w:color="auto"/>
        <w:bottom w:val="none" w:sz="0" w:space="0" w:color="auto"/>
        <w:right w:val="none" w:sz="0" w:space="0" w:color="auto"/>
      </w:divBdr>
    </w:div>
    <w:div w:id="360474721">
      <w:bodyDiv w:val="1"/>
      <w:marLeft w:val="0"/>
      <w:marRight w:val="0"/>
      <w:marTop w:val="0"/>
      <w:marBottom w:val="0"/>
      <w:divBdr>
        <w:top w:val="none" w:sz="0" w:space="0" w:color="auto"/>
        <w:left w:val="none" w:sz="0" w:space="0" w:color="auto"/>
        <w:bottom w:val="none" w:sz="0" w:space="0" w:color="auto"/>
        <w:right w:val="none" w:sz="0" w:space="0" w:color="auto"/>
      </w:divBdr>
    </w:div>
    <w:div w:id="386884285">
      <w:bodyDiv w:val="1"/>
      <w:marLeft w:val="0"/>
      <w:marRight w:val="0"/>
      <w:marTop w:val="0"/>
      <w:marBottom w:val="0"/>
      <w:divBdr>
        <w:top w:val="none" w:sz="0" w:space="0" w:color="auto"/>
        <w:left w:val="none" w:sz="0" w:space="0" w:color="auto"/>
        <w:bottom w:val="none" w:sz="0" w:space="0" w:color="auto"/>
        <w:right w:val="none" w:sz="0" w:space="0" w:color="auto"/>
      </w:divBdr>
    </w:div>
    <w:div w:id="427506018">
      <w:bodyDiv w:val="1"/>
      <w:marLeft w:val="0"/>
      <w:marRight w:val="0"/>
      <w:marTop w:val="0"/>
      <w:marBottom w:val="0"/>
      <w:divBdr>
        <w:top w:val="none" w:sz="0" w:space="0" w:color="auto"/>
        <w:left w:val="none" w:sz="0" w:space="0" w:color="auto"/>
        <w:bottom w:val="none" w:sz="0" w:space="0" w:color="auto"/>
        <w:right w:val="none" w:sz="0" w:space="0" w:color="auto"/>
      </w:divBdr>
    </w:div>
    <w:div w:id="434403163">
      <w:bodyDiv w:val="1"/>
      <w:marLeft w:val="0"/>
      <w:marRight w:val="0"/>
      <w:marTop w:val="0"/>
      <w:marBottom w:val="0"/>
      <w:divBdr>
        <w:top w:val="none" w:sz="0" w:space="0" w:color="auto"/>
        <w:left w:val="none" w:sz="0" w:space="0" w:color="auto"/>
        <w:bottom w:val="none" w:sz="0" w:space="0" w:color="auto"/>
        <w:right w:val="none" w:sz="0" w:space="0" w:color="auto"/>
      </w:divBdr>
    </w:div>
    <w:div w:id="439494576">
      <w:bodyDiv w:val="1"/>
      <w:marLeft w:val="0"/>
      <w:marRight w:val="0"/>
      <w:marTop w:val="0"/>
      <w:marBottom w:val="0"/>
      <w:divBdr>
        <w:top w:val="none" w:sz="0" w:space="0" w:color="auto"/>
        <w:left w:val="none" w:sz="0" w:space="0" w:color="auto"/>
        <w:bottom w:val="none" w:sz="0" w:space="0" w:color="auto"/>
        <w:right w:val="none" w:sz="0" w:space="0" w:color="auto"/>
      </w:divBdr>
    </w:div>
    <w:div w:id="497039311">
      <w:bodyDiv w:val="1"/>
      <w:marLeft w:val="0"/>
      <w:marRight w:val="0"/>
      <w:marTop w:val="0"/>
      <w:marBottom w:val="0"/>
      <w:divBdr>
        <w:top w:val="none" w:sz="0" w:space="0" w:color="auto"/>
        <w:left w:val="none" w:sz="0" w:space="0" w:color="auto"/>
        <w:bottom w:val="none" w:sz="0" w:space="0" w:color="auto"/>
        <w:right w:val="none" w:sz="0" w:space="0" w:color="auto"/>
      </w:divBdr>
    </w:div>
    <w:div w:id="505293459">
      <w:bodyDiv w:val="1"/>
      <w:marLeft w:val="0"/>
      <w:marRight w:val="0"/>
      <w:marTop w:val="0"/>
      <w:marBottom w:val="0"/>
      <w:divBdr>
        <w:top w:val="none" w:sz="0" w:space="0" w:color="auto"/>
        <w:left w:val="none" w:sz="0" w:space="0" w:color="auto"/>
        <w:bottom w:val="none" w:sz="0" w:space="0" w:color="auto"/>
        <w:right w:val="none" w:sz="0" w:space="0" w:color="auto"/>
      </w:divBdr>
    </w:div>
    <w:div w:id="521479082">
      <w:bodyDiv w:val="1"/>
      <w:marLeft w:val="0"/>
      <w:marRight w:val="0"/>
      <w:marTop w:val="0"/>
      <w:marBottom w:val="0"/>
      <w:divBdr>
        <w:top w:val="none" w:sz="0" w:space="0" w:color="auto"/>
        <w:left w:val="none" w:sz="0" w:space="0" w:color="auto"/>
        <w:bottom w:val="none" w:sz="0" w:space="0" w:color="auto"/>
        <w:right w:val="none" w:sz="0" w:space="0" w:color="auto"/>
      </w:divBdr>
    </w:div>
    <w:div w:id="554466907">
      <w:bodyDiv w:val="1"/>
      <w:marLeft w:val="0"/>
      <w:marRight w:val="0"/>
      <w:marTop w:val="0"/>
      <w:marBottom w:val="0"/>
      <w:divBdr>
        <w:top w:val="none" w:sz="0" w:space="0" w:color="auto"/>
        <w:left w:val="none" w:sz="0" w:space="0" w:color="auto"/>
        <w:bottom w:val="none" w:sz="0" w:space="0" w:color="auto"/>
        <w:right w:val="none" w:sz="0" w:space="0" w:color="auto"/>
      </w:divBdr>
    </w:div>
    <w:div w:id="561647704">
      <w:bodyDiv w:val="1"/>
      <w:marLeft w:val="0"/>
      <w:marRight w:val="0"/>
      <w:marTop w:val="0"/>
      <w:marBottom w:val="0"/>
      <w:divBdr>
        <w:top w:val="none" w:sz="0" w:space="0" w:color="auto"/>
        <w:left w:val="none" w:sz="0" w:space="0" w:color="auto"/>
        <w:bottom w:val="none" w:sz="0" w:space="0" w:color="auto"/>
        <w:right w:val="none" w:sz="0" w:space="0" w:color="auto"/>
      </w:divBdr>
    </w:div>
    <w:div w:id="629899158">
      <w:bodyDiv w:val="1"/>
      <w:marLeft w:val="0"/>
      <w:marRight w:val="0"/>
      <w:marTop w:val="0"/>
      <w:marBottom w:val="0"/>
      <w:divBdr>
        <w:top w:val="none" w:sz="0" w:space="0" w:color="auto"/>
        <w:left w:val="none" w:sz="0" w:space="0" w:color="auto"/>
        <w:bottom w:val="none" w:sz="0" w:space="0" w:color="auto"/>
        <w:right w:val="none" w:sz="0" w:space="0" w:color="auto"/>
      </w:divBdr>
    </w:div>
    <w:div w:id="690763805">
      <w:bodyDiv w:val="1"/>
      <w:marLeft w:val="0"/>
      <w:marRight w:val="0"/>
      <w:marTop w:val="0"/>
      <w:marBottom w:val="0"/>
      <w:divBdr>
        <w:top w:val="none" w:sz="0" w:space="0" w:color="auto"/>
        <w:left w:val="none" w:sz="0" w:space="0" w:color="auto"/>
        <w:bottom w:val="none" w:sz="0" w:space="0" w:color="auto"/>
        <w:right w:val="none" w:sz="0" w:space="0" w:color="auto"/>
      </w:divBdr>
    </w:div>
    <w:div w:id="694311490">
      <w:bodyDiv w:val="1"/>
      <w:marLeft w:val="0"/>
      <w:marRight w:val="0"/>
      <w:marTop w:val="0"/>
      <w:marBottom w:val="0"/>
      <w:divBdr>
        <w:top w:val="none" w:sz="0" w:space="0" w:color="auto"/>
        <w:left w:val="none" w:sz="0" w:space="0" w:color="auto"/>
        <w:bottom w:val="none" w:sz="0" w:space="0" w:color="auto"/>
        <w:right w:val="none" w:sz="0" w:space="0" w:color="auto"/>
      </w:divBdr>
    </w:div>
    <w:div w:id="696346660">
      <w:bodyDiv w:val="1"/>
      <w:marLeft w:val="0"/>
      <w:marRight w:val="0"/>
      <w:marTop w:val="0"/>
      <w:marBottom w:val="0"/>
      <w:divBdr>
        <w:top w:val="none" w:sz="0" w:space="0" w:color="auto"/>
        <w:left w:val="none" w:sz="0" w:space="0" w:color="auto"/>
        <w:bottom w:val="none" w:sz="0" w:space="0" w:color="auto"/>
        <w:right w:val="none" w:sz="0" w:space="0" w:color="auto"/>
      </w:divBdr>
    </w:div>
    <w:div w:id="774907496">
      <w:bodyDiv w:val="1"/>
      <w:marLeft w:val="0"/>
      <w:marRight w:val="0"/>
      <w:marTop w:val="0"/>
      <w:marBottom w:val="0"/>
      <w:divBdr>
        <w:top w:val="none" w:sz="0" w:space="0" w:color="auto"/>
        <w:left w:val="none" w:sz="0" w:space="0" w:color="auto"/>
        <w:bottom w:val="none" w:sz="0" w:space="0" w:color="auto"/>
        <w:right w:val="none" w:sz="0" w:space="0" w:color="auto"/>
      </w:divBdr>
    </w:div>
    <w:div w:id="799802489">
      <w:bodyDiv w:val="1"/>
      <w:marLeft w:val="0"/>
      <w:marRight w:val="0"/>
      <w:marTop w:val="0"/>
      <w:marBottom w:val="0"/>
      <w:divBdr>
        <w:top w:val="none" w:sz="0" w:space="0" w:color="auto"/>
        <w:left w:val="none" w:sz="0" w:space="0" w:color="auto"/>
        <w:bottom w:val="none" w:sz="0" w:space="0" w:color="auto"/>
        <w:right w:val="none" w:sz="0" w:space="0" w:color="auto"/>
      </w:divBdr>
    </w:div>
    <w:div w:id="805700809">
      <w:bodyDiv w:val="1"/>
      <w:marLeft w:val="0"/>
      <w:marRight w:val="0"/>
      <w:marTop w:val="0"/>
      <w:marBottom w:val="0"/>
      <w:divBdr>
        <w:top w:val="none" w:sz="0" w:space="0" w:color="auto"/>
        <w:left w:val="none" w:sz="0" w:space="0" w:color="auto"/>
        <w:bottom w:val="none" w:sz="0" w:space="0" w:color="auto"/>
        <w:right w:val="none" w:sz="0" w:space="0" w:color="auto"/>
      </w:divBdr>
    </w:div>
    <w:div w:id="851724061">
      <w:bodyDiv w:val="1"/>
      <w:marLeft w:val="0"/>
      <w:marRight w:val="0"/>
      <w:marTop w:val="0"/>
      <w:marBottom w:val="0"/>
      <w:divBdr>
        <w:top w:val="none" w:sz="0" w:space="0" w:color="auto"/>
        <w:left w:val="none" w:sz="0" w:space="0" w:color="auto"/>
        <w:bottom w:val="none" w:sz="0" w:space="0" w:color="auto"/>
        <w:right w:val="none" w:sz="0" w:space="0" w:color="auto"/>
      </w:divBdr>
    </w:div>
    <w:div w:id="853767120">
      <w:bodyDiv w:val="1"/>
      <w:marLeft w:val="0"/>
      <w:marRight w:val="0"/>
      <w:marTop w:val="0"/>
      <w:marBottom w:val="0"/>
      <w:divBdr>
        <w:top w:val="none" w:sz="0" w:space="0" w:color="auto"/>
        <w:left w:val="none" w:sz="0" w:space="0" w:color="auto"/>
        <w:bottom w:val="none" w:sz="0" w:space="0" w:color="auto"/>
        <w:right w:val="none" w:sz="0" w:space="0" w:color="auto"/>
      </w:divBdr>
    </w:div>
    <w:div w:id="861095113">
      <w:bodyDiv w:val="1"/>
      <w:marLeft w:val="0"/>
      <w:marRight w:val="0"/>
      <w:marTop w:val="0"/>
      <w:marBottom w:val="0"/>
      <w:divBdr>
        <w:top w:val="none" w:sz="0" w:space="0" w:color="auto"/>
        <w:left w:val="none" w:sz="0" w:space="0" w:color="auto"/>
        <w:bottom w:val="none" w:sz="0" w:space="0" w:color="auto"/>
        <w:right w:val="none" w:sz="0" w:space="0" w:color="auto"/>
      </w:divBdr>
    </w:div>
    <w:div w:id="881328556">
      <w:bodyDiv w:val="1"/>
      <w:marLeft w:val="0"/>
      <w:marRight w:val="0"/>
      <w:marTop w:val="0"/>
      <w:marBottom w:val="0"/>
      <w:divBdr>
        <w:top w:val="none" w:sz="0" w:space="0" w:color="auto"/>
        <w:left w:val="none" w:sz="0" w:space="0" w:color="auto"/>
        <w:bottom w:val="none" w:sz="0" w:space="0" w:color="auto"/>
        <w:right w:val="none" w:sz="0" w:space="0" w:color="auto"/>
      </w:divBdr>
    </w:div>
    <w:div w:id="949238837">
      <w:bodyDiv w:val="1"/>
      <w:marLeft w:val="0"/>
      <w:marRight w:val="0"/>
      <w:marTop w:val="0"/>
      <w:marBottom w:val="0"/>
      <w:divBdr>
        <w:top w:val="none" w:sz="0" w:space="0" w:color="auto"/>
        <w:left w:val="none" w:sz="0" w:space="0" w:color="auto"/>
        <w:bottom w:val="none" w:sz="0" w:space="0" w:color="auto"/>
        <w:right w:val="none" w:sz="0" w:space="0" w:color="auto"/>
      </w:divBdr>
    </w:div>
    <w:div w:id="966472485">
      <w:bodyDiv w:val="1"/>
      <w:marLeft w:val="0"/>
      <w:marRight w:val="0"/>
      <w:marTop w:val="0"/>
      <w:marBottom w:val="0"/>
      <w:divBdr>
        <w:top w:val="none" w:sz="0" w:space="0" w:color="auto"/>
        <w:left w:val="none" w:sz="0" w:space="0" w:color="auto"/>
        <w:bottom w:val="none" w:sz="0" w:space="0" w:color="auto"/>
        <w:right w:val="none" w:sz="0" w:space="0" w:color="auto"/>
      </w:divBdr>
    </w:div>
    <w:div w:id="1020350172">
      <w:bodyDiv w:val="1"/>
      <w:marLeft w:val="0"/>
      <w:marRight w:val="0"/>
      <w:marTop w:val="0"/>
      <w:marBottom w:val="0"/>
      <w:divBdr>
        <w:top w:val="none" w:sz="0" w:space="0" w:color="auto"/>
        <w:left w:val="none" w:sz="0" w:space="0" w:color="auto"/>
        <w:bottom w:val="none" w:sz="0" w:space="0" w:color="auto"/>
        <w:right w:val="none" w:sz="0" w:space="0" w:color="auto"/>
      </w:divBdr>
    </w:div>
    <w:div w:id="1029570688">
      <w:bodyDiv w:val="1"/>
      <w:marLeft w:val="0"/>
      <w:marRight w:val="0"/>
      <w:marTop w:val="0"/>
      <w:marBottom w:val="0"/>
      <w:divBdr>
        <w:top w:val="none" w:sz="0" w:space="0" w:color="auto"/>
        <w:left w:val="none" w:sz="0" w:space="0" w:color="auto"/>
        <w:bottom w:val="none" w:sz="0" w:space="0" w:color="auto"/>
        <w:right w:val="none" w:sz="0" w:space="0" w:color="auto"/>
      </w:divBdr>
    </w:div>
    <w:div w:id="1070884778">
      <w:bodyDiv w:val="1"/>
      <w:marLeft w:val="0"/>
      <w:marRight w:val="0"/>
      <w:marTop w:val="0"/>
      <w:marBottom w:val="0"/>
      <w:divBdr>
        <w:top w:val="none" w:sz="0" w:space="0" w:color="auto"/>
        <w:left w:val="none" w:sz="0" w:space="0" w:color="auto"/>
        <w:bottom w:val="none" w:sz="0" w:space="0" w:color="auto"/>
        <w:right w:val="none" w:sz="0" w:space="0" w:color="auto"/>
      </w:divBdr>
    </w:div>
    <w:div w:id="1115902093">
      <w:bodyDiv w:val="1"/>
      <w:marLeft w:val="0"/>
      <w:marRight w:val="0"/>
      <w:marTop w:val="0"/>
      <w:marBottom w:val="0"/>
      <w:divBdr>
        <w:top w:val="none" w:sz="0" w:space="0" w:color="auto"/>
        <w:left w:val="none" w:sz="0" w:space="0" w:color="auto"/>
        <w:bottom w:val="none" w:sz="0" w:space="0" w:color="auto"/>
        <w:right w:val="none" w:sz="0" w:space="0" w:color="auto"/>
      </w:divBdr>
    </w:div>
    <w:div w:id="1153834207">
      <w:bodyDiv w:val="1"/>
      <w:marLeft w:val="0"/>
      <w:marRight w:val="0"/>
      <w:marTop w:val="0"/>
      <w:marBottom w:val="0"/>
      <w:divBdr>
        <w:top w:val="none" w:sz="0" w:space="0" w:color="auto"/>
        <w:left w:val="none" w:sz="0" w:space="0" w:color="auto"/>
        <w:bottom w:val="none" w:sz="0" w:space="0" w:color="auto"/>
        <w:right w:val="none" w:sz="0" w:space="0" w:color="auto"/>
      </w:divBdr>
    </w:div>
    <w:div w:id="1249273391">
      <w:bodyDiv w:val="1"/>
      <w:marLeft w:val="0"/>
      <w:marRight w:val="0"/>
      <w:marTop w:val="0"/>
      <w:marBottom w:val="0"/>
      <w:divBdr>
        <w:top w:val="none" w:sz="0" w:space="0" w:color="auto"/>
        <w:left w:val="none" w:sz="0" w:space="0" w:color="auto"/>
        <w:bottom w:val="none" w:sz="0" w:space="0" w:color="auto"/>
        <w:right w:val="none" w:sz="0" w:space="0" w:color="auto"/>
      </w:divBdr>
    </w:div>
    <w:div w:id="1309475713">
      <w:bodyDiv w:val="1"/>
      <w:marLeft w:val="0"/>
      <w:marRight w:val="0"/>
      <w:marTop w:val="0"/>
      <w:marBottom w:val="0"/>
      <w:divBdr>
        <w:top w:val="none" w:sz="0" w:space="0" w:color="auto"/>
        <w:left w:val="none" w:sz="0" w:space="0" w:color="auto"/>
        <w:bottom w:val="none" w:sz="0" w:space="0" w:color="auto"/>
        <w:right w:val="none" w:sz="0" w:space="0" w:color="auto"/>
      </w:divBdr>
    </w:div>
    <w:div w:id="1342195730">
      <w:bodyDiv w:val="1"/>
      <w:marLeft w:val="0"/>
      <w:marRight w:val="0"/>
      <w:marTop w:val="0"/>
      <w:marBottom w:val="0"/>
      <w:divBdr>
        <w:top w:val="none" w:sz="0" w:space="0" w:color="auto"/>
        <w:left w:val="none" w:sz="0" w:space="0" w:color="auto"/>
        <w:bottom w:val="none" w:sz="0" w:space="0" w:color="auto"/>
        <w:right w:val="none" w:sz="0" w:space="0" w:color="auto"/>
      </w:divBdr>
    </w:div>
    <w:div w:id="1346594641">
      <w:bodyDiv w:val="1"/>
      <w:marLeft w:val="0"/>
      <w:marRight w:val="0"/>
      <w:marTop w:val="0"/>
      <w:marBottom w:val="0"/>
      <w:divBdr>
        <w:top w:val="none" w:sz="0" w:space="0" w:color="auto"/>
        <w:left w:val="none" w:sz="0" w:space="0" w:color="auto"/>
        <w:bottom w:val="none" w:sz="0" w:space="0" w:color="auto"/>
        <w:right w:val="none" w:sz="0" w:space="0" w:color="auto"/>
      </w:divBdr>
    </w:div>
    <w:div w:id="1424456831">
      <w:bodyDiv w:val="1"/>
      <w:marLeft w:val="0"/>
      <w:marRight w:val="0"/>
      <w:marTop w:val="0"/>
      <w:marBottom w:val="0"/>
      <w:divBdr>
        <w:top w:val="none" w:sz="0" w:space="0" w:color="auto"/>
        <w:left w:val="none" w:sz="0" w:space="0" w:color="auto"/>
        <w:bottom w:val="none" w:sz="0" w:space="0" w:color="auto"/>
        <w:right w:val="none" w:sz="0" w:space="0" w:color="auto"/>
      </w:divBdr>
    </w:div>
    <w:div w:id="1479763584">
      <w:bodyDiv w:val="1"/>
      <w:marLeft w:val="0"/>
      <w:marRight w:val="0"/>
      <w:marTop w:val="0"/>
      <w:marBottom w:val="0"/>
      <w:divBdr>
        <w:top w:val="none" w:sz="0" w:space="0" w:color="auto"/>
        <w:left w:val="none" w:sz="0" w:space="0" w:color="auto"/>
        <w:bottom w:val="none" w:sz="0" w:space="0" w:color="auto"/>
        <w:right w:val="none" w:sz="0" w:space="0" w:color="auto"/>
      </w:divBdr>
    </w:div>
    <w:div w:id="1520854093">
      <w:bodyDiv w:val="1"/>
      <w:marLeft w:val="0"/>
      <w:marRight w:val="0"/>
      <w:marTop w:val="0"/>
      <w:marBottom w:val="0"/>
      <w:divBdr>
        <w:top w:val="none" w:sz="0" w:space="0" w:color="auto"/>
        <w:left w:val="none" w:sz="0" w:space="0" w:color="auto"/>
        <w:bottom w:val="none" w:sz="0" w:space="0" w:color="auto"/>
        <w:right w:val="none" w:sz="0" w:space="0" w:color="auto"/>
      </w:divBdr>
    </w:div>
    <w:div w:id="1528367795">
      <w:bodyDiv w:val="1"/>
      <w:marLeft w:val="0"/>
      <w:marRight w:val="0"/>
      <w:marTop w:val="0"/>
      <w:marBottom w:val="0"/>
      <w:divBdr>
        <w:top w:val="none" w:sz="0" w:space="0" w:color="auto"/>
        <w:left w:val="none" w:sz="0" w:space="0" w:color="auto"/>
        <w:bottom w:val="none" w:sz="0" w:space="0" w:color="auto"/>
        <w:right w:val="none" w:sz="0" w:space="0" w:color="auto"/>
      </w:divBdr>
    </w:div>
    <w:div w:id="1530991218">
      <w:bodyDiv w:val="1"/>
      <w:marLeft w:val="0"/>
      <w:marRight w:val="0"/>
      <w:marTop w:val="0"/>
      <w:marBottom w:val="0"/>
      <w:divBdr>
        <w:top w:val="none" w:sz="0" w:space="0" w:color="auto"/>
        <w:left w:val="none" w:sz="0" w:space="0" w:color="auto"/>
        <w:bottom w:val="none" w:sz="0" w:space="0" w:color="auto"/>
        <w:right w:val="none" w:sz="0" w:space="0" w:color="auto"/>
      </w:divBdr>
    </w:div>
    <w:div w:id="1584993776">
      <w:bodyDiv w:val="1"/>
      <w:marLeft w:val="0"/>
      <w:marRight w:val="0"/>
      <w:marTop w:val="0"/>
      <w:marBottom w:val="0"/>
      <w:divBdr>
        <w:top w:val="none" w:sz="0" w:space="0" w:color="auto"/>
        <w:left w:val="none" w:sz="0" w:space="0" w:color="auto"/>
        <w:bottom w:val="none" w:sz="0" w:space="0" w:color="auto"/>
        <w:right w:val="none" w:sz="0" w:space="0" w:color="auto"/>
      </w:divBdr>
    </w:div>
    <w:div w:id="1587183163">
      <w:bodyDiv w:val="1"/>
      <w:marLeft w:val="0"/>
      <w:marRight w:val="0"/>
      <w:marTop w:val="0"/>
      <w:marBottom w:val="0"/>
      <w:divBdr>
        <w:top w:val="none" w:sz="0" w:space="0" w:color="auto"/>
        <w:left w:val="none" w:sz="0" w:space="0" w:color="auto"/>
        <w:bottom w:val="none" w:sz="0" w:space="0" w:color="auto"/>
        <w:right w:val="none" w:sz="0" w:space="0" w:color="auto"/>
      </w:divBdr>
    </w:div>
    <w:div w:id="1606814463">
      <w:bodyDiv w:val="1"/>
      <w:marLeft w:val="0"/>
      <w:marRight w:val="0"/>
      <w:marTop w:val="0"/>
      <w:marBottom w:val="0"/>
      <w:divBdr>
        <w:top w:val="none" w:sz="0" w:space="0" w:color="auto"/>
        <w:left w:val="none" w:sz="0" w:space="0" w:color="auto"/>
        <w:bottom w:val="none" w:sz="0" w:space="0" w:color="auto"/>
        <w:right w:val="none" w:sz="0" w:space="0" w:color="auto"/>
      </w:divBdr>
    </w:div>
    <w:div w:id="1712925563">
      <w:bodyDiv w:val="1"/>
      <w:marLeft w:val="0"/>
      <w:marRight w:val="0"/>
      <w:marTop w:val="0"/>
      <w:marBottom w:val="0"/>
      <w:divBdr>
        <w:top w:val="none" w:sz="0" w:space="0" w:color="auto"/>
        <w:left w:val="none" w:sz="0" w:space="0" w:color="auto"/>
        <w:bottom w:val="none" w:sz="0" w:space="0" w:color="auto"/>
        <w:right w:val="none" w:sz="0" w:space="0" w:color="auto"/>
      </w:divBdr>
    </w:div>
    <w:div w:id="1753120637">
      <w:bodyDiv w:val="1"/>
      <w:marLeft w:val="0"/>
      <w:marRight w:val="0"/>
      <w:marTop w:val="0"/>
      <w:marBottom w:val="0"/>
      <w:divBdr>
        <w:top w:val="none" w:sz="0" w:space="0" w:color="auto"/>
        <w:left w:val="none" w:sz="0" w:space="0" w:color="auto"/>
        <w:bottom w:val="none" w:sz="0" w:space="0" w:color="auto"/>
        <w:right w:val="none" w:sz="0" w:space="0" w:color="auto"/>
      </w:divBdr>
    </w:div>
    <w:div w:id="1784962380">
      <w:bodyDiv w:val="1"/>
      <w:marLeft w:val="0"/>
      <w:marRight w:val="0"/>
      <w:marTop w:val="0"/>
      <w:marBottom w:val="0"/>
      <w:divBdr>
        <w:top w:val="none" w:sz="0" w:space="0" w:color="auto"/>
        <w:left w:val="none" w:sz="0" w:space="0" w:color="auto"/>
        <w:bottom w:val="none" w:sz="0" w:space="0" w:color="auto"/>
        <w:right w:val="none" w:sz="0" w:space="0" w:color="auto"/>
      </w:divBdr>
    </w:div>
    <w:div w:id="1787000796">
      <w:bodyDiv w:val="1"/>
      <w:marLeft w:val="0"/>
      <w:marRight w:val="0"/>
      <w:marTop w:val="0"/>
      <w:marBottom w:val="0"/>
      <w:divBdr>
        <w:top w:val="none" w:sz="0" w:space="0" w:color="auto"/>
        <w:left w:val="none" w:sz="0" w:space="0" w:color="auto"/>
        <w:bottom w:val="none" w:sz="0" w:space="0" w:color="auto"/>
        <w:right w:val="none" w:sz="0" w:space="0" w:color="auto"/>
      </w:divBdr>
    </w:div>
    <w:div w:id="1845709259">
      <w:bodyDiv w:val="1"/>
      <w:marLeft w:val="0"/>
      <w:marRight w:val="0"/>
      <w:marTop w:val="0"/>
      <w:marBottom w:val="0"/>
      <w:divBdr>
        <w:top w:val="none" w:sz="0" w:space="0" w:color="auto"/>
        <w:left w:val="none" w:sz="0" w:space="0" w:color="auto"/>
        <w:bottom w:val="none" w:sz="0" w:space="0" w:color="auto"/>
        <w:right w:val="none" w:sz="0" w:space="0" w:color="auto"/>
      </w:divBdr>
    </w:div>
    <w:div w:id="1919291397">
      <w:bodyDiv w:val="1"/>
      <w:marLeft w:val="0"/>
      <w:marRight w:val="0"/>
      <w:marTop w:val="0"/>
      <w:marBottom w:val="0"/>
      <w:divBdr>
        <w:top w:val="none" w:sz="0" w:space="0" w:color="auto"/>
        <w:left w:val="none" w:sz="0" w:space="0" w:color="auto"/>
        <w:bottom w:val="none" w:sz="0" w:space="0" w:color="auto"/>
        <w:right w:val="none" w:sz="0" w:space="0" w:color="auto"/>
      </w:divBdr>
    </w:div>
    <w:div w:id="2021589764">
      <w:bodyDiv w:val="1"/>
      <w:marLeft w:val="0"/>
      <w:marRight w:val="0"/>
      <w:marTop w:val="0"/>
      <w:marBottom w:val="0"/>
      <w:divBdr>
        <w:top w:val="none" w:sz="0" w:space="0" w:color="auto"/>
        <w:left w:val="none" w:sz="0" w:space="0" w:color="auto"/>
        <w:bottom w:val="none" w:sz="0" w:space="0" w:color="auto"/>
        <w:right w:val="none" w:sz="0" w:space="0" w:color="auto"/>
      </w:divBdr>
    </w:div>
    <w:div w:id="2039088775">
      <w:bodyDiv w:val="1"/>
      <w:marLeft w:val="0"/>
      <w:marRight w:val="0"/>
      <w:marTop w:val="0"/>
      <w:marBottom w:val="0"/>
      <w:divBdr>
        <w:top w:val="none" w:sz="0" w:space="0" w:color="auto"/>
        <w:left w:val="none" w:sz="0" w:space="0" w:color="auto"/>
        <w:bottom w:val="none" w:sz="0" w:space="0" w:color="auto"/>
        <w:right w:val="none" w:sz="0" w:space="0" w:color="auto"/>
      </w:divBdr>
    </w:div>
    <w:div w:id="2088569314">
      <w:bodyDiv w:val="1"/>
      <w:marLeft w:val="0"/>
      <w:marRight w:val="0"/>
      <w:marTop w:val="0"/>
      <w:marBottom w:val="0"/>
      <w:divBdr>
        <w:top w:val="none" w:sz="0" w:space="0" w:color="auto"/>
        <w:left w:val="none" w:sz="0" w:space="0" w:color="auto"/>
        <w:bottom w:val="none" w:sz="0" w:space="0" w:color="auto"/>
        <w:right w:val="none" w:sz="0" w:space="0" w:color="auto"/>
      </w:divBdr>
    </w:div>
    <w:div w:id="211146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gob.mx/conamer/documentos/estrategia-digital-nacional" TargetMode="External"/><Relationship Id="rId21" Type="http://schemas.openxmlformats.org/officeDocument/2006/relationships/hyperlink" Target="http://www.diputados.gob.mx/LeyesBiblio/pdf/LGPGIR.pdf" TargetMode="External"/><Relationship Id="rId34" Type="http://schemas.openxmlformats.org/officeDocument/2006/relationships/hyperlink" Target="http://www.inegi.org.mx/programas/encig/2023/" TargetMode="External"/><Relationship Id="rId42" Type="http://schemas.openxmlformats.org/officeDocument/2006/relationships/hyperlink" Target="http://www.ordenjuridico.gob.mx/Estatal/GUERRERO/Acuerdos/GROACU68.pdf" TargetMode="External"/><Relationship Id="rId47" Type="http://schemas.openxmlformats.org/officeDocument/2006/relationships/hyperlink" Target="http://www.inegi.org.mx/app/mapa/denue/default.aspx" TargetMode="External"/><Relationship Id="rId50" Type="http://schemas.openxmlformats.org/officeDocument/2006/relationships/hyperlink" Target="https://legislacion.edomex.gob.mx/sites/legislacion.edomex.gob.mx/files/files/pdf/rgl/vig/rglvig079.pdf" TargetMode="External"/><Relationship Id="rId55" Type="http://schemas.openxmlformats.org/officeDocument/2006/relationships/hyperlink" Target="http://www.inegi.org.mx/contenidos/saladeprensa/boletines/2024/ESEP/ESEP2023.pdf" TargetMode="External"/><Relationship Id="rId63" Type="http://schemas.openxmlformats.org/officeDocument/2006/relationships/hyperlink" Target="http://www.gob.mx/imt/acciones-" TargetMode="External"/><Relationship Id="rId68" Type="http://schemas.openxmlformats.org/officeDocument/2006/relationships/theme" Target="theme/theme1.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http://www.un.org/sustainabledevelopment/sustainable-consumption-production/" TargetMode="External"/><Relationship Id="rId29" Type="http://schemas.openxmlformats.org/officeDocument/2006/relationships/hyperlink" Target="http://www.ilo.org/dyn/normlex/es/f?p=NORMLEXPUB%3A12100%3A0%3A%3ANO%3A%3AP12100_ILO_CODE%3AC098" TargetMode="External"/><Relationship Id="rId11" Type="http://schemas.openxmlformats.org/officeDocument/2006/relationships/image" Target="media/image5.jpeg"/><Relationship Id="rId24" Type="http://schemas.openxmlformats.org/officeDocument/2006/relationships/hyperlink" Target="http://www.stopwaste.org/at-" TargetMode="External"/><Relationship Id="rId32" Type="http://schemas.openxmlformats.org/officeDocument/2006/relationships/hyperlink" Target="http://www.consejeria.cdmx.gob.mx/" TargetMode="External"/><Relationship Id="rId37" Type="http://schemas.openxmlformats.org/officeDocument/2006/relationships/hyperlink" Target="http://www.datatur.sectur.gob.mx/Documentos%20compartidos/Aproximacion_al_PIB_Turistico_Estatal" TargetMode="External"/><Relationship Id="rId40" Type="http://schemas.openxmlformats.org/officeDocument/2006/relationships/hyperlink" Target="http://www.datatur.sectur.gob.mx/RAT/RAT-2024-07%28ES%29.pdf" TargetMode="External"/><Relationship Id="rId45" Type="http://schemas.openxmlformats.org/officeDocument/2006/relationships/hyperlink" Target="http://www.gob.mx/agricultura/articulos/que-es-el-bienestar-animal-y-como-se-implementa-en-la-" TargetMode="External"/><Relationship Id="rId53" Type="http://schemas.openxmlformats.org/officeDocument/2006/relationships/hyperlink" Target="http://www.conamed.gob.mx/gobmx/revista/pdf/vol_28_2023/02-SCONAMED23-1-" TargetMode="External"/><Relationship Id="rId58" Type="http://schemas.openxmlformats.org/officeDocument/2006/relationships/hyperlink" Target="http://www.debate.com.mx/cdmx/mananas-gelidas-en-el-centro-de-mexico-toluca-alcanza-temperaturas-de-" TargetMode="External"/><Relationship Id="rId66" Type="http://schemas.openxmlformats.org/officeDocument/2006/relationships/footer" Target="footer1.xml"/><Relationship Id="rId5" Type="http://schemas.openxmlformats.org/officeDocument/2006/relationships/footnotes" Target="footnotes.xml"/><Relationship Id="rId61" Type="http://schemas.openxmlformats.org/officeDocument/2006/relationships/hyperlink" Target="http://www.diputados.gob.mx/LeyesBiblio/pdf/CPEUM.pdf" TargetMode="External"/><Relationship Id="rId19" Type="http://schemas.openxmlformats.org/officeDocument/2006/relationships/hyperlink" Target="http://www.diputados.gob.mx/LeyesBiblio/pdf/CPEUM.pdf" TargetMode="External"/><Relationship Id="rId14" Type="http://schemas.openxmlformats.org/officeDocument/2006/relationships/image" Target="media/image8.jpeg"/><Relationship Id="rId22" Type="http://schemas.openxmlformats.org/officeDocument/2006/relationships/hyperlink" Target="http://www.epa.gov/facts-and-figures-about-materials-waste-and-recycling/national-overview-facts-" TargetMode="External"/><Relationship Id="rId27" Type="http://schemas.openxmlformats.org/officeDocument/2006/relationships/hyperlink" Target="http://www.inegi.org.mx/contenidos/saladeprensa/boletines/2023/CNGE/CNGE2023.pdf" TargetMode="External"/><Relationship Id="rId30" Type="http://schemas.openxmlformats.org/officeDocument/2006/relationships/hyperlink" Target="http://www.dof.gob.mx/nota_detalle.php?codigo=5776177&amp;fecha=15/12/2025&amp;gsc.tab=0" TargetMode="External"/><Relationship Id="rId35" Type="http://schemas.openxmlformats.org/officeDocument/2006/relationships/image" Target="media/image9.jpeg"/><Relationship Id="rId43" Type="http://schemas.openxmlformats.org/officeDocument/2006/relationships/hyperlink" Target="https://www.google.com/search?q=Vivos+se+los+llevaron%2C+vivos+los+queremos&amp;rlz=1C1UEAD_enMX1101MX1101&amp;oq=Vivo+se+los+llevaron+y+vivo.+Los+queremos.&amp;gs_lcrp=EgZjaHJvbWUyBggAEEUYOTIHCAEQIRigATIHCAIQIRigATIHCAMQIRigATIHCAQQIRigATIHCAUQIRigAdIBBzU0OWowajeoAgiwAgHxBRxFH72q2Th48QUcRR-9qtk4eA&amp;sourceid=chrome&amp;ie=UTF-8&amp;ved=2ahUKEwiGx7ffxtKSAxXjI0QIHc1fEMIQgK4QegQIARAB" TargetMode="External"/><Relationship Id="rId48" Type="http://schemas.openxmlformats.org/officeDocument/2006/relationships/hyperlink" Target="https://www.inegi.org.mx/programas/enigh/nc/2024/" TargetMode="External"/><Relationship Id="rId56" Type="http://schemas.openxmlformats.org/officeDocument/2006/relationships/hyperlink" Target="http://www.gob.mx/salud/es/articulos/mas-de-1-2-millones-de-atenciones-diarias-en-el-sector-salud-173124" TargetMode="External"/><Relationship Id="rId64" Type="http://schemas.openxmlformats.org/officeDocument/2006/relationships/hyperlink" Target="http://www.gob.mx/capufe/documentos/programa-de-residentes" TargetMode="External"/><Relationship Id="rId8" Type="http://schemas.openxmlformats.org/officeDocument/2006/relationships/image" Target="media/image2.jpeg"/><Relationship Id="rId51" Type="http://schemas.openxmlformats.org/officeDocument/2006/relationships/hyperlink" Target="https://www.diputados.gob.mx/LeyesBiblio/pdf/CPEUM.pdf" TargetMode="Externa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hyperlink" Target="http://www.iso.org/obp/ui/en/" TargetMode="External"/><Relationship Id="rId25" Type="http://schemas.openxmlformats.org/officeDocument/2006/relationships/hyperlink" Target="http://www.gob.mx/cms/uploads/attachment/file/610430/ENEAS_2020-" TargetMode="External"/><Relationship Id="rId33" Type="http://schemas.openxmlformats.org/officeDocument/2006/relationships/hyperlink" Target="http://www.iecm.mx/consulta-de-presupuesto-participativo-2025-supera-nivel-de-participacion/" TargetMode="External"/><Relationship Id="rId38" Type="http://schemas.openxmlformats.org/officeDocument/2006/relationships/hyperlink" Target="http://www.trade.gov/market-intelligence/mexico-world-cup-2026-opportunities" TargetMode="External"/><Relationship Id="rId46" Type="http://schemas.openxmlformats.org/officeDocument/2006/relationships/hyperlink" Target="http://www.gob.mx/conanp/articulos/proclamacion-de-la-declaracion-universal-de-" TargetMode="External"/><Relationship Id="rId59" Type="http://schemas.openxmlformats.org/officeDocument/2006/relationships/hyperlink" Target="http://www.congresocdmx.gob.mx/media/documentos/ff36805f742ab56a8052010616847602ef094946.pdf" TargetMode="External"/><Relationship Id="rId67" Type="http://schemas.openxmlformats.org/officeDocument/2006/relationships/fontTable" Target="fontTable.xml"/><Relationship Id="rId20" Type="http://schemas.openxmlformats.org/officeDocument/2006/relationships/hyperlink" Target="http://www.diputados.gob.mx/LeyesBiblio/pdf/LGEEPA.pdf" TargetMode="External"/><Relationship Id="rId41" Type="http://schemas.openxmlformats.org/officeDocument/2006/relationships/hyperlink" Target="http://www.estadisticas.inah.gob.mx/" TargetMode="External"/><Relationship Id="rId54" Type="http://schemas.openxmlformats.org/officeDocument/2006/relationships/hyperlink" Target="http://sinaiscap.salud.gob.mx:8080/DGIS/" TargetMode="External"/><Relationship Id="rId62" Type="http://schemas.openxmlformats.org/officeDocument/2006/relationships/hyperlink" Target="http://www.diputados.gob.mx/LeyesBiblio/pdf/CPEUM.pd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inegi.org.mx" TargetMode="External"/><Relationship Id="rId23" Type="http://schemas.openxmlformats.org/officeDocument/2006/relationships/hyperlink" Target="http://www.recordnations.com/articles/average-office-worker-paper-use/" TargetMode="External"/><Relationship Id="rId28" Type="http://schemas.openxmlformats.org/officeDocument/2006/relationships/hyperlink" Target="http://www.ilo.org/dyn/normlex/es/f?p=NORMLEXPUB%3A12100%3A0%3A%3ANO%3A%3AP12100_ILO_CODE%3AC087" TargetMode="External"/><Relationship Id="rId36" Type="http://schemas.openxmlformats.org/officeDocument/2006/relationships/image" Target="media/image10.jpeg"/><Relationship Id="rId49" Type="http://schemas.openxmlformats.org/officeDocument/2006/relationships/hyperlink" Target="https://legislacion.edomex.gob.mx/sites/legislacion.edomex.gob.mx/files/files/pdf/rgl/vig/rglvig079.pdf" TargetMode="External"/><Relationship Id="rId57" Type="http://schemas.openxmlformats.org/officeDocument/2006/relationships/hyperlink" Target="http://www.inegi.org.mx/contenidos/programas/caas/2015/doc/caas_resultados.pdf" TargetMode="External"/><Relationship Id="rId10" Type="http://schemas.openxmlformats.org/officeDocument/2006/relationships/image" Target="media/image4.jpeg"/><Relationship Id="rId31" Type="http://schemas.openxmlformats.org/officeDocument/2006/relationships/hyperlink" Target="http://www.iepcjalisco.org.mx/sites/default/files/unidad-editorial/publicaciones/presupuesto_participativo._herram" TargetMode="External"/><Relationship Id="rId44" Type="http://schemas.openxmlformats.org/officeDocument/2006/relationships/hyperlink" Target="http://www.gob.mx/cms/uploads/attachment/file/122517/Maltrato_cuadernillo.pdf" TargetMode="External"/><Relationship Id="rId52" Type="http://schemas.openxmlformats.org/officeDocument/2006/relationships/hyperlink" Target="https://sjf2.scjn.gob.mx/detalle/tesis/200349" TargetMode="External"/><Relationship Id="rId60" Type="http://schemas.openxmlformats.org/officeDocument/2006/relationships/hyperlink" Target="http://www.congresocdmx.gob.mx/comsoc-urgente-destinar-espacios-familiares-personas-hospitalizadas-" TargetMode="External"/><Relationship Id="rId65" Type="http://schemas.openxmlformats.org/officeDocument/2006/relationships/hyperlink" Target="http://www.planamayor.com.mx/gobierno-edomex-mantiene-vigente-" TargetMode="External"/><Relationship Id="rId4" Type="http://schemas.openxmlformats.org/officeDocument/2006/relationships/webSettings" Target="webSettings.xml"/><Relationship Id="rId9"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hyperlink" Target="http://www.oneplanetnetwork.org/sites/default/files/fromcrm/UNEP_2022_%2520SPP_Global_Review_Part_1_0.pdf" TargetMode="External"/><Relationship Id="rId39" Type="http://schemas.openxmlformats.org/officeDocument/2006/relationships/hyperlink" Target="http://www.imf.org/-/media/files/publications/selected-"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662</TotalTime>
  <Pages>302</Pages>
  <Words>135455</Words>
  <Characters>745008</Characters>
  <Application>Microsoft Office Word</Application>
  <DocSecurity>0</DocSecurity>
  <Lines>6208</Lines>
  <Paragraphs>1757</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878706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67</cp:revision>
  <dcterms:created xsi:type="dcterms:W3CDTF">2026-02-13T18:49:00Z</dcterms:created>
  <dcterms:modified xsi:type="dcterms:W3CDTF">2026-04-25T00:01:00Z</dcterms:modified>
</cp:coreProperties>
</file>