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0C7" w:rsidRPr="00AE0CAB" w:rsidRDefault="000700C7" w:rsidP="00D71801">
      <w:pPr>
        <w:pStyle w:val="Sinespaciado"/>
        <w:ind w:left="2836"/>
        <w:jc w:val="both"/>
        <w:rPr>
          <w:rFonts w:ascii="Times New Roman" w:hAnsi="Times New Roman" w:cs="Times New Roman"/>
          <w:sz w:val="24"/>
          <w:szCs w:val="24"/>
        </w:rPr>
      </w:pPr>
      <w:r w:rsidRPr="00AE0CAB">
        <w:rPr>
          <w:rFonts w:ascii="Times New Roman" w:hAnsi="Times New Roman" w:cs="Times New Roman"/>
          <w:sz w:val="24"/>
          <w:szCs w:val="24"/>
        </w:rPr>
        <w:t>SESIÓN DELIBERANTE DE LA H. LXII LEGISLATURA</w:t>
      </w:r>
    </w:p>
    <w:p w:rsidR="000700C7" w:rsidRPr="00AE0CAB" w:rsidRDefault="000700C7" w:rsidP="00D71801">
      <w:pPr>
        <w:pStyle w:val="Sinespaciado"/>
        <w:ind w:left="2836"/>
        <w:jc w:val="both"/>
        <w:rPr>
          <w:rFonts w:ascii="Times New Roman" w:hAnsi="Times New Roman" w:cs="Times New Roman"/>
          <w:sz w:val="24"/>
          <w:szCs w:val="24"/>
        </w:rPr>
      </w:pPr>
      <w:r w:rsidRPr="00AE0CAB">
        <w:rPr>
          <w:rFonts w:ascii="Times New Roman" w:hAnsi="Times New Roman" w:cs="Times New Roman"/>
          <w:sz w:val="24"/>
          <w:szCs w:val="24"/>
        </w:rPr>
        <w:t>DEL ESTADO DE MÉXICO</w:t>
      </w:r>
      <w:r w:rsidR="00B563DE" w:rsidRPr="00AE0CAB">
        <w:rPr>
          <w:rFonts w:ascii="Times New Roman" w:hAnsi="Times New Roman" w:cs="Times New Roman"/>
          <w:sz w:val="24"/>
          <w:szCs w:val="24"/>
        </w:rPr>
        <w:t>.</w:t>
      </w:r>
    </w:p>
    <w:p w:rsidR="000700C7" w:rsidRPr="00AE0CAB" w:rsidRDefault="000700C7" w:rsidP="00D71801">
      <w:pPr>
        <w:pStyle w:val="Sinespaciado"/>
        <w:rPr>
          <w:rFonts w:ascii="Times New Roman" w:hAnsi="Times New Roman" w:cs="Times New Roman"/>
          <w:sz w:val="24"/>
          <w:szCs w:val="24"/>
        </w:rPr>
      </w:pPr>
    </w:p>
    <w:p w:rsidR="000700C7" w:rsidRPr="00AE0CAB" w:rsidRDefault="000700C7" w:rsidP="00D71801">
      <w:pPr>
        <w:pStyle w:val="Sinespaciado"/>
        <w:jc w:val="center"/>
        <w:rPr>
          <w:rFonts w:ascii="Times New Roman" w:hAnsi="Times New Roman" w:cs="Times New Roman"/>
          <w:sz w:val="24"/>
          <w:szCs w:val="24"/>
        </w:rPr>
      </w:pPr>
      <w:r w:rsidRPr="00AE0CAB">
        <w:rPr>
          <w:rFonts w:ascii="Times New Roman" w:hAnsi="Times New Roman" w:cs="Times New Roman"/>
          <w:sz w:val="24"/>
          <w:szCs w:val="24"/>
        </w:rPr>
        <w:t>Celebrada el día 18 de febrero de 2026</w:t>
      </w:r>
      <w:r w:rsidR="00C95B23" w:rsidRPr="00AE0CAB">
        <w:rPr>
          <w:rFonts w:ascii="Times New Roman" w:hAnsi="Times New Roman" w:cs="Times New Roman"/>
          <w:sz w:val="24"/>
          <w:szCs w:val="24"/>
        </w:rPr>
        <w:t>.</w:t>
      </w:r>
    </w:p>
    <w:p w:rsidR="000700C7" w:rsidRPr="00AE0CAB" w:rsidRDefault="000700C7" w:rsidP="00D71801">
      <w:pPr>
        <w:pStyle w:val="Sinespaciado"/>
        <w:rPr>
          <w:rFonts w:ascii="Times New Roman" w:hAnsi="Times New Roman" w:cs="Times New Roman"/>
          <w:sz w:val="24"/>
          <w:szCs w:val="24"/>
        </w:rPr>
      </w:pPr>
    </w:p>
    <w:p w:rsidR="000700C7" w:rsidRPr="00AE0CAB" w:rsidRDefault="000700C7" w:rsidP="00D71801">
      <w:pPr>
        <w:spacing w:after="0" w:line="240" w:lineRule="auto"/>
        <w:jc w:val="center"/>
        <w:rPr>
          <w:rFonts w:ascii="Times New Roman" w:hAnsi="Times New Roman" w:cs="Times New Roman"/>
          <w:sz w:val="24"/>
          <w:szCs w:val="24"/>
        </w:rPr>
      </w:pPr>
      <w:r w:rsidRPr="00AE0CAB">
        <w:rPr>
          <w:rFonts w:ascii="Times New Roman" w:hAnsi="Times New Roman" w:cs="Times New Roman"/>
          <w:sz w:val="24"/>
          <w:szCs w:val="24"/>
        </w:rPr>
        <w:t>Presidencia de la diputada Martha Azucena Camacho Reynoso</w:t>
      </w:r>
      <w:r w:rsidR="00C95B23" w:rsidRPr="00AE0CAB">
        <w:rPr>
          <w:rFonts w:ascii="Times New Roman" w:hAnsi="Times New Roman" w:cs="Times New Roman"/>
          <w:sz w:val="24"/>
          <w:szCs w:val="24"/>
        </w:rPr>
        <w:t>.</w:t>
      </w:r>
    </w:p>
    <w:p w:rsidR="000700C7" w:rsidRPr="00AE0CAB" w:rsidRDefault="000700C7" w:rsidP="00D71801">
      <w:pPr>
        <w:spacing w:after="0" w:line="240" w:lineRule="auto"/>
        <w:jc w:val="both"/>
        <w:rPr>
          <w:rFonts w:ascii="Times New Roman" w:hAnsi="Times New Roman" w:cs="Times New Roman"/>
          <w:sz w:val="24"/>
          <w:szCs w:val="24"/>
        </w:rPr>
      </w:pPr>
    </w:p>
    <w:p w:rsidR="000700C7" w:rsidRPr="00AE0CAB" w:rsidRDefault="000700C7" w:rsidP="00D71801">
      <w:pPr>
        <w:pStyle w:val="Sinespaciado"/>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Buenos días a todas y todos.</w:t>
      </w:r>
    </w:p>
    <w:p w:rsidR="000700C7" w:rsidRPr="00AE0CAB" w:rsidRDefault="000700C7"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hAnsi="Times New Roman" w:cs="Times New Roman"/>
          <w:sz w:val="24"/>
          <w:szCs w:val="24"/>
        </w:rPr>
        <w:t>Doy la bienvenida a las diputadas, a los diputados y diputade p</w:t>
      </w:r>
      <w:r w:rsidRPr="00AE0CAB">
        <w:rPr>
          <w:rFonts w:ascii="Times New Roman" w:eastAsia="Times New Roman" w:hAnsi="Times New Roman" w:cs="Times New Roman"/>
          <w:sz w:val="24"/>
          <w:szCs w:val="24"/>
          <w:lang w:eastAsia="es-MX"/>
        </w:rPr>
        <w:t>or su absoluta disposición para realizar los trabajos de este Pleno Legislativo, doy la bienvenida a los representantes de los medios de comunicación y a quienes nos acompañan en el Recinto y en las redes sociales, bienvenidos a esta su casa, “La Casa del Pueblo”.</w:t>
      </w:r>
      <w:bookmarkStart w:id="0" w:name="_GoBack"/>
      <w:bookmarkEnd w:id="0"/>
    </w:p>
    <w:p w:rsidR="000700C7" w:rsidRPr="00AE0CAB" w:rsidRDefault="000700C7"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Para la validez de la sesión, pido a la Secretaría verifique el quórum abriendo el sistema electrónico de asistencia hasta por cinco minutos. </w:t>
      </w:r>
    </w:p>
    <w:p w:rsidR="000700C7" w:rsidRPr="00AE0CAB" w:rsidRDefault="000700C7"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Una vez integrado el quórum, será abierta la sesión. </w:t>
      </w:r>
    </w:p>
    <w:p w:rsidR="000700C7" w:rsidRPr="00AE0CAB" w:rsidRDefault="000700C7" w:rsidP="00D71801">
      <w:pPr>
        <w:spacing w:after="0" w:line="240" w:lineRule="auto"/>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SECRETARIO DIP. EDUARDO ZARZOSA SÁNCHEZ. Con todo gusto Presidenta. </w:t>
      </w:r>
    </w:p>
    <w:p w:rsidR="000700C7" w:rsidRPr="00AE0CAB" w:rsidRDefault="000700C7" w:rsidP="00D71801">
      <w:pPr>
        <w:spacing w:after="0" w:line="240" w:lineRule="aut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Buenos días a todos. </w:t>
      </w:r>
    </w:p>
    <w:p w:rsidR="000700C7" w:rsidRPr="00AE0CAB" w:rsidRDefault="000700C7" w:rsidP="00D71801">
      <w:pPr>
        <w:spacing w:after="0" w:line="240" w:lineRule="aut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Ábrase el sistema electrónico de asistencia hasta por cinco minutos. </w:t>
      </w:r>
    </w:p>
    <w:p w:rsidR="000700C7" w:rsidRPr="00AE0CAB" w:rsidRDefault="000700C7" w:rsidP="00D71801">
      <w:pPr>
        <w:spacing w:after="0" w:line="240" w:lineRule="auto"/>
        <w:jc w:val="center"/>
        <w:rPr>
          <w:rFonts w:ascii="Times New Roman" w:eastAsia="Times New Roman" w:hAnsi="Times New Roman" w:cs="Times New Roman"/>
          <w:i/>
          <w:sz w:val="24"/>
          <w:szCs w:val="24"/>
          <w:lang w:eastAsia="es-MX"/>
        </w:rPr>
      </w:pPr>
      <w:r w:rsidRPr="00AE0CAB">
        <w:rPr>
          <w:rFonts w:ascii="Times New Roman" w:eastAsia="Times New Roman" w:hAnsi="Times New Roman" w:cs="Times New Roman"/>
          <w:i/>
          <w:sz w:val="24"/>
          <w:szCs w:val="24"/>
          <w:lang w:eastAsia="es-MX"/>
        </w:rPr>
        <w:t xml:space="preserve">(Registro de </w:t>
      </w:r>
      <w:r w:rsidR="003E2859" w:rsidRPr="00AE0CAB">
        <w:rPr>
          <w:rFonts w:ascii="Times New Roman" w:eastAsia="Times New Roman" w:hAnsi="Times New Roman" w:cs="Times New Roman"/>
          <w:i/>
          <w:sz w:val="24"/>
          <w:szCs w:val="24"/>
          <w:lang w:eastAsia="es-MX"/>
        </w:rPr>
        <w:t>asistencia</w:t>
      </w:r>
      <w:r w:rsidRPr="00AE0CAB">
        <w:rPr>
          <w:rFonts w:ascii="Times New Roman" w:eastAsia="Times New Roman" w:hAnsi="Times New Roman" w:cs="Times New Roman"/>
          <w:i/>
          <w:sz w:val="24"/>
          <w:szCs w:val="24"/>
          <w:lang w:eastAsia="es-MX"/>
        </w:rPr>
        <w:t>)</w:t>
      </w:r>
    </w:p>
    <w:p w:rsidR="000700C7" w:rsidRPr="00AE0CAB" w:rsidRDefault="000700C7" w:rsidP="00D71801">
      <w:pPr>
        <w:spacing w:after="0" w:line="240" w:lineRule="auto"/>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SECRETARIO DIP. EDUARDO ZARZOSA SÁNCHEZ. </w:t>
      </w:r>
      <w:r w:rsidR="004045BA" w:rsidRPr="00AE0CAB">
        <w:rPr>
          <w:rFonts w:ascii="Times New Roman" w:eastAsia="Times New Roman" w:hAnsi="Times New Roman" w:cs="Times New Roman"/>
          <w:sz w:val="24"/>
          <w:szCs w:val="24"/>
          <w:lang w:eastAsia="es-MX"/>
        </w:rPr>
        <w:t>¿</w:t>
      </w:r>
      <w:r w:rsidRPr="00AE0CAB">
        <w:rPr>
          <w:rFonts w:ascii="Times New Roman" w:eastAsia="Times New Roman" w:hAnsi="Times New Roman" w:cs="Times New Roman"/>
          <w:sz w:val="24"/>
          <w:szCs w:val="24"/>
          <w:lang w:eastAsia="es-MX"/>
        </w:rPr>
        <w:t>Algún diputado o diputada que haga falta de tomar su asistencia</w:t>
      </w:r>
      <w:r w:rsidR="004045BA" w:rsidRPr="00AE0CAB">
        <w:rPr>
          <w:rFonts w:ascii="Times New Roman" w:eastAsia="Times New Roman" w:hAnsi="Times New Roman" w:cs="Times New Roman"/>
          <w:sz w:val="24"/>
          <w:szCs w:val="24"/>
          <w:lang w:eastAsia="es-MX"/>
        </w:rPr>
        <w:t>?</w:t>
      </w:r>
      <w:r w:rsidRPr="00AE0CAB">
        <w:rPr>
          <w:rFonts w:ascii="Times New Roman" w:eastAsia="Times New Roman" w:hAnsi="Times New Roman" w:cs="Times New Roman"/>
          <w:sz w:val="24"/>
          <w:szCs w:val="24"/>
          <w:lang w:eastAsia="es-MX"/>
        </w:rPr>
        <w:t xml:space="preserve"> </w:t>
      </w:r>
    </w:p>
    <w:p w:rsidR="000700C7" w:rsidRPr="00AE0CAB" w:rsidRDefault="000700C7" w:rsidP="00D71801">
      <w:pPr>
        <w:spacing w:after="0" w:line="240" w:lineRule="aut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Presidenta le informo que hasta el momento hay 68 asistencias registradas, por lo que existe el quórum para poder abrir la sesión. </w:t>
      </w:r>
    </w:p>
    <w:p w:rsidR="000700C7" w:rsidRPr="00AE0CAB" w:rsidRDefault="000700C7" w:rsidP="00D71801">
      <w:pPr>
        <w:spacing w:after="0" w:line="240" w:lineRule="auto"/>
        <w:jc w:val="both"/>
        <w:rPr>
          <w:rFonts w:ascii="Times New Roman" w:eastAsia="Times New Roman" w:hAnsi="Times New Roman" w:cs="Times New Roman"/>
          <w:sz w:val="24"/>
          <w:szCs w:val="24"/>
          <w:lang w:eastAsia="es-MX"/>
        </w:rPr>
      </w:pPr>
      <w:r w:rsidRPr="00AE0CAB">
        <w:rPr>
          <w:rFonts w:ascii="Times New Roman" w:hAnsi="Times New Roman" w:cs="Times New Roman"/>
          <w:sz w:val="24"/>
          <w:szCs w:val="24"/>
        </w:rPr>
        <w:t xml:space="preserve">PRESIDENTA DIP. MARTHA AZUCENA CAMACHO REYNOSO. </w:t>
      </w:r>
      <w:r w:rsidRPr="00AE0CAB">
        <w:rPr>
          <w:rFonts w:ascii="Times New Roman" w:eastAsia="Times New Roman" w:hAnsi="Times New Roman" w:cs="Times New Roman"/>
          <w:sz w:val="24"/>
          <w:szCs w:val="24"/>
          <w:lang w:eastAsia="es-MX"/>
        </w:rPr>
        <w:t xml:space="preserve">Gracias Secretario. </w:t>
      </w:r>
    </w:p>
    <w:p w:rsidR="000700C7" w:rsidRPr="00AE0CAB" w:rsidRDefault="000700C7" w:rsidP="00D71801">
      <w:pPr>
        <w:spacing w:after="0" w:line="240" w:lineRule="aut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Se declara la existencia del quórum y se abre la sesión siendo las diez horas con cuarenta y cuatro minutos del día miércoles dieciocho de febrero del año dos mil veintiséis. </w:t>
      </w:r>
    </w:p>
    <w:p w:rsidR="000700C7" w:rsidRPr="00AE0CAB" w:rsidRDefault="000700C7" w:rsidP="00D71801">
      <w:pPr>
        <w:spacing w:after="0" w:line="240" w:lineRule="aut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Exponga a la Secretaría la propuesta de orden del día. </w:t>
      </w:r>
    </w:p>
    <w:p w:rsidR="000700C7" w:rsidRPr="00AE0CAB" w:rsidRDefault="000700C7" w:rsidP="00D71801">
      <w:pPr>
        <w:spacing w:after="0" w:line="240" w:lineRule="auto"/>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SECRETARIO DIP. EDUARDO ZARZOSA SÁNCHEZ. La propuesta de orden del día es la siguiente:</w:t>
      </w:r>
    </w:p>
    <w:p w:rsidR="000700C7" w:rsidRPr="00AE0CAB" w:rsidRDefault="000700C7" w:rsidP="00D71801">
      <w:pPr>
        <w:spacing w:after="0" w:line="240" w:lineRule="auto"/>
        <w:ind w:firstLine="709"/>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1. Acta de la sesión anterior. </w:t>
      </w:r>
    </w:p>
    <w:p w:rsidR="000700C7" w:rsidRPr="00AE0CAB" w:rsidRDefault="000700C7" w:rsidP="00D71801">
      <w:pPr>
        <w:spacing w:after="0" w:line="240" w:lineRule="auto"/>
        <w:ind w:firstLine="709"/>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2. Declaratoria de aprobación de la minuta, Proyecto de Decreto por el que se reforman los párrafos primero y tercero del artículo 81, el artículo 86 y los párrafos primero, segundo y cuarto del artículo 86 Bis de la Constitución Política del Estado Libre y Soberano de México en materia de seguridad pública y coordinación interinstitucional, presentada por la Titular del Ejecutivo Estatal. </w:t>
      </w:r>
    </w:p>
    <w:p w:rsidR="00D95CBC" w:rsidRPr="00AE0CAB" w:rsidRDefault="000700C7" w:rsidP="00D71801">
      <w:pPr>
        <w:spacing w:after="0" w:line="240" w:lineRule="auto"/>
        <w:ind w:firstLine="709"/>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3. Discusión y resolución del dictamen de la Iniciativa con Proyecto de Decreto, mediante la cual se adiciona un artículo 138 Bis, a la Ley del Trabajo de los Servidores Públicos del Estado y Municipios y se adiciona una fracción IV al artículo </w:t>
      </w:r>
      <w:r w:rsidR="00D95CBC" w:rsidRPr="00AE0CAB">
        <w:rPr>
          <w:rFonts w:ascii="Times New Roman" w:hAnsi="Times New Roman" w:cs="Times New Roman"/>
          <w:sz w:val="24"/>
          <w:szCs w:val="24"/>
        </w:rPr>
        <w:t>52 con una sección XIV denominada de la injerencia sindical al capítulo segundo de las faltas administrativas graves de los servidores públicos y un artículo 67 Bis, todos a la Ley de Responsabilidades Administrativas del Estado de México y Municipios, presentada por el Diputado Rigoberto Vargas Cervantes, en nombre del Grupo Parlamentario del Partido morena, formulado por la Comisión Legislativa de Trabajo, Previsión y Seguridad Social.</w:t>
      </w:r>
    </w:p>
    <w:p w:rsidR="00A73BA4" w:rsidRPr="00AE0CAB" w:rsidRDefault="00A73BA4"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t>4.</w:t>
      </w:r>
      <w:r w:rsidR="00381927" w:rsidRPr="00AE0CAB">
        <w:rPr>
          <w:rFonts w:ascii="Times New Roman" w:hAnsi="Times New Roman" w:cs="Times New Roman"/>
          <w:sz w:val="24"/>
          <w:szCs w:val="24"/>
        </w:rPr>
        <w:t xml:space="preserve"> </w:t>
      </w:r>
      <w:r w:rsidRPr="00AE0CAB">
        <w:rPr>
          <w:rFonts w:ascii="Times New Roman" w:hAnsi="Times New Roman" w:cs="Times New Roman"/>
          <w:sz w:val="24"/>
          <w:szCs w:val="24"/>
        </w:rPr>
        <w:t>Lectura y acuerdo conducente de la Iniciativa de Decreto por el que se declara el 27 de noviembre de cada año como el “Día Estatal de las Ciénegas de</w:t>
      </w:r>
      <w:r w:rsidR="0077484B" w:rsidRPr="00AE0CAB">
        <w:rPr>
          <w:rFonts w:ascii="Times New Roman" w:hAnsi="Times New Roman" w:cs="Times New Roman"/>
          <w:sz w:val="24"/>
          <w:szCs w:val="24"/>
        </w:rPr>
        <w:t>l</w:t>
      </w:r>
      <w:r w:rsidRPr="00AE0CAB">
        <w:rPr>
          <w:rFonts w:ascii="Times New Roman" w:hAnsi="Times New Roman" w:cs="Times New Roman"/>
          <w:sz w:val="24"/>
          <w:szCs w:val="24"/>
        </w:rPr>
        <w:t xml:space="preserve"> Lerma”, presentada por la Titular del Ejecutivo Estatal.</w:t>
      </w:r>
    </w:p>
    <w:p w:rsidR="00D95CBC" w:rsidRPr="00AE0CAB" w:rsidRDefault="00D95CBC"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5. Lectura y acuerdo conducente de la Iniciativa de Decreto por el que se reforman diversas disposiciones del Código para la Biodiversidad del Estado de México y la Ley Orgánica Municipal </w:t>
      </w:r>
      <w:r w:rsidRPr="00AE0CAB">
        <w:rPr>
          <w:rFonts w:ascii="Times New Roman" w:hAnsi="Times New Roman" w:cs="Times New Roman"/>
          <w:sz w:val="24"/>
          <w:szCs w:val="24"/>
        </w:rPr>
        <w:lastRenderedPageBreak/>
        <w:t xml:space="preserve">del Estado de México, en materia de Prácticas Ambientalmente Responsables de Inhumación, presentada por la Titular del Ejecutivo Estatal. </w:t>
      </w:r>
    </w:p>
    <w:p w:rsidR="00D95CBC" w:rsidRPr="00AE0CAB" w:rsidRDefault="00D95CBC"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t>6. Lectura y acuerdo conducente de la Iniciativa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de la Ley de Fomento Económico para el Estado de México, de la Ley de Turismo Sostenible y Desarrollo Artesanal del Estado de México, de la Ley Orgánica Municipal del Estado de México y de la Ley que Regula los Centros de Asistencia Social y las Adopciones en el Estado de México, presentada por la Titular del Ejecutivo Estatal</w:t>
      </w:r>
    </w:p>
    <w:p w:rsidR="00D95CBC" w:rsidRPr="00AE0CAB" w:rsidRDefault="00D95CBC"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t>7. Lectura y acuerdo conducente de la Iniciativa de Decreto por la que se declara la feria de la Barbacoa y el Carnaval del Municipio de Capulhuac, Estado de México, como Patrimonio Cultural Inmaterial del Estado de México, presentada por la Diputada Martha Azucena Camacho Reynoso, en nombre del Grupo Parlamentario del Partido morena. (De urgente y obvia resolución).</w:t>
      </w:r>
    </w:p>
    <w:p w:rsidR="00D95CBC" w:rsidRPr="00AE0CAB" w:rsidRDefault="00D95CBC"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t>8. Lectura y acuerdo conducente de la Iniciativa con Proyecto de Decreto por el que se reforman diversas disposiciones de la Ley de Igualdad de Trato y Oportunidades entre Mujeres y Hombres del Estado de México con el propósito de fomentar la igualdad de género en la distribución de los trabajos domésticos, así como también implementación de acciones tendientes a eliminar brecha salarial de género, presentada por la Diputada María del Carmen de la Rosa Mendoza, en nombre del Grupo Parlamentario del Partido morena.</w:t>
      </w:r>
    </w:p>
    <w:p w:rsidR="006A65D2" w:rsidRPr="00AE0CAB" w:rsidRDefault="00D95CBC"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t>9. Lectura y acuerdo conducente de la Iniciativa con Proyecto de Decreto por el que se reforma el artículo 181 y las fracciones I, II, III, IV; y se adicionan las fracciones V, VI, VII, VIII, IX y X, del Código Penal del Estado de México, en materia de delitos en el ejercicio profesional, presentada por el Diputado Octavio Martínez Vargas, en nombre del Grupo Parlamentario del Partido morena.</w:t>
      </w:r>
    </w:p>
    <w:p w:rsidR="00D95CBC" w:rsidRPr="00AE0CAB" w:rsidRDefault="00D95CBC"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t>10. Lectura y acuerdo conducente de la Iniciativa de Decreto por el que se adicionan diversas disposiciones de la Ley de Bienestar y Desarrollo Social del Estado de México, en materia de cuidados y atención prioritaria a personas cuidadoras, presentada por el Diputado Edmundo Luis Valdeña, en nombre del Grupo Parlamentario del Partido morena.</w:t>
      </w:r>
    </w:p>
    <w:p w:rsidR="00D95CBC" w:rsidRPr="00AE0CAB" w:rsidRDefault="00D95CBC"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t>11. Lectura y acuerdo conducente de la Iniciativa con Proyecto de Decreto por el que se declara el lunes de la semana de Pascua de cada año como “Día de la y el Cafeticultor Mexiquense”, presentada por la Diputada Gloria Vanessa Linares Zetina, en nombre del Grupo Parlamentario del Partido Verde Ecologista de México.</w:t>
      </w:r>
    </w:p>
    <w:p w:rsidR="00D95CBC" w:rsidRPr="00AE0CAB" w:rsidRDefault="00D95CBC"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12. Lectura y acuerdo conducente de la Iniciativa con Proyecto de Decreto por el que se reforma el segundo párrafo de la fracción XXIII del artículo 31, se adiciona la fracción VIII, recorriéndose la subsecuente al artículo 96 </w:t>
      </w:r>
      <w:proofErr w:type="spellStart"/>
      <w:r w:rsidR="003C7203" w:rsidRPr="00AE0CAB">
        <w:rPr>
          <w:rFonts w:ascii="Times New Roman" w:hAnsi="Times New Roman" w:cs="Times New Roman"/>
          <w:sz w:val="24"/>
          <w:szCs w:val="24"/>
        </w:rPr>
        <w:t>Oc</w:t>
      </w:r>
      <w:r w:rsidRPr="00AE0CAB">
        <w:rPr>
          <w:rFonts w:ascii="Times New Roman" w:hAnsi="Times New Roman" w:cs="Times New Roman"/>
          <w:sz w:val="24"/>
          <w:szCs w:val="24"/>
        </w:rPr>
        <w:t>tíes</w:t>
      </w:r>
      <w:proofErr w:type="spellEnd"/>
      <w:r w:rsidRPr="00AE0CAB">
        <w:rPr>
          <w:rFonts w:ascii="Times New Roman" w:hAnsi="Times New Roman" w:cs="Times New Roman"/>
          <w:sz w:val="24"/>
          <w:szCs w:val="24"/>
        </w:rPr>
        <w:t xml:space="preserve"> de la Ley Orgánica Municipal del Estado de México, en materia de empleos ambientales, presentada por el Diputado Carlos Alberto López Imm, en nombre del Grupo Parlamentario del Partido Verde Ecologista de México.</w:t>
      </w:r>
    </w:p>
    <w:p w:rsidR="00B2729A" w:rsidRPr="00AE0CAB" w:rsidRDefault="00D95CBC"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13. Lectura y acuerdo conducente de la Iniciativa con Proyecto de Decreto por el que se adicionan el inciso h) de la fracción V del artículo 5 y la fracción XV del artículo 23 de la Ley Orgánica de las Personas Adultas Mayores del Estado de México, para promover la educación financiera en Adultos Mayores, presentada por la Diputada Krishna Karina Romero Velázquez y el Diputado Pablo </w:t>
      </w:r>
      <w:r w:rsidR="00B2729A" w:rsidRPr="00AE0CAB">
        <w:rPr>
          <w:rFonts w:ascii="Times New Roman" w:hAnsi="Times New Roman" w:cs="Times New Roman"/>
          <w:sz w:val="24"/>
          <w:szCs w:val="24"/>
        </w:rPr>
        <w:t xml:space="preserve">Fernández de Cevallos González, en nombre del Grupo Parlamentario del Partido Acción Nacional. </w:t>
      </w:r>
    </w:p>
    <w:p w:rsidR="00B2729A" w:rsidRPr="00AE0CAB" w:rsidRDefault="00B2729A"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14. Lectura y acuerdo conducente de la Iniciativa con Proyecto de Decreto que adiciona el inciso d) a la fracción II del Artículo 11 de la Ley de Educación del Estado de México, en Materia de Uniformes Neutros, presentada por las y los integrantes del Grupo Parlamentario del Partido Movimiento Ciudadano.</w:t>
      </w:r>
    </w:p>
    <w:p w:rsidR="00B2729A" w:rsidRPr="00AE0CAB" w:rsidRDefault="00B2729A"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lastRenderedPageBreak/>
        <w:t xml:space="preserve">15. Lectura y acuerdo conducente de Iniciativa con </w:t>
      </w:r>
      <w:r w:rsidR="005E4E3C" w:rsidRPr="00AE0CAB">
        <w:rPr>
          <w:rFonts w:ascii="Times New Roman" w:hAnsi="Times New Roman" w:cs="Times New Roman"/>
          <w:sz w:val="24"/>
          <w:szCs w:val="24"/>
        </w:rPr>
        <w:t xml:space="preserve">Proyecto </w:t>
      </w:r>
      <w:r w:rsidRPr="00AE0CAB">
        <w:rPr>
          <w:rFonts w:ascii="Times New Roman" w:hAnsi="Times New Roman" w:cs="Times New Roman"/>
          <w:sz w:val="24"/>
          <w:szCs w:val="24"/>
        </w:rPr>
        <w:t xml:space="preserve">de </w:t>
      </w:r>
      <w:r w:rsidR="005E4E3C" w:rsidRPr="00AE0CAB">
        <w:rPr>
          <w:rFonts w:ascii="Times New Roman" w:hAnsi="Times New Roman" w:cs="Times New Roman"/>
          <w:sz w:val="24"/>
          <w:szCs w:val="24"/>
        </w:rPr>
        <w:t xml:space="preserve">Decreto </w:t>
      </w:r>
      <w:r w:rsidRPr="00AE0CAB">
        <w:rPr>
          <w:rFonts w:ascii="Times New Roman" w:hAnsi="Times New Roman" w:cs="Times New Roman"/>
          <w:sz w:val="24"/>
          <w:szCs w:val="24"/>
        </w:rPr>
        <w:t>por la que se reforman diversos artículos del Libro Sexto del Código para la Biodiversidad del Estado de México, en materia de protección y bienestar animal, presentado por el Diputado Omar Ortega Álvarez y la Diputada Araceli Casasola Salazar, en nombre del Grupo Parlamentario del Partido de la Revolución Democrática.</w:t>
      </w:r>
    </w:p>
    <w:p w:rsidR="00B2729A" w:rsidRPr="00AE0CAB" w:rsidRDefault="00B2729A"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16. Lectura y acuerdo conducente de Iniciativa con Proyecto de Decreto por la que se reforma el artículo 79 y añade el artículo 79 bis de la Ley de Educación del Estado de México, a fin de garantizar la prestación de servicios de atención psicológica en todas las instituciones públicas de educación básica, así como de su promoción y permanencia en las instituciones públicas de educación media superior y superior, presentada por la Diputada Yareli Anai Esparza Acevedo, en nombre del Grupo Parlamentario del Partido del Trabajo.</w:t>
      </w:r>
    </w:p>
    <w:p w:rsidR="00B2729A" w:rsidRPr="00AE0CAB" w:rsidRDefault="00B2729A"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17. Lectura y acuerdo conducente de Iniciativa con Proyecto de Decreto por el que se adiciona una fracción XVI, recorriéndose las ya establecidas al artículo 4 de la Ley en Materia de Desaparición Forzada de Personas y Desaparición cometida por Particulares para el Estado Libre y Soberano de México, presentada por la Diputada Ana Yurixi Leyva Piñón, en nombre del Grupo Parlamentario del Partido del Trabajo.</w:t>
      </w:r>
    </w:p>
    <w:p w:rsidR="00B2729A" w:rsidRPr="00AE0CAB" w:rsidRDefault="00B2729A"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18. Informe Anual de la Titular del Órgano Superior de Fiscalización del Estado de México, en cumplimiento del artículo 13 fracción XXXIII de la Ley de Fiscalización Superior del Estado de México.</w:t>
      </w:r>
    </w:p>
    <w:p w:rsidR="00B2729A" w:rsidRPr="00AE0CAB" w:rsidRDefault="00B2729A"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19. Clausura de la sesión.</w:t>
      </w:r>
    </w:p>
    <w:p w:rsidR="00B2729A"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Pido a quienes estén a favor de la propuesta que ha expuesto la Secretaría sea aprobada como orden del día se sirvan levantar la mano</w:t>
      </w:r>
      <w:r w:rsidR="00D94D7E" w:rsidRPr="00AE0CAB">
        <w:rPr>
          <w:rFonts w:ascii="Times New Roman" w:hAnsi="Times New Roman" w:cs="Times New Roman"/>
          <w:sz w:val="24"/>
          <w:szCs w:val="24"/>
        </w:rPr>
        <w:t xml:space="preserve"> </w:t>
      </w:r>
      <w:r w:rsidRPr="00AE0CAB">
        <w:rPr>
          <w:rFonts w:ascii="Times New Roman" w:hAnsi="Times New Roman" w:cs="Times New Roman"/>
          <w:sz w:val="24"/>
          <w:szCs w:val="24"/>
        </w:rPr>
        <w:t>¿En contra? ¿En abstención?</w:t>
      </w:r>
    </w:p>
    <w:p w:rsidR="00B2729A"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SECRETARIO DIP. EDUARDO ZARZOSA SÁNCHEZ. Presidenta le informo que la propuesta del orden del día ha sido aprobada por unanimidad de votos.</w:t>
      </w:r>
    </w:p>
    <w:p w:rsidR="00B2729A"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Gracias Secretario.</w:t>
      </w:r>
    </w:p>
    <w:p w:rsidR="00B2729A"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Considerando el punto 1, comunico a esta Soberanía que el acta de la sesión anterior fue publicada en la Gaceta Parlamentaria, por ello les pregunto si existen observaciones o comentarios y de ser así la Secretaría procederá a darle su atención al concluir la sesión.</w:t>
      </w:r>
    </w:p>
    <w:p w:rsidR="00DA7B2F" w:rsidRPr="00AE0CAB" w:rsidRDefault="00DA7B2F" w:rsidP="00D71801">
      <w:pPr>
        <w:pStyle w:val="Sinespaciado"/>
        <w:jc w:val="both"/>
        <w:rPr>
          <w:rFonts w:ascii="Times New Roman" w:hAnsi="Times New Roman" w:cs="Times New Roman"/>
          <w:sz w:val="24"/>
          <w:szCs w:val="24"/>
        </w:rPr>
      </w:pPr>
    </w:p>
    <w:p w:rsidR="00DA7B2F" w:rsidRPr="00AE0CAB" w:rsidRDefault="00DA7B2F"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(Se inserta documento)</w:t>
      </w:r>
    </w:p>
    <w:p w:rsidR="00DA7B2F" w:rsidRPr="00AE0CAB" w:rsidRDefault="00DA7B2F" w:rsidP="00D71801">
      <w:pPr>
        <w:spacing w:after="0" w:line="240" w:lineRule="auto"/>
        <w:jc w:val="center"/>
        <w:rPr>
          <w:rFonts w:ascii="Times New Roman" w:hAnsi="Times New Roman" w:cs="Times New Roman"/>
          <w:sz w:val="24"/>
          <w:szCs w:val="24"/>
        </w:rPr>
      </w:pPr>
    </w:p>
    <w:p w:rsidR="00F56146" w:rsidRPr="00AE0CAB" w:rsidRDefault="00F56146" w:rsidP="00D71801">
      <w:pPr>
        <w:suppressAutoHyphens/>
        <w:autoSpaceDN w:val="0"/>
        <w:spacing w:after="0" w:line="240" w:lineRule="auto"/>
        <w:jc w:val="both"/>
        <w:rPr>
          <w:rFonts w:ascii="Times New Roman" w:eastAsia="Times New Roman" w:hAnsi="Times New Roman" w:cs="Times New Roman"/>
          <w:b/>
          <w:sz w:val="24"/>
          <w:szCs w:val="24"/>
          <w:lang w:eastAsia="es-MX"/>
        </w:rPr>
      </w:pPr>
      <w:r w:rsidRPr="00AE0CAB">
        <w:rPr>
          <w:rFonts w:ascii="Times New Roman" w:eastAsia="Calibri" w:hAnsi="Times New Roman" w:cs="Times New Roman"/>
          <w:b/>
          <w:sz w:val="24"/>
          <w:szCs w:val="24"/>
          <w:lang w:eastAsia="es-MX"/>
        </w:rPr>
        <w:t>ACTA DE LA SESIÓN DELIBERANTE DE LA “LXII” LEGISLATURA DEL ESTADO DE MÉXICO, CELEBRADA EL DÍA ONCE DE FEBRERO DE DOS MIL VEINTISÉIS.</w:t>
      </w:r>
    </w:p>
    <w:p w:rsidR="00F56146" w:rsidRPr="00AE0CAB" w:rsidRDefault="00F56146" w:rsidP="00D71801">
      <w:pPr>
        <w:suppressAutoHyphens/>
        <w:autoSpaceDN w:val="0"/>
        <w:spacing w:after="0" w:line="240" w:lineRule="auto"/>
        <w:jc w:val="center"/>
        <w:rPr>
          <w:rFonts w:ascii="Times New Roman" w:eastAsia="Times New Roman" w:hAnsi="Times New Roman" w:cs="Times New Roman"/>
          <w:sz w:val="24"/>
          <w:szCs w:val="24"/>
          <w:lang w:eastAsia="es-MX"/>
        </w:rPr>
      </w:pPr>
      <w:r w:rsidRPr="00AE0CAB">
        <w:rPr>
          <w:rFonts w:ascii="Times New Roman" w:eastAsia="Calibri" w:hAnsi="Times New Roman" w:cs="Times New Roman"/>
          <w:sz w:val="24"/>
          <w:szCs w:val="24"/>
          <w:lang w:eastAsia="es-MX"/>
        </w:rPr>
        <w:t> </w:t>
      </w:r>
    </w:p>
    <w:p w:rsidR="00F56146" w:rsidRPr="00AE0CAB" w:rsidRDefault="00F56146" w:rsidP="00D71801">
      <w:pPr>
        <w:suppressAutoHyphens/>
        <w:autoSpaceDN w:val="0"/>
        <w:spacing w:after="0" w:line="240" w:lineRule="auto"/>
        <w:jc w:val="center"/>
        <w:rPr>
          <w:rFonts w:ascii="Times New Roman" w:eastAsia="Times New Roman" w:hAnsi="Times New Roman" w:cs="Times New Roman"/>
          <w:b/>
          <w:sz w:val="24"/>
          <w:szCs w:val="24"/>
          <w:lang w:eastAsia="es-MX"/>
        </w:rPr>
      </w:pPr>
      <w:r w:rsidRPr="00AE0CAB">
        <w:rPr>
          <w:rFonts w:ascii="Times New Roman" w:eastAsia="Calibri" w:hAnsi="Times New Roman" w:cs="Times New Roman"/>
          <w:b/>
          <w:sz w:val="24"/>
          <w:szCs w:val="24"/>
          <w:lang w:eastAsia="es-MX"/>
        </w:rPr>
        <w:t>Presidenta Diputada Martha Azucena Camacho Reynoso.</w:t>
      </w:r>
    </w:p>
    <w:p w:rsidR="00F56146" w:rsidRPr="00AE0CAB" w:rsidRDefault="00F56146" w:rsidP="00D71801">
      <w:pPr>
        <w:suppressAutoHyphens/>
        <w:autoSpaceDN w:val="0"/>
        <w:spacing w:after="0" w:line="240" w:lineRule="auto"/>
        <w:jc w:val="both"/>
        <w:rPr>
          <w:rFonts w:ascii="Times New Roman" w:eastAsia="Times New Roman" w:hAnsi="Times New Roman" w:cs="Times New Roman"/>
          <w:sz w:val="24"/>
          <w:szCs w:val="24"/>
          <w:lang w:eastAsia="es-MX"/>
        </w:rPr>
      </w:pPr>
    </w:p>
    <w:p w:rsidR="00F56146" w:rsidRPr="00AE0CAB" w:rsidRDefault="00F56146" w:rsidP="00D71801">
      <w:pPr>
        <w:suppressAutoHyphens/>
        <w:autoSpaceDN w:val="0"/>
        <w:spacing w:after="0" w:line="240" w:lineRule="auto"/>
        <w:jc w:val="both"/>
        <w:rPr>
          <w:rFonts w:ascii="Times New Roman" w:eastAsia="Calibri" w:hAnsi="Times New Roman" w:cs="Times New Roman"/>
          <w:sz w:val="24"/>
          <w:szCs w:val="24"/>
          <w:lang w:eastAsia="es-MX"/>
        </w:rPr>
      </w:pPr>
      <w:r w:rsidRPr="00AE0CAB">
        <w:rPr>
          <w:rFonts w:ascii="Times New Roman" w:eastAsia="Calibri" w:hAnsi="Times New Roman" w:cs="Times New Roman"/>
          <w:sz w:val="24"/>
          <w:szCs w:val="24"/>
          <w:lang w:eastAsia="es-MX"/>
        </w:rPr>
        <w:t>En el Salón de Sesiones del H. Poder Legislativo, en la ciudad de Toluca de Lerdo, capital del Estado de México, la Presidencia abre la sesión siendo las doce horas con cincuenta y dos minutos del día once de febrero de dos mil veintiséis, una vez que la Secretaría verificó la existencia del quórum, mediante el sistema electrónico.  </w:t>
      </w:r>
    </w:p>
    <w:p w:rsidR="00F56146" w:rsidRPr="00AE0CAB" w:rsidRDefault="00F56146" w:rsidP="00D71801">
      <w:pPr>
        <w:suppressAutoHyphens/>
        <w:autoSpaceDN w:val="0"/>
        <w:spacing w:after="0" w:line="240" w:lineRule="auto"/>
        <w:jc w:val="both"/>
        <w:rPr>
          <w:rFonts w:ascii="Times New Roman" w:eastAsia="Times New Roman" w:hAnsi="Times New Roman" w:cs="Times New Roman"/>
          <w:sz w:val="24"/>
          <w:szCs w:val="24"/>
          <w:lang w:eastAsia="es-MX"/>
        </w:rPr>
      </w:pPr>
    </w:p>
    <w:p w:rsidR="00F56146" w:rsidRPr="00AE0CAB" w:rsidRDefault="00F56146" w:rsidP="00D71801">
      <w:pPr>
        <w:suppressAutoHyphens/>
        <w:autoSpaceDN w:val="0"/>
        <w:spacing w:after="0" w:line="240" w:lineRule="auto"/>
        <w:jc w:val="both"/>
        <w:rPr>
          <w:rFonts w:ascii="Times New Roman" w:eastAsia="Calibri" w:hAnsi="Times New Roman" w:cs="Times New Roman"/>
          <w:sz w:val="24"/>
          <w:szCs w:val="24"/>
          <w:lang w:eastAsia="es-MX"/>
        </w:rPr>
      </w:pPr>
      <w:r w:rsidRPr="00AE0CAB">
        <w:rPr>
          <w:rFonts w:ascii="Times New Roman" w:eastAsia="Calibri"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rsidR="00F56146" w:rsidRPr="00AE0CAB" w:rsidRDefault="00F56146" w:rsidP="00D71801">
      <w:pPr>
        <w:suppressAutoHyphens/>
        <w:autoSpaceDN w:val="0"/>
        <w:spacing w:after="0" w:line="240" w:lineRule="auto"/>
        <w:jc w:val="both"/>
        <w:rPr>
          <w:rFonts w:ascii="Times New Roman" w:eastAsia="Calibri" w:hAnsi="Times New Roman" w:cs="Times New Roman"/>
          <w:sz w:val="24"/>
          <w:szCs w:val="24"/>
          <w:lang w:eastAsia="es-MX"/>
        </w:rPr>
      </w:pPr>
    </w:p>
    <w:p w:rsidR="00F56146" w:rsidRPr="00AE0CAB" w:rsidRDefault="00F56146" w:rsidP="00D7180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1.- La Presidencia informa que las Actas de las Sesiones Anteriores, han sido publicadas en la Gaceta Parlamentaria, por lo que pregunta si existen observaciones o comentarios de las mismas. Las Actas son aprobadas por unanimidad de votos. </w:t>
      </w:r>
    </w:p>
    <w:p w:rsidR="00F56146" w:rsidRPr="00AE0CAB" w:rsidRDefault="00F56146" w:rsidP="00D71801">
      <w:pPr>
        <w:spacing w:after="0" w:line="240" w:lineRule="auto"/>
        <w:jc w:val="both"/>
        <w:rPr>
          <w:rFonts w:ascii="Times New Roman" w:hAnsi="Times New Roman" w:cs="Times New Roman"/>
          <w:sz w:val="24"/>
          <w:szCs w:val="24"/>
          <w:lang w:eastAsia="es-MX"/>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lang w:eastAsia="es-MX"/>
        </w:rPr>
        <w:t>El diputado Martín Zepeda Hernández solicita se guarde un minuto de silencio</w:t>
      </w:r>
      <w:r w:rsidRPr="00AE0CAB">
        <w:rPr>
          <w:rFonts w:ascii="Times New Roman" w:hAnsi="Times New Roman" w:cs="Times New Roman"/>
          <w:sz w:val="24"/>
          <w:szCs w:val="24"/>
        </w:rPr>
        <w:t xml:space="preserve"> por el fallecimiento de la Mamá de la diputada Maricela Beltrán Sánchez.</w:t>
      </w:r>
    </w:p>
    <w:p w:rsidR="00F56146" w:rsidRPr="00AE0CAB" w:rsidRDefault="00F56146" w:rsidP="00D71801">
      <w:pPr>
        <w:spacing w:after="0" w:line="240" w:lineRule="auto"/>
        <w:jc w:val="both"/>
        <w:rPr>
          <w:rFonts w:ascii="Times New Roman" w:hAnsi="Times New Roman" w:cs="Times New Roman"/>
          <w:sz w:val="24"/>
          <w:szCs w:val="24"/>
          <w:lang w:eastAsia="es-MX"/>
        </w:rPr>
      </w:pPr>
    </w:p>
    <w:p w:rsidR="00F56146" w:rsidRPr="00AE0CAB" w:rsidRDefault="00F56146" w:rsidP="00D71801">
      <w:pPr>
        <w:spacing w:after="0" w:line="240" w:lineRule="auto"/>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Se guarda un minuto de silencio.</w:t>
      </w:r>
    </w:p>
    <w:p w:rsidR="00F56146" w:rsidRPr="00AE0CAB" w:rsidRDefault="00F56146" w:rsidP="00D71801">
      <w:pPr>
        <w:spacing w:after="0" w:line="240" w:lineRule="auto"/>
        <w:jc w:val="both"/>
        <w:rPr>
          <w:rFonts w:ascii="Times New Roman" w:hAnsi="Times New Roman" w:cs="Times New Roman"/>
          <w:sz w:val="24"/>
          <w:szCs w:val="24"/>
          <w:lang w:eastAsia="es-MX"/>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2.- La diputada Martha Azucena Camacho Reynoso hace uso de la palabra, para dar lectura al Informe de Actividades realizadas por la Diputación Permanente de la LXII Legislatura.</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señala que se tiene por enterada la “LXII” Legislatura del Informe presentado, solicita a la Secretaría registre la documentación recibida y tramitada por la Diputación Permanente, así mismo, conformará los expedientes necesarios, en su momento la Junta de Coordinación Política, acordará el trámite de los asuntos recibidos y se tiene por cumplido lo establecido en el artículo 58 de la Ley Orgánica de este Poder Legislativo.</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3.- El diputado Román Francisco Cortés Lugo hace uso de la palabra, para dar lectura al Dictamen de la solicitud del inicio del Procedimiento de Diferendo Limítrofe Intermunicipal entre los Municipios de Acolman y Ecatepec de Morelos, y como terceros interesados a los Municipios de Tecámac y Atenco, Estado de México, formulado por la Comisión Legislativa de Límites Territoriales del Estado de México y sus Municipios.</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Para hablar sobre el dictamen, hacen uso de la palabra el diputado Octavio Martínez Vargas, la diputada Zaira Cedillo Silva, el diputado Osvaldo Cortés Contreras, el diputado Ernesto Santillán Ramírez y la diputada Miriam Silva Mata.</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4.- La diputada Lilia Urbina Salazar hace uso de la palabra, para dar lectura a la Iniciativa de Decreto por el que se autoriza al H. Ayuntamiento de Otumba, Estado de México, a desincorporar del patrimonio del municipio un inmueble, para que sea donado a título gratuito a favor del Gobierno del Estado de México, con destino a la Secretaría de Educación, Ciencia, Tecnología e Innovación, para realizar las acciones necesarias destinadas a la construcción de una Escuela Normal, presentada por la Titular del Ejecutivo Estatal. (De urgente y obvia resolución). Solicita la dispensa del trámite de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Es aprobada la dispensa del trámite de dictamen, por unanimidad de votos.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w:t>
      </w:r>
      <w:r w:rsidRPr="00AE0CAB">
        <w:rPr>
          <w:rFonts w:ascii="Times New Roman" w:eastAsia="Times New Roman" w:hAnsi="Times New Roman" w:cs="Times New Roman"/>
          <w:sz w:val="24"/>
          <w:szCs w:val="24"/>
          <w:lang w:eastAsia="es-MX"/>
        </w:rPr>
        <w:lastRenderedPageBreak/>
        <w:t>considerando que no se separaron artículos para su discusión particular, se tiene también por aprobada en lo particular; y la Presidencia solicita a la Secretaría provea el cumplimiento de la resolución de la Legislatura para los efectos procedentes.</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5.- La Vicepresidencia, por instrucciones de la Presidencia, da lectura a la Iniciativa con Proyecto de Decreto que adiciona los artículos 1.5 Bis al 1.5 </w:t>
      </w:r>
      <w:proofErr w:type="spellStart"/>
      <w:r w:rsidRPr="00AE0CAB">
        <w:rPr>
          <w:rFonts w:ascii="Times New Roman" w:hAnsi="Times New Roman" w:cs="Times New Roman"/>
          <w:sz w:val="24"/>
          <w:szCs w:val="24"/>
        </w:rPr>
        <w:t>Quáter</w:t>
      </w:r>
      <w:proofErr w:type="spellEnd"/>
      <w:r w:rsidRPr="00AE0CAB">
        <w:rPr>
          <w:rFonts w:ascii="Times New Roman" w:hAnsi="Times New Roman" w:cs="Times New Roman"/>
          <w:sz w:val="24"/>
          <w:szCs w:val="24"/>
        </w:rPr>
        <w:t xml:space="preserve"> del Código Civil del Estado de México, para regular la nulidad de juicio concluido, presentada por el Presidente del Tribunal Superior de Justicia del Estado de México.</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 Comisión Legislativa de Procuración y Administración de Justicia,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6.- La Vicepresidencia, por instrucciones de la Presidencia, da lectura a la Iniciativa con Proyecto de Decreto que reforma el artículo 47 de la Ley Orgánica del Poder Judicial del Estado de México, relacionada con la integración de los Tribunales de Alzada, presentada por el Presidente del Tribunal Superior de Justicia del Estado de México.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 Comisión Legislativa de Procuración y Administración de Justicia,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7.- El diputado Gerardo Pliego Santana hace uso de la palabra, para dar lectura a la Iniciativa con Proyecto de Decreto por el cual se adiciona el artículo 130 Ter a la Constitución Política del Estado Libre y Soberano de México, en relación con la Agencia Estatal Anticorrupción, presentada por el propio diputado, en nombre del Grupo Parlamentario del Partido morena.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las Comisiones Legislativas de Gobernación y Puntos Constitucionales y Para el Combate a la Corrupción,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8.- El diputado Javier Cruz Jaramillo hace uso de la palabra, para dar lectura a la Iniciativa con Proyecto de Decreto, por el que se reforma el artículo 228, con adición de la fracción XI del Código Penal del Estado de México, para garantizar una protección más eficaz del medio ambiente, presentada por el propio diputado, en nombre del Grupo Parlamentario del Partido morena.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las Comisiones Legislativas de Procuración y Administración de Justicia y de Protección Ambiental y Cambio Climático,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9.- El diputado Valentín Martínez Castillo hace uso de la palabra, para dar lectura a la Iniciativa con Proyecto de Decreto por el que se reforman diversas disposiciones de la Ley Orgánica Municipal del Estado de México, con el fin de fortalecer el trabajo de las Comisiones Edilicias Permanentes y transparentar su actuar como Órganos Auxiliares del gobierno municipal, presentada por el propio diputado, en nombre del Grupo Parlamentario del Partido morena.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 Comisión Legislativa de Legislación y Administración Municipal,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10.- El diputado Israel Espíndola López hace uso de la palabra, para dar lectura a la Iniciativa con Proyecto de Decreto por el que se expide Ley de Protección e Impulso Productivo y Patrimonial del Mezcal del Estado de México, presentada por el propio diputado, en nombre del Grupo Parlamentario del Partido morena.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las Comisiones Legislativas de Desarrollo Económico, Industrial, Comercial y Minero y de Desarrollo Agropecuario y Forestal,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11.- La diputada Zaira Cedillo Silva hace uso de la palabra, para dar lectura a la Iniciativa con Proyecto de Decreto por el que se reforma y adicionan diversos artículos del Código Penal del Estado de México, a fin de equiparar el delito de estupro con el delito de violación, presentada por la propia diputada, en nombre del Grupo Parlamentario del Partido morena.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 Comisión Legislativa de Procuración y Administración de Justicia,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12.- La diputada Paola Jiménez Hernández hace uso de la palabra, para dar lectura a la Iniciativa con Proyecto de Decreto por el que se adiciona un párrafo vigésimo sexto al artículo quinto de la Constitución Política del Estado Libre y Soberano de México; se adiciona el artículo 4 Bis de la Ley Orgánica de la Administración Pública del Estado de México y se adiciona la fracción XXXIII Bis al artículo 31 de la Ley Orgánica Municipal del Estado de México, en materia de rehúso de materiales, la utilización de papel reciclado y la digitalización progresiva de documentos y trámites, presentada por la propia diputada, en nombre del Grupo Parlamentario del Partido morena.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La Presidencia la remite a las Comisiones Legislativas de Gobernación y Puntos Constitucionales y de Legislación y Administración Municipal, para su estudio y dictamen.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13.- El diputado Rigoberto Vargas Cervantes hace uso de la palabra, para dar lectura a la Iniciativa con Proyecto de Decreto, mediante la cual se adiciona un artículo 138 Bis a la Ley del Trabajo de los Servidores Públicos del Estado y Municipios y se adiciona una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 presentada por el propio diputado, en nombre del Grupo Parlamentario del Partido morena.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 Comisión Legislativa de Trabajo, Previsión y Seguridad Social,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14.- La diputada Itzel Guadalupe Pérez Correa hace uso de la palabra, para dar lectura a la Iniciativa de Decreto por el que se expide la Ley Estatal de Acceso y Promoción de la Paz, presentada por la propia diputada, en nombre del Grupo Parlamentario del Partido Verde Ecologista de México.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 Comisión Legislativa de Gobernación y Puntos Constitucionales,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15.- La diputada Alejandra Figueroa Adame hace uso de la palabra, para dar lectura a la Iniciativa con Proyecto de Decreto por el que se reforma el artículo 60 de la Ley de Educación del Estado de México, en materia de protección de datos personales de las niñas y niños, presentada por la propia diputada, en nombre del Grupo Parlamentario del Partido Verde Ecologista de México.</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las Comisiones Legislativas de Educación, Cultura, Ciencia, Tecnología e Innovación y de Transparencia, Acceso a la Información Pública y Protección de Datos Personales,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16.- La diputada Sofía Martínez Molina hace uso de la palabra, para dar lectura a la Iniciativa con Proyecto de Decreto por el que se adiciona un párrafo al artículo 5 de la Constitución Política del Estado Libre y Soberano del Estado de México, y se incorporan el artículo 289 </w:t>
      </w:r>
      <w:proofErr w:type="spellStart"/>
      <w:r w:rsidRPr="00AE0CAB">
        <w:rPr>
          <w:rFonts w:ascii="Times New Roman" w:hAnsi="Times New Roman" w:cs="Times New Roman"/>
          <w:sz w:val="24"/>
          <w:szCs w:val="24"/>
        </w:rPr>
        <w:t>Quáter</w:t>
      </w:r>
      <w:proofErr w:type="spellEnd"/>
      <w:r w:rsidRPr="00AE0CAB">
        <w:rPr>
          <w:rFonts w:ascii="Times New Roman" w:hAnsi="Times New Roman" w:cs="Times New Roman"/>
          <w:sz w:val="24"/>
          <w:szCs w:val="24"/>
        </w:rPr>
        <w:t xml:space="preserve"> del Código Financiero del Estado de México y Municipios y el artículo 28 Bis de la Ley Orgánica Municipal del Estado de México, en materia de presupuesto participativo, presentada por la propia diputada, en nombre del Grupo Parlamentario del Partido del Trabajo.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La Presidencia la remite a las Comisiones Legislativas de Gobernación y Puntos Constitucionales; de Planeación y Gasto Público y de Finanzas Públicas, para su estudio y dictamen;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17.- La diputada Lilia Urbina Salazar hace uso de la palabra, para dar lectura a la Iniciativa con Proyecto de Decreto por el que se adicionan diversas disposiciones a la Ley de Turismo Sostenible y Desarrollo Artesanal del Estado de México, para crear una Defensoría Estatal del Turista que oriente y proteja los derechos de excursionistas, visitantes y turistas, presentada por la propia diputada, en nombre del Grupo Parlamentario del Partido Revolucionario Institucional.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las Comisiones Legislativas de Desarrollo Turístico y Artesanal y de Derechos Humanos,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Para hechos, hace uso de la palabra la diputada Leticia Mejía García.</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18.- La diputada Joanna Alejandra Felipe Torres hace uso de la palabra, para dar lectura a la Iniciativa con Proyecto de Decreto por el que se adicionan la fracción VI recorriendo la subsecuente del artículo 29; y se adiciona el artículo 29 </w:t>
      </w:r>
      <w:proofErr w:type="spellStart"/>
      <w:r w:rsidRPr="00AE0CAB">
        <w:rPr>
          <w:rFonts w:ascii="Times New Roman" w:hAnsi="Times New Roman" w:cs="Times New Roman"/>
          <w:sz w:val="24"/>
          <w:szCs w:val="24"/>
        </w:rPr>
        <w:t>Quáter</w:t>
      </w:r>
      <w:proofErr w:type="spellEnd"/>
      <w:r w:rsidRPr="00AE0CAB">
        <w:rPr>
          <w:rFonts w:ascii="Times New Roman" w:hAnsi="Times New Roman" w:cs="Times New Roman"/>
          <w:sz w:val="24"/>
          <w:szCs w:val="24"/>
        </w:rPr>
        <w:t xml:space="preserve">, todos de la Ley de la Fiscalía General de Justicia del Estado de México, con el objeto de crear la Fiscalía Especializada en Atención a los Delitos cometidos contra personas Adultas Mayores, presentada por la propia diputada y el diputado Pablo Fernández de Cevallos González, en nombre del Grupo Parlamentario del Partido Acción Nacional.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La Presidencia la remite a las Comisiones Legislativas de Procuración y Administración de Justicia y Para la Atención de Grupos Vulnerables, para su estudio y dictamen.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19.- El diputado Anuar Roberto Azar Figueroa hace uso de la palabra, para dar lectura a la Iniciativa con Proyecto de Decreto por el que se reforma el artículo 6.67 del Código para la Biodiversidad del Estado de México, en materia de venta de animales, presentada por el propio diputado y el diputado Pablo Fernández de Cevallos González, en nombre del Grupo Parlamentario del Partido Acción Nacional.</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La Presidencia la </w:t>
      </w:r>
      <w:r w:rsidRPr="00AE0CAB">
        <w:rPr>
          <w:rFonts w:ascii="Times New Roman" w:hAnsi="Times New Roman" w:cs="Times New Roman"/>
          <w:sz w:val="24"/>
          <w:szCs w:val="24"/>
          <w:lang w:eastAsia="es-MX"/>
        </w:rPr>
        <w:t>remite a la Comisión Legislativa de Protección Ambiental y Cambio Climático,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20.- La diputada Ruth Salinas Reyes hace uso de la palabra, para dar lectura a la Iniciativa con Proyecto de Decreto que reforma el primer párrafo y reforma el numeral 4 del inciso a) del artículo 2.199 del Código para la Biodiversidad del Estado de México, en materia de reglas claras en el Hoy No Circula y No al Corralón, presentada por las y los integrantes del Grupo Parlamentario del Partido Movimiento Ciudadano.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las Comisiones Legislativas de Protección Ambiental y Cambio Climático y de Comunicaciones y Transportes,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21.- A petición de los promoventes, se omite lectura de la Iniciativa con Proyecto de Decreto por el que se reforma la Ley de Educación del Estado de México, en materia de educación sexual, presentada por el Diputado Omar Ortega Álvarez y la Diputada Araceli Casasola Salazar, en nombre del Grupo Parlamentario del Partido de la Revolución Democrática.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la remite a la Comisión Legislativa de Educación, Cultura, Ciencia, Tecnología e Innovación,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22.- El diputado Isaías Peláez Soria hace uso de la palabra, para dar lectura al Punto de Acuerdo por el que se exhorta respetuosamente a los 125 ayuntamientos del Estado de México, a la Secretaría de Salud del Estado de México y al Sistema para el Desarrollo Integral de la Familia del Estado de México (DIFEM), para que, en el ámbito de sus atribuciones, instalen refugios o espacios de resguardo de manera permanente, destinados a familiares de pacientes hospitalizados, garantizando condiciones de seguridad, higiene, descanso y acceso a servicios básicos, presentado por el propio diputado, en nombre del Grupo Parlamentario del Partido Verde Ecologista de México.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lo remite a las Comisiones Legislativas de Salud, Asistencia y Bienestar Social y de Legislación y Administración Municipal,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23.- El diputado Eduardo Zarzosa Sánchez hace uso de la palabra, para dar lectura al Punto de Acuerdo por el que se exhorta a la Secretaría de Movilidad del Gobierno del Estado de México y al Sistema de Autopistas, Aeropuertos, Servicios Conexos y Auxiliares del Estado de México, a realizar las acciones necesarias para garantizar que las y los residentes de las comunidades colindantes a la autopista Atlacomulco-Polotitlán estén exentos del pago de peaje, una vez que dicha carretera de cuota sea concluida y entre en operación, presentado por el propio diputado, en nombre del Grupo Parlamentario del Partido Revolucionario Institucional.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Presidencia lo remite a la Comisión Legislativa de Comunicaciones y Transportes, para su estudio y dictamen.</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24.- La diputada Sara Alicia Ramírez de la O hace uso de la palabra, para dar lectura al Pronunciamiento de solidaridad con el pueblo de Cuba, ante la crisis humanitaria derivada de las sanciones energéticas y económicas impuestas por Estados Unidos y por la soberanía de México, presentado por la propia diputada, en nombre del Grupo Parlamentario del Partido del Trabajo.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Se registra lo expresado.</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25.- La Vicepresidencia, por instrucciones de la Presidencia, da lectura al oficio por el que se envía el Informe Anual de Actividades, presentado por la C. María Teresa de Jesús Cruz Camarena, Titular del Órgano Interno de Control en la Universidad Autónoma del Estado de México.</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lang w:eastAsia="es-MX"/>
        </w:rPr>
      </w:pPr>
      <w:r w:rsidRPr="00AE0CAB">
        <w:rPr>
          <w:rFonts w:ascii="Times New Roman" w:hAnsi="Times New Roman" w:cs="Times New Roman"/>
          <w:sz w:val="24"/>
          <w:szCs w:val="24"/>
        </w:rPr>
        <w:t xml:space="preserve">La Presidencia señala que </w:t>
      </w:r>
      <w:r w:rsidRPr="00AE0CAB">
        <w:rPr>
          <w:rFonts w:ascii="Times New Roman" w:hAnsi="Times New Roman" w:cs="Times New Roman"/>
          <w:sz w:val="24"/>
          <w:szCs w:val="24"/>
          <w:lang w:eastAsia="es-MX"/>
        </w:rPr>
        <w:t>queda enterada la “LXII” Legislatura.</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lang w:eastAsia="es-MX"/>
        </w:rPr>
      </w:pPr>
      <w:r w:rsidRPr="00AE0CAB">
        <w:rPr>
          <w:rFonts w:ascii="Times New Roman" w:hAnsi="Times New Roman" w:cs="Times New Roman"/>
          <w:sz w:val="24"/>
          <w:szCs w:val="24"/>
        </w:rPr>
        <w:t>26.- La Vicepresidencia, por instrucciones de la Presidencia, da lectura al oficio por el que se envía el Informe del Presidente Municipal Constitucional de Metepec, en relación con salida de trabajo al extranjero. (46° edición de la Feria Internacional de Turismo, a celebrarse en IFEMA Madrid, España, del 19 al 23 de enero del 2026).</w:t>
      </w:r>
    </w:p>
    <w:p w:rsidR="00F56146" w:rsidRPr="00AE0CAB" w:rsidRDefault="00F56146" w:rsidP="00D71801">
      <w:pPr>
        <w:spacing w:after="0" w:line="240" w:lineRule="auto"/>
        <w:jc w:val="both"/>
        <w:rPr>
          <w:rFonts w:ascii="Times New Roman" w:hAnsi="Times New Roman" w:cs="Times New Roman"/>
          <w:sz w:val="24"/>
          <w:szCs w:val="24"/>
          <w:lang w:eastAsia="es-MX"/>
        </w:rPr>
      </w:pPr>
    </w:p>
    <w:p w:rsidR="00F56146" w:rsidRPr="00AE0CAB" w:rsidRDefault="00F56146" w:rsidP="00D71801">
      <w:pPr>
        <w:spacing w:after="0" w:line="240" w:lineRule="auto"/>
        <w:jc w:val="both"/>
        <w:rPr>
          <w:rFonts w:ascii="Times New Roman" w:hAnsi="Times New Roman" w:cs="Times New Roman"/>
          <w:sz w:val="24"/>
          <w:szCs w:val="24"/>
          <w:lang w:eastAsia="es-MX"/>
        </w:rPr>
      </w:pPr>
      <w:r w:rsidRPr="00AE0CAB">
        <w:rPr>
          <w:rFonts w:ascii="Times New Roman" w:hAnsi="Times New Roman" w:cs="Times New Roman"/>
          <w:sz w:val="24"/>
          <w:szCs w:val="24"/>
        </w:rPr>
        <w:t xml:space="preserve">La Presidencia señala que </w:t>
      </w:r>
      <w:r w:rsidRPr="00AE0CAB">
        <w:rPr>
          <w:rFonts w:ascii="Times New Roman" w:hAnsi="Times New Roman" w:cs="Times New Roman"/>
          <w:sz w:val="24"/>
          <w:szCs w:val="24"/>
          <w:lang w:eastAsia="es-MX"/>
        </w:rPr>
        <w:t>queda enterada la “LXII” Legislatura.</w:t>
      </w:r>
    </w:p>
    <w:p w:rsidR="00F56146" w:rsidRPr="00AE0CAB" w:rsidRDefault="00F56146" w:rsidP="00D71801">
      <w:pPr>
        <w:spacing w:after="0" w:line="240" w:lineRule="auto"/>
        <w:jc w:val="both"/>
        <w:rPr>
          <w:rFonts w:ascii="Times New Roman" w:hAnsi="Times New Roman" w:cs="Times New Roman"/>
          <w:sz w:val="24"/>
          <w:szCs w:val="24"/>
          <w:lang w:eastAsia="es-MX"/>
        </w:rPr>
      </w:pPr>
    </w:p>
    <w:p w:rsidR="00F56146" w:rsidRPr="00AE0CAB" w:rsidRDefault="00F56146" w:rsidP="00D71801">
      <w:pPr>
        <w:spacing w:after="0" w:line="240" w:lineRule="auto"/>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La Vicepresidencia da lectura a los comunicados siguientes: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El jueves 12 de febrero, 10:00 horas, Salón Narciso Bassols, modalidad mixta, Comisiones Legislativas de Procuración y Administración de Justicia y de Protección Ambiental y Cambio Climático, Iniciativa con Proyecto de Decreto por el que se reforman y adicionan diversos artículos del Código Penal del Estado de México, por el diputado Israel Espíndola López; también la Iniciativa con Proyecto de Decreto por el que se reforma el artículo 228, con adición fracción XI del Código Penal del Estado de México, con la autoría del diputado Javier Cruz Jaramillo.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El jueves 12 de febrero, 13:00 horas, en el Salón Narciso Bassols, modalidad mixta, Comisiones Legislativas de Legislación y Administración Municipal y de Desarrollo Agropecuario y Forestal, Iniciativas con Proyecto de Decreto que reforma la Ley Orgánica Municipal del Estado de México, por la diputada Susana Estrada Rojas.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Iniciativa con Proyecto de Decreto por la que se adiciona el capítulo IV, denominado Ecocidio al subtítulo VII del Código Penal del Estado de México, en materia de ecocidio, jueves 12 de febrero, 10:00 horas, en el Salón Narciso Bassols, en modalidad mixta.</w:t>
      </w:r>
    </w:p>
    <w:p w:rsidR="00F56146" w:rsidRPr="00AE0CAB" w:rsidRDefault="00F56146" w:rsidP="00D71801">
      <w:pPr>
        <w:spacing w:after="0" w:line="240" w:lineRule="auto"/>
        <w:jc w:val="both"/>
        <w:rPr>
          <w:rFonts w:ascii="Times New Roman" w:hAnsi="Times New Roman" w:cs="Times New Roman"/>
          <w:sz w:val="24"/>
          <w:szCs w:val="24"/>
          <w:lang w:eastAsia="es-MX"/>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F56146" w:rsidRPr="00AE0CAB" w:rsidRDefault="00F56146" w:rsidP="00D71801">
      <w:pPr>
        <w:spacing w:after="0" w:line="240" w:lineRule="auto"/>
        <w:jc w:val="both"/>
        <w:rPr>
          <w:rFonts w:ascii="Times New Roman" w:hAnsi="Times New Roman" w:cs="Times New Roman"/>
          <w:sz w:val="24"/>
          <w:szCs w:val="24"/>
        </w:rPr>
      </w:pPr>
    </w:p>
    <w:p w:rsidR="00F56146" w:rsidRPr="00AE0CAB" w:rsidRDefault="00F56146"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27.- Agotados los asuntos en cartera, la Presidencia levanta la Sesión siendo las diecisiete horas con cuarenta y dos minutos del día de la fecha y cita para el día dieciocho del mes y año en curso a las trece horas.</w:t>
      </w:r>
    </w:p>
    <w:p w:rsidR="00F56146" w:rsidRPr="00AE0CAB" w:rsidRDefault="00F56146" w:rsidP="00D71801">
      <w:pPr>
        <w:spacing w:after="0" w:line="240" w:lineRule="auto"/>
        <w:jc w:val="both"/>
        <w:rPr>
          <w:rFonts w:ascii="Times New Roman" w:eastAsia="Calibri" w:hAnsi="Times New Roman" w:cs="Times New Roman"/>
          <w:bCs/>
          <w:sz w:val="24"/>
          <w:szCs w:val="24"/>
        </w:rPr>
      </w:pPr>
    </w:p>
    <w:p w:rsidR="00F56146" w:rsidRPr="00AE0CAB" w:rsidRDefault="00F56146"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SECRETARIOS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56146" w:rsidRPr="00AE0CAB" w:rsidTr="00F56146">
        <w:trPr>
          <w:jc w:val="center"/>
        </w:trPr>
        <w:tc>
          <w:tcPr>
            <w:tcW w:w="4697" w:type="dxa"/>
          </w:tcPr>
          <w:p w:rsidR="00F56146" w:rsidRPr="00AE0CAB" w:rsidRDefault="00F56146" w:rsidP="00D71801">
            <w:pPr>
              <w:spacing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DIP. EDGAR SAMUEL RÍOS MORENO</w:t>
            </w:r>
          </w:p>
        </w:tc>
        <w:tc>
          <w:tcPr>
            <w:tcW w:w="4698" w:type="dxa"/>
          </w:tcPr>
          <w:p w:rsidR="00F56146" w:rsidRPr="00AE0CAB" w:rsidRDefault="00F56146" w:rsidP="00D71801">
            <w:pPr>
              <w:spacing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DIP. EDUARDO ZARZOSA SÁNCHEZ</w:t>
            </w:r>
          </w:p>
        </w:tc>
      </w:tr>
    </w:tbl>
    <w:p w:rsidR="00F56146" w:rsidRPr="00AE0CAB" w:rsidRDefault="00F56146" w:rsidP="00D71801">
      <w:pPr>
        <w:spacing w:after="0" w:line="240" w:lineRule="auto"/>
        <w:jc w:val="center"/>
        <w:rPr>
          <w:rFonts w:ascii="Times New Roman" w:hAnsi="Times New Roman" w:cs="Times New Roman"/>
          <w:b/>
          <w:sz w:val="24"/>
          <w:szCs w:val="24"/>
        </w:rPr>
      </w:pPr>
    </w:p>
    <w:p w:rsidR="00DA7B2F" w:rsidRPr="00AE0CAB" w:rsidRDefault="00DA7B2F"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(Fin del documento)</w:t>
      </w:r>
    </w:p>
    <w:p w:rsidR="00DA7B2F" w:rsidRPr="00AE0CAB" w:rsidRDefault="00DA7B2F" w:rsidP="00D71801">
      <w:pPr>
        <w:spacing w:after="0" w:line="240" w:lineRule="auto"/>
        <w:jc w:val="center"/>
        <w:rPr>
          <w:rFonts w:ascii="Times New Roman" w:hAnsi="Times New Roman" w:cs="Times New Roman"/>
          <w:sz w:val="24"/>
          <w:szCs w:val="24"/>
        </w:rPr>
      </w:pPr>
    </w:p>
    <w:p w:rsidR="00B2729A" w:rsidRPr="00AE0CAB" w:rsidRDefault="00DA7B2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PRESIDENTA DIP. MARTHA AZUCENA CAMACHO REYNOSO. </w:t>
      </w:r>
      <w:r w:rsidR="00B2729A" w:rsidRPr="00AE0CAB">
        <w:rPr>
          <w:rFonts w:ascii="Times New Roman" w:hAnsi="Times New Roman" w:cs="Times New Roman"/>
          <w:sz w:val="24"/>
          <w:szCs w:val="24"/>
        </w:rPr>
        <w:t>Quienes estén por la aprobatoria del acta sírvanse levantar la mano ¿En contra? ¿En abstención?</w:t>
      </w:r>
    </w:p>
    <w:p w:rsidR="00B2729A"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SECRETARIO DIP. EDGAR SAMUEL RÍOS MORENO. El acta ha sido aprobada por unanimidad de votos.</w:t>
      </w:r>
    </w:p>
    <w:p w:rsidR="00B2729A"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Gracias Secretario.</w:t>
      </w:r>
    </w:p>
    <w:p w:rsidR="00B2729A"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Para desahogar el punto número 2 y hacer la declaratoria de aprobación correspondiente, pido a la diputada Vicepresidenta Itzel Guadalupe Pérez Correa dé lectura a la minuta proyecto de decreto por el que se reforman los párrafos primero y tercero del artículo 81 y el artículo 86 y los párrafos primero, segundo y cuarto del artículo 86 </w:t>
      </w:r>
      <w:r w:rsidR="00397E78" w:rsidRPr="00AE0CAB">
        <w:rPr>
          <w:rFonts w:ascii="Times New Roman" w:hAnsi="Times New Roman" w:cs="Times New Roman"/>
          <w:sz w:val="24"/>
          <w:szCs w:val="24"/>
        </w:rPr>
        <w:t xml:space="preserve">Bis </w:t>
      </w:r>
      <w:r w:rsidRPr="00AE0CAB">
        <w:rPr>
          <w:rFonts w:ascii="Times New Roman" w:hAnsi="Times New Roman" w:cs="Times New Roman"/>
          <w:sz w:val="24"/>
          <w:szCs w:val="24"/>
        </w:rPr>
        <w:t>de la Constitución Política del Estado Libre y Soberano de México, en materia de seguridad pública y en coordinación interinstitucional, presentada por la Titular del Ejecutivo Estatal, aprobada por esta LXII Legislatura el día 15 de enero del año 2026 y remitida a sus ayuntamientos de los municipios del Estado de México para la emisión de su voto.</w:t>
      </w:r>
    </w:p>
    <w:p w:rsidR="00B2729A" w:rsidRPr="00AE0CAB" w:rsidRDefault="00B2729A"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lastRenderedPageBreak/>
        <w:t>DIP. ITZEL GUADALUPE PÉREZ CORREA. Con su permiso Presidenta.</w:t>
      </w:r>
    </w:p>
    <w:p w:rsidR="00B2729A"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DECRETO NÚMERO</w:t>
      </w:r>
    </w:p>
    <w:p w:rsidR="00B2729A"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LA H. LXII LEGISLATURA </w:t>
      </w:r>
    </w:p>
    <w:p w:rsidR="00B2729A"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DEL ESTADO DE MÉXICO </w:t>
      </w:r>
    </w:p>
    <w:p w:rsidR="00B2729A"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DECRETA:</w:t>
      </w:r>
    </w:p>
    <w:p w:rsidR="005976D0" w:rsidRPr="00AE0CAB" w:rsidRDefault="00B2729A"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La Honorable LXII Legislatura del Congreso del Estado Libre y Soberano de México en uso de las facultades que le confiere el artículo 148 de la Constitución Política del Estado Libre y Soberano de México, en términos de artículo 93 de la Ley Orgánica del Poder Legislativo del Estado Libre y Soberano de México, declara aprobadas las reformas de los párrafos primero y tercero del artículo 81, el artículo 86 y</w:t>
      </w:r>
      <w:r w:rsidR="00E50803" w:rsidRPr="00AE0CAB">
        <w:rPr>
          <w:rFonts w:ascii="Times New Roman" w:hAnsi="Times New Roman" w:cs="Times New Roman"/>
          <w:sz w:val="24"/>
          <w:szCs w:val="24"/>
        </w:rPr>
        <w:t xml:space="preserve"> párrafos </w:t>
      </w:r>
      <w:r w:rsidR="00EC40A6" w:rsidRPr="00AE0CAB">
        <w:rPr>
          <w:rFonts w:ascii="Times New Roman" w:hAnsi="Times New Roman" w:cs="Times New Roman"/>
          <w:sz w:val="24"/>
          <w:szCs w:val="24"/>
        </w:rPr>
        <w:t>I, II y IV del artículo 86 Bis de la Constitución Política del Estado Libre y Soberano de México</w:t>
      </w:r>
      <w:r w:rsidR="005976D0" w:rsidRPr="00AE0CAB">
        <w:rPr>
          <w:rFonts w:ascii="Times New Roman" w:hAnsi="Times New Roman" w:cs="Times New Roman"/>
          <w:sz w:val="24"/>
          <w:szCs w:val="24"/>
        </w:rPr>
        <w:t>.</w:t>
      </w:r>
    </w:p>
    <w:p w:rsidR="00EC40A6" w:rsidRPr="00AE0CAB" w:rsidRDefault="005976D0"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ARTÍCULO ÚNICO</w:t>
      </w:r>
      <w:r w:rsidR="002A7E76" w:rsidRPr="00AE0CAB">
        <w:rPr>
          <w:rFonts w:ascii="Times New Roman" w:hAnsi="Times New Roman" w:cs="Times New Roman"/>
          <w:sz w:val="24"/>
          <w:szCs w:val="24"/>
        </w:rPr>
        <w:t>.</w:t>
      </w:r>
      <w:r w:rsidR="00EC40A6" w:rsidRPr="00AE0CAB">
        <w:rPr>
          <w:rFonts w:ascii="Times New Roman" w:hAnsi="Times New Roman" w:cs="Times New Roman"/>
          <w:sz w:val="24"/>
          <w:szCs w:val="24"/>
        </w:rPr>
        <w:t xml:space="preserve"> </w:t>
      </w:r>
      <w:r w:rsidR="002A7E76" w:rsidRPr="00AE0CAB">
        <w:rPr>
          <w:rFonts w:ascii="Times New Roman" w:hAnsi="Times New Roman" w:cs="Times New Roman"/>
          <w:sz w:val="24"/>
          <w:szCs w:val="24"/>
        </w:rPr>
        <w:t>S</w:t>
      </w:r>
      <w:r w:rsidR="00EC40A6" w:rsidRPr="00AE0CAB">
        <w:rPr>
          <w:rFonts w:ascii="Times New Roman" w:hAnsi="Times New Roman" w:cs="Times New Roman"/>
          <w:sz w:val="24"/>
          <w:szCs w:val="24"/>
        </w:rPr>
        <w:t>e reforman los párrafos I y III del artículo 81, el artículo 86 y los párrafos I y II y IV del artículo 86 Bis de la Constitución Política del Estado Libre y Soberano de México, para quedar como sigue</w:t>
      </w:r>
      <w:r w:rsidR="002A7E76" w:rsidRPr="00AE0CAB">
        <w:rPr>
          <w:rFonts w:ascii="Times New Roman" w:hAnsi="Times New Roman" w:cs="Times New Roman"/>
          <w:sz w:val="24"/>
          <w:szCs w:val="24"/>
        </w:rPr>
        <w:t>:</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Artículo 81. La investigación de los delitos corresponde al Ministerio Público, a la Secretaría del Ramo de Seguridad Pública del Ejecutivo del Estado y a las instituciones policiales estatales municipales, en el ámbito de sus respectivas competencias; las cuales, actuarán bajo la conducción y mando de aquel en el ejercicio en función. Las instituciones policiales del Estado, auxiliará al Ministerio Público en el cumplimiento de sus atribuciones.</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Artículo 86. Del Ministerio Público y las instituciones policiales se coordinarán en de la Ley General del Sistema Nacional de Seguridad Pública, la Ley del Sistema Nacional de Investigación e Inteligencia en Materia de Seguridad Pública, así como de las leyes locales en la materia. </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El Ministerio Público y las instituciones policiales, en el ejercicio de sus funciones, prestarán el auxilio que les soliciten los órganos del poder político y los órganos constitucionales autónomos. </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Artículo 86 Bis. La seguridad pública es una función del Estado a cargo de la Federación, las entidades federativas y los municipios en sus respectivos ámbitos de competencia, cuyos fines son salvaguardar la vida, los derechos, las libertades, la integridad y el patrimonio de las personas, de conformidad con lo dispuesto en el artículo 5 de esta Constitución, que garantiza los deberes reforzados de protección del Estado con las mujeres, adolescentes, niñas y niños, así como contribuir a la generación y preservación del orden público y la paz social, de conformidad con lo previsto en esta Constitución y las leyes en la materia. </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La seguridad pública comprende la prevención, investigación y persecución de los delitos, la supervisión de la prisión preventiva y la ejecución de las sentencias, además de la reinserción social de las personas sentenciadas; así como, la sanción de las infracciones administrativas en términos de la ley en la competencia correspondiente, la actuación de las instituciones de seguridad pública se regirá bajo los principios de autonomía, eficiencia, imparcialidad, legalidad, objetividad, profesionalismo, honradez, responsabilidad, perspectiva de género, el amor a la patria, el federalismo cooperativo, la protección de la persona, su dignidad y el respeto a los derechos humanos reconocidos en la Constitución Política de los Estados Unidos Mexicanos, en los Tratados Internacionales en Materia de Derechos Humanos, en los que el Estado de México sea parte y en esta Constitución.</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En el Ministerio Público y las instituciones policiales deben coordinarse entre sí para cumplir los fines de seguridad pública y conforman los sistemas nacional y estatal de seguridad pública y deberán garantizar el cumplimiento de sus objetivos bajo los principios de igualdad sustantiva y no discriminación, con un enfoque integral que priorice la prevención, investigación </w:t>
      </w:r>
      <w:r w:rsidRPr="00AE0CAB">
        <w:rPr>
          <w:rFonts w:ascii="Times New Roman" w:hAnsi="Times New Roman" w:cs="Times New Roman"/>
          <w:sz w:val="24"/>
          <w:szCs w:val="24"/>
        </w:rPr>
        <w:lastRenderedPageBreak/>
        <w:t xml:space="preserve">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 </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El Sistema Estatal de Seguridad Pública se integrará conforme a las bases establecidas en la Constitución Política de los Estados Unidos Mexicanos y las leyes de la materia. </w:t>
      </w:r>
    </w:p>
    <w:p w:rsidR="00EC40A6" w:rsidRPr="00AE0CAB" w:rsidRDefault="00EC40A6" w:rsidP="00D71801">
      <w:pPr>
        <w:pStyle w:val="Sinespaciado"/>
        <w:jc w:val="center"/>
        <w:rPr>
          <w:rFonts w:ascii="Times New Roman" w:hAnsi="Times New Roman" w:cs="Times New Roman"/>
          <w:sz w:val="24"/>
          <w:szCs w:val="24"/>
        </w:rPr>
      </w:pPr>
      <w:r w:rsidRPr="00AE0CAB">
        <w:rPr>
          <w:rFonts w:ascii="Times New Roman" w:hAnsi="Times New Roman" w:cs="Times New Roman"/>
          <w:sz w:val="24"/>
          <w:szCs w:val="24"/>
        </w:rPr>
        <w:t>TRANSITORIOS</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PRIMERO. Publiques el presente Decreto en el periodo de Periódico Oficial “Gaceta de Gobierno”. </w:t>
      </w:r>
      <w:r w:rsidRPr="00AE0CAB">
        <w:rPr>
          <w:rFonts w:ascii="Times New Roman" w:hAnsi="Times New Roman" w:cs="Times New Roman"/>
          <w:sz w:val="24"/>
          <w:szCs w:val="24"/>
        </w:rPr>
        <w:tab/>
      </w:r>
    </w:p>
    <w:p w:rsidR="00EC40A6" w:rsidRPr="00AE0CAB" w:rsidRDefault="00EC40A6"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SEGUNDO. El presente Decreto entrará en vigor el día siguiente de su publicación en el Periódico Oficial “Gaceta de Gobierno”. </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Lo tendrá entendido la Gobernadora del Estado, haciendo que se publique y se cumpla. </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Dado en el Palacio del Poder Legislativo, en la ciudad de Toluca de Lerdo, capital del Estado de México, a los dieciocho días del mes febrero del dos mil veintiséis.</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Es cuanto, Presidenta. </w:t>
      </w:r>
    </w:p>
    <w:p w:rsidR="00A9153C" w:rsidRPr="00AE0CAB" w:rsidRDefault="00A9153C" w:rsidP="00D71801">
      <w:pPr>
        <w:pStyle w:val="Sinespaciado"/>
        <w:jc w:val="both"/>
        <w:rPr>
          <w:rFonts w:ascii="Times New Roman" w:hAnsi="Times New Roman" w:cs="Times New Roman"/>
          <w:sz w:val="24"/>
          <w:szCs w:val="24"/>
        </w:rPr>
      </w:pPr>
    </w:p>
    <w:p w:rsidR="00A9153C" w:rsidRPr="00AE0CAB" w:rsidRDefault="00A9153C"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(Se inserta documento)</w:t>
      </w:r>
    </w:p>
    <w:p w:rsidR="00A9153C" w:rsidRPr="00AE0CAB" w:rsidRDefault="00A9153C" w:rsidP="00D71801">
      <w:pPr>
        <w:spacing w:after="0" w:line="240" w:lineRule="auto"/>
        <w:jc w:val="center"/>
        <w:rPr>
          <w:rFonts w:ascii="Times New Roman" w:hAnsi="Times New Roman" w:cs="Times New Roman"/>
          <w:sz w:val="24"/>
          <w:szCs w:val="24"/>
        </w:rPr>
      </w:pPr>
    </w:p>
    <w:p w:rsidR="00A9153C" w:rsidRPr="00AE0CAB" w:rsidRDefault="00A9153C" w:rsidP="00D71801">
      <w:pPr>
        <w:spacing w:after="0" w:line="240" w:lineRule="auto"/>
        <w:rPr>
          <w:rFonts w:ascii="Times New Roman" w:eastAsia="MS Mincho" w:hAnsi="Times New Roman" w:cs="Times New Roman"/>
          <w:b/>
          <w:sz w:val="24"/>
          <w:szCs w:val="24"/>
          <w:lang w:val="es-ES_tradnl"/>
        </w:rPr>
      </w:pPr>
      <w:r w:rsidRPr="00AE0CAB">
        <w:rPr>
          <w:rFonts w:ascii="Times New Roman" w:eastAsia="MS Mincho" w:hAnsi="Times New Roman" w:cs="Times New Roman"/>
          <w:b/>
          <w:sz w:val="24"/>
          <w:szCs w:val="24"/>
          <w:lang w:val="es-ES_tradnl"/>
        </w:rPr>
        <w:t xml:space="preserve">DECRETO NÚMERO </w:t>
      </w:r>
    </w:p>
    <w:p w:rsidR="00A9153C" w:rsidRPr="00AE0CAB" w:rsidRDefault="00A9153C" w:rsidP="00D71801">
      <w:pPr>
        <w:spacing w:after="0" w:line="240" w:lineRule="auto"/>
        <w:rPr>
          <w:rFonts w:ascii="Times New Roman" w:eastAsia="MS Mincho" w:hAnsi="Times New Roman" w:cs="Times New Roman"/>
          <w:b/>
          <w:sz w:val="24"/>
          <w:szCs w:val="24"/>
          <w:lang w:val="es-ES_tradnl"/>
        </w:rPr>
      </w:pPr>
      <w:r w:rsidRPr="00AE0CAB">
        <w:rPr>
          <w:rFonts w:ascii="Times New Roman" w:eastAsia="MS Mincho" w:hAnsi="Times New Roman" w:cs="Times New Roman"/>
          <w:b/>
          <w:sz w:val="24"/>
          <w:szCs w:val="24"/>
          <w:lang w:val="es-ES_tradnl"/>
        </w:rPr>
        <w:t xml:space="preserve">LA H. “LXII” LEGISLATURA </w:t>
      </w:r>
    </w:p>
    <w:p w:rsidR="00A9153C" w:rsidRPr="00AE0CAB" w:rsidRDefault="00A9153C" w:rsidP="00D71801">
      <w:pPr>
        <w:spacing w:after="0" w:line="240" w:lineRule="auto"/>
        <w:rPr>
          <w:rFonts w:ascii="Times New Roman" w:eastAsia="MS Mincho" w:hAnsi="Times New Roman" w:cs="Times New Roman"/>
          <w:b/>
          <w:sz w:val="24"/>
          <w:szCs w:val="24"/>
          <w:lang w:val="es-ES_tradnl"/>
        </w:rPr>
      </w:pPr>
      <w:r w:rsidRPr="00AE0CAB">
        <w:rPr>
          <w:rFonts w:ascii="Times New Roman" w:eastAsia="MS Mincho" w:hAnsi="Times New Roman" w:cs="Times New Roman"/>
          <w:b/>
          <w:sz w:val="24"/>
          <w:szCs w:val="24"/>
          <w:lang w:val="es-ES_tradnl"/>
        </w:rPr>
        <w:t xml:space="preserve">DEL ESTADO DE MÉXICO </w:t>
      </w:r>
    </w:p>
    <w:p w:rsidR="00A9153C" w:rsidRPr="00AE0CAB" w:rsidRDefault="00A9153C" w:rsidP="00D71801">
      <w:pPr>
        <w:spacing w:after="0" w:line="240" w:lineRule="auto"/>
        <w:rPr>
          <w:rFonts w:ascii="Times New Roman" w:eastAsia="MS Mincho" w:hAnsi="Times New Roman" w:cs="Times New Roman"/>
          <w:b/>
          <w:sz w:val="24"/>
          <w:szCs w:val="24"/>
          <w:lang w:val="es-ES_tradnl"/>
        </w:rPr>
      </w:pPr>
      <w:r w:rsidRPr="00AE0CAB">
        <w:rPr>
          <w:rFonts w:ascii="Times New Roman" w:eastAsia="MS Mincho" w:hAnsi="Times New Roman" w:cs="Times New Roman"/>
          <w:b/>
          <w:sz w:val="24"/>
          <w:szCs w:val="24"/>
          <w:lang w:val="es-ES_tradnl"/>
        </w:rPr>
        <w:t>DECRETA:</w:t>
      </w:r>
    </w:p>
    <w:p w:rsidR="00A9153C" w:rsidRPr="00AE0CAB" w:rsidRDefault="00A9153C" w:rsidP="00D71801">
      <w:pPr>
        <w:spacing w:after="0" w:line="240" w:lineRule="auto"/>
        <w:rPr>
          <w:rFonts w:ascii="Times New Roman" w:eastAsia="MS Mincho" w:hAnsi="Times New Roman" w:cs="Times New Roman"/>
          <w:b/>
          <w:sz w:val="24"/>
          <w:szCs w:val="24"/>
          <w:lang w:val="es-ES_tradnl"/>
        </w:rPr>
      </w:pPr>
    </w:p>
    <w:p w:rsidR="00A9153C" w:rsidRPr="00AE0CAB" w:rsidRDefault="00A9153C" w:rsidP="00D71801">
      <w:pPr>
        <w:shd w:val="clear" w:color="auto" w:fill="FFFFFF"/>
        <w:spacing w:after="0" w:line="240" w:lineRule="auto"/>
        <w:jc w:val="both"/>
        <w:rPr>
          <w:rFonts w:ascii="Times New Roman" w:eastAsia="Times New Roman" w:hAnsi="Times New Roman" w:cs="Times New Roman"/>
          <w:b/>
          <w:sz w:val="24"/>
          <w:szCs w:val="24"/>
          <w:lang w:eastAsia="es-MX"/>
        </w:rPr>
      </w:pPr>
      <w:r w:rsidRPr="00AE0CAB">
        <w:rPr>
          <w:rFonts w:ascii="Times New Roman" w:eastAsia="Times New Roman" w:hAnsi="Times New Roman" w:cs="Times New Roman"/>
          <w:b/>
          <w:sz w:val="24"/>
          <w:szCs w:val="24"/>
          <w:lang w:eastAsia="es-MX"/>
        </w:rPr>
        <w:t xml:space="preserve">LA </w:t>
      </w:r>
      <w:r w:rsidRPr="00AE0CAB">
        <w:rPr>
          <w:rFonts w:ascii="Times New Roman" w:eastAsia="Batang" w:hAnsi="Times New Roman" w:cs="Times New Roman"/>
          <w:b/>
          <w:bCs/>
          <w:sz w:val="24"/>
          <w:szCs w:val="24"/>
          <w:lang w:eastAsia="es-MX"/>
        </w:rPr>
        <w:t xml:space="preserve">H. “LXII” LEGISLATURA </w:t>
      </w:r>
      <w:r w:rsidRPr="00AE0CAB">
        <w:rPr>
          <w:rFonts w:ascii="Times New Roman" w:eastAsia="Times New Roman" w:hAnsi="Times New Roman" w:cs="Times New Roman"/>
          <w:b/>
          <w:bCs/>
          <w:sz w:val="24"/>
          <w:szCs w:val="24"/>
          <w:lang w:eastAsia="es-MX"/>
        </w:rPr>
        <w:t>DEL CONGRESO DEL ESTADO LIBRE Y SOBERANO DE MÉXICO</w:t>
      </w:r>
      <w:r w:rsidRPr="00AE0CAB">
        <w:rPr>
          <w:rFonts w:ascii="Times New Roman" w:eastAsia="Batang" w:hAnsi="Times New Roman" w:cs="Times New Roman"/>
          <w:b/>
          <w:bCs/>
          <w:sz w:val="24"/>
          <w:szCs w:val="24"/>
          <w:lang w:eastAsia="es-MX"/>
        </w:rPr>
        <w:t xml:space="preserve">, EN USO DE LAS FACULTADES QUE LE CONFIERE EL ARTÍCULO 148 DE LA CONSTITUCIÓN POLÍTICA DEL ESTADO LIBRE Y SOBERANO DE MÉXICO, EN TÉRMINOS DEL ARTÍCULO 93 DE LA LEY ORGÁNICA DEL PODER LEGISLATIVO DEL ESTADO LIBRE Y SOBERANO DE MÉXICO, DECLARA APROBADAS LAS </w:t>
      </w:r>
      <w:r w:rsidRPr="00AE0CAB">
        <w:rPr>
          <w:rFonts w:ascii="Times New Roman" w:eastAsia="Times New Roman" w:hAnsi="Times New Roman" w:cs="Times New Roman"/>
          <w:b/>
          <w:bCs/>
          <w:sz w:val="24"/>
          <w:szCs w:val="24"/>
          <w:lang w:eastAsia="es-MX"/>
        </w:rPr>
        <w:t>REFORMAS DE LOS PÁRRAFOS PRIMERO Y TERCERO DEL ARTÍCULO 81, EL ARTÍCULO 86, Y LOS PÁRRAFOS PRIMERO, SEGUNDO Y CUARTO DEL ARTÍCULO 86 BIS DE LA CONSTITUCIÓN POLÍTICA DEL ESTADO LIBRE Y SOBERANO DE MÉXICO</w:t>
      </w:r>
      <w:r w:rsidRPr="00AE0CAB">
        <w:rPr>
          <w:rFonts w:ascii="Times New Roman" w:eastAsia="Times New Roman" w:hAnsi="Times New Roman" w:cs="Times New Roman"/>
          <w:b/>
          <w:sz w:val="24"/>
          <w:szCs w:val="24"/>
          <w:lang w:eastAsia="es-MX"/>
        </w:rPr>
        <w:t>.</w:t>
      </w:r>
    </w:p>
    <w:p w:rsidR="00A9153C" w:rsidRPr="00AE0CAB" w:rsidRDefault="00A9153C" w:rsidP="00D71801">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A9153C" w:rsidRPr="00AE0CAB" w:rsidRDefault="00A9153C" w:rsidP="00D71801">
      <w:pPr>
        <w:spacing w:after="0" w:line="240" w:lineRule="auto"/>
        <w:jc w:val="both"/>
        <w:rPr>
          <w:rFonts w:ascii="Times New Roman" w:eastAsia="MS Mincho" w:hAnsi="Times New Roman" w:cs="Times New Roman"/>
          <w:bCs/>
          <w:sz w:val="24"/>
          <w:szCs w:val="24"/>
          <w:lang w:val="es-ES_tradnl"/>
        </w:rPr>
      </w:pPr>
      <w:r w:rsidRPr="00AE0CAB">
        <w:rPr>
          <w:rFonts w:ascii="Times New Roman" w:eastAsia="MS Mincho" w:hAnsi="Times New Roman" w:cs="Times New Roman"/>
          <w:b/>
          <w:sz w:val="24"/>
          <w:szCs w:val="24"/>
          <w:lang w:val="es-ES_tradnl"/>
        </w:rPr>
        <w:t>ARTÍCULO ÚNICO.</w:t>
      </w:r>
      <w:r w:rsidRPr="00AE0CAB">
        <w:rPr>
          <w:rFonts w:ascii="Times New Roman" w:eastAsia="MS Mincho" w:hAnsi="Times New Roman" w:cs="Times New Roman"/>
          <w:bCs/>
          <w:sz w:val="24"/>
          <w:szCs w:val="24"/>
          <w:lang w:val="es-ES_tradnl"/>
        </w:rPr>
        <w:t xml:space="preserve"> Se reforman los párrafos primero y tercero del artículo 81, el artículo 86, y los párrafos primero, segundo y cuarto del artículo 86 Bis de la Constitución Política del Estado Libre y Soberano de México, para quedar como sigue:</w:t>
      </w:r>
    </w:p>
    <w:p w:rsidR="00A9153C" w:rsidRPr="00AE0CAB" w:rsidRDefault="00A9153C" w:rsidP="00D71801">
      <w:pPr>
        <w:spacing w:after="0" w:line="240" w:lineRule="auto"/>
        <w:rPr>
          <w:rFonts w:ascii="Times New Roman" w:eastAsia="MS Mincho" w:hAnsi="Times New Roman" w:cs="Times New Roman"/>
          <w:b/>
          <w:sz w:val="24"/>
          <w:szCs w:val="24"/>
        </w:rPr>
      </w:pPr>
    </w:p>
    <w:p w:rsidR="00A9153C" w:rsidRPr="00AE0CAB" w:rsidRDefault="00A9153C" w:rsidP="00D71801">
      <w:pPr>
        <w:spacing w:after="0" w:line="240" w:lineRule="auto"/>
        <w:jc w:val="both"/>
        <w:rPr>
          <w:rFonts w:ascii="Times New Roman" w:eastAsia="MS Mincho" w:hAnsi="Times New Roman" w:cs="Times New Roman"/>
          <w:b/>
          <w:strike/>
          <w:sz w:val="24"/>
          <w:szCs w:val="24"/>
          <w:lang w:val="es-ES_tradnl"/>
        </w:rPr>
      </w:pPr>
      <w:r w:rsidRPr="00AE0CAB">
        <w:rPr>
          <w:rFonts w:ascii="Times New Roman" w:eastAsia="MS Mincho" w:hAnsi="Times New Roman" w:cs="Times New Roman"/>
          <w:b/>
          <w:bCs/>
          <w:sz w:val="24"/>
          <w:szCs w:val="24"/>
          <w:lang w:val="es-ES_tradnl"/>
        </w:rPr>
        <w:t xml:space="preserve">Artículo 81.- </w:t>
      </w:r>
      <w:r w:rsidRPr="00AE0CAB">
        <w:rPr>
          <w:rFonts w:ascii="Times New Roman" w:eastAsia="MS Mincho" w:hAnsi="Times New Roman" w:cs="Times New Roman"/>
          <w:sz w:val="24"/>
          <w:szCs w:val="24"/>
          <w:lang w:val="es-ES_tradnl"/>
        </w:rPr>
        <w:t xml:space="preserve">La investigación de los delitos corresponde al Ministerio Público, </w:t>
      </w:r>
      <w:r w:rsidRPr="00AE0CAB">
        <w:rPr>
          <w:rFonts w:ascii="Times New Roman" w:eastAsia="MS Mincho" w:hAnsi="Times New Roman" w:cs="Times New Roman"/>
          <w:b/>
          <w:bCs/>
          <w:sz w:val="24"/>
          <w:szCs w:val="24"/>
          <w:lang w:val="es-ES_tradnl"/>
        </w:rPr>
        <w:t>a la secretaría del ramo</w:t>
      </w:r>
      <w:r w:rsidRPr="00AE0CAB">
        <w:rPr>
          <w:rFonts w:ascii="Times New Roman" w:eastAsia="MS Mincho" w:hAnsi="Times New Roman" w:cs="Times New Roman"/>
          <w:sz w:val="24"/>
          <w:szCs w:val="24"/>
          <w:lang w:val="es-ES_tradnl"/>
        </w:rPr>
        <w:t xml:space="preserve"> </w:t>
      </w:r>
      <w:r w:rsidRPr="00AE0CAB">
        <w:rPr>
          <w:rFonts w:ascii="Times New Roman" w:eastAsia="MS Mincho" w:hAnsi="Times New Roman" w:cs="Times New Roman"/>
          <w:b/>
          <w:bCs/>
          <w:sz w:val="24"/>
          <w:szCs w:val="24"/>
          <w:lang w:val="es-ES_tradnl"/>
        </w:rPr>
        <w:t>de seguridad pública del Ejecutivo del Estado y</w:t>
      </w:r>
      <w:r w:rsidRPr="00AE0CAB">
        <w:rPr>
          <w:rFonts w:ascii="Times New Roman" w:eastAsia="MS Mincho" w:hAnsi="Times New Roman" w:cs="Times New Roman"/>
          <w:sz w:val="24"/>
          <w:szCs w:val="24"/>
          <w:lang w:val="es-ES_tradnl"/>
        </w:rPr>
        <w:t xml:space="preserve"> a las </w:t>
      </w:r>
      <w:r w:rsidRPr="00AE0CAB">
        <w:rPr>
          <w:rFonts w:ascii="Times New Roman" w:eastAsia="MS Mincho" w:hAnsi="Times New Roman" w:cs="Times New Roman"/>
          <w:b/>
          <w:bCs/>
          <w:sz w:val="24"/>
          <w:szCs w:val="24"/>
          <w:lang w:val="es-ES_tradnl"/>
        </w:rPr>
        <w:t>instituciones policiales estatales y municipales, en el ámbito de sus respectivas competencias</w:t>
      </w:r>
      <w:r w:rsidRPr="00AE0CAB">
        <w:rPr>
          <w:rFonts w:ascii="Times New Roman" w:eastAsia="MS Mincho" w:hAnsi="Times New Roman" w:cs="Times New Roman"/>
          <w:sz w:val="24"/>
          <w:szCs w:val="24"/>
          <w:lang w:val="es-ES_tradnl"/>
        </w:rPr>
        <w:t>, las cuales actuarán bajo la conducción y mando de aquél en el ejercicio de esta función.</w:t>
      </w: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b/>
          <w:sz w:val="24"/>
          <w:szCs w:val="24"/>
          <w:lang w:val="es-ES_tradnl"/>
        </w:rPr>
      </w:pPr>
      <w:r w:rsidRPr="00AE0CAB">
        <w:rPr>
          <w:rFonts w:ascii="Times New Roman" w:eastAsia="MS Mincho" w:hAnsi="Times New Roman" w:cs="Times New Roman"/>
          <w:sz w:val="24"/>
          <w:szCs w:val="24"/>
          <w:lang w:val="es-ES_tradnl"/>
        </w:rPr>
        <w:t xml:space="preserve">… </w:t>
      </w: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b/>
          <w:sz w:val="24"/>
          <w:szCs w:val="24"/>
          <w:lang w:val="es-ES_tradnl"/>
        </w:rPr>
      </w:pPr>
      <w:r w:rsidRPr="00AE0CAB">
        <w:rPr>
          <w:rFonts w:ascii="Times New Roman" w:eastAsia="MS Mincho" w:hAnsi="Times New Roman" w:cs="Times New Roman"/>
          <w:sz w:val="24"/>
          <w:szCs w:val="24"/>
          <w:lang w:val="es-ES_tradnl"/>
        </w:rPr>
        <w:t xml:space="preserve">Las </w:t>
      </w:r>
      <w:r w:rsidRPr="00AE0CAB">
        <w:rPr>
          <w:rFonts w:ascii="Times New Roman" w:eastAsia="MS Mincho" w:hAnsi="Times New Roman" w:cs="Times New Roman"/>
          <w:b/>
          <w:bCs/>
          <w:sz w:val="24"/>
          <w:szCs w:val="24"/>
          <w:lang w:val="es-ES_tradnl"/>
        </w:rPr>
        <w:t>instituciones policiales</w:t>
      </w:r>
      <w:r w:rsidRPr="00AE0CAB">
        <w:rPr>
          <w:rFonts w:ascii="Times New Roman" w:eastAsia="MS Mincho" w:hAnsi="Times New Roman" w:cs="Times New Roman"/>
          <w:sz w:val="24"/>
          <w:szCs w:val="24"/>
          <w:lang w:val="es-ES_tradnl"/>
        </w:rPr>
        <w:t xml:space="preserve"> del Estado auxiliarán al Ministerio Público en el cumplimiento de sus atribuciones. </w:t>
      </w: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b/>
          <w:sz w:val="24"/>
          <w:szCs w:val="24"/>
          <w:lang w:val="es-ES_tradnl"/>
        </w:rPr>
      </w:pPr>
      <w:r w:rsidRPr="00AE0CAB">
        <w:rPr>
          <w:rFonts w:ascii="Times New Roman" w:eastAsia="MS Mincho" w:hAnsi="Times New Roman" w:cs="Times New Roman"/>
          <w:sz w:val="24"/>
          <w:szCs w:val="24"/>
          <w:lang w:val="es-ES_tradnl"/>
        </w:rPr>
        <w:t>…</w:t>
      </w: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b/>
          <w:sz w:val="24"/>
          <w:szCs w:val="24"/>
          <w:lang w:val="es-ES_tradnl"/>
        </w:rPr>
      </w:pPr>
      <w:r w:rsidRPr="00AE0CAB">
        <w:rPr>
          <w:rFonts w:ascii="Times New Roman" w:eastAsia="MS Mincho" w:hAnsi="Times New Roman" w:cs="Times New Roman"/>
          <w:sz w:val="24"/>
          <w:szCs w:val="24"/>
          <w:lang w:val="es-ES_tradnl"/>
        </w:rPr>
        <w:lastRenderedPageBreak/>
        <w:t>…</w:t>
      </w: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b/>
          <w:sz w:val="24"/>
          <w:szCs w:val="24"/>
          <w:lang w:val="es-ES_tradnl"/>
        </w:rPr>
      </w:pPr>
      <w:r w:rsidRPr="00AE0CAB">
        <w:rPr>
          <w:rFonts w:ascii="Times New Roman" w:eastAsia="MS Mincho" w:hAnsi="Times New Roman" w:cs="Times New Roman"/>
          <w:sz w:val="24"/>
          <w:szCs w:val="24"/>
          <w:lang w:val="es-ES_tradnl"/>
        </w:rPr>
        <w:t>…</w:t>
      </w:r>
    </w:p>
    <w:p w:rsidR="00A9153C" w:rsidRPr="00AE0CAB" w:rsidRDefault="00A9153C" w:rsidP="00D71801">
      <w:pPr>
        <w:spacing w:after="0" w:line="240" w:lineRule="auto"/>
        <w:jc w:val="both"/>
        <w:rPr>
          <w:rFonts w:ascii="Times New Roman" w:eastAsia="MS Mincho" w:hAnsi="Times New Roman" w:cs="Times New Roman"/>
          <w:b/>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r w:rsidRPr="00AE0CAB">
        <w:rPr>
          <w:rFonts w:ascii="Times New Roman" w:eastAsia="MS Mincho" w:hAnsi="Times New Roman" w:cs="Times New Roman"/>
          <w:b/>
          <w:sz w:val="24"/>
          <w:szCs w:val="24"/>
          <w:lang w:val="es-ES_tradnl"/>
        </w:rPr>
        <w:t xml:space="preserve">Artículo 86.- </w:t>
      </w:r>
      <w:r w:rsidRPr="00AE0CAB">
        <w:rPr>
          <w:rFonts w:ascii="Times New Roman" w:eastAsia="MS Mincho" w:hAnsi="Times New Roman" w:cs="Times New Roman"/>
          <w:sz w:val="24"/>
          <w:szCs w:val="24"/>
          <w:lang w:val="es-ES_tradnl"/>
        </w:rPr>
        <w:t xml:space="preserve">El Ministerio Público y las </w:t>
      </w:r>
      <w:r w:rsidRPr="00AE0CAB">
        <w:rPr>
          <w:rFonts w:ascii="Times New Roman" w:eastAsia="MS Mincho" w:hAnsi="Times New Roman" w:cs="Times New Roman"/>
          <w:b/>
          <w:bCs/>
          <w:sz w:val="24"/>
          <w:szCs w:val="24"/>
          <w:lang w:val="es-ES_tradnl"/>
        </w:rPr>
        <w:t>instituciones policiales</w:t>
      </w:r>
      <w:r w:rsidRPr="00AE0CAB">
        <w:rPr>
          <w:rFonts w:ascii="Times New Roman" w:eastAsia="MS Mincho" w:hAnsi="Times New Roman" w:cs="Times New Roman"/>
          <w:sz w:val="24"/>
          <w:szCs w:val="24"/>
          <w:lang w:val="es-ES_tradnl"/>
        </w:rPr>
        <w:t xml:space="preserve"> se coordinarán en términos de la Ley General del Sistema Nacional de Seguridad Pública, </w:t>
      </w:r>
      <w:r w:rsidRPr="00AE0CAB">
        <w:rPr>
          <w:rFonts w:ascii="Times New Roman" w:eastAsia="MS Mincho" w:hAnsi="Times New Roman" w:cs="Times New Roman"/>
          <w:b/>
          <w:sz w:val="24"/>
          <w:szCs w:val="24"/>
          <w:lang w:val="es-ES_tradnl"/>
        </w:rPr>
        <w:t xml:space="preserve">la Ley del Sistema Nacional de Investigación e Inteligencia en Materia de Seguridad Pública, </w:t>
      </w:r>
      <w:r w:rsidRPr="00AE0CAB">
        <w:rPr>
          <w:rFonts w:ascii="Times New Roman" w:eastAsia="MS Mincho" w:hAnsi="Times New Roman" w:cs="Times New Roman"/>
          <w:sz w:val="24"/>
          <w:szCs w:val="24"/>
          <w:lang w:val="es-ES_tradnl"/>
        </w:rPr>
        <w:t xml:space="preserve">así como de </w:t>
      </w:r>
      <w:r w:rsidRPr="00AE0CAB">
        <w:rPr>
          <w:rFonts w:ascii="Times New Roman" w:eastAsia="MS Mincho" w:hAnsi="Times New Roman" w:cs="Times New Roman"/>
          <w:b/>
          <w:sz w:val="24"/>
          <w:szCs w:val="24"/>
          <w:lang w:val="es-ES_tradnl"/>
        </w:rPr>
        <w:t>las Leyes locales</w:t>
      </w:r>
      <w:r w:rsidRPr="00AE0CAB">
        <w:rPr>
          <w:rFonts w:ascii="Times New Roman" w:eastAsia="MS Mincho" w:hAnsi="Times New Roman" w:cs="Times New Roman"/>
          <w:sz w:val="24"/>
          <w:szCs w:val="24"/>
          <w:lang w:val="es-ES_tradnl"/>
        </w:rPr>
        <w:t xml:space="preserve"> en la materia. </w:t>
      </w: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r w:rsidRPr="00AE0CAB">
        <w:rPr>
          <w:rFonts w:ascii="Times New Roman" w:eastAsia="MS Mincho" w:hAnsi="Times New Roman" w:cs="Times New Roman"/>
          <w:sz w:val="24"/>
          <w:szCs w:val="24"/>
          <w:lang w:val="es-ES_tradnl"/>
        </w:rPr>
        <w:t xml:space="preserve">El Ministerio Público y las </w:t>
      </w:r>
      <w:r w:rsidRPr="00AE0CAB">
        <w:rPr>
          <w:rFonts w:ascii="Times New Roman" w:eastAsia="MS Mincho" w:hAnsi="Times New Roman" w:cs="Times New Roman"/>
          <w:b/>
          <w:bCs/>
          <w:sz w:val="24"/>
          <w:szCs w:val="24"/>
          <w:lang w:val="es-ES_tradnl"/>
        </w:rPr>
        <w:t>instituciones policiales</w:t>
      </w:r>
      <w:r w:rsidRPr="00AE0CAB">
        <w:rPr>
          <w:rFonts w:ascii="Times New Roman" w:eastAsia="MS Mincho" w:hAnsi="Times New Roman" w:cs="Times New Roman"/>
          <w:sz w:val="24"/>
          <w:szCs w:val="24"/>
          <w:lang w:val="es-ES_tradnl"/>
        </w:rPr>
        <w:t>, en el ejercicio de sus funciones, prestarán el auxilio que les soliciten los órganos del poder público y los órganos constitucionales autónomos.</w:t>
      </w:r>
    </w:p>
    <w:p w:rsidR="00A9153C" w:rsidRPr="00AE0CAB" w:rsidRDefault="00A9153C" w:rsidP="00D71801">
      <w:pPr>
        <w:spacing w:after="0" w:line="240" w:lineRule="auto"/>
        <w:jc w:val="both"/>
        <w:rPr>
          <w:rFonts w:ascii="Times New Roman" w:eastAsia="MS Mincho" w:hAnsi="Times New Roman" w:cs="Times New Roman"/>
          <w:b/>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b/>
          <w:sz w:val="24"/>
          <w:szCs w:val="24"/>
          <w:lang w:val="es-ES_tradnl"/>
        </w:rPr>
      </w:pPr>
      <w:r w:rsidRPr="00AE0CAB">
        <w:rPr>
          <w:rFonts w:ascii="Times New Roman" w:eastAsia="MS Mincho" w:hAnsi="Times New Roman" w:cs="Times New Roman"/>
          <w:b/>
          <w:sz w:val="24"/>
          <w:szCs w:val="24"/>
          <w:lang w:val="es-ES_tradnl"/>
        </w:rPr>
        <w:t xml:space="preserve">Artículo 86 Bis.- </w:t>
      </w:r>
      <w:r w:rsidRPr="00AE0CAB">
        <w:rPr>
          <w:rFonts w:ascii="Times New Roman" w:eastAsia="MS Mincho" w:hAnsi="Times New Roman" w:cs="Times New Roman"/>
          <w:sz w:val="24"/>
          <w:szCs w:val="24"/>
          <w:lang w:val="es-ES_tradnl"/>
        </w:rPr>
        <w:t xml:space="preserve">La Seguridad Pública es una función del Estado a cargo de la Federación, las entidades federativas y los municipios, en sus respectivos ámbitos de competencia, cuyos fines son salvaguardar la vida, </w:t>
      </w:r>
      <w:r w:rsidRPr="00AE0CAB">
        <w:rPr>
          <w:rFonts w:ascii="Times New Roman" w:eastAsia="MS Mincho" w:hAnsi="Times New Roman" w:cs="Times New Roman"/>
          <w:b/>
          <w:sz w:val="24"/>
          <w:szCs w:val="24"/>
          <w:lang w:val="es-ES_tradnl"/>
        </w:rPr>
        <w:t xml:space="preserve">los derechos, </w:t>
      </w:r>
      <w:r w:rsidRPr="00AE0CAB">
        <w:rPr>
          <w:rFonts w:ascii="Times New Roman" w:eastAsia="MS Mincho" w:hAnsi="Times New Roman" w:cs="Times New Roman"/>
          <w:sz w:val="24"/>
          <w:szCs w:val="24"/>
          <w:lang w:val="es-ES_tradnl"/>
        </w:rPr>
        <w:t xml:space="preserve">las libertades, la integridad y el patrimonio de las personas, de conformidad con lo dispuesto en el artículo 5o. de esta Constitución que garantiza los deberes reforzados de protección del Estado con las mujeres, adolescentes, niñas y niños; así como contribuir a la generación y preservación del orden público y la paz social, </w:t>
      </w:r>
      <w:r w:rsidRPr="00AE0CAB">
        <w:rPr>
          <w:rFonts w:ascii="Times New Roman" w:eastAsia="MS Mincho" w:hAnsi="Times New Roman" w:cs="Times New Roman"/>
          <w:b/>
          <w:bCs/>
          <w:sz w:val="24"/>
          <w:szCs w:val="24"/>
          <w:lang w:val="es-ES_tradnl"/>
        </w:rPr>
        <w:t>de conformidad con lo previsto en esta Constitución y las leyes en la materia.</w:t>
      </w: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r w:rsidRPr="00AE0CAB">
        <w:rPr>
          <w:rFonts w:ascii="Times New Roman" w:eastAsia="MS Mincho" w:hAnsi="Times New Roman" w:cs="Times New Roman"/>
          <w:sz w:val="24"/>
          <w:szCs w:val="24"/>
          <w:lang w:val="es-ES_tradnl"/>
        </w:rPr>
        <w:t>La seguridad pública comprende la prevención, investigación y persecución de los delitos,</w:t>
      </w:r>
      <w:r w:rsidRPr="00AE0CAB">
        <w:rPr>
          <w:rFonts w:ascii="Times New Roman" w:eastAsia="MS Mincho" w:hAnsi="Times New Roman" w:cs="Times New Roman"/>
          <w:b/>
          <w:sz w:val="24"/>
          <w:szCs w:val="24"/>
          <w:lang w:val="es-ES_tradnl"/>
        </w:rPr>
        <w:t xml:space="preserve"> la supervisión de la prisión preventiva y ejecución de sentencias, además, de la reinserción social de las personas sentenciadas</w:t>
      </w:r>
      <w:r w:rsidRPr="00AE0CAB">
        <w:rPr>
          <w:rFonts w:ascii="Times New Roman" w:eastAsia="MS Mincho" w:hAnsi="Times New Roman" w:cs="Times New Roman"/>
          <w:sz w:val="24"/>
          <w:szCs w:val="24"/>
          <w:lang w:val="es-ES_tradnl"/>
        </w:rPr>
        <w:t xml:space="preserve">, así como la sanción de las infracciones administrativas, en términos de ley, en la competencia correspondiente. La actuación de las instituciones de seguridad pública se regirá bajo los principios de autonomía, eficiencia, imparcialidad, legalidad, objetividad, profesionalismo, honradez, responsabilidad, perspectiva de género, </w:t>
      </w:r>
      <w:r w:rsidRPr="00AE0CAB">
        <w:rPr>
          <w:rFonts w:ascii="Times New Roman" w:eastAsia="MS Mincho" w:hAnsi="Times New Roman" w:cs="Times New Roman"/>
          <w:b/>
          <w:sz w:val="24"/>
          <w:szCs w:val="24"/>
          <w:lang w:val="es-ES_tradnl"/>
        </w:rPr>
        <w:t xml:space="preserve">el amor a la patria, el federalismo cooperativo, la protección de la persona, su dignidad </w:t>
      </w:r>
      <w:r w:rsidRPr="00AE0CAB">
        <w:rPr>
          <w:rFonts w:ascii="Times New Roman" w:eastAsia="MS Mincho" w:hAnsi="Times New Roman" w:cs="Times New Roman"/>
          <w:sz w:val="24"/>
          <w:szCs w:val="24"/>
          <w:lang w:val="es-ES_tradnl"/>
        </w:rPr>
        <w:t>y el respeto a los derechos humanos reconocidos en la Constitución Política de los Estados Unidos Mexicanos, en los tratados internacionales en materia de derechos humanos de los que el Estado Mexicano sea parte y en esta Constitución.</w:t>
      </w: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b/>
          <w:sz w:val="24"/>
          <w:szCs w:val="24"/>
          <w:lang w:val="es-ES_tradnl"/>
        </w:rPr>
      </w:pPr>
      <w:r w:rsidRPr="00AE0CAB">
        <w:rPr>
          <w:rFonts w:ascii="Times New Roman" w:eastAsia="MS Mincho" w:hAnsi="Times New Roman" w:cs="Times New Roman"/>
          <w:sz w:val="24"/>
          <w:szCs w:val="24"/>
          <w:lang w:val="es-ES_tradnl"/>
        </w:rPr>
        <w:t>…</w:t>
      </w: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r w:rsidRPr="00AE0CAB">
        <w:rPr>
          <w:rFonts w:ascii="Times New Roman" w:eastAsia="MS Mincho" w:hAnsi="Times New Roman" w:cs="Times New Roman"/>
          <w:sz w:val="24"/>
          <w:szCs w:val="24"/>
          <w:lang w:val="es-ES_tradnl"/>
        </w:rPr>
        <w:t xml:space="preserve">El Ministerio Público y las instituciones policiales deben coordinarse entre sí para cumplir los fines de la seguridad pública y conformarán los Sistemas Nacional y Estatal de Seguridad Pública, y deberán 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 </w:t>
      </w:r>
      <w:r w:rsidRPr="00AE0CAB">
        <w:rPr>
          <w:rFonts w:ascii="Times New Roman" w:eastAsia="MS Mincho" w:hAnsi="Times New Roman" w:cs="Times New Roman"/>
          <w:b/>
          <w:bCs/>
          <w:sz w:val="24"/>
          <w:szCs w:val="24"/>
          <w:lang w:val="es-ES_tradnl"/>
        </w:rPr>
        <w:t>El Sistema Estatal de Seguridad Pública se integrará conforme a las bases establecidas en la Constitución Política de los Estados Unidos Mexicanos y las leyes de la materia.</w:t>
      </w:r>
    </w:p>
    <w:p w:rsidR="00A9153C" w:rsidRPr="00AE0CAB" w:rsidRDefault="00A9153C" w:rsidP="00D71801">
      <w:pPr>
        <w:spacing w:after="0" w:line="240" w:lineRule="auto"/>
        <w:rPr>
          <w:rFonts w:ascii="Times New Roman" w:eastAsia="MS Mincho" w:hAnsi="Times New Roman" w:cs="Times New Roman"/>
          <w:b/>
          <w:sz w:val="24"/>
          <w:szCs w:val="24"/>
          <w:lang w:val="es-ES_tradnl"/>
        </w:rPr>
      </w:pPr>
    </w:p>
    <w:p w:rsidR="00A9153C" w:rsidRPr="00AE0CAB" w:rsidRDefault="00A9153C" w:rsidP="00D71801">
      <w:pPr>
        <w:spacing w:after="0" w:line="240" w:lineRule="auto"/>
        <w:jc w:val="center"/>
        <w:rPr>
          <w:rFonts w:ascii="Times New Roman" w:eastAsia="MS Mincho" w:hAnsi="Times New Roman" w:cs="Times New Roman"/>
          <w:b/>
          <w:sz w:val="24"/>
          <w:szCs w:val="24"/>
          <w:lang w:val="es-ES_tradnl"/>
        </w:rPr>
      </w:pPr>
      <w:r w:rsidRPr="00AE0CAB">
        <w:rPr>
          <w:rFonts w:ascii="Times New Roman" w:eastAsia="MS Mincho" w:hAnsi="Times New Roman" w:cs="Times New Roman"/>
          <w:b/>
          <w:sz w:val="24"/>
          <w:szCs w:val="24"/>
          <w:lang w:val="es-ES_tradnl"/>
        </w:rPr>
        <w:t>T R A N S I T O R I O S</w:t>
      </w:r>
    </w:p>
    <w:p w:rsidR="00A9153C" w:rsidRPr="00AE0CAB" w:rsidRDefault="00A9153C" w:rsidP="00D71801">
      <w:pPr>
        <w:spacing w:after="0" w:line="240" w:lineRule="auto"/>
        <w:jc w:val="center"/>
        <w:rPr>
          <w:rFonts w:ascii="Times New Roman" w:eastAsia="Montserrat SemiBold" w:hAnsi="Times New Roman" w:cs="Times New Roman"/>
          <w:b/>
          <w:bCs/>
          <w:sz w:val="24"/>
          <w:szCs w:val="24"/>
          <w:lang w:val="es-ES_tradnl"/>
        </w:rPr>
      </w:pPr>
    </w:p>
    <w:p w:rsidR="00A9153C" w:rsidRPr="00AE0CAB" w:rsidRDefault="00A9153C" w:rsidP="00D71801">
      <w:pPr>
        <w:spacing w:after="0" w:line="240" w:lineRule="auto"/>
        <w:jc w:val="both"/>
        <w:rPr>
          <w:rFonts w:ascii="Times New Roman" w:eastAsia="Montserrat SemiBold" w:hAnsi="Times New Roman" w:cs="Times New Roman"/>
          <w:bCs/>
          <w:sz w:val="24"/>
          <w:szCs w:val="24"/>
          <w:lang w:val="es-ES_tradnl"/>
        </w:rPr>
      </w:pPr>
      <w:r w:rsidRPr="00AE0CAB">
        <w:rPr>
          <w:rFonts w:ascii="Times New Roman" w:eastAsia="Montserrat SemiBold" w:hAnsi="Times New Roman" w:cs="Times New Roman"/>
          <w:b/>
          <w:bCs/>
          <w:sz w:val="24"/>
          <w:szCs w:val="24"/>
          <w:lang w:val="es-ES_tradnl"/>
        </w:rPr>
        <w:t xml:space="preserve">PRIMERO. </w:t>
      </w:r>
      <w:r w:rsidRPr="00AE0CAB">
        <w:rPr>
          <w:rFonts w:ascii="Times New Roman" w:eastAsia="Montserrat SemiBold" w:hAnsi="Times New Roman" w:cs="Times New Roman"/>
          <w:bCs/>
          <w:sz w:val="24"/>
          <w:szCs w:val="24"/>
          <w:lang w:val="es-ES_tradnl"/>
        </w:rPr>
        <w:t>Publíquese el presente Decreto en el Periódico Oficial “Gaceta del Gobierno”.</w:t>
      </w:r>
    </w:p>
    <w:p w:rsidR="00A9153C" w:rsidRPr="00AE0CAB" w:rsidRDefault="00A9153C" w:rsidP="00D71801">
      <w:pPr>
        <w:spacing w:after="0" w:line="240" w:lineRule="auto"/>
        <w:jc w:val="both"/>
        <w:rPr>
          <w:rFonts w:ascii="Times New Roman" w:eastAsia="Montserrat SemiBold" w:hAnsi="Times New Roman" w:cs="Times New Roman"/>
          <w:b/>
          <w:bCs/>
          <w:sz w:val="24"/>
          <w:szCs w:val="24"/>
          <w:lang w:val="es-ES_tradnl"/>
        </w:rPr>
      </w:pPr>
    </w:p>
    <w:p w:rsidR="00A9153C" w:rsidRPr="00AE0CAB" w:rsidRDefault="00A9153C" w:rsidP="00D71801">
      <w:pPr>
        <w:spacing w:after="0" w:line="240" w:lineRule="auto"/>
        <w:jc w:val="both"/>
        <w:rPr>
          <w:rFonts w:ascii="Times New Roman" w:eastAsia="Montserrat SemiBold" w:hAnsi="Times New Roman" w:cs="Times New Roman"/>
          <w:bCs/>
          <w:sz w:val="24"/>
          <w:szCs w:val="24"/>
          <w:lang w:val="es-ES_tradnl"/>
        </w:rPr>
      </w:pPr>
      <w:r w:rsidRPr="00AE0CAB">
        <w:rPr>
          <w:rFonts w:ascii="Times New Roman" w:eastAsia="Montserrat SemiBold" w:hAnsi="Times New Roman" w:cs="Times New Roman"/>
          <w:b/>
          <w:bCs/>
          <w:sz w:val="24"/>
          <w:szCs w:val="24"/>
          <w:lang w:val="es-ES_tradnl"/>
        </w:rPr>
        <w:t xml:space="preserve">SEGUNDO. </w:t>
      </w:r>
      <w:r w:rsidRPr="00AE0CAB">
        <w:rPr>
          <w:rFonts w:ascii="Times New Roman" w:eastAsia="Montserrat SemiBold" w:hAnsi="Times New Roman" w:cs="Times New Roman"/>
          <w:bCs/>
          <w:sz w:val="24"/>
          <w:szCs w:val="24"/>
          <w:lang w:val="es-ES_tradnl"/>
        </w:rPr>
        <w:t>El presente Decreto entrará en vigor al día siguiente de su publicación en el Periódico Oficial “Gaceta del Gobierno”.</w:t>
      </w:r>
    </w:p>
    <w:p w:rsidR="00A9153C" w:rsidRPr="00AE0CAB" w:rsidRDefault="00A9153C" w:rsidP="00D71801">
      <w:pPr>
        <w:spacing w:after="0" w:line="240" w:lineRule="auto"/>
        <w:jc w:val="both"/>
        <w:rPr>
          <w:rFonts w:ascii="Times New Roman" w:eastAsia="MS Mincho" w:hAnsi="Times New Roman" w:cs="Times New Roman"/>
          <w:b/>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r w:rsidRPr="00AE0CAB">
        <w:rPr>
          <w:rFonts w:ascii="Times New Roman" w:eastAsia="MS Mincho" w:hAnsi="Times New Roman" w:cs="Times New Roman"/>
          <w:sz w:val="24"/>
          <w:szCs w:val="24"/>
          <w:lang w:val="es-ES_tradnl"/>
        </w:rPr>
        <w:t>Lo tendrá entendido la Gobernadora del Estado, haciendo que se publique y se cumpla.</w:t>
      </w: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p>
    <w:p w:rsidR="00A9153C" w:rsidRPr="00AE0CAB" w:rsidRDefault="00A9153C" w:rsidP="00D71801">
      <w:pPr>
        <w:spacing w:after="0" w:line="240" w:lineRule="auto"/>
        <w:jc w:val="both"/>
        <w:rPr>
          <w:rFonts w:ascii="Times New Roman" w:eastAsia="MS Mincho" w:hAnsi="Times New Roman" w:cs="Times New Roman"/>
          <w:sz w:val="24"/>
          <w:szCs w:val="24"/>
          <w:lang w:val="es-ES_tradnl"/>
        </w:rPr>
      </w:pPr>
      <w:r w:rsidRPr="00AE0CAB">
        <w:rPr>
          <w:rFonts w:ascii="Times New Roman" w:eastAsia="MS Mincho" w:hAnsi="Times New Roman" w:cs="Times New Roman"/>
          <w:sz w:val="24"/>
          <w:szCs w:val="24"/>
          <w:lang w:val="es-ES_tradnl"/>
        </w:rPr>
        <w:t xml:space="preserve">Dado en el Palacio del Poder Legislativo, en la ciudad de Toluca de Lerdo, Capital del Estado de México, a los dieciocho días del mes de febrero del dos mil veintiséis. </w:t>
      </w:r>
    </w:p>
    <w:p w:rsidR="00A9153C" w:rsidRPr="00AE0CAB" w:rsidRDefault="00A9153C" w:rsidP="00D71801">
      <w:pPr>
        <w:spacing w:after="0" w:line="240" w:lineRule="auto"/>
        <w:jc w:val="center"/>
        <w:rPr>
          <w:rFonts w:ascii="Times New Roman" w:eastAsia="MS Mincho" w:hAnsi="Times New Roman" w:cs="Times New Roman"/>
          <w:sz w:val="24"/>
          <w:szCs w:val="24"/>
          <w:lang w:val="es-ES_tradnl"/>
        </w:rPr>
      </w:pPr>
    </w:p>
    <w:p w:rsidR="00A9153C" w:rsidRPr="00AE0CAB" w:rsidRDefault="00A9153C" w:rsidP="00D71801">
      <w:pPr>
        <w:spacing w:after="0" w:line="240" w:lineRule="auto"/>
        <w:jc w:val="center"/>
        <w:rPr>
          <w:rFonts w:ascii="Times New Roman" w:eastAsia="MS Mincho" w:hAnsi="Times New Roman" w:cs="Times New Roman"/>
          <w:b/>
          <w:sz w:val="24"/>
          <w:szCs w:val="24"/>
          <w:lang w:val="es-ES_tradnl"/>
        </w:rPr>
      </w:pPr>
      <w:r w:rsidRPr="00AE0CAB">
        <w:rPr>
          <w:rFonts w:ascii="Times New Roman" w:eastAsia="MS Mincho" w:hAnsi="Times New Roman" w:cs="Times New Roman"/>
          <w:b/>
          <w:sz w:val="24"/>
          <w:szCs w:val="24"/>
          <w:lang w:val="es-ES_tradnl"/>
        </w:rPr>
        <w:t>PRESIDENTA</w:t>
      </w:r>
    </w:p>
    <w:p w:rsidR="00A9153C" w:rsidRPr="00AE0CAB" w:rsidRDefault="00A9153C" w:rsidP="00D71801">
      <w:pPr>
        <w:spacing w:after="0" w:line="240" w:lineRule="auto"/>
        <w:jc w:val="center"/>
        <w:rPr>
          <w:rFonts w:ascii="Times New Roman" w:eastAsia="MS Mincho" w:hAnsi="Times New Roman" w:cs="Times New Roman"/>
          <w:b/>
          <w:sz w:val="24"/>
          <w:szCs w:val="24"/>
          <w:lang w:val="es-ES_tradnl"/>
        </w:rPr>
      </w:pPr>
      <w:r w:rsidRPr="00AE0CAB">
        <w:rPr>
          <w:rFonts w:ascii="Times New Roman" w:eastAsia="MS Mincho" w:hAnsi="Times New Roman" w:cs="Times New Roman"/>
          <w:b/>
          <w:sz w:val="24"/>
          <w:szCs w:val="24"/>
          <w:lang w:val="es-ES_tradnl"/>
        </w:rPr>
        <w:t>DIP. MARTHA AZUCENA CAMACHO REYNOSO</w:t>
      </w:r>
    </w:p>
    <w:p w:rsidR="00A9153C" w:rsidRPr="00AE0CAB" w:rsidRDefault="00A9153C" w:rsidP="00D71801">
      <w:pPr>
        <w:spacing w:after="0" w:line="240" w:lineRule="auto"/>
        <w:jc w:val="center"/>
        <w:rPr>
          <w:rFonts w:ascii="Times New Roman" w:eastAsia="MS Mincho" w:hAnsi="Times New Roman" w:cs="Times New Roman"/>
          <w:b/>
          <w:sz w:val="24"/>
          <w:szCs w:val="24"/>
          <w:lang w:val="es-ES_tradnl"/>
        </w:rPr>
      </w:pPr>
    </w:p>
    <w:p w:rsidR="00A9153C" w:rsidRPr="00AE0CAB" w:rsidRDefault="00A9153C" w:rsidP="00D71801">
      <w:pPr>
        <w:spacing w:after="0" w:line="240" w:lineRule="auto"/>
        <w:jc w:val="center"/>
        <w:rPr>
          <w:rFonts w:ascii="Times New Roman" w:eastAsia="MS Mincho" w:hAnsi="Times New Roman" w:cs="Times New Roman"/>
          <w:b/>
          <w:sz w:val="24"/>
          <w:szCs w:val="24"/>
          <w:lang w:val="es-ES_tradnl"/>
        </w:rPr>
      </w:pPr>
      <w:r w:rsidRPr="00AE0CAB">
        <w:rPr>
          <w:rFonts w:ascii="Times New Roman" w:eastAsia="MS Mincho" w:hAnsi="Times New Roman" w:cs="Times New Roman"/>
          <w:b/>
          <w:sz w:val="24"/>
          <w:szCs w:val="24"/>
          <w:lang w:val="es-ES_tradnl"/>
        </w:rPr>
        <w:t>SECRETARIOS</w:t>
      </w:r>
    </w:p>
    <w:tbl>
      <w:tblPr>
        <w:tblW w:w="0" w:type="auto"/>
        <w:tblLook w:val="04A0" w:firstRow="1" w:lastRow="0" w:firstColumn="1" w:lastColumn="0" w:noHBand="0" w:noVBand="1"/>
      </w:tblPr>
      <w:tblGrid>
        <w:gridCol w:w="4701"/>
        <w:gridCol w:w="4704"/>
      </w:tblGrid>
      <w:tr w:rsidR="00A9153C" w:rsidRPr="00AE0CAB" w:rsidTr="00A9153C">
        <w:tc>
          <w:tcPr>
            <w:tcW w:w="4701" w:type="dxa"/>
            <w:hideMark/>
          </w:tcPr>
          <w:p w:rsidR="00A9153C" w:rsidRPr="00AE0CAB" w:rsidRDefault="00A9153C" w:rsidP="00D71801">
            <w:pPr>
              <w:spacing w:after="0" w:line="240" w:lineRule="auto"/>
              <w:jc w:val="center"/>
              <w:rPr>
                <w:rFonts w:ascii="Times New Roman" w:eastAsia="MS Mincho" w:hAnsi="Times New Roman" w:cs="Times New Roman"/>
                <w:b/>
                <w:sz w:val="24"/>
                <w:szCs w:val="24"/>
                <w:lang w:val="es-ES_tradnl"/>
              </w:rPr>
            </w:pPr>
            <w:r w:rsidRPr="00AE0CAB">
              <w:rPr>
                <w:rFonts w:ascii="Times New Roman" w:eastAsia="MS Mincho" w:hAnsi="Times New Roman" w:cs="Times New Roman"/>
                <w:b/>
                <w:sz w:val="24"/>
                <w:szCs w:val="24"/>
                <w:lang w:val="es-ES_tradnl"/>
              </w:rPr>
              <w:t>DIP. EDGAR SAMUEL RÍOS MORENO</w:t>
            </w:r>
          </w:p>
        </w:tc>
        <w:tc>
          <w:tcPr>
            <w:tcW w:w="4704" w:type="dxa"/>
            <w:hideMark/>
          </w:tcPr>
          <w:p w:rsidR="00A9153C" w:rsidRPr="00AE0CAB" w:rsidRDefault="00A9153C" w:rsidP="00D71801">
            <w:pPr>
              <w:spacing w:after="0" w:line="240" w:lineRule="auto"/>
              <w:jc w:val="center"/>
              <w:rPr>
                <w:rFonts w:ascii="Times New Roman" w:eastAsia="MS Mincho" w:hAnsi="Times New Roman" w:cs="Times New Roman"/>
                <w:b/>
                <w:sz w:val="24"/>
                <w:szCs w:val="24"/>
                <w:lang w:val="es-ES_tradnl"/>
              </w:rPr>
            </w:pPr>
            <w:r w:rsidRPr="00AE0CAB">
              <w:rPr>
                <w:rFonts w:ascii="Times New Roman" w:eastAsia="MS Mincho" w:hAnsi="Times New Roman" w:cs="Times New Roman"/>
                <w:b/>
                <w:sz w:val="24"/>
                <w:szCs w:val="24"/>
                <w:lang w:val="es-ES_tradnl"/>
              </w:rPr>
              <w:t>DIP. EDUARDO ZARZOSA SÁNCHEZ</w:t>
            </w:r>
          </w:p>
        </w:tc>
      </w:tr>
    </w:tbl>
    <w:p w:rsidR="00A9153C" w:rsidRPr="00AE0CAB" w:rsidRDefault="00A9153C" w:rsidP="00D71801">
      <w:pPr>
        <w:spacing w:after="0" w:line="240" w:lineRule="auto"/>
        <w:jc w:val="center"/>
        <w:rPr>
          <w:rFonts w:ascii="Times New Roman" w:hAnsi="Times New Roman" w:cs="Times New Roman"/>
          <w:sz w:val="24"/>
          <w:szCs w:val="24"/>
        </w:rPr>
      </w:pPr>
    </w:p>
    <w:p w:rsidR="00A9153C" w:rsidRPr="00AE0CAB" w:rsidRDefault="00A9153C"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(Fin del documento)</w:t>
      </w:r>
    </w:p>
    <w:p w:rsidR="00A9153C" w:rsidRPr="00AE0CAB" w:rsidRDefault="00A9153C" w:rsidP="00D71801">
      <w:pPr>
        <w:spacing w:after="0" w:line="240" w:lineRule="auto"/>
        <w:jc w:val="center"/>
        <w:rPr>
          <w:rFonts w:ascii="Times New Roman" w:hAnsi="Times New Roman" w:cs="Times New Roman"/>
          <w:sz w:val="24"/>
          <w:szCs w:val="24"/>
        </w:rPr>
      </w:pP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Gracias, Vicepresidenta Itzel Guadalupe Pérez Correa.</w:t>
      </w:r>
    </w:p>
    <w:p w:rsidR="00EC40A6"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En acatamiento las disposiciones constitucionales aplicables y habiendo recibido votos aprobatorios de la minuta Proyecto de Decreto y concluido el plazo establecido en la Ley, la Presidencia y con sustento en los artículos 148 de la Constitución Política del Estado Libre y Soberano de México y 93 de la Ley Orgánica del Poder Legislativo del Estado Libre y Soberano de México, declara aprobada la minuta Proyecto de Decreto por el que se reforman los párrafos I y III del artículo 81, el artículo 86 y los párrafos I, II y IV del artículo 86 Bis de la Constitución Política del Estado Libre y Soberano de México, en materia de seguridad pública y coordinación interinstitucional presentada por la Titular del Ejecutivo Estatal. </w:t>
      </w:r>
    </w:p>
    <w:p w:rsidR="009E6527" w:rsidRPr="00AE0CAB" w:rsidRDefault="00EC40A6"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Pido a la Secretaría formule la comunicación procedente a la persona Titular del Ejecutivo Estatal</w:t>
      </w:r>
      <w:r w:rsidR="00044201" w:rsidRPr="00AE0CAB">
        <w:rPr>
          <w:rFonts w:ascii="Times New Roman" w:hAnsi="Times New Roman" w:cs="Times New Roman"/>
          <w:sz w:val="24"/>
          <w:szCs w:val="24"/>
        </w:rPr>
        <w:t xml:space="preserve"> para los e</w:t>
      </w:r>
      <w:r w:rsidR="009E6527" w:rsidRPr="00AE0CAB">
        <w:rPr>
          <w:rFonts w:ascii="Times New Roman" w:hAnsi="Times New Roman" w:cs="Times New Roman"/>
          <w:sz w:val="24"/>
          <w:szCs w:val="24"/>
        </w:rPr>
        <w:t xml:space="preserve">fectos a que haya lugar. </w:t>
      </w:r>
    </w:p>
    <w:p w:rsidR="001A286C" w:rsidRPr="00AE0CAB" w:rsidRDefault="009E6527"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En consideración al punto número 3, El diputado Rigoberto Vargas Cervantes, leerá el Dictamen de la Iniciativa con Proyecto de Decreto, mediante la cual se adiciona un artículo 138 Bis a la Ley del Trabajo de los Servidores Públicos del Estado y Municipios y se adiciona una fracción XIV al artículo 52; una Sección Décima Cuarta denominada </w:t>
      </w:r>
      <w:r w:rsidR="00E657FB" w:rsidRPr="00AE0CAB">
        <w:rPr>
          <w:rFonts w:ascii="Times New Roman" w:hAnsi="Times New Roman" w:cs="Times New Roman"/>
          <w:sz w:val="24"/>
          <w:szCs w:val="24"/>
        </w:rPr>
        <w:t xml:space="preserve">de la </w:t>
      </w:r>
      <w:r w:rsidRPr="00AE0CAB">
        <w:rPr>
          <w:rFonts w:ascii="Times New Roman" w:hAnsi="Times New Roman" w:cs="Times New Roman"/>
          <w:sz w:val="24"/>
          <w:szCs w:val="24"/>
        </w:rPr>
        <w:t>Injerencia Sindical al Capítulo Segundo De Las Faltas Administrativas.</w:t>
      </w:r>
    </w:p>
    <w:p w:rsidR="00845EDA" w:rsidRPr="00AE0CAB" w:rsidRDefault="009E6527" w:rsidP="00D71801">
      <w:pPr>
        <w:pStyle w:val="Sinespaciado"/>
        <w:ind w:firstLine="708"/>
        <w:jc w:val="both"/>
        <w:rPr>
          <w:rFonts w:ascii="Times New Roman" w:hAnsi="Times New Roman" w:cs="Times New Roman"/>
          <w:b/>
          <w:sz w:val="24"/>
          <w:szCs w:val="24"/>
        </w:rPr>
      </w:pPr>
      <w:r w:rsidRPr="00AE0CAB">
        <w:rPr>
          <w:rFonts w:ascii="Times New Roman" w:hAnsi="Times New Roman" w:cs="Times New Roman"/>
          <w:sz w:val="24"/>
          <w:szCs w:val="24"/>
        </w:rPr>
        <w:t>Ante la situación de emergencia, pido a quienes integran esa Soberanía y al personal que salgamos en orden conforme al protocolo correspondiente. Se declara un receso.</w:t>
      </w:r>
    </w:p>
    <w:p w:rsidR="001963BF" w:rsidRPr="00AE0CAB" w:rsidRDefault="00845EDA" w:rsidP="00D71801">
      <w:pPr>
        <w:pStyle w:val="Ttulo1"/>
        <w:shd w:val="clear" w:color="auto" w:fill="FFFFFF"/>
        <w:spacing w:before="0" w:beforeAutospacing="0" w:after="0" w:afterAutospacing="0"/>
        <w:jc w:val="center"/>
        <w:rPr>
          <w:b w:val="0"/>
          <w:i/>
          <w:kern w:val="2"/>
          <w:sz w:val="24"/>
          <w:szCs w:val="24"/>
        </w:rPr>
      </w:pPr>
      <w:r w:rsidRPr="00AE0CAB">
        <w:rPr>
          <w:b w:val="0"/>
          <w:i/>
          <w:sz w:val="24"/>
          <w:szCs w:val="24"/>
        </w:rPr>
        <w:t>(Simulacro de sismo 2026</w:t>
      </w:r>
      <w:r w:rsidR="001F4FD4" w:rsidRPr="00AE0CAB">
        <w:rPr>
          <w:b w:val="0"/>
          <w:i/>
          <w:sz w:val="24"/>
          <w:szCs w:val="24"/>
        </w:rPr>
        <w:t>, S</w:t>
      </w:r>
      <w:r w:rsidR="00DA3C52" w:rsidRPr="00AE0CAB">
        <w:rPr>
          <w:b w:val="0"/>
          <w:i/>
          <w:sz w:val="24"/>
          <w:szCs w:val="24"/>
        </w:rPr>
        <w:t>e declara un receso</w:t>
      </w:r>
      <w:r w:rsidR="001963BF" w:rsidRPr="00AE0CAB">
        <w:rPr>
          <w:b w:val="0"/>
          <w:i/>
          <w:kern w:val="2"/>
          <w:sz w:val="24"/>
          <w:szCs w:val="24"/>
        </w:rPr>
        <w:t>)</w:t>
      </w:r>
    </w:p>
    <w:p w:rsidR="00DA3C52" w:rsidRPr="00AE0CAB" w:rsidRDefault="00DA3C52" w:rsidP="00D71801">
      <w:pPr>
        <w:pStyle w:val="Sinespaciado"/>
        <w:jc w:val="center"/>
        <w:rPr>
          <w:rFonts w:ascii="Times New Roman" w:hAnsi="Times New Roman" w:cs="Times New Roman"/>
          <w:i/>
          <w:sz w:val="24"/>
          <w:szCs w:val="24"/>
        </w:rPr>
      </w:pPr>
      <w:r w:rsidRPr="00AE0CAB">
        <w:rPr>
          <w:rFonts w:ascii="Times New Roman" w:hAnsi="Times New Roman" w:cs="Times New Roman"/>
          <w:i/>
          <w:sz w:val="24"/>
          <w:szCs w:val="24"/>
        </w:rPr>
        <w:t>(</w:t>
      </w:r>
      <w:r w:rsidR="00F01C34" w:rsidRPr="00AE0CAB">
        <w:rPr>
          <w:rFonts w:ascii="Times New Roman" w:hAnsi="Times New Roman" w:cs="Times New Roman"/>
          <w:i/>
          <w:sz w:val="24"/>
          <w:szCs w:val="24"/>
        </w:rPr>
        <w:t>S</w:t>
      </w:r>
      <w:r w:rsidRPr="00AE0CAB">
        <w:rPr>
          <w:rFonts w:ascii="Times New Roman" w:hAnsi="Times New Roman" w:cs="Times New Roman"/>
          <w:i/>
          <w:sz w:val="24"/>
          <w:szCs w:val="24"/>
        </w:rPr>
        <w:t xml:space="preserve">e </w:t>
      </w:r>
      <w:r w:rsidR="00BF6B8B" w:rsidRPr="00AE0CAB">
        <w:rPr>
          <w:rFonts w:ascii="Times New Roman" w:hAnsi="Times New Roman" w:cs="Times New Roman"/>
          <w:i/>
          <w:sz w:val="24"/>
          <w:szCs w:val="24"/>
        </w:rPr>
        <w:t>reanuda</w:t>
      </w:r>
      <w:r w:rsidRPr="00AE0CAB">
        <w:rPr>
          <w:rFonts w:ascii="Times New Roman" w:hAnsi="Times New Roman" w:cs="Times New Roman"/>
          <w:i/>
          <w:sz w:val="24"/>
          <w:szCs w:val="24"/>
        </w:rPr>
        <w:t xml:space="preserve"> la sesión)</w:t>
      </w:r>
    </w:p>
    <w:p w:rsidR="00BA7B76" w:rsidRPr="00AE0CAB" w:rsidRDefault="00BA7B76" w:rsidP="00D71801">
      <w:pPr>
        <w:pStyle w:val="Sinespaciado"/>
        <w:jc w:val="both"/>
        <w:rPr>
          <w:rFonts w:ascii="Times New Roman" w:hAnsi="Times New Roman" w:cs="Times New Roman"/>
          <w:kern w:val="2"/>
          <w:sz w:val="24"/>
          <w:szCs w:val="24"/>
          <w:lang w:eastAsia="es-MX"/>
        </w:rPr>
      </w:pPr>
      <w:r w:rsidRPr="00AE0CAB">
        <w:rPr>
          <w:rFonts w:ascii="Times New Roman" w:hAnsi="Times New Roman" w:cs="Times New Roman"/>
          <w:sz w:val="24"/>
          <w:szCs w:val="24"/>
        </w:rPr>
        <w:t xml:space="preserve">PRESIDENTA DIP. MARTHA AZUCENA CAMACHO </w:t>
      </w:r>
      <w:r w:rsidR="00785944" w:rsidRPr="00AE0CAB">
        <w:rPr>
          <w:rFonts w:ascii="Times New Roman" w:hAnsi="Times New Roman" w:cs="Times New Roman"/>
          <w:sz w:val="24"/>
          <w:szCs w:val="24"/>
        </w:rPr>
        <w:t xml:space="preserve">Solicito </w:t>
      </w:r>
      <w:r w:rsidR="00B36B56" w:rsidRPr="00AE0CAB">
        <w:rPr>
          <w:rFonts w:ascii="Times New Roman" w:hAnsi="Times New Roman" w:cs="Times New Roman"/>
          <w:sz w:val="24"/>
          <w:szCs w:val="24"/>
        </w:rPr>
        <w:t>a la Secretaría verifique la existencia de quórum para re</w:t>
      </w:r>
      <w:r w:rsidRPr="00AE0CAB">
        <w:rPr>
          <w:rFonts w:ascii="Times New Roman" w:hAnsi="Times New Roman" w:cs="Times New Roman"/>
          <w:sz w:val="24"/>
          <w:szCs w:val="24"/>
        </w:rPr>
        <w:t>anuda</w:t>
      </w:r>
      <w:r w:rsidR="00B36B56" w:rsidRPr="00AE0CAB">
        <w:rPr>
          <w:rFonts w:ascii="Times New Roman" w:hAnsi="Times New Roman" w:cs="Times New Roman"/>
          <w:sz w:val="24"/>
          <w:szCs w:val="24"/>
        </w:rPr>
        <w:t>r</w:t>
      </w:r>
      <w:r w:rsidRPr="00AE0CAB">
        <w:rPr>
          <w:rFonts w:ascii="Times New Roman" w:hAnsi="Times New Roman" w:cs="Times New Roman"/>
          <w:sz w:val="24"/>
          <w:szCs w:val="24"/>
        </w:rPr>
        <w:t xml:space="preserve"> la sesión.</w:t>
      </w:r>
    </w:p>
    <w:p w:rsidR="009E6527" w:rsidRPr="00AE0CAB" w:rsidRDefault="009E6527" w:rsidP="00D71801">
      <w:pPr>
        <w:pStyle w:val="Sinespaciado"/>
        <w:jc w:val="both"/>
        <w:rPr>
          <w:rFonts w:ascii="Times New Roman" w:hAnsi="Times New Roman" w:cs="Times New Roman"/>
          <w:sz w:val="24"/>
          <w:szCs w:val="24"/>
        </w:rPr>
      </w:pPr>
      <w:r w:rsidRPr="00AE0CAB">
        <w:rPr>
          <w:rFonts w:ascii="Times New Roman" w:hAnsi="Times New Roman" w:cs="Times New Roman"/>
          <w:kern w:val="2"/>
          <w:sz w:val="24"/>
          <w:szCs w:val="24"/>
          <w:lang w:eastAsia="es-MX"/>
        </w:rPr>
        <w:t xml:space="preserve">SECRETARIO DIP. EDGAR SAMUEL RÍOS MORENO. </w:t>
      </w:r>
      <w:r w:rsidRPr="00AE0CAB">
        <w:rPr>
          <w:rFonts w:ascii="Times New Roman" w:hAnsi="Times New Roman" w:cs="Times New Roman"/>
          <w:sz w:val="24"/>
          <w:szCs w:val="24"/>
        </w:rPr>
        <w:t xml:space="preserve">Ábrase el registro de asistencia hasta por dos minutos. </w:t>
      </w:r>
    </w:p>
    <w:p w:rsidR="009E6527" w:rsidRPr="00AE0CAB" w:rsidRDefault="009E6527" w:rsidP="00D71801">
      <w:pPr>
        <w:pStyle w:val="Sinespaciado"/>
        <w:jc w:val="center"/>
        <w:rPr>
          <w:rFonts w:ascii="Times New Roman" w:hAnsi="Times New Roman" w:cs="Times New Roman"/>
          <w:i/>
          <w:sz w:val="24"/>
          <w:szCs w:val="24"/>
        </w:rPr>
      </w:pPr>
      <w:r w:rsidRPr="00AE0CAB">
        <w:rPr>
          <w:rFonts w:ascii="Times New Roman" w:hAnsi="Times New Roman" w:cs="Times New Roman"/>
          <w:i/>
          <w:sz w:val="24"/>
          <w:szCs w:val="24"/>
        </w:rPr>
        <w:t xml:space="preserve">(Registro de </w:t>
      </w:r>
      <w:r w:rsidR="001B1B22" w:rsidRPr="00AE0CAB">
        <w:rPr>
          <w:rFonts w:ascii="Times New Roman" w:hAnsi="Times New Roman" w:cs="Times New Roman"/>
          <w:i/>
          <w:sz w:val="24"/>
          <w:szCs w:val="24"/>
        </w:rPr>
        <w:t>asistencia</w:t>
      </w:r>
      <w:r w:rsidRPr="00AE0CAB">
        <w:rPr>
          <w:rFonts w:ascii="Times New Roman" w:hAnsi="Times New Roman" w:cs="Times New Roman"/>
          <w:i/>
          <w:sz w:val="24"/>
          <w:szCs w:val="24"/>
        </w:rPr>
        <w:t>)</w:t>
      </w:r>
    </w:p>
    <w:p w:rsidR="009E6527" w:rsidRPr="00AE0CAB" w:rsidRDefault="009E6527" w:rsidP="00D71801">
      <w:pPr>
        <w:pStyle w:val="Sinespaciado"/>
        <w:jc w:val="both"/>
        <w:rPr>
          <w:rFonts w:ascii="Times New Roman" w:hAnsi="Times New Roman" w:cs="Times New Roman"/>
          <w:sz w:val="24"/>
          <w:szCs w:val="24"/>
        </w:rPr>
      </w:pPr>
      <w:r w:rsidRPr="00AE0CAB">
        <w:rPr>
          <w:rFonts w:ascii="Times New Roman" w:hAnsi="Times New Roman" w:cs="Times New Roman"/>
          <w:kern w:val="2"/>
          <w:sz w:val="24"/>
          <w:szCs w:val="24"/>
          <w:lang w:eastAsia="es-MX"/>
        </w:rPr>
        <w:t xml:space="preserve">SECRETARIO DIP. EDGAR SAMUEL RÍOS MORENO. </w:t>
      </w:r>
      <w:r w:rsidRPr="00AE0CAB">
        <w:rPr>
          <w:rFonts w:ascii="Times New Roman" w:hAnsi="Times New Roman" w:cs="Times New Roman"/>
          <w:sz w:val="24"/>
          <w:szCs w:val="24"/>
        </w:rPr>
        <w:t>¿Alguien Falta de registrar asistencia? Claro que sí, por favor</w:t>
      </w:r>
      <w:r w:rsidR="00AC734C" w:rsidRPr="00AE0CAB">
        <w:rPr>
          <w:rFonts w:ascii="Times New Roman" w:hAnsi="Times New Roman" w:cs="Times New Roman"/>
          <w:sz w:val="24"/>
          <w:szCs w:val="24"/>
        </w:rPr>
        <w:t>, p</w:t>
      </w:r>
      <w:r w:rsidRPr="00AE0CAB">
        <w:rPr>
          <w:rFonts w:ascii="Times New Roman" w:hAnsi="Times New Roman" w:cs="Times New Roman"/>
          <w:sz w:val="24"/>
          <w:szCs w:val="24"/>
        </w:rPr>
        <w:t>ara la diputada Ruth Salinas, sí me apoyan</w:t>
      </w:r>
      <w:r w:rsidR="00AC734C" w:rsidRPr="00AE0CAB">
        <w:rPr>
          <w:rFonts w:ascii="Times New Roman" w:hAnsi="Times New Roman" w:cs="Times New Roman"/>
          <w:sz w:val="24"/>
          <w:szCs w:val="24"/>
        </w:rPr>
        <w:t>, p</w:t>
      </w:r>
      <w:r w:rsidRPr="00AE0CAB">
        <w:rPr>
          <w:rFonts w:ascii="Times New Roman" w:hAnsi="Times New Roman" w:cs="Times New Roman"/>
          <w:sz w:val="24"/>
          <w:szCs w:val="24"/>
        </w:rPr>
        <w:t>ara el diputado Juan Zepeda, por favor.</w:t>
      </w:r>
    </w:p>
    <w:p w:rsidR="009E6527" w:rsidRPr="00AE0CAB" w:rsidRDefault="009E6527"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Presidenta le informo que tenemos quórum para reanudar la sesión.</w:t>
      </w:r>
    </w:p>
    <w:p w:rsidR="009E6527" w:rsidRPr="00AE0CAB" w:rsidRDefault="009E6527"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PRESIDENTA DIP. MARTHA AZUCENA CAMACHO REYNOSO. Gracias. </w:t>
      </w:r>
    </w:p>
    <w:p w:rsidR="009E6527" w:rsidRPr="00AE0CAB" w:rsidRDefault="009E6527"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Siendo las once horas con cincuenta y ocho minutos, se reanuda la sesión de hoy, dieciocho de febrero. </w:t>
      </w:r>
    </w:p>
    <w:p w:rsidR="009E6527" w:rsidRPr="00AE0CAB" w:rsidRDefault="009E6527"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En cuanto al punto número 3, el diputado Rigoberto Vargas Cervantes, leerá el Dictamen de la Iniciativa con Proyecto de Decreto, mediante la cual se adiciona un artículo 138 Bis a la Ley </w:t>
      </w:r>
      <w:r w:rsidRPr="00AE0CAB">
        <w:rPr>
          <w:rFonts w:ascii="Times New Roman" w:hAnsi="Times New Roman" w:cs="Times New Roman"/>
          <w:sz w:val="24"/>
          <w:szCs w:val="24"/>
        </w:rPr>
        <w:lastRenderedPageBreak/>
        <w:t xml:space="preserve">del Trabajo de los Servidores Públicos del Estado y Municipios y se adiciona una fracción XIV al artículo 52; una Sección Décima Cuarta denominada </w:t>
      </w:r>
      <w:r w:rsidR="004945A5" w:rsidRPr="00AE0CAB">
        <w:rPr>
          <w:rFonts w:ascii="Times New Roman" w:hAnsi="Times New Roman" w:cs="Times New Roman"/>
          <w:sz w:val="24"/>
          <w:szCs w:val="24"/>
        </w:rPr>
        <w:t>d</w:t>
      </w:r>
      <w:r w:rsidRPr="00AE0CAB">
        <w:rPr>
          <w:rFonts w:ascii="Times New Roman" w:hAnsi="Times New Roman" w:cs="Times New Roman"/>
          <w:sz w:val="24"/>
          <w:szCs w:val="24"/>
        </w:rPr>
        <w:t>e La Injerencia Sindical al Capítulo Segundo De Las Faltas Administrativas</w:t>
      </w:r>
      <w:r w:rsidR="0064446E" w:rsidRPr="00AE0CAB">
        <w:rPr>
          <w:rFonts w:ascii="Times New Roman" w:hAnsi="Times New Roman" w:cs="Times New Roman"/>
          <w:sz w:val="24"/>
          <w:szCs w:val="24"/>
        </w:rPr>
        <w:t xml:space="preserve"> </w:t>
      </w:r>
      <w:r w:rsidR="00BA0A19" w:rsidRPr="00AE0CAB">
        <w:rPr>
          <w:rFonts w:ascii="Times New Roman" w:hAnsi="Times New Roman" w:cs="Times New Roman"/>
          <w:sz w:val="24"/>
          <w:szCs w:val="24"/>
        </w:rPr>
        <w:t xml:space="preserve">Graves </w:t>
      </w:r>
      <w:r w:rsidRPr="00AE0CAB">
        <w:rPr>
          <w:rFonts w:ascii="Times New Roman" w:hAnsi="Times New Roman" w:cs="Times New Roman"/>
          <w:sz w:val="24"/>
          <w:szCs w:val="24"/>
        </w:rPr>
        <w:t>de los Servidores Públicos; y un artículo 67 Bis, todos a la Ley de Responsabilidades Administrativas del Estado de México y Municipios, presentado por el Diputado Rigoberto Vargas Cervantes, en nombre del Grupo Parlamentario del Partido morena, formulado por la Comisión Legislativa de Trabajo, Previsión y Seguridad Social.</w:t>
      </w:r>
    </w:p>
    <w:p w:rsidR="009E6527" w:rsidRPr="00AE0CAB" w:rsidRDefault="009E6527"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DIP. RIGOBERTO VARGAS CERVANTES. Con el permiso de la diputada Presidenta de la Mesa Directiva, diputada Martha Azucena Camacho Reynoso, y de las y los integrantes de la Mesa Directiva. </w:t>
      </w:r>
    </w:p>
    <w:p w:rsidR="0086465C" w:rsidRPr="00AE0CAB" w:rsidRDefault="009E6527"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Saludo a los medios de comunicación, a las y los ciudadanos que nos siguen a través de las diferentes plataformas y redes sociales</w:t>
      </w:r>
      <w:r w:rsidR="00BA0A19" w:rsidRPr="00AE0CAB">
        <w:rPr>
          <w:rFonts w:ascii="Times New Roman" w:hAnsi="Times New Roman" w:cs="Times New Roman"/>
          <w:sz w:val="24"/>
          <w:szCs w:val="24"/>
        </w:rPr>
        <w:t>; d</w:t>
      </w:r>
      <w:r w:rsidRPr="00AE0CAB">
        <w:rPr>
          <w:rFonts w:ascii="Times New Roman" w:hAnsi="Times New Roman" w:cs="Times New Roman"/>
          <w:sz w:val="24"/>
          <w:szCs w:val="24"/>
        </w:rPr>
        <w:t xml:space="preserve">oy la bienvenida a la Directiva de la Sección 17 del  </w:t>
      </w:r>
      <w:r w:rsidRPr="00AE0CAB">
        <w:rPr>
          <w:rFonts w:ascii="Times New Roman" w:hAnsi="Times New Roman" w:cs="Times New Roman"/>
          <w:sz w:val="24"/>
          <w:szCs w:val="24"/>
          <w:shd w:val="clear" w:color="auto" w:fill="FFFFFF"/>
        </w:rPr>
        <w:t> </w:t>
      </w:r>
      <w:r w:rsidRPr="00AE0CAB">
        <w:rPr>
          <w:rStyle w:val="nfasis"/>
          <w:rFonts w:ascii="Times New Roman" w:hAnsi="Times New Roman" w:cs="Times New Roman"/>
          <w:bCs/>
          <w:i w:val="0"/>
          <w:sz w:val="24"/>
          <w:szCs w:val="24"/>
          <w:shd w:val="clear" w:color="auto" w:fill="FFFFFF"/>
        </w:rPr>
        <w:t>SNTE</w:t>
      </w:r>
      <w:r w:rsidRPr="00AE0CAB">
        <w:rPr>
          <w:rStyle w:val="nfasis"/>
          <w:rFonts w:ascii="Times New Roman" w:hAnsi="Times New Roman" w:cs="Times New Roman"/>
          <w:bCs/>
          <w:sz w:val="24"/>
          <w:szCs w:val="24"/>
          <w:shd w:val="clear" w:color="auto" w:fill="FFFFFF"/>
        </w:rPr>
        <w:t>,</w:t>
      </w:r>
      <w:r w:rsidRPr="00AE0CAB">
        <w:rPr>
          <w:rFonts w:ascii="Times New Roman" w:hAnsi="Times New Roman" w:cs="Times New Roman"/>
          <w:sz w:val="24"/>
          <w:szCs w:val="24"/>
        </w:rPr>
        <w:t xml:space="preserve"> que representan al Maestro J</w:t>
      </w:r>
      <w:r w:rsidRPr="00AE0CAB">
        <w:rPr>
          <w:rStyle w:val="nfasis"/>
          <w:rFonts w:ascii="Times New Roman" w:hAnsi="Times New Roman" w:cs="Times New Roman"/>
          <w:bCs/>
          <w:i w:val="0"/>
          <w:sz w:val="24"/>
          <w:szCs w:val="24"/>
          <w:shd w:val="clear" w:color="auto" w:fill="FFFFFF"/>
        </w:rPr>
        <w:t>osé</w:t>
      </w:r>
      <w:r w:rsidRPr="00AE0CAB">
        <w:rPr>
          <w:rStyle w:val="nfasis"/>
          <w:rFonts w:ascii="Times New Roman" w:hAnsi="Times New Roman" w:cs="Times New Roman"/>
          <w:bCs/>
          <w:sz w:val="24"/>
          <w:szCs w:val="24"/>
          <w:shd w:val="clear" w:color="auto" w:fill="FFFFFF"/>
        </w:rPr>
        <w:t xml:space="preserve"> </w:t>
      </w:r>
      <w:r w:rsidRPr="00AE0CAB">
        <w:rPr>
          <w:rStyle w:val="nfasis"/>
          <w:rFonts w:ascii="Times New Roman" w:hAnsi="Times New Roman" w:cs="Times New Roman"/>
          <w:bCs/>
          <w:i w:val="0"/>
          <w:sz w:val="24"/>
          <w:szCs w:val="24"/>
          <w:shd w:val="clear" w:color="auto" w:fill="FFFFFF"/>
        </w:rPr>
        <w:t>Alfredo</w:t>
      </w:r>
      <w:r w:rsidRPr="00AE0CAB">
        <w:rPr>
          <w:rFonts w:ascii="Times New Roman" w:hAnsi="Times New Roman" w:cs="Times New Roman"/>
          <w:i/>
          <w:sz w:val="24"/>
          <w:szCs w:val="24"/>
          <w:shd w:val="clear" w:color="auto" w:fill="FFFFFF"/>
        </w:rPr>
        <w:t> </w:t>
      </w:r>
      <w:r w:rsidRPr="00AE0CAB">
        <w:rPr>
          <w:rFonts w:ascii="Times New Roman" w:hAnsi="Times New Roman" w:cs="Times New Roman"/>
          <w:sz w:val="24"/>
          <w:szCs w:val="24"/>
          <w:shd w:val="clear" w:color="auto" w:fill="FFFFFF"/>
        </w:rPr>
        <w:t>Geraldo</w:t>
      </w:r>
      <w:r w:rsidRPr="00AE0CAB">
        <w:rPr>
          <w:rFonts w:ascii="Times New Roman" w:hAnsi="Times New Roman" w:cs="Times New Roman"/>
          <w:i/>
          <w:sz w:val="24"/>
          <w:szCs w:val="24"/>
          <w:shd w:val="clear" w:color="auto" w:fill="FFFFFF"/>
        </w:rPr>
        <w:t> </w:t>
      </w:r>
      <w:r w:rsidRPr="00AE0CAB">
        <w:rPr>
          <w:rStyle w:val="nfasis"/>
          <w:rFonts w:ascii="Times New Roman" w:hAnsi="Times New Roman" w:cs="Times New Roman"/>
          <w:bCs/>
          <w:i w:val="0"/>
          <w:sz w:val="24"/>
          <w:szCs w:val="24"/>
          <w:shd w:val="clear" w:color="auto" w:fill="FFFFFF"/>
        </w:rPr>
        <w:t>Benoit</w:t>
      </w:r>
      <w:r w:rsidRPr="00AE0CAB">
        <w:rPr>
          <w:rFonts w:ascii="Times New Roman" w:hAnsi="Times New Roman" w:cs="Times New Roman"/>
          <w:i/>
          <w:sz w:val="24"/>
          <w:szCs w:val="24"/>
        </w:rPr>
        <w:t>,</w:t>
      </w:r>
      <w:r w:rsidRPr="00AE0CAB">
        <w:rPr>
          <w:rFonts w:ascii="Times New Roman" w:hAnsi="Times New Roman" w:cs="Times New Roman"/>
          <w:sz w:val="24"/>
          <w:szCs w:val="24"/>
        </w:rPr>
        <w:t xml:space="preserve"> Secretario General de la Sección 17, en el Valle de Toluca del </w:t>
      </w:r>
      <w:r w:rsidRPr="00AE0CAB">
        <w:rPr>
          <w:rStyle w:val="nfasis"/>
          <w:rFonts w:ascii="Times New Roman" w:hAnsi="Times New Roman" w:cs="Times New Roman"/>
          <w:bCs/>
          <w:i w:val="0"/>
          <w:sz w:val="24"/>
          <w:szCs w:val="24"/>
          <w:shd w:val="clear" w:color="auto" w:fill="FFFFFF"/>
        </w:rPr>
        <w:t>SNTE</w:t>
      </w:r>
      <w:r w:rsidRPr="00AE0CAB">
        <w:rPr>
          <w:rFonts w:ascii="Times New Roman" w:hAnsi="Times New Roman" w:cs="Times New Roman"/>
          <w:i/>
          <w:sz w:val="24"/>
          <w:szCs w:val="24"/>
        </w:rPr>
        <w:t>.</w:t>
      </w:r>
      <w:r w:rsidRPr="00AE0CAB">
        <w:rPr>
          <w:rFonts w:ascii="Times New Roman" w:hAnsi="Times New Roman" w:cs="Times New Roman"/>
          <w:sz w:val="24"/>
          <w:szCs w:val="24"/>
        </w:rPr>
        <w:t xml:space="preserve"> También saludo y doy la bienvenida a la Maestra </w:t>
      </w:r>
      <w:r w:rsidRPr="00AE0CAB">
        <w:rPr>
          <w:rStyle w:val="nfasis"/>
          <w:rFonts w:ascii="Times New Roman" w:hAnsi="Times New Roman" w:cs="Times New Roman"/>
          <w:bCs/>
          <w:i w:val="0"/>
          <w:sz w:val="24"/>
          <w:szCs w:val="24"/>
          <w:shd w:val="clear" w:color="auto" w:fill="FFFFFF"/>
        </w:rPr>
        <w:t>Mónica Miriam Granillo Velazco</w:t>
      </w:r>
      <w:r w:rsidR="00841A89" w:rsidRPr="00AE0CAB">
        <w:rPr>
          <w:rFonts w:ascii="Times New Roman" w:hAnsi="Times New Roman" w:cs="Times New Roman"/>
          <w:sz w:val="24"/>
          <w:szCs w:val="24"/>
        </w:rPr>
        <w:t xml:space="preserve"> Secretaria </w:t>
      </w:r>
      <w:r w:rsidR="0086465C" w:rsidRPr="00AE0CAB">
        <w:rPr>
          <w:rFonts w:ascii="Times New Roman" w:hAnsi="Times New Roman" w:cs="Times New Roman"/>
          <w:sz w:val="24"/>
          <w:szCs w:val="24"/>
        </w:rPr>
        <w:t xml:space="preserve">General de la Sección 36 del CNTE Valle de México. </w:t>
      </w:r>
    </w:p>
    <w:p w:rsidR="0086465C" w:rsidRPr="00AE0CAB" w:rsidRDefault="0086465C"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También saludo con mucho gusto al maestro </w:t>
      </w:r>
      <w:proofErr w:type="spellStart"/>
      <w:r w:rsidRPr="00AE0CAB">
        <w:rPr>
          <w:rFonts w:ascii="Times New Roman" w:hAnsi="Times New Roman" w:cs="Times New Roman"/>
          <w:sz w:val="24"/>
          <w:szCs w:val="24"/>
        </w:rPr>
        <w:t>Fleury</w:t>
      </w:r>
      <w:proofErr w:type="spellEnd"/>
      <w:r w:rsidRPr="00AE0CAB">
        <w:rPr>
          <w:rFonts w:ascii="Times New Roman" w:hAnsi="Times New Roman" w:cs="Times New Roman"/>
          <w:sz w:val="24"/>
          <w:szCs w:val="24"/>
        </w:rPr>
        <w:t xml:space="preserve"> Carrasquedo </w:t>
      </w:r>
      <w:proofErr w:type="spellStart"/>
      <w:r w:rsidRPr="00AE0CAB">
        <w:rPr>
          <w:rFonts w:ascii="Times New Roman" w:hAnsi="Times New Roman" w:cs="Times New Roman"/>
          <w:sz w:val="24"/>
          <w:szCs w:val="24"/>
        </w:rPr>
        <w:t>Monjaráz</w:t>
      </w:r>
      <w:proofErr w:type="spellEnd"/>
      <w:r w:rsidRPr="00AE0CAB">
        <w:rPr>
          <w:rFonts w:ascii="Times New Roman" w:hAnsi="Times New Roman" w:cs="Times New Roman"/>
          <w:sz w:val="24"/>
          <w:szCs w:val="24"/>
        </w:rPr>
        <w:t xml:space="preserve">, representante del maestro Alfonso Zepeda Salas en la sección 17 del CNTE Valle de Toluca; así también al maestro Omar Pereira Pérez, representante del maestro Alfonso Zepeda Salas del CNTE Nacional en la sección 36, y a los integrantes de los Comités Ejecutivos Seccionales de las dos secciones, sean bienvenidas y bienvenidos el día de hoy a </w:t>
      </w:r>
      <w:r w:rsidR="00C56AFE" w:rsidRPr="00AE0CAB">
        <w:rPr>
          <w:rFonts w:ascii="Times New Roman" w:hAnsi="Times New Roman" w:cs="Times New Roman"/>
          <w:sz w:val="24"/>
          <w:szCs w:val="24"/>
        </w:rPr>
        <w:t>“L</w:t>
      </w:r>
      <w:r w:rsidRPr="00AE0CAB">
        <w:rPr>
          <w:rFonts w:ascii="Times New Roman" w:hAnsi="Times New Roman" w:cs="Times New Roman"/>
          <w:sz w:val="24"/>
          <w:szCs w:val="24"/>
        </w:rPr>
        <w:t>a Casa del Pueblo</w:t>
      </w:r>
      <w:r w:rsidR="00C56AFE" w:rsidRPr="00AE0CAB">
        <w:rPr>
          <w:rFonts w:ascii="Times New Roman" w:hAnsi="Times New Roman" w:cs="Times New Roman"/>
          <w:sz w:val="24"/>
          <w:szCs w:val="24"/>
        </w:rPr>
        <w:t>”</w:t>
      </w:r>
      <w:r w:rsidRPr="00AE0CAB">
        <w:rPr>
          <w:rFonts w:ascii="Times New Roman" w:hAnsi="Times New Roman" w:cs="Times New Roman"/>
          <w:sz w:val="24"/>
          <w:szCs w:val="24"/>
        </w:rPr>
        <w:t xml:space="preserve">. </w:t>
      </w:r>
    </w:p>
    <w:p w:rsidR="0086465C" w:rsidRPr="00AE0CAB" w:rsidRDefault="0086465C"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Quiero agradecer a nuestro coordinador del Grupo Parlamentario de nuestro partido morena, por sus atenciones y sin duda por la agilidad para poder trabajar esta armonización respecto de la ley aprobada a nivel federal en el Congreso de la Unión y también en el Senado de la República, para que fuera posible su armonización, a nuestro coordinador Francisco Vázquez, muchas gracias, querido coordinador, al igual que a los coordinadores de las distintas fuerzas políticas aquí representadas también, muchísimas gracias. Gracias también a nuestra Gobernadora del Estado de México, a la maestra Delfina Gómez Álvarez, porque también muestra su altura de miras y su compromiso democrático con la vida institucional de las organizaciones sindicales; a su vez, también nuestro reconocimiento a nuestra presidenta, la doctora Claudia Sheinbaum Pardo, también por su altura de miras y por su compromiso de la democracia en los sindicatos del Estado del apartado B. </w:t>
      </w:r>
    </w:p>
    <w:p w:rsidR="0086465C" w:rsidRPr="00AE0CAB" w:rsidRDefault="0086465C"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HONORABLE ASAMBLEA.</w:t>
      </w:r>
    </w:p>
    <w:p w:rsidR="0086465C" w:rsidRPr="00AE0CAB" w:rsidRDefault="0086465C"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La Presidencia de la LXII Legislatura remitió a la Comisión Legislativa de Trabajo, Previsión y Seguridad Social para su estudio y dictamen la Iniciativa con Proyecto de Decreto mediante el cual se adiciona un artículo 138 Bis, a la Ley del Trabajo de los Servidores Públicos del Estado y Municipios y se adiciona una fracción XIV al artículo 52</w:t>
      </w:r>
      <w:r w:rsidR="00EC47F1" w:rsidRPr="00AE0CAB">
        <w:rPr>
          <w:rFonts w:ascii="Times New Roman" w:hAnsi="Times New Roman" w:cs="Times New Roman"/>
          <w:sz w:val="24"/>
          <w:szCs w:val="24"/>
        </w:rPr>
        <w:t>;</w:t>
      </w:r>
      <w:r w:rsidRPr="00AE0CAB">
        <w:rPr>
          <w:rFonts w:ascii="Times New Roman" w:hAnsi="Times New Roman" w:cs="Times New Roman"/>
          <w:sz w:val="24"/>
          <w:szCs w:val="24"/>
        </w:rPr>
        <w:t xml:space="preserve"> una sección XIV, denominada de </w:t>
      </w:r>
      <w:r w:rsidR="00EC47F1" w:rsidRPr="00AE0CAB">
        <w:rPr>
          <w:rFonts w:ascii="Times New Roman" w:hAnsi="Times New Roman" w:cs="Times New Roman"/>
          <w:sz w:val="24"/>
          <w:szCs w:val="24"/>
        </w:rPr>
        <w:t xml:space="preserve">La Injerencia </w:t>
      </w:r>
      <w:r w:rsidRPr="00AE0CAB">
        <w:rPr>
          <w:rFonts w:ascii="Times New Roman" w:hAnsi="Times New Roman" w:cs="Times New Roman"/>
          <w:sz w:val="24"/>
          <w:szCs w:val="24"/>
        </w:rPr>
        <w:t>Sindical, al capítulo segundo de las faltas administrativas graves de los servidores públicos y un artículo 67 Bis, todos a la Ley de Responsabilidades Administrativas del Estado de México y Municipios, presentada por el diputado de la voz, el diputado Rigoberto Vargas Cervantes, en nombre del Grupo Parlamentario de nuestro partido</w:t>
      </w:r>
      <w:r w:rsidR="0059206F" w:rsidRPr="00AE0CAB">
        <w:rPr>
          <w:rFonts w:ascii="Times New Roman" w:hAnsi="Times New Roman" w:cs="Times New Roman"/>
          <w:sz w:val="24"/>
          <w:szCs w:val="24"/>
        </w:rPr>
        <w:t xml:space="preserve"> </w:t>
      </w:r>
      <w:r w:rsidRPr="00AE0CAB">
        <w:rPr>
          <w:rFonts w:ascii="Times New Roman" w:hAnsi="Times New Roman" w:cs="Times New Roman"/>
          <w:sz w:val="24"/>
          <w:szCs w:val="24"/>
        </w:rPr>
        <w:t xml:space="preserve">morena. </w:t>
      </w:r>
    </w:p>
    <w:p w:rsidR="0086465C" w:rsidRPr="00AE0CAB" w:rsidRDefault="0086465C"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Sustanciado el estudio de la iniciativa y discutido satisfactoriamente en la Comisión Legislativa, nos permitimos, con fundamento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86465C" w:rsidRPr="00AE0CAB" w:rsidRDefault="0086465C" w:rsidP="00D71801">
      <w:pPr>
        <w:pStyle w:val="Sinespaciado"/>
        <w:ind w:firstLine="708"/>
        <w:jc w:val="center"/>
        <w:rPr>
          <w:rFonts w:ascii="Times New Roman" w:hAnsi="Times New Roman" w:cs="Times New Roman"/>
          <w:sz w:val="24"/>
          <w:szCs w:val="24"/>
        </w:rPr>
      </w:pPr>
      <w:r w:rsidRPr="00AE0CAB">
        <w:rPr>
          <w:rFonts w:ascii="Times New Roman" w:hAnsi="Times New Roman" w:cs="Times New Roman"/>
          <w:sz w:val="24"/>
          <w:szCs w:val="24"/>
        </w:rPr>
        <w:t>DICTAMEN</w:t>
      </w:r>
    </w:p>
    <w:p w:rsidR="0086465C" w:rsidRPr="00AE0CAB" w:rsidRDefault="0086465C" w:rsidP="00D71801">
      <w:pPr>
        <w:pStyle w:val="Sinespaciado"/>
        <w:ind w:firstLine="708"/>
        <w:jc w:val="center"/>
        <w:rPr>
          <w:rFonts w:ascii="Times New Roman" w:hAnsi="Times New Roman" w:cs="Times New Roman"/>
          <w:sz w:val="24"/>
          <w:szCs w:val="24"/>
        </w:rPr>
      </w:pPr>
      <w:r w:rsidRPr="00AE0CAB">
        <w:rPr>
          <w:rFonts w:ascii="Times New Roman" w:hAnsi="Times New Roman" w:cs="Times New Roman"/>
          <w:sz w:val="24"/>
          <w:szCs w:val="24"/>
        </w:rPr>
        <w:t>ANTECEDENTES Y CONCLUSIÓN DEL ESTUDIO.</w:t>
      </w:r>
    </w:p>
    <w:p w:rsidR="0086465C" w:rsidRPr="00AE0CAB" w:rsidRDefault="0086465C"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En sesión de la LXII Legislatura, realizada el día once de febrero de 2026, se presentó Iniciativa con Proyecto de Decreto mediante el cual se adiciona el artículo 138 Bis a la Ley del Trabajo de los Servidores Públicos del Estado y Municipios y se adiciona una fracción XIV al </w:t>
      </w:r>
      <w:r w:rsidRPr="00AE0CAB">
        <w:rPr>
          <w:rFonts w:ascii="Times New Roman" w:hAnsi="Times New Roman" w:cs="Times New Roman"/>
          <w:sz w:val="24"/>
          <w:szCs w:val="24"/>
        </w:rPr>
        <w:lastRenderedPageBreak/>
        <w:t xml:space="preserve">artículo 52, una sección décimo cuarta, denominada de la injerencia Sindical, al capítulo segundo de las faltas administrativas graves de los servidores públicos y un artículo 67 Bis, todos a la Ley de Responsabilidades Administrativas del Estado de México y Municipios. </w:t>
      </w:r>
    </w:p>
    <w:p w:rsidR="00315EBF" w:rsidRPr="00AE0CAB" w:rsidRDefault="0086465C"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El diputado de la voz, Rigoberto Vargas Cervantes, en nombre del Grupo Parlamentario del Partido morena; de conformidad con lo dispuesto en los artículos 51, fracción II, 57 y 61, fracción I, de la Constitución Política del Estado Libre y Soberano de México, 28 fracción I, 30 primer párrafo, 38, fracción II, 79, 81 y 83 de la Ley Orgánica del Poder Legislativo, del Estado Libre y Soberano de México, así como 68 del Reglamento del Poder Legislativo del Estado Libre y Soberano de México, destacamos que la Iniciativa con Proyecto de Decreto propone adiciones a la Ley del Trabajo de los Servidores Públicos del Estado y Municipios y a la Ley de Responsabilidades Administrativas del Estado de México y Municipios, para reconocer expresamente la autonomía sindical como principio rector</w:t>
      </w:r>
      <w:r w:rsidR="00EF4DB5" w:rsidRPr="00AE0CAB">
        <w:rPr>
          <w:rFonts w:ascii="Times New Roman" w:hAnsi="Times New Roman" w:cs="Times New Roman"/>
          <w:sz w:val="24"/>
          <w:szCs w:val="24"/>
        </w:rPr>
        <w:t xml:space="preserve"> del derecho </w:t>
      </w:r>
      <w:r w:rsidR="00315EBF" w:rsidRPr="00AE0CAB">
        <w:rPr>
          <w:rFonts w:ascii="Times New Roman" w:hAnsi="Times New Roman" w:cs="Times New Roman"/>
          <w:sz w:val="24"/>
          <w:szCs w:val="24"/>
        </w:rPr>
        <w:t>colectivo del trabajo en el servicio público estatal y municipal.</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La Comisión Legislativa de Trabajo, Previsión y Seguridad Social en cumplimiento en lo ordenado en la Ley Orgánica y el Reglamento del Poder Legislativo, realizó el día martes 17 de febrero del año en curso reunión de estudio y dictaminación, en este contexto y de acuerdo con el estudio que llevamos a cabo reconocemos que la libertad sindical y la autonomía de las organizaciones de personas trabajadoras son derechos humanos colectivos reconocidos por la Constitución y por convenios de la OIT, obligatorios para el estado mexicano.</w:t>
      </w:r>
    </w:p>
    <w:p w:rsidR="00315EBF" w:rsidRPr="00AE0CAB" w:rsidRDefault="00315EBF"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En diciembre de 2025 se reformó la Ley Federal de Trabajadores al Servicio del Estado para prohibir expresamente la injerencia de autoridades en la vida interna de los sindicatos y sancionarla como falta administrativa grave.</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Advertimos que en el Estado de México la legislación local en materia laboral y de responsabilidades administrativas no contempla de forma clara y sancionable dicha prohibición, lo que genera vacíos normativos y permite prácticas contrarias a la democracia y libertad sindical como lo expresa la iniciativa.</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Estamos de acuerdo en que la iniciativa propone armonizar la legislación estatal con la federal, reconocer explícitamente la autonomía sindical, prohibir cualquier injerencia de autoridades en la organización y decisiones sindicales y establecer sanciones claras por estas conductas.</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En tal sentido, estimamos procedente adicionar la Ley del Trabajo de los Servidores Públicos del Estado y Municipios y la Ley de Responsabilidades Administrativas del Estado de México y Municipios.</w:t>
      </w:r>
    </w:p>
    <w:p w:rsidR="00315EBF" w:rsidRPr="00AE0CAB" w:rsidRDefault="00315EBF" w:rsidP="00D71801">
      <w:pPr>
        <w:spacing w:after="0" w:line="240" w:lineRule="auto"/>
        <w:jc w:val="center"/>
        <w:rPr>
          <w:rFonts w:ascii="Times New Roman" w:hAnsi="Times New Roman" w:cs="Times New Roman"/>
          <w:sz w:val="24"/>
          <w:szCs w:val="24"/>
        </w:rPr>
      </w:pPr>
      <w:r w:rsidRPr="00AE0CAB">
        <w:rPr>
          <w:rFonts w:ascii="Times New Roman" w:hAnsi="Times New Roman" w:cs="Times New Roman"/>
          <w:sz w:val="24"/>
          <w:szCs w:val="24"/>
        </w:rPr>
        <w:t>RESOLUTIVOS</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PRIMERO. Es de aprobarse en lo conducente conforme el Proyecto de Decreto que ha sido integrado la Iniciativa con Proyecto de Decreto, mediante la cual se adiciona un artículo 138 Bis a la Ley del Trabajo de los Servidores Públicos del Estado y Municipios y se adiciona una fracción XIV al artículo 52, una sección décimo cuarta denominada de la injerencia sindical al Capítulo II de las faltas administrativas graves de los servidores públicos y un artículo 67 Bis todas a la Ley de Responsabilidades Administrativas del Estado de México y Municipios, presentada por el diputado de la voz, Rigoberto Vargas Cervantes, en nombre del Grupo Parlamentario del Partido morena.</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SEGUNDO. Se adjunta el Proyecto de Decreto respectivo.</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TERCERO. Previa discusión y aprobación por la Legislatura en Pleno.</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Remítase a la persona Titular del Poder Ejecutivo, para los efectos procedentes.</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Dado en el Palacio del Poder Legislativo, en la ciudad de Toluca de Lerdo, capital del Estado de México, a los dieciocho días del mes de febrero de dos mil veintiséis.</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Es cuanto diputada Presidenta, muchas gracias.</w:t>
      </w:r>
    </w:p>
    <w:p w:rsidR="00F51D6E" w:rsidRPr="00AE0CAB" w:rsidRDefault="00F51D6E" w:rsidP="00D71801">
      <w:pPr>
        <w:pStyle w:val="Sinespaciado"/>
        <w:jc w:val="both"/>
        <w:rPr>
          <w:rFonts w:ascii="Times New Roman" w:hAnsi="Times New Roman" w:cs="Times New Roman"/>
          <w:sz w:val="24"/>
          <w:szCs w:val="24"/>
        </w:rPr>
      </w:pPr>
    </w:p>
    <w:p w:rsidR="00F51D6E" w:rsidRPr="00AE0CAB" w:rsidRDefault="00F51D6E"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lastRenderedPageBreak/>
        <w:t>(Se inserta documento)</w:t>
      </w:r>
    </w:p>
    <w:p w:rsidR="00F51D6E" w:rsidRPr="00AE0CAB" w:rsidRDefault="00F51D6E" w:rsidP="00D71801">
      <w:pPr>
        <w:spacing w:after="0" w:line="240" w:lineRule="auto"/>
        <w:jc w:val="center"/>
        <w:rPr>
          <w:rFonts w:ascii="Times New Roman"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bookmarkStart w:id="1" w:name="_Hlk164223724"/>
      <w:r w:rsidRPr="00AE0CAB">
        <w:rPr>
          <w:rFonts w:ascii="Times New Roman" w:eastAsia="Calibri" w:hAnsi="Times New Roman" w:cs="Times New Roman"/>
          <w:b/>
          <w:sz w:val="24"/>
          <w:szCs w:val="24"/>
        </w:rPr>
        <w:t xml:space="preserve">DICTAMEN FORMULADO A LA </w:t>
      </w:r>
      <w:bookmarkStart w:id="2" w:name="_Hlk221966639"/>
      <w:bookmarkEnd w:id="1"/>
      <w:r w:rsidRPr="00AE0CAB">
        <w:rPr>
          <w:rFonts w:ascii="Times New Roman" w:eastAsia="Calibri" w:hAnsi="Times New Roman" w:cs="Times New Roman"/>
          <w:b/>
          <w:sz w:val="24"/>
          <w:szCs w:val="24"/>
        </w:rPr>
        <w:t>INICIATIVA CON PROYECTO DE DECRETO, MEDIANTE LA CUAL SE ADICIONA UN ARTÍCULO 138 BIS A LA LEY DEL TRABAJO DE LOS SERVIDORES PÚBLICOS DEL ESTADO Y MUNICIPIOS Y SE ADICIONA UNA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 PRESENTADA POR EL DIPUTADO RIGOBERTO VARGAS CERVANTES, EN NOMBRE DEL GRUPO PARLAMENTARIO DEL PARTIDO MORENA.</w:t>
      </w:r>
      <w:bookmarkEnd w:id="2"/>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
          <w:sz w:val="24"/>
          <w:szCs w:val="24"/>
        </w:rPr>
      </w:pPr>
      <w:r w:rsidRPr="00AE0CAB">
        <w:rPr>
          <w:rFonts w:ascii="Times New Roman" w:eastAsia="Calibri" w:hAnsi="Times New Roman" w:cs="Times New Roman"/>
          <w:b/>
          <w:sz w:val="24"/>
          <w:szCs w:val="24"/>
        </w:rPr>
        <w:t>HONORABLE ASAMBLEA:</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Cs/>
          <w:sz w:val="24"/>
          <w:szCs w:val="24"/>
        </w:rPr>
      </w:pPr>
      <w:r w:rsidRPr="00AE0CAB">
        <w:rPr>
          <w:rFonts w:ascii="Times New Roman" w:eastAsia="Calibri" w:hAnsi="Times New Roman" w:cs="Times New Roman"/>
          <w:sz w:val="24"/>
          <w:szCs w:val="24"/>
        </w:rPr>
        <w:t xml:space="preserve">La Presidencia de la "LXII" Legislatura remitió a la Comisión Legislativa de Trabajo, Previsión y Seguridad Social, para su estudio y dictamen, la </w:t>
      </w:r>
      <w:bookmarkStart w:id="3" w:name="_Hlk222214487"/>
      <w:bookmarkStart w:id="4" w:name="_Hlk215783453"/>
      <w:r w:rsidRPr="00AE0CAB">
        <w:rPr>
          <w:rFonts w:ascii="Times New Roman" w:eastAsia="Calibri" w:hAnsi="Times New Roman" w:cs="Times New Roman"/>
          <w:bCs/>
          <w:sz w:val="24"/>
          <w:szCs w:val="24"/>
        </w:rPr>
        <w:t xml:space="preserve">Iniciativa con Proyecto de Decreto, mediante la cual se adiciona un artículo 138 Bis a la Ley del </w:t>
      </w:r>
      <w:bookmarkStart w:id="5" w:name="_Hlk222063169"/>
      <w:r w:rsidRPr="00AE0CAB">
        <w:rPr>
          <w:rFonts w:ascii="Times New Roman" w:eastAsia="Calibri" w:hAnsi="Times New Roman" w:cs="Times New Roman"/>
          <w:bCs/>
          <w:sz w:val="24"/>
          <w:szCs w:val="24"/>
        </w:rPr>
        <w:t>Trabajo de los Servidores Públicos del Estado y Municipios y se adiciona una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w:t>
      </w:r>
      <w:bookmarkEnd w:id="3"/>
      <w:bookmarkEnd w:id="5"/>
      <w:r w:rsidRPr="00AE0CAB">
        <w:rPr>
          <w:rFonts w:ascii="Times New Roman" w:eastAsia="Calibri" w:hAnsi="Times New Roman" w:cs="Times New Roman"/>
          <w:bCs/>
          <w:sz w:val="24"/>
          <w:szCs w:val="24"/>
        </w:rPr>
        <w:t>, presentada por el Diputado Rigoberto Vargas Cervantes, en nombre del Grupo Parlamentario del Partido morena.</w:t>
      </w:r>
    </w:p>
    <w:bookmarkEnd w:id="4"/>
    <w:p w:rsidR="00F51D6E" w:rsidRPr="00AE0CAB" w:rsidRDefault="00F51D6E" w:rsidP="00D71801">
      <w:pPr>
        <w:spacing w:after="0" w:line="240" w:lineRule="auto"/>
        <w:contextualSpacing/>
        <w:jc w:val="both"/>
        <w:rPr>
          <w:rFonts w:ascii="Times New Roman" w:eastAsia="Calibri" w:hAnsi="Times New Roman" w:cs="Times New Roman"/>
          <w:bCs/>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Sustanciado el estudio de la iniciativa y discutido satisfactoriamente en la comisión legislativa, nos permitimos, con fundamento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center"/>
        <w:rPr>
          <w:rFonts w:ascii="Times New Roman" w:eastAsia="Calibri" w:hAnsi="Times New Roman" w:cs="Times New Roman"/>
          <w:b/>
          <w:bCs/>
          <w:sz w:val="24"/>
          <w:szCs w:val="24"/>
        </w:rPr>
      </w:pPr>
      <w:r w:rsidRPr="00AE0CAB">
        <w:rPr>
          <w:rFonts w:ascii="Times New Roman" w:eastAsia="Calibri" w:hAnsi="Times New Roman" w:cs="Times New Roman"/>
          <w:b/>
          <w:bCs/>
          <w:sz w:val="24"/>
          <w:szCs w:val="24"/>
        </w:rPr>
        <w:t>DICTAMEN</w:t>
      </w:r>
    </w:p>
    <w:p w:rsidR="00F51D6E" w:rsidRPr="00AE0CAB" w:rsidRDefault="00F51D6E" w:rsidP="00D71801">
      <w:pPr>
        <w:spacing w:after="0" w:line="240" w:lineRule="auto"/>
        <w:contextualSpacing/>
        <w:jc w:val="both"/>
        <w:rPr>
          <w:rFonts w:ascii="Times New Roman" w:eastAsia="Calibri" w:hAnsi="Times New Roman" w:cs="Times New Roman"/>
          <w:bCs/>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
          <w:bCs/>
          <w:sz w:val="24"/>
          <w:szCs w:val="24"/>
        </w:rPr>
      </w:pPr>
      <w:r w:rsidRPr="00AE0CAB">
        <w:rPr>
          <w:rFonts w:ascii="Times New Roman" w:eastAsia="Calibri" w:hAnsi="Times New Roman" w:cs="Times New Roman"/>
          <w:b/>
          <w:bCs/>
          <w:sz w:val="24"/>
          <w:szCs w:val="24"/>
        </w:rPr>
        <w:t>ANTECEDENTES Y CONCLUSIÓN DEL ESTUDIO.</w:t>
      </w:r>
    </w:p>
    <w:p w:rsidR="00F51D6E" w:rsidRPr="00AE0CAB" w:rsidRDefault="00F51D6E" w:rsidP="00D71801">
      <w:pPr>
        <w:spacing w:after="0" w:line="240" w:lineRule="auto"/>
        <w:contextualSpacing/>
        <w:jc w:val="both"/>
        <w:rPr>
          <w:rFonts w:ascii="Times New Roman" w:eastAsia="Calibri" w:hAnsi="Times New Roman" w:cs="Times New Roman"/>
          <w:bCs/>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En sesión de la “LXII” Legislatura realizada el día once de febrero de dos mil veintiséis, presentó </w:t>
      </w:r>
      <w:r w:rsidRPr="00AE0CAB">
        <w:rPr>
          <w:rFonts w:ascii="Times New Roman" w:eastAsia="Calibri" w:hAnsi="Times New Roman" w:cs="Times New Roman"/>
          <w:bCs/>
          <w:sz w:val="24"/>
          <w:szCs w:val="24"/>
        </w:rPr>
        <w:t>Iniciativa con Proyecto de Decreto, mediante la cual se adiciona un artículo 138 Bis a la Ley del Trabajo de los Servidores Públicos del Estado y Municipios y se adiciona una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w:t>
      </w:r>
      <w:r w:rsidRPr="00AE0CAB">
        <w:rPr>
          <w:rFonts w:ascii="Times New Roman" w:eastAsia="Calibri" w:hAnsi="Times New Roman" w:cs="Times New Roman"/>
          <w:sz w:val="24"/>
          <w:szCs w:val="24"/>
        </w:rPr>
        <w:t xml:space="preserve"> </w:t>
      </w:r>
      <w:r w:rsidRPr="00AE0CAB">
        <w:rPr>
          <w:rFonts w:ascii="Times New Roman" w:eastAsia="Calibri" w:hAnsi="Times New Roman" w:cs="Times New Roman"/>
          <w:bCs/>
          <w:sz w:val="24"/>
          <w:szCs w:val="24"/>
        </w:rPr>
        <w:t>el Diputado Rigoberto Vargas Cervantes, en nombre del Grupo Parlamentario del Partido morena</w:t>
      </w:r>
      <w:r w:rsidRPr="00AE0CAB">
        <w:rPr>
          <w:rFonts w:ascii="Times New Roman" w:eastAsia="Calibri" w:hAnsi="Times New Roman" w:cs="Times New Roman"/>
          <w:sz w:val="24"/>
          <w:szCs w:val="24"/>
        </w:rPr>
        <w:t>, de conformidad con lo dispuesto en los artículos 51 fracción II, 57 y 61 fracción I de la Constitución Política del Estado Libre y Soberano de México; 28 fracción I, 30 primer párrafo, 38 fracción II, 79, 81 y 83 de la Ley Orgánica del Poder Legislativo del Estado Libre y Soberano de México, así como 68 del Reglamento del Poder Legislativo del Estado Libre y Soberano de México.</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Destacamos que, la Iniciativa con Proyecto de Decreto propone adiciones a la Ley del </w:t>
      </w:r>
      <w:r w:rsidRPr="00AE0CAB">
        <w:rPr>
          <w:rFonts w:ascii="Times New Roman" w:eastAsia="Calibri" w:hAnsi="Times New Roman" w:cs="Times New Roman"/>
          <w:bCs/>
          <w:sz w:val="24"/>
          <w:szCs w:val="24"/>
        </w:rPr>
        <w:t xml:space="preserve">Trabajo de los Servidores Públicos del Estado y Municipios y a la Ley de Responsabilidades Administrativas </w:t>
      </w:r>
      <w:r w:rsidRPr="00AE0CAB">
        <w:rPr>
          <w:rFonts w:ascii="Times New Roman" w:eastAsia="Calibri" w:hAnsi="Times New Roman" w:cs="Times New Roman"/>
          <w:bCs/>
          <w:sz w:val="24"/>
          <w:szCs w:val="24"/>
        </w:rPr>
        <w:lastRenderedPageBreak/>
        <w:t>del Estado de México y Municipios, para reconocer expresamente la autonomía sindical como principio rector del derecho colectivo del trabajo en el servicio público estatal y municipal.</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La Comisión Legislativa de Trabajo, Previsión y Seguridad Social, en cumplimiento de lo ordenado en la Ley Orgánica y el Reglamento del Poder Legislativo realizó el día martes diecisiete de febrero del año en curso, reunión de estudio y dictaminación.</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este contexto y de acuerdo con el estudio que llevamos a cabo, reconocemos que la libertad sindical y la autonomía de las organizaciones de personas trabajadoras son derechos humanos colectivos reconocidos por la Constitución y por convenios de la OIT obligatorios para el Estado mexicano. En diciembre de 2025 se reformó la Ley Federal de los Trabajadores al Servicio del Estado para prohibir expresamente la injerencia de autoridades en la vida interna de los sindicatos y sancionarla como falta administrativa grave.</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Advertimos que, en el Estado de México la legislación local en materia laboral y de responsabilidades administrativas no contempla de forma clara y sancionable dicha prohibición, lo que genera vacíos normativos y permite prácticas contrarias a la democracia y libertad sindical, como lo expresa la iniciativa.</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Estamos de acuerdo, en que la iniciativa propone armonizar la legislación estatal con la federal, reconocer explícitamente la autonomía sindical, prohibir cualquier injerencia de autoridades en la organización y decisiones sindicales, y establecer sanciones claras por estas conductas. </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tal sentido estimamos procedente adicionar la Ley del Trabajo de los Servidores Públicos del Estado y Municipios y la Ley de Responsabilidades Administrativas del Estado de México y Municipios.</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
          <w:sz w:val="24"/>
          <w:szCs w:val="24"/>
        </w:rPr>
      </w:pPr>
      <w:r w:rsidRPr="00AE0CAB">
        <w:rPr>
          <w:rFonts w:ascii="Times New Roman" w:eastAsia="Calibri" w:hAnsi="Times New Roman" w:cs="Times New Roman"/>
          <w:b/>
          <w:sz w:val="24"/>
          <w:szCs w:val="24"/>
        </w:rPr>
        <w:t>CONSIDERACIONES.</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Cs/>
          <w:sz w:val="24"/>
          <w:szCs w:val="24"/>
        </w:rPr>
      </w:pPr>
      <w:r w:rsidRPr="00AE0CAB">
        <w:rPr>
          <w:rFonts w:ascii="Times New Roman" w:eastAsia="Calibri" w:hAnsi="Times New Roman" w:cs="Times New Roman"/>
          <w:bCs/>
          <w:sz w:val="24"/>
          <w:szCs w:val="24"/>
        </w:rPr>
        <w:t>Es competente la “LXII” Legislatura para conocer y resolver la Iniciativa de Decreto, en términos de lo dispuesto en el artículo 61 fracción I de la Constitución Política del Estado Libre y Soberano de México, que la faculta a expedir leyes, decretos o acuerdos para el régimen interior del Estado, en todos los ramos de la administración del gobierno.</w:t>
      </w:r>
    </w:p>
    <w:p w:rsidR="00F51D6E" w:rsidRPr="00AE0CAB" w:rsidRDefault="00F51D6E" w:rsidP="00D71801">
      <w:pPr>
        <w:spacing w:after="0" w:line="240" w:lineRule="auto"/>
        <w:contextualSpacing/>
        <w:jc w:val="both"/>
        <w:rPr>
          <w:rFonts w:ascii="Times New Roman" w:eastAsia="Calibri" w:hAnsi="Times New Roman" w:cs="Times New Roman"/>
          <w:b/>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
          <w:sz w:val="24"/>
          <w:szCs w:val="24"/>
        </w:rPr>
      </w:pPr>
      <w:r w:rsidRPr="00AE0CAB">
        <w:rPr>
          <w:rFonts w:ascii="Times New Roman" w:eastAsia="Calibri" w:hAnsi="Times New Roman" w:cs="Times New Roman"/>
          <w:b/>
          <w:sz w:val="24"/>
          <w:szCs w:val="24"/>
        </w:rPr>
        <w:t>ANÁLISIS Y VALORACIÓN DE LOS ARGUMENTOS.</w:t>
      </w:r>
    </w:p>
    <w:p w:rsidR="00F51D6E" w:rsidRPr="00AE0CAB" w:rsidRDefault="00F51D6E" w:rsidP="00D71801">
      <w:pPr>
        <w:spacing w:after="0" w:line="240" w:lineRule="auto"/>
        <w:contextualSpacing/>
        <w:jc w:val="both"/>
        <w:rPr>
          <w:rFonts w:ascii="Times New Roman" w:eastAsia="Calibri" w:hAnsi="Times New Roman" w:cs="Times New Roman"/>
          <w:b/>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Resaltamos, con la propuesta legislativa que la libertad sindical y la autonomía de las organizaciones de personas trabajadoras constituyen </w:t>
      </w:r>
      <w:r w:rsidRPr="00AE0CAB">
        <w:rPr>
          <w:rFonts w:ascii="Times New Roman" w:eastAsia="Calibri" w:hAnsi="Times New Roman" w:cs="Times New Roman"/>
          <w:bCs/>
          <w:sz w:val="24"/>
          <w:szCs w:val="24"/>
        </w:rPr>
        <w:t>derechos humanos de naturaleza colectiva</w:t>
      </w:r>
      <w:r w:rsidRPr="00AE0CAB">
        <w:rPr>
          <w:rFonts w:ascii="Times New Roman" w:eastAsia="Calibri" w:hAnsi="Times New Roman" w:cs="Times New Roman"/>
          <w:sz w:val="24"/>
          <w:szCs w:val="24"/>
        </w:rPr>
        <w:t xml:space="preserve">, reconocidos en el artículo 123 de la Constitución Política de los Estados Unidos Mexicanos, así como en los </w:t>
      </w:r>
      <w:r w:rsidRPr="00AE0CAB">
        <w:rPr>
          <w:rFonts w:ascii="Times New Roman" w:eastAsia="Calibri" w:hAnsi="Times New Roman" w:cs="Times New Roman"/>
          <w:bCs/>
          <w:sz w:val="24"/>
          <w:szCs w:val="24"/>
        </w:rPr>
        <w:t>Convenios 87 y 98 de la Organización Internacional del Trabajo</w:t>
      </w:r>
      <w:r w:rsidRPr="00AE0CAB">
        <w:rPr>
          <w:rFonts w:ascii="Times New Roman" w:eastAsia="Calibri" w:hAnsi="Times New Roman" w:cs="Times New Roman"/>
          <w:sz w:val="24"/>
          <w:szCs w:val="24"/>
        </w:rPr>
        <w:t>, ratificados por el Estado mexicano y, por tanto, de observancia obligatoria para los tres órdenes de gobierno.</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Advertimos que en congruencia con dichos estándares internacionales, el Senador Alfonso Cepeda Salas presentó la iniciativa de ley, que recientemente fue aprobada y publicada en el Diario Oficial de la Federación, el 15 de diciembre de 2025, que reforma la </w:t>
      </w:r>
      <w:r w:rsidRPr="00AE0CAB">
        <w:rPr>
          <w:rFonts w:ascii="Times New Roman" w:eastAsia="Calibri" w:hAnsi="Times New Roman" w:cs="Times New Roman"/>
          <w:bCs/>
          <w:sz w:val="24"/>
          <w:szCs w:val="24"/>
        </w:rPr>
        <w:t>Ley Federal de los Trabajadores al Servicio del Estado</w:t>
      </w:r>
      <w:r w:rsidRPr="00AE0CAB">
        <w:rPr>
          <w:rFonts w:ascii="Times New Roman" w:eastAsia="Calibri" w:hAnsi="Times New Roman" w:cs="Times New Roman"/>
          <w:sz w:val="24"/>
          <w:szCs w:val="24"/>
        </w:rPr>
        <w:t xml:space="preserve">, adicionando el </w:t>
      </w:r>
      <w:r w:rsidRPr="00AE0CAB">
        <w:rPr>
          <w:rFonts w:ascii="Times New Roman" w:eastAsia="Calibri" w:hAnsi="Times New Roman" w:cs="Times New Roman"/>
          <w:bCs/>
          <w:sz w:val="24"/>
          <w:szCs w:val="24"/>
        </w:rPr>
        <w:t>artículo 69 Bis</w:t>
      </w:r>
      <w:r w:rsidRPr="00AE0CAB">
        <w:rPr>
          <w:rFonts w:ascii="Times New Roman" w:eastAsia="Calibri" w:hAnsi="Times New Roman" w:cs="Times New Roman"/>
          <w:sz w:val="24"/>
          <w:szCs w:val="24"/>
        </w:rPr>
        <w:t xml:space="preserve">, el cual establece de manera expresa la </w:t>
      </w:r>
      <w:r w:rsidRPr="00AE0CAB">
        <w:rPr>
          <w:rFonts w:ascii="Times New Roman" w:eastAsia="Calibri" w:hAnsi="Times New Roman" w:cs="Times New Roman"/>
          <w:bCs/>
          <w:sz w:val="24"/>
          <w:szCs w:val="24"/>
        </w:rPr>
        <w:t>prohibición absoluta de injerencia de autoridades y personas servidoras públicas en la vida interna de los sindicatos</w:t>
      </w:r>
      <w:r w:rsidRPr="00AE0CAB">
        <w:rPr>
          <w:rFonts w:ascii="Times New Roman" w:eastAsia="Calibri" w:hAnsi="Times New Roman" w:cs="Times New Roman"/>
          <w:sz w:val="24"/>
          <w:szCs w:val="24"/>
        </w:rPr>
        <w:t xml:space="preserve">, así como las consecuencias jurídicas derivadas de su incumplimiento.  Asimismo, que dicha reforma se acompañó de la adición del </w:t>
      </w:r>
      <w:r w:rsidRPr="00AE0CAB">
        <w:rPr>
          <w:rFonts w:ascii="Times New Roman" w:eastAsia="Calibri" w:hAnsi="Times New Roman" w:cs="Times New Roman"/>
          <w:bCs/>
          <w:sz w:val="24"/>
          <w:szCs w:val="24"/>
        </w:rPr>
        <w:t xml:space="preserve">artículo 64 </w:t>
      </w:r>
      <w:proofErr w:type="spellStart"/>
      <w:r w:rsidRPr="00AE0CAB">
        <w:rPr>
          <w:rFonts w:ascii="Times New Roman" w:eastAsia="Calibri" w:hAnsi="Times New Roman" w:cs="Times New Roman"/>
          <w:bCs/>
          <w:sz w:val="24"/>
          <w:szCs w:val="24"/>
        </w:rPr>
        <w:t>Quáter</w:t>
      </w:r>
      <w:proofErr w:type="spellEnd"/>
      <w:r w:rsidRPr="00AE0CAB">
        <w:rPr>
          <w:rFonts w:ascii="Times New Roman" w:eastAsia="Calibri" w:hAnsi="Times New Roman" w:cs="Times New Roman"/>
          <w:bCs/>
          <w:sz w:val="24"/>
          <w:szCs w:val="24"/>
        </w:rPr>
        <w:t xml:space="preserve"> a la Ley General de </w:t>
      </w:r>
      <w:r w:rsidRPr="00AE0CAB">
        <w:rPr>
          <w:rFonts w:ascii="Times New Roman" w:eastAsia="Calibri" w:hAnsi="Times New Roman" w:cs="Times New Roman"/>
          <w:bCs/>
          <w:sz w:val="24"/>
          <w:szCs w:val="24"/>
        </w:rPr>
        <w:lastRenderedPageBreak/>
        <w:t>Responsabilidades Administrativas</w:t>
      </w:r>
      <w:r w:rsidRPr="00AE0CAB">
        <w:rPr>
          <w:rFonts w:ascii="Times New Roman" w:eastAsia="Calibri" w:hAnsi="Times New Roman" w:cs="Times New Roman"/>
          <w:sz w:val="24"/>
          <w:szCs w:val="24"/>
        </w:rPr>
        <w:t xml:space="preserve">, con el propósito de </w:t>
      </w:r>
      <w:r w:rsidRPr="00AE0CAB">
        <w:rPr>
          <w:rFonts w:ascii="Times New Roman" w:eastAsia="Calibri" w:hAnsi="Times New Roman" w:cs="Times New Roman"/>
          <w:bCs/>
          <w:sz w:val="24"/>
          <w:szCs w:val="24"/>
        </w:rPr>
        <w:t xml:space="preserve">tipificar como falta administrativa grave </w:t>
      </w:r>
      <w:r w:rsidRPr="00AE0CAB">
        <w:rPr>
          <w:rFonts w:ascii="Times New Roman" w:eastAsia="Calibri" w:hAnsi="Times New Roman" w:cs="Times New Roman"/>
          <w:sz w:val="24"/>
          <w:szCs w:val="24"/>
        </w:rPr>
        <w:t>cualquier acto de intervención, presión o inducción en los procesos sindicales, fortaleciendo así la protección efectiva de la autonomía sindical.</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Reconocemos que el Estado de México cuenta con un régimen jurídico propio en materia de relaciones laborales de las personas servidoras públicas, contenido en la </w:t>
      </w:r>
      <w:r w:rsidRPr="00AE0CAB">
        <w:rPr>
          <w:rFonts w:ascii="Times New Roman" w:eastAsia="Calibri" w:hAnsi="Times New Roman" w:cs="Times New Roman"/>
          <w:bCs/>
          <w:sz w:val="24"/>
          <w:szCs w:val="24"/>
        </w:rPr>
        <w:t>Ley del Trabajo de los Servidores Públicos del Estado y Municipios</w:t>
      </w:r>
      <w:r w:rsidRPr="00AE0CAB">
        <w:rPr>
          <w:rFonts w:ascii="Times New Roman" w:eastAsia="Calibri" w:hAnsi="Times New Roman" w:cs="Times New Roman"/>
          <w:sz w:val="24"/>
          <w:szCs w:val="24"/>
        </w:rPr>
        <w:t>, así como con una legislación local en materia de responsabilidades administrativas, como lo afirma la iniciativa.</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Destacamos lo expuesto en la iniciativa en cuanto a que, no obstante, dichas normas no contemplan de manera expresa, clara y sancionable la prohibición de la injerencia institucional en la vida interna de los sindicatos, lo cual genera vacíos normativos, riesgos de simulación democrática, y prácticas contrarias a la libertad sindical, especialmente en contextos de elección de dirigencias y toma de decisiones colectivas.</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Es evidente que la ausencia de reglas claras permite que, en los hechos, subsistan formas indirectas de control, condicionamiento o presión política, incompatibles con un Estado democrático de derecho y con la reforma laboral de 2019, que fortalece la libertad y la democracia sindical, al garantizar la libre afiliación, la autonomía de los sindicatos y la prohibición de toda injerencia en su vida interna, asegurando una representación legítima y una negociación colectiva auténtica. Asimismo, impulsa una justicia laboral más ágil, con conciliación obligatoria y juicios orales expeditos; promueve la transparencia sindical en el uso de las cuotas, y consolida un enfoque de inclusión y perspectiva de género en la participación y representación de las y los trabajadores.</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Compartimos el objeto de la iniciativa, sobre: Armonizar la legislación del Estado de México con el artículo 69 Bis de la Ley Federal de los Trabajadores al Servicio del Estado; reconocer expresamente la autonomía sindical como principio rector del derecho colectivo del trabajo en el servicio público estatal y municipal; prohibir de manera expresa y categórica cualquier forma de injerencia de autoridades o personas servidoras públicas en: la organización sindical, la elección de dirigencias, la administración de recursos, y la toma de decisiones internas; y establecer consecuencias jurídicas claras mediante la tipificación de la injerencia sindical como falta administrativa grave en el ámbito estatal.</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Por ello, estimamos conveniente adicionar un artículo 138 Bis a la Ley del Trabajo de los Servidores Públicos del Estado y Municipios y adicionar una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Estimamos también que la aprobación de esta iniciativa permitirá: fortalecer la </w:t>
      </w:r>
      <w:r w:rsidRPr="00AE0CAB">
        <w:rPr>
          <w:rFonts w:ascii="Times New Roman" w:eastAsia="Calibri" w:hAnsi="Times New Roman" w:cs="Times New Roman"/>
          <w:bCs/>
          <w:sz w:val="24"/>
          <w:szCs w:val="24"/>
        </w:rPr>
        <w:t>democracia sindical real</w:t>
      </w:r>
      <w:r w:rsidRPr="00AE0CAB">
        <w:rPr>
          <w:rFonts w:ascii="Times New Roman" w:eastAsia="Calibri" w:hAnsi="Times New Roman" w:cs="Times New Roman"/>
          <w:sz w:val="24"/>
          <w:szCs w:val="24"/>
        </w:rPr>
        <w:t>, no solo formal; garantizar el ejercicio efectivo de los derechos colectivos de las personas servidoras públicas; prevenir el uso político o administrativo de las organizaciones sindicales; dar cumplimiento a los compromisos constitucionales e internacionales del Estado mexicano; y contribuir a la paz laboral, la gobernabilidad democrática y el respeto al Estado de derecho.</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
          <w:sz w:val="24"/>
          <w:szCs w:val="24"/>
        </w:rPr>
      </w:pPr>
      <w:r w:rsidRPr="00AE0CAB">
        <w:rPr>
          <w:rFonts w:ascii="Times New Roman" w:eastAsia="Calibri" w:hAnsi="Times New Roman" w:cs="Times New Roman"/>
          <w:b/>
          <w:sz w:val="24"/>
          <w:szCs w:val="24"/>
        </w:rPr>
        <w:t>ANÁLISIS Y ESTUDIO TÉCNICO DEL TEXTO NORMATIVO.</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Cs/>
          <w:sz w:val="24"/>
          <w:szCs w:val="24"/>
        </w:rPr>
      </w:pPr>
      <w:r w:rsidRPr="00AE0CAB">
        <w:rPr>
          <w:rFonts w:ascii="Times New Roman" w:eastAsia="Calibri" w:hAnsi="Times New Roman" w:cs="Times New Roman"/>
          <w:sz w:val="24"/>
          <w:szCs w:val="24"/>
        </w:rPr>
        <w:lastRenderedPageBreak/>
        <w:t xml:space="preserve">Con sustento en el estudio realizado es procedente adicionar un artículo 138 Bis a la Ley del Trabajo de los Servidores Públicos del Estado y Municipios, para precisar que </w:t>
      </w:r>
      <w:r w:rsidRPr="00AE0CAB">
        <w:rPr>
          <w:rFonts w:ascii="Times New Roman" w:eastAsia="Calibri" w:hAnsi="Times New Roman" w:cs="Times New Roman"/>
          <w:bCs/>
          <w:sz w:val="24"/>
          <w:szCs w:val="24"/>
        </w:rPr>
        <w:t xml:space="preserve">sindicatos deberán gozar de adecuada protección contra todo acto de injerencia por parte de las personas servidoras públicas en su constitución, funcionamiento, administración y libre desarrollo de las elecciones sindicales, las condiciones de elegibilidad, la reelección y/o la destitución de las directivas de los sindicatos. Cualquier contravención a estas disposiciones será́ considerada falta administrativa grave y sancionada en los términos de la Ley de Responsabilidades Administrativas del Estado de México y Municipios. </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Aclarando que se entenderán como actos de injerencia sindical, entre otras, las siguientes conductas: </w:t>
      </w:r>
      <w:r w:rsidRPr="00AE0CAB">
        <w:rPr>
          <w:rFonts w:ascii="Times New Roman" w:eastAsia="Calibri" w:hAnsi="Times New Roman" w:cs="Times New Roman"/>
          <w:bCs/>
          <w:sz w:val="24"/>
          <w:szCs w:val="24"/>
        </w:rPr>
        <w:t>Coaccionar, inducir o amenazar a personas trabajadoras o agremiadas para participar o abstenerse de participar en eventos de campaña sindical, o para votar por una planilla, dirigente o sindicato determinado; ejercer presión o intimidación jerárquica sobre subordinados para que expresen públicamente su apoyo o rechazo a determinada candidatura sindical; obligar o condicionar la asistencia a actos, mítines o reuniones sindicales con fines de proselitismo; condicionar la prestación de servicios institucionales, apoyos, licencias o permisos laborales a la emisión del voto o apoyo hacia una planilla sindical; ofrecer beneficios laborales, ascensos, estímulos o promociones a cambio de apoyo o voto sindical; negar, suspender o limitar derechos o programas internos, capacitaciones, bonos o reconocimientos como represalia por no apoyar determinada opción sindical; utilizar programas institucionales o apoyos sociales para inducir o coaccionar el voto sindical; destinar, utilizar o permitir el uso de fondos, bienes, servicios o personal institucional para favorecer o perjudicar a determinada planilla, corriente o dirigencia sindical; difundir propaganda, mensajes o material institucional que promueva o desacredite a una candidatura o grupo sindical; permitir el uso de instalaciones, vehículos, redes o infraestructura pública para actos de campaña o propaganda sindical; proporcionar apoyo o servicios institucionales para actividades de campaña sindical; Realizar aportaciones o solicitar contribuciones a subordinados para financiar campañas o actividades sindicales; Usar recursos o programas institucionales con la finalidad de posicionar o promover ante la base trabajadora a una persona servidora pública o dirigente sindical; negarse sin causa justificada a entregar información solicitada por la autoridad sindical o laboral competente, relacionada con el desarrollo de elecciones o procesos democráticos sindicales; omitir colaborar o prestar auxilio en los procesos de verificación, vigilancia o supervisión sindical cuando la autoridad lo requiera; omitir actuar con imparcialidad durante los procesos electorales sindicales, afectando la equidad entre candidaturas; actuar con parcialidad o favorecer públicamente a determinada candidatura; intervenir indebidamente en la equidad del proceso sindical, alterando la neutralidad institucional; y utilizar su cargo para influir en la opinión de las personas trabajadoras, afectando la libertad del voto sindical.</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De igual forma, es procedente adicionar una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 para señalar en el artículo 52 que para efectos de la presente Ley, se consideran faltas administrativas graves de los servidores públicos, mediante cualquier acto u omisión, entre otras:</w:t>
      </w:r>
      <w:r w:rsidRPr="00AE0CAB">
        <w:rPr>
          <w:rFonts w:ascii="Times New Roman" w:eastAsia="Calibri" w:hAnsi="Times New Roman" w:cs="Times New Roman"/>
          <w:bCs/>
          <w:sz w:val="24"/>
          <w:szCs w:val="24"/>
        </w:rPr>
        <w:t xml:space="preserve"> La Injerencia Sindical.</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Cs/>
          <w:sz w:val="24"/>
          <w:szCs w:val="24"/>
        </w:rPr>
      </w:pPr>
      <w:r w:rsidRPr="00AE0CAB">
        <w:rPr>
          <w:rFonts w:ascii="Times New Roman" w:eastAsia="Calibri" w:hAnsi="Times New Roman" w:cs="Times New Roman"/>
          <w:sz w:val="24"/>
          <w:szCs w:val="24"/>
        </w:rPr>
        <w:t xml:space="preserve">En la Sección Décima Cuarta de la Injerencia Sindical, se dispone en el artículo 67 Bis que será </w:t>
      </w:r>
      <w:r w:rsidRPr="00AE0CAB">
        <w:rPr>
          <w:rFonts w:ascii="Times New Roman" w:eastAsia="Calibri" w:hAnsi="Times New Roman" w:cs="Times New Roman"/>
          <w:bCs/>
          <w:sz w:val="24"/>
          <w:szCs w:val="24"/>
        </w:rPr>
        <w:t xml:space="preserve">responsable de injerencia sindical la persona servidora pública que, por sí o por terceros, incurra </w:t>
      </w:r>
      <w:r w:rsidRPr="00AE0CAB">
        <w:rPr>
          <w:rFonts w:ascii="Times New Roman" w:eastAsia="Calibri" w:hAnsi="Times New Roman" w:cs="Times New Roman"/>
          <w:bCs/>
          <w:sz w:val="24"/>
          <w:szCs w:val="24"/>
        </w:rPr>
        <w:lastRenderedPageBreak/>
        <w:t>en las conductas previstas en la Ley del Trabajo de los Servidores Públicos del Estado y Municipios.</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Cs/>
          <w:sz w:val="24"/>
          <w:szCs w:val="24"/>
        </w:rPr>
      </w:pPr>
      <w:r w:rsidRPr="00AE0CAB">
        <w:rPr>
          <w:rFonts w:ascii="Times New Roman" w:eastAsia="Calibri" w:hAnsi="Times New Roman" w:cs="Times New Roman"/>
          <w:sz w:val="24"/>
          <w:szCs w:val="24"/>
        </w:rPr>
        <w:t>En cuanto al régimen transitorio es procedente puntualizar que las autoridades estatales y municipales deberán adecuar sus reglamentos, lineamientos y disposiciones administrativas en un plazo no mayor a 60 días naturales, contados a partir de la entrada en vigor del presente Decreto, de conformidad con lo previsto en el mismo</w:t>
      </w:r>
      <w:r w:rsidRPr="00AE0CAB">
        <w:rPr>
          <w:rFonts w:ascii="Times New Roman" w:eastAsia="Calibri" w:hAnsi="Times New Roman" w:cs="Times New Roman"/>
          <w:bCs/>
          <w:sz w:val="24"/>
          <w:szCs w:val="24"/>
        </w:rPr>
        <w:t xml:space="preserve">. </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Por las razones expuestas; </w:t>
      </w:r>
      <w:r w:rsidRPr="00AE0CAB">
        <w:rPr>
          <w:rFonts w:ascii="Times New Roman" w:eastAsia="Arial" w:hAnsi="Times New Roman" w:cs="Times New Roman"/>
          <w:iCs/>
          <w:sz w:val="24"/>
          <w:szCs w:val="24"/>
        </w:rPr>
        <w:t xml:space="preserve">valorados los argumentos; concluido el estudio técnico; determinado el beneficio social de la Iniciativa; y cumplimentados los </w:t>
      </w:r>
      <w:r w:rsidRPr="00AE0CAB">
        <w:rPr>
          <w:rFonts w:ascii="Times New Roman" w:eastAsia="Calibri" w:hAnsi="Times New Roman" w:cs="Times New Roman"/>
          <w:sz w:val="24"/>
          <w:szCs w:val="24"/>
        </w:rPr>
        <w:t xml:space="preserve">requisitos de fondo y forma, nos permitimos concluir con los siguientes: </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RESOLUTIVOS</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Cs/>
          <w:sz w:val="24"/>
          <w:szCs w:val="24"/>
        </w:rPr>
      </w:pPr>
      <w:r w:rsidRPr="00AE0CAB">
        <w:rPr>
          <w:rFonts w:ascii="Times New Roman" w:eastAsia="Calibri" w:hAnsi="Times New Roman" w:cs="Times New Roman"/>
          <w:b/>
          <w:sz w:val="24"/>
          <w:szCs w:val="24"/>
        </w:rPr>
        <w:t>PRIMERO.-</w:t>
      </w:r>
      <w:r w:rsidRPr="00AE0CAB">
        <w:rPr>
          <w:rFonts w:ascii="Times New Roman" w:eastAsia="Calibri" w:hAnsi="Times New Roman" w:cs="Times New Roman"/>
          <w:sz w:val="24"/>
          <w:szCs w:val="24"/>
        </w:rPr>
        <w:t xml:space="preserve"> Es de aprobarse, en lo conducente, conforme el Proyecto de Decreto que ha sido integrado, la </w:t>
      </w:r>
      <w:r w:rsidRPr="00AE0CAB">
        <w:rPr>
          <w:rFonts w:ascii="Times New Roman" w:eastAsia="Calibri" w:hAnsi="Times New Roman" w:cs="Times New Roman"/>
          <w:bCs/>
          <w:sz w:val="24"/>
          <w:szCs w:val="24"/>
        </w:rPr>
        <w:t>Iniciativa con Proyecto de Decreto, mediante la cual se adiciona un artículo 138 Bis a la Ley del Trabajo de los Servidores Públicos del Estado y Municipios y se adiciona una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 presentada por el Diputado Rigoberto Vargas Cervantes, en nombre del Grupo Parlamentario del Partido morena.</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SEGUNDO.- </w:t>
      </w:r>
      <w:r w:rsidRPr="00AE0CAB">
        <w:rPr>
          <w:rFonts w:ascii="Times New Roman" w:eastAsia="Calibri" w:hAnsi="Times New Roman" w:cs="Times New Roman"/>
          <w:sz w:val="24"/>
          <w:szCs w:val="24"/>
        </w:rPr>
        <w:t>Se adjunta el Proyecto de Decreto respectivo.</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b/>
          <w:sz w:val="24"/>
          <w:szCs w:val="24"/>
        </w:rPr>
      </w:pPr>
      <w:r w:rsidRPr="00AE0CAB">
        <w:rPr>
          <w:rFonts w:ascii="Times New Roman" w:eastAsia="Calibri" w:hAnsi="Times New Roman" w:cs="Times New Roman"/>
          <w:b/>
          <w:sz w:val="24"/>
          <w:szCs w:val="24"/>
        </w:rPr>
        <w:t xml:space="preserve">TERCERO.- </w:t>
      </w:r>
      <w:r w:rsidRPr="00AE0CAB">
        <w:rPr>
          <w:rFonts w:ascii="Times New Roman" w:eastAsia="Calibri" w:hAnsi="Times New Roman" w:cs="Times New Roman"/>
          <w:sz w:val="24"/>
          <w:szCs w:val="24"/>
        </w:rPr>
        <w:t>Previa discusión y aprobación por la Legislatura en Pleno, remítase a la Persona Titular del Poder Ejecutivo, para los efectos procedentes.</w:t>
      </w: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p>
    <w:p w:rsidR="00F51D6E" w:rsidRPr="00AE0CAB" w:rsidRDefault="00F51D6E" w:rsidP="00D71801">
      <w:pPr>
        <w:spacing w:after="0" w:line="240" w:lineRule="auto"/>
        <w:contextualSpacing/>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Dado en el Palacio del Poder Legislativo, en la ciudad de Toluca de Lerdo, capital del Estado de México, a los diecisiete días del mes de febrero de dos mil veintiséis.</w:t>
      </w:r>
    </w:p>
    <w:p w:rsidR="005A07CA" w:rsidRPr="00AE0CAB" w:rsidRDefault="005A07CA" w:rsidP="00D71801">
      <w:pPr>
        <w:spacing w:after="0" w:line="240" w:lineRule="auto"/>
        <w:contextualSpacing/>
        <w:jc w:val="center"/>
        <w:rPr>
          <w:rFonts w:ascii="Times New Roman" w:eastAsia="Calibri" w:hAnsi="Times New Roman" w:cs="Times New Roman"/>
          <w:b/>
          <w:sz w:val="24"/>
          <w:szCs w:val="24"/>
        </w:rPr>
      </w:pPr>
    </w:p>
    <w:p w:rsidR="005A07CA" w:rsidRPr="00AE0CAB" w:rsidRDefault="005A07CA" w:rsidP="00D71801">
      <w:pPr>
        <w:spacing w:after="0" w:line="240" w:lineRule="auto"/>
        <w:contextualSpacing/>
        <w:jc w:val="center"/>
        <w:rPr>
          <w:rFonts w:ascii="Times New Roman" w:eastAsia="Calibri" w:hAnsi="Times New Roman" w:cs="Times New Roman"/>
          <w:b/>
          <w:sz w:val="24"/>
          <w:szCs w:val="24"/>
        </w:rPr>
      </w:pPr>
    </w:p>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LISTA DE VOTACIÓN</w:t>
      </w:r>
    </w:p>
    <w:p w:rsidR="00F51D6E" w:rsidRPr="00AE0CAB" w:rsidRDefault="00F51D6E" w:rsidP="00D71801">
      <w:pPr>
        <w:spacing w:after="0" w:line="240" w:lineRule="auto"/>
        <w:contextualSpacing/>
        <w:rPr>
          <w:rFonts w:ascii="Times New Roman" w:eastAsia="Calibri" w:hAnsi="Times New Roman" w:cs="Times New Roman"/>
          <w:b/>
          <w:sz w:val="24"/>
          <w:szCs w:val="24"/>
        </w:rPr>
      </w:pPr>
    </w:p>
    <w:p w:rsidR="00F51D6E" w:rsidRPr="00AE0CAB" w:rsidRDefault="00F51D6E" w:rsidP="00D71801">
      <w:pPr>
        <w:spacing w:after="0" w:line="240" w:lineRule="auto"/>
        <w:contextualSpacing/>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FECHA: </w:t>
      </w:r>
      <w:r w:rsidRPr="00AE0CAB">
        <w:rPr>
          <w:rFonts w:ascii="Times New Roman" w:eastAsia="Calibri" w:hAnsi="Times New Roman" w:cs="Times New Roman"/>
          <w:sz w:val="24"/>
          <w:szCs w:val="24"/>
        </w:rPr>
        <w:t>17/FEBRERO/2026.</w:t>
      </w:r>
    </w:p>
    <w:p w:rsidR="00F51D6E" w:rsidRPr="00AE0CAB" w:rsidRDefault="00F51D6E" w:rsidP="00D71801">
      <w:pPr>
        <w:widowControl w:val="0"/>
        <w:autoSpaceDE w:val="0"/>
        <w:autoSpaceDN w:val="0"/>
        <w:spacing w:after="0" w:line="240" w:lineRule="auto"/>
        <w:ind w:right="-93"/>
        <w:jc w:val="both"/>
        <w:outlineLvl w:val="1"/>
        <w:rPr>
          <w:rFonts w:ascii="Times New Roman" w:eastAsia="Arial" w:hAnsi="Times New Roman" w:cs="Times New Roman"/>
          <w:bCs/>
          <w:sz w:val="24"/>
          <w:szCs w:val="24"/>
        </w:rPr>
      </w:pPr>
      <w:r w:rsidRPr="00AE0CAB">
        <w:rPr>
          <w:rFonts w:ascii="Times New Roman" w:eastAsia="Arial" w:hAnsi="Times New Roman" w:cs="Times New Roman"/>
          <w:b/>
          <w:bCs/>
          <w:sz w:val="24"/>
          <w:szCs w:val="24"/>
        </w:rPr>
        <w:t xml:space="preserve">ASUNTO: </w:t>
      </w:r>
      <w:r w:rsidRPr="00AE0CAB">
        <w:rPr>
          <w:rFonts w:ascii="Times New Roman" w:eastAsia="Arial" w:hAnsi="Times New Roman" w:cs="Times New Roman"/>
          <w:bCs/>
          <w:sz w:val="24"/>
          <w:szCs w:val="24"/>
        </w:rPr>
        <w:t>DICTAMEN FORMULADO A LA INICIATIVA CON PROYECTO DE DECRETO, MEDIANTE LA CUAL SE ADICIONA UN ARTÍCULO 138 BIS A LA LEY DEL TRABAJO DE LOS SERVIDORES PÚBLICOS DEL ESTADO Y MUNICIPIOS Y SE ADICIONA UNA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 PRESENTADA POR EL DIPUTADO RIGOBERTO VARGAS CERVANTES, EN NOMBRE DEL GRUPO PARLAMENTARIO DEL PARTIDO MORENA.</w:t>
      </w:r>
    </w:p>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COMISIÓN LEGISLATIVA DE</w:t>
      </w:r>
    </w:p>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 xml:space="preserve">TRABAJO, PREVISIÓN Y SEGURIDAD SOCIAL </w:t>
      </w:r>
    </w:p>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2888"/>
        <w:gridCol w:w="1970"/>
        <w:gridCol w:w="2100"/>
      </w:tblGrid>
      <w:tr w:rsidR="00F51D6E" w:rsidRPr="00AE0CAB" w:rsidTr="005A07CA">
        <w:trPr>
          <w:trHeight w:val="20"/>
          <w:tblHeader/>
          <w:jc w:val="center"/>
        </w:trPr>
        <w:tc>
          <w:tcPr>
            <w:tcW w:w="2463" w:type="dxa"/>
            <w:vMerge w:val="restart"/>
            <w:shd w:val="clear" w:color="auto" w:fill="D9D9D9"/>
            <w:vAlign w:val="center"/>
          </w:tcPr>
          <w:p w:rsidR="00F51D6E" w:rsidRPr="00AE0CAB" w:rsidRDefault="00F51D6E" w:rsidP="00D71801">
            <w:pPr>
              <w:spacing w:after="0" w:line="240" w:lineRule="auto"/>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lastRenderedPageBreak/>
              <w:t>DIPUTADA(O)</w:t>
            </w:r>
          </w:p>
        </w:tc>
        <w:tc>
          <w:tcPr>
            <w:tcW w:w="6958" w:type="dxa"/>
            <w:gridSpan w:val="3"/>
            <w:shd w:val="clear" w:color="auto" w:fill="D9D9D9"/>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FIRMA</w:t>
            </w:r>
          </w:p>
        </w:tc>
      </w:tr>
      <w:tr w:rsidR="00F51D6E" w:rsidRPr="00AE0CAB" w:rsidTr="005A07CA">
        <w:trPr>
          <w:trHeight w:val="20"/>
          <w:tblHeader/>
          <w:jc w:val="center"/>
        </w:trPr>
        <w:tc>
          <w:tcPr>
            <w:tcW w:w="2463" w:type="dxa"/>
            <w:vMerge/>
            <w:shd w:val="clear" w:color="auto" w:fill="D9D9D9"/>
          </w:tcPr>
          <w:p w:rsidR="00F51D6E" w:rsidRPr="00AE0CAB" w:rsidRDefault="00F51D6E" w:rsidP="00D71801">
            <w:pPr>
              <w:spacing w:after="0" w:line="240" w:lineRule="auto"/>
              <w:jc w:val="center"/>
              <w:rPr>
                <w:rFonts w:ascii="Times New Roman" w:eastAsia="Calibri" w:hAnsi="Times New Roman" w:cs="Times New Roman"/>
                <w:b/>
                <w:sz w:val="24"/>
                <w:szCs w:val="24"/>
              </w:rPr>
            </w:pPr>
          </w:p>
        </w:tc>
        <w:tc>
          <w:tcPr>
            <w:tcW w:w="2888" w:type="dxa"/>
            <w:shd w:val="clear" w:color="auto" w:fill="D9D9D9"/>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A FAVOR</w:t>
            </w:r>
          </w:p>
        </w:tc>
        <w:tc>
          <w:tcPr>
            <w:tcW w:w="1970" w:type="dxa"/>
            <w:shd w:val="clear" w:color="auto" w:fill="D9D9D9"/>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EN CONTRA</w:t>
            </w:r>
          </w:p>
        </w:tc>
        <w:tc>
          <w:tcPr>
            <w:tcW w:w="2100" w:type="dxa"/>
            <w:shd w:val="clear" w:color="auto" w:fill="D9D9D9"/>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ABSTENCIÓN</w:t>
            </w:r>
          </w:p>
        </w:tc>
      </w:tr>
      <w:tr w:rsidR="00F51D6E" w:rsidRPr="00AE0CAB" w:rsidTr="005A07CA">
        <w:trPr>
          <w:trHeight w:val="20"/>
          <w:jc w:val="center"/>
        </w:trPr>
        <w:tc>
          <w:tcPr>
            <w:tcW w:w="2463" w:type="dxa"/>
            <w:shd w:val="clear" w:color="auto" w:fill="auto"/>
            <w:vAlign w:val="center"/>
          </w:tcPr>
          <w:p w:rsidR="00F51D6E" w:rsidRPr="00AE0CAB" w:rsidRDefault="00F51D6E" w:rsidP="00D7180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rPr>
              <w:t>Presidente</w:t>
            </w:r>
          </w:p>
          <w:p w:rsidR="00F51D6E" w:rsidRPr="00AE0CAB" w:rsidRDefault="00F51D6E" w:rsidP="00D7180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Dip. Ernesto </w:t>
            </w:r>
          </w:p>
          <w:p w:rsidR="00F51D6E" w:rsidRPr="00AE0CAB" w:rsidRDefault="00F51D6E" w:rsidP="00D71801">
            <w:pPr>
              <w:spacing w:after="0" w:line="240" w:lineRule="auto"/>
              <w:jc w:val="center"/>
              <w:rPr>
                <w:rFonts w:ascii="Times New Roman" w:eastAsia="Calibri" w:hAnsi="Times New Roman" w:cs="Times New Roman"/>
                <w:b/>
                <w:sz w:val="24"/>
                <w:szCs w:val="24"/>
              </w:rPr>
            </w:pPr>
            <w:r w:rsidRPr="00AE0CAB">
              <w:rPr>
                <w:rFonts w:ascii="Times New Roman" w:eastAsia="Calibri" w:hAnsi="Times New Roman" w:cs="Times New Roman"/>
                <w:sz w:val="24"/>
                <w:szCs w:val="24"/>
              </w:rPr>
              <w:t>Santillán Ramírez</w:t>
            </w:r>
          </w:p>
        </w:tc>
        <w:tc>
          <w:tcPr>
            <w:tcW w:w="2888"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w:t>
            </w:r>
          </w:p>
        </w:tc>
        <w:tc>
          <w:tcPr>
            <w:tcW w:w="197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c>
          <w:tcPr>
            <w:tcW w:w="210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r>
      <w:tr w:rsidR="00F51D6E" w:rsidRPr="00AE0CAB" w:rsidTr="005A07CA">
        <w:trPr>
          <w:trHeight w:val="20"/>
          <w:jc w:val="center"/>
        </w:trPr>
        <w:tc>
          <w:tcPr>
            <w:tcW w:w="2463" w:type="dxa"/>
            <w:shd w:val="clear" w:color="auto" w:fill="auto"/>
            <w:vAlign w:val="center"/>
          </w:tcPr>
          <w:p w:rsidR="00F51D6E" w:rsidRPr="00AE0CAB" w:rsidRDefault="00F51D6E" w:rsidP="00D7180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rPr>
              <w:t>Secretario</w:t>
            </w:r>
          </w:p>
          <w:p w:rsidR="00F51D6E" w:rsidRPr="00AE0CAB" w:rsidRDefault="00F51D6E" w:rsidP="00D71801">
            <w:pPr>
              <w:spacing w:after="0" w:line="240" w:lineRule="auto"/>
              <w:jc w:val="center"/>
              <w:rPr>
                <w:rFonts w:ascii="Times New Roman" w:eastAsia="Calibri" w:hAnsi="Times New Roman" w:cs="Times New Roman"/>
                <w:b/>
                <w:sz w:val="24"/>
                <w:szCs w:val="24"/>
              </w:rPr>
            </w:pPr>
            <w:r w:rsidRPr="00AE0CAB">
              <w:rPr>
                <w:rFonts w:ascii="Times New Roman" w:eastAsia="Calibri" w:hAnsi="Times New Roman" w:cs="Times New Roman"/>
                <w:sz w:val="24"/>
                <w:szCs w:val="24"/>
              </w:rPr>
              <w:t>Dip. Vladimir Hernández Villegas</w:t>
            </w:r>
          </w:p>
        </w:tc>
        <w:tc>
          <w:tcPr>
            <w:tcW w:w="2888"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w:t>
            </w:r>
          </w:p>
        </w:tc>
        <w:tc>
          <w:tcPr>
            <w:tcW w:w="197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c>
          <w:tcPr>
            <w:tcW w:w="210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r>
      <w:tr w:rsidR="00F51D6E" w:rsidRPr="00AE0CAB" w:rsidTr="005A07CA">
        <w:trPr>
          <w:trHeight w:val="20"/>
          <w:jc w:val="center"/>
        </w:trPr>
        <w:tc>
          <w:tcPr>
            <w:tcW w:w="2463" w:type="dxa"/>
            <w:shd w:val="clear" w:color="auto" w:fill="auto"/>
            <w:vAlign w:val="center"/>
          </w:tcPr>
          <w:p w:rsidR="00F51D6E" w:rsidRPr="00AE0CAB" w:rsidRDefault="00F51D6E" w:rsidP="00D71801">
            <w:pPr>
              <w:spacing w:after="0" w:line="240" w:lineRule="auto"/>
              <w:jc w:val="center"/>
              <w:rPr>
                <w:rFonts w:ascii="Times New Roman" w:eastAsia="Calibri" w:hAnsi="Times New Roman" w:cs="Times New Roman"/>
                <w:sz w:val="24"/>
                <w:szCs w:val="24"/>
                <w:lang w:eastAsia="es-MX"/>
              </w:rPr>
            </w:pPr>
            <w:r w:rsidRPr="00AE0CAB">
              <w:rPr>
                <w:rFonts w:ascii="Times New Roman" w:eastAsia="Calibri" w:hAnsi="Times New Roman" w:cs="Times New Roman"/>
                <w:b/>
                <w:sz w:val="24"/>
                <w:szCs w:val="24"/>
              </w:rPr>
              <w:t>Prosecretaria</w:t>
            </w:r>
          </w:p>
          <w:p w:rsidR="00F51D6E" w:rsidRPr="00AE0CAB" w:rsidRDefault="00F51D6E" w:rsidP="00D71801">
            <w:pPr>
              <w:spacing w:after="0" w:line="240" w:lineRule="auto"/>
              <w:jc w:val="center"/>
              <w:rPr>
                <w:rFonts w:ascii="Times New Roman" w:eastAsia="Calibri" w:hAnsi="Times New Roman" w:cs="Times New Roman"/>
                <w:b/>
                <w:sz w:val="24"/>
                <w:szCs w:val="24"/>
              </w:rPr>
            </w:pPr>
            <w:r w:rsidRPr="00AE0CAB">
              <w:rPr>
                <w:rFonts w:ascii="Times New Roman" w:eastAsia="Calibri" w:hAnsi="Times New Roman" w:cs="Times New Roman"/>
                <w:sz w:val="24"/>
                <w:szCs w:val="24"/>
              </w:rPr>
              <w:t>Dip. Brenda Colette Miranda Vargas</w:t>
            </w:r>
          </w:p>
        </w:tc>
        <w:tc>
          <w:tcPr>
            <w:tcW w:w="2888"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w:t>
            </w:r>
          </w:p>
        </w:tc>
        <w:tc>
          <w:tcPr>
            <w:tcW w:w="197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c>
          <w:tcPr>
            <w:tcW w:w="210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r>
      <w:tr w:rsidR="00F51D6E" w:rsidRPr="00AE0CAB" w:rsidTr="005A07CA">
        <w:trPr>
          <w:trHeight w:val="20"/>
          <w:jc w:val="center"/>
        </w:trPr>
        <w:tc>
          <w:tcPr>
            <w:tcW w:w="2463" w:type="dxa"/>
            <w:shd w:val="clear" w:color="auto" w:fill="auto"/>
            <w:vAlign w:val="center"/>
          </w:tcPr>
          <w:p w:rsidR="00F51D6E" w:rsidRPr="00AE0CAB" w:rsidRDefault="00F51D6E" w:rsidP="00D7180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Dip. Rigoberto </w:t>
            </w:r>
          </w:p>
          <w:p w:rsidR="00F51D6E" w:rsidRPr="00AE0CAB" w:rsidRDefault="00F51D6E" w:rsidP="00D71801">
            <w:pPr>
              <w:spacing w:after="0" w:line="240" w:lineRule="auto"/>
              <w:jc w:val="center"/>
              <w:rPr>
                <w:rFonts w:ascii="Times New Roman" w:eastAsia="Calibri" w:hAnsi="Times New Roman" w:cs="Times New Roman"/>
                <w:b/>
                <w:sz w:val="24"/>
                <w:szCs w:val="24"/>
              </w:rPr>
            </w:pPr>
            <w:r w:rsidRPr="00AE0CAB">
              <w:rPr>
                <w:rFonts w:ascii="Times New Roman" w:eastAsia="Calibri" w:hAnsi="Times New Roman" w:cs="Times New Roman"/>
                <w:sz w:val="24"/>
                <w:szCs w:val="24"/>
              </w:rPr>
              <w:t>Vargas Cervantes</w:t>
            </w:r>
          </w:p>
        </w:tc>
        <w:tc>
          <w:tcPr>
            <w:tcW w:w="2888"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w:t>
            </w:r>
          </w:p>
        </w:tc>
        <w:tc>
          <w:tcPr>
            <w:tcW w:w="197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c>
          <w:tcPr>
            <w:tcW w:w="210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r>
      <w:tr w:rsidR="00F51D6E" w:rsidRPr="00AE0CAB" w:rsidTr="005A07CA">
        <w:trPr>
          <w:trHeight w:val="20"/>
          <w:jc w:val="center"/>
        </w:trPr>
        <w:tc>
          <w:tcPr>
            <w:tcW w:w="2463" w:type="dxa"/>
            <w:shd w:val="clear" w:color="auto" w:fill="auto"/>
            <w:vAlign w:val="center"/>
          </w:tcPr>
          <w:p w:rsidR="00F51D6E" w:rsidRPr="00AE0CAB" w:rsidRDefault="00F51D6E" w:rsidP="00D71801">
            <w:pPr>
              <w:spacing w:after="0" w:line="240" w:lineRule="auto"/>
              <w:jc w:val="center"/>
              <w:rPr>
                <w:rFonts w:ascii="Times New Roman" w:eastAsia="Calibri" w:hAnsi="Times New Roman" w:cs="Times New Roman"/>
                <w:b/>
                <w:sz w:val="24"/>
                <w:szCs w:val="24"/>
              </w:rPr>
            </w:pPr>
            <w:r w:rsidRPr="00AE0CAB">
              <w:rPr>
                <w:rFonts w:ascii="Times New Roman" w:eastAsia="Calibri" w:hAnsi="Times New Roman" w:cs="Times New Roman"/>
                <w:sz w:val="24"/>
                <w:szCs w:val="24"/>
              </w:rPr>
              <w:t>Dip. Jennifer Nathalie González López</w:t>
            </w:r>
          </w:p>
        </w:tc>
        <w:tc>
          <w:tcPr>
            <w:tcW w:w="2888"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w:t>
            </w:r>
          </w:p>
        </w:tc>
        <w:tc>
          <w:tcPr>
            <w:tcW w:w="197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c>
          <w:tcPr>
            <w:tcW w:w="210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r>
      <w:tr w:rsidR="00F51D6E" w:rsidRPr="00AE0CAB" w:rsidTr="005A07CA">
        <w:trPr>
          <w:trHeight w:val="20"/>
          <w:jc w:val="center"/>
        </w:trPr>
        <w:tc>
          <w:tcPr>
            <w:tcW w:w="2463" w:type="dxa"/>
            <w:shd w:val="clear" w:color="auto" w:fill="auto"/>
            <w:vAlign w:val="center"/>
          </w:tcPr>
          <w:p w:rsidR="00F51D6E" w:rsidRPr="00AE0CAB" w:rsidRDefault="00F51D6E" w:rsidP="00D7180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Dip. Osvaldo </w:t>
            </w:r>
          </w:p>
          <w:p w:rsidR="00F51D6E" w:rsidRPr="00AE0CAB" w:rsidRDefault="00F51D6E" w:rsidP="00D7180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sz w:val="24"/>
                <w:szCs w:val="24"/>
              </w:rPr>
              <w:t>Cortés Contreras</w:t>
            </w:r>
          </w:p>
        </w:tc>
        <w:tc>
          <w:tcPr>
            <w:tcW w:w="2888"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c>
          <w:tcPr>
            <w:tcW w:w="197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c>
          <w:tcPr>
            <w:tcW w:w="210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r>
      <w:tr w:rsidR="00F51D6E" w:rsidRPr="00AE0CAB" w:rsidTr="005A07CA">
        <w:trPr>
          <w:trHeight w:val="20"/>
          <w:jc w:val="center"/>
        </w:trPr>
        <w:tc>
          <w:tcPr>
            <w:tcW w:w="2463" w:type="dxa"/>
            <w:shd w:val="clear" w:color="auto" w:fill="auto"/>
            <w:vAlign w:val="center"/>
          </w:tcPr>
          <w:p w:rsidR="00F51D6E" w:rsidRPr="00AE0CAB" w:rsidRDefault="00F51D6E" w:rsidP="00D7180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sz w:val="24"/>
                <w:szCs w:val="24"/>
              </w:rPr>
              <w:t>Dip. María Mercedes Colín Guadarrama</w:t>
            </w:r>
          </w:p>
        </w:tc>
        <w:tc>
          <w:tcPr>
            <w:tcW w:w="2888"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w:t>
            </w:r>
          </w:p>
        </w:tc>
        <w:tc>
          <w:tcPr>
            <w:tcW w:w="197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c>
          <w:tcPr>
            <w:tcW w:w="210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r>
      <w:tr w:rsidR="00F51D6E" w:rsidRPr="00AE0CAB" w:rsidTr="005A07CA">
        <w:trPr>
          <w:trHeight w:val="20"/>
          <w:jc w:val="center"/>
        </w:trPr>
        <w:tc>
          <w:tcPr>
            <w:tcW w:w="2463" w:type="dxa"/>
            <w:shd w:val="clear" w:color="auto" w:fill="auto"/>
            <w:vAlign w:val="center"/>
          </w:tcPr>
          <w:p w:rsidR="00F51D6E" w:rsidRPr="00AE0CAB" w:rsidRDefault="00F51D6E" w:rsidP="00D7180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Dip. Emma Laura </w:t>
            </w:r>
            <w:proofErr w:type="spellStart"/>
            <w:r w:rsidRPr="00AE0CAB">
              <w:rPr>
                <w:rFonts w:ascii="Times New Roman" w:eastAsia="Calibri" w:hAnsi="Times New Roman" w:cs="Times New Roman"/>
                <w:sz w:val="24"/>
                <w:szCs w:val="24"/>
              </w:rPr>
              <w:t>Alvarez</w:t>
            </w:r>
            <w:proofErr w:type="spellEnd"/>
            <w:r w:rsidRPr="00AE0CAB">
              <w:rPr>
                <w:rFonts w:ascii="Times New Roman" w:eastAsia="Calibri" w:hAnsi="Times New Roman" w:cs="Times New Roman"/>
                <w:sz w:val="24"/>
                <w:szCs w:val="24"/>
              </w:rPr>
              <w:t xml:space="preserve"> Villavicencio</w:t>
            </w:r>
          </w:p>
        </w:tc>
        <w:tc>
          <w:tcPr>
            <w:tcW w:w="2888"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w:t>
            </w:r>
          </w:p>
        </w:tc>
        <w:tc>
          <w:tcPr>
            <w:tcW w:w="197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c>
          <w:tcPr>
            <w:tcW w:w="210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r>
      <w:tr w:rsidR="00F51D6E" w:rsidRPr="00AE0CAB" w:rsidTr="005A07CA">
        <w:trPr>
          <w:trHeight w:val="20"/>
          <w:jc w:val="center"/>
        </w:trPr>
        <w:tc>
          <w:tcPr>
            <w:tcW w:w="2463" w:type="dxa"/>
            <w:shd w:val="clear" w:color="auto" w:fill="auto"/>
            <w:vAlign w:val="center"/>
          </w:tcPr>
          <w:p w:rsidR="00F51D6E" w:rsidRPr="00AE0CAB" w:rsidRDefault="00F51D6E" w:rsidP="00D7180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sz w:val="24"/>
                <w:szCs w:val="24"/>
              </w:rPr>
              <w:t>Dip. Omar</w:t>
            </w:r>
          </w:p>
          <w:p w:rsidR="00F51D6E" w:rsidRPr="00AE0CAB" w:rsidRDefault="00F51D6E" w:rsidP="00D7180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sz w:val="24"/>
                <w:szCs w:val="24"/>
              </w:rPr>
              <w:t>Ortega Álvarez</w:t>
            </w:r>
          </w:p>
        </w:tc>
        <w:tc>
          <w:tcPr>
            <w:tcW w:w="2888"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w:t>
            </w:r>
          </w:p>
        </w:tc>
        <w:tc>
          <w:tcPr>
            <w:tcW w:w="197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c>
          <w:tcPr>
            <w:tcW w:w="2100" w:type="dxa"/>
            <w:shd w:val="clear" w:color="auto" w:fill="auto"/>
            <w:vAlign w:val="center"/>
          </w:tcPr>
          <w:p w:rsidR="00F51D6E" w:rsidRPr="00AE0CAB" w:rsidRDefault="00F51D6E" w:rsidP="00D71801">
            <w:pPr>
              <w:spacing w:after="0" w:line="240" w:lineRule="auto"/>
              <w:contextualSpacing/>
              <w:jc w:val="center"/>
              <w:rPr>
                <w:rFonts w:ascii="Times New Roman" w:eastAsia="Calibri" w:hAnsi="Times New Roman" w:cs="Times New Roman"/>
                <w:b/>
                <w:sz w:val="24"/>
                <w:szCs w:val="24"/>
              </w:rPr>
            </w:pPr>
          </w:p>
        </w:tc>
      </w:tr>
    </w:tbl>
    <w:p w:rsidR="00F51D6E" w:rsidRPr="00AE0CAB" w:rsidRDefault="00F51D6E" w:rsidP="00D71801">
      <w:pPr>
        <w:spacing w:after="0" w:line="240" w:lineRule="auto"/>
        <w:contextualSpacing/>
        <w:rPr>
          <w:rFonts w:ascii="Times New Roman" w:eastAsia="Calibri" w:hAnsi="Times New Roman" w:cs="Times New Roman"/>
          <w:sz w:val="24"/>
          <w:szCs w:val="24"/>
        </w:rPr>
      </w:pPr>
    </w:p>
    <w:p w:rsidR="00F51D6E" w:rsidRPr="00AE0CAB" w:rsidRDefault="00F51D6E" w:rsidP="00D71801">
      <w:pPr>
        <w:spacing w:after="0" w:line="240" w:lineRule="auto"/>
        <w:contextualSpacing/>
        <w:rPr>
          <w:rFonts w:ascii="Times New Roman" w:eastAsia="Calibri" w:hAnsi="Times New Roman" w:cs="Times New Roman"/>
          <w:sz w:val="24"/>
          <w:szCs w:val="24"/>
        </w:rPr>
      </w:pPr>
    </w:p>
    <w:p w:rsidR="008C3DA8" w:rsidRPr="00AE0CAB" w:rsidRDefault="008C3DA8" w:rsidP="00D71801">
      <w:pPr>
        <w:pStyle w:val="Textoindependiente"/>
        <w:contextualSpacing/>
        <w:rPr>
          <w:rFonts w:ascii="Times New Roman" w:hAnsi="Times New Roman" w:cs="Times New Roman"/>
          <w:b/>
          <w:sz w:val="24"/>
          <w:szCs w:val="24"/>
          <w:lang w:val="es-MX"/>
        </w:rPr>
      </w:pPr>
      <w:r w:rsidRPr="00AE0CAB">
        <w:rPr>
          <w:rFonts w:ascii="Times New Roman" w:hAnsi="Times New Roman" w:cs="Times New Roman"/>
          <w:b/>
          <w:sz w:val="24"/>
          <w:szCs w:val="24"/>
          <w:lang w:val="es-MX"/>
        </w:rPr>
        <w:t>DECRETO NÚMERO</w:t>
      </w:r>
    </w:p>
    <w:p w:rsidR="008C3DA8" w:rsidRPr="00AE0CAB" w:rsidRDefault="008C3DA8" w:rsidP="00D71801">
      <w:pPr>
        <w:pStyle w:val="Textoindependiente"/>
        <w:ind w:right="49"/>
        <w:contextualSpacing/>
        <w:rPr>
          <w:rFonts w:ascii="Times New Roman" w:hAnsi="Times New Roman" w:cs="Times New Roman"/>
          <w:b/>
          <w:sz w:val="24"/>
          <w:szCs w:val="24"/>
          <w:lang w:val="es-MX"/>
        </w:rPr>
      </w:pPr>
      <w:r w:rsidRPr="00AE0CAB">
        <w:rPr>
          <w:rFonts w:ascii="Times New Roman" w:hAnsi="Times New Roman" w:cs="Times New Roman"/>
          <w:b/>
          <w:sz w:val="24"/>
          <w:szCs w:val="24"/>
          <w:lang w:val="es-MX"/>
        </w:rPr>
        <w:t xml:space="preserve">LA H. “LXII” LEGISLATURA </w:t>
      </w:r>
    </w:p>
    <w:p w:rsidR="008C3DA8" w:rsidRPr="00AE0CAB" w:rsidRDefault="008C3DA8" w:rsidP="00D71801">
      <w:pPr>
        <w:pStyle w:val="Textoindependiente"/>
        <w:ind w:right="49"/>
        <w:contextualSpacing/>
        <w:rPr>
          <w:rFonts w:ascii="Times New Roman" w:hAnsi="Times New Roman" w:cs="Times New Roman"/>
          <w:b/>
          <w:sz w:val="24"/>
          <w:szCs w:val="24"/>
          <w:lang w:val="es-MX"/>
        </w:rPr>
      </w:pPr>
      <w:r w:rsidRPr="00AE0CAB">
        <w:rPr>
          <w:rFonts w:ascii="Times New Roman" w:hAnsi="Times New Roman" w:cs="Times New Roman"/>
          <w:b/>
          <w:sz w:val="24"/>
          <w:szCs w:val="24"/>
          <w:lang w:val="es-MX"/>
        </w:rPr>
        <w:t>DEL ESTADO DE MÉXICO</w:t>
      </w:r>
    </w:p>
    <w:p w:rsidR="008C3DA8" w:rsidRPr="00AE0CAB" w:rsidRDefault="008C3DA8" w:rsidP="00D71801">
      <w:pPr>
        <w:pStyle w:val="Textoindependiente"/>
        <w:ind w:right="49"/>
        <w:contextualSpacing/>
        <w:rPr>
          <w:rFonts w:ascii="Times New Roman" w:hAnsi="Times New Roman" w:cs="Times New Roman"/>
          <w:b/>
          <w:sz w:val="24"/>
          <w:szCs w:val="24"/>
          <w:lang w:val="es-MX"/>
        </w:rPr>
      </w:pPr>
      <w:r w:rsidRPr="00AE0CAB">
        <w:rPr>
          <w:rFonts w:ascii="Times New Roman" w:hAnsi="Times New Roman" w:cs="Times New Roman"/>
          <w:b/>
          <w:sz w:val="24"/>
          <w:szCs w:val="24"/>
          <w:lang w:val="es-MX"/>
        </w:rPr>
        <w:t>DECRETA:</w:t>
      </w:r>
    </w:p>
    <w:p w:rsidR="008C3DA8" w:rsidRPr="00AE0CAB" w:rsidRDefault="008C3DA8" w:rsidP="00D71801">
      <w:pPr>
        <w:pStyle w:val="Textoindependiente"/>
        <w:contextualSpacing/>
        <w:rPr>
          <w:rFonts w:ascii="Times New Roman" w:hAnsi="Times New Roman" w:cs="Times New Roman"/>
          <w:sz w:val="24"/>
          <w:szCs w:val="24"/>
          <w:lang w:val="es-MX"/>
        </w:rPr>
      </w:pPr>
    </w:p>
    <w:p w:rsidR="008C3DA8" w:rsidRPr="00AE0CAB" w:rsidRDefault="008C3DA8" w:rsidP="00D71801">
      <w:pPr>
        <w:spacing w:after="0" w:line="240" w:lineRule="auto"/>
        <w:contextualSpacing/>
        <w:jc w:val="both"/>
        <w:rPr>
          <w:rFonts w:ascii="Times New Roman" w:hAnsi="Times New Roman" w:cs="Times New Roman"/>
          <w:sz w:val="24"/>
          <w:szCs w:val="24"/>
        </w:rPr>
      </w:pPr>
      <w:r w:rsidRPr="00AE0CAB">
        <w:rPr>
          <w:rFonts w:ascii="Times New Roman" w:hAnsi="Times New Roman" w:cs="Times New Roman"/>
          <w:b/>
          <w:sz w:val="24"/>
          <w:szCs w:val="24"/>
        </w:rPr>
        <w:t>PRIMERO.-</w:t>
      </w:r>
      <w:r w:rsidRPr="00AE0CAB">
        <w:rPr>
          <w:rFonts w:ascii="Times New Roman" w:hAnsi="Times New Roman" w:cs="Times New Roman"/>
          <w:sz w:val="24"/>
          <w:szCs w:val="24"/>
        </w:rPr>
        <w:t xml:space="preserve"> Se adiciona un artículo 138 Bis a la Ley del Trabajo de los Servidores Públicos del Estado y Municipios, para quedar como sigue: </w:t>
      </w:r>
    </w:p>
    <w:p w:rsidR="008C3DA8" w:rsidRPr="00AE0CAB" w:rsidRDefault="008C3DA8" w:rsidP="00D71801">
      <w:pPr>
        <w:spacing w:after="0" w:line="240" w:lineRule="auto"/>
        <w:contextualSpacing/>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bookmarkStart w:id="6" w:name="_Hlk222214836"/>
      <w:r w:rsidRPr="00AE0CAB">
        <w:rPr>
          <w:rFonts w:ascii="Times New Roman" w:hAnsi="Times New Roman" w:cs="Times New Roman"/>
          <w:b/>
          <w:bCs/>
          <w:sz w:val="24"/>
          <w:szCs w:val="24"/>
        </w:rPr>
        <w:t>ARTÍCULO 138 Bis.</w:t>
      </w:r>
      <w:r w:rsidRPr="00AE0CAB">
        <w:rPr>
          <w:rFonts w:ascii="Times New Roman" w:hAnsi="Times New Roman" w:cs="Times New Roman"/>
          <w:bCs/>
          <w:sz w:val="24"/>
          <w:szCs w:val="24"/>
        </w:rPr>
        <w:t xml:space="preserve"> Los sindicatos deberán gozar de adecuada protección contra todo acto de injerencia por parte de las personas servidoras públicas en su constitución, funcionamiento, administración y libre desarrollo de las elecciones sindicales, las condiciones de elegibilidad, la reelección y/o la destitución de las directivas de los sindicatos. Cualquier contravención a estas disposiciones será considerada falta administrativa grave y sancionada en los términos de la Ley de Responsabilidades Administrativas del Estado de México y Municipios.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Cs/>
          <w:sz w:val="24"/>
          <w:szCs w:val="24"/>
        </w:rPr>
        <w:t xml:space="preserve">Se entenderán como actos de injerencia sindical, entre otras, las siguientes conductas: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sz w:val="24"/>
          <w:szCs w:val="24"/>
        </w:rPr>
      </w:pPr>
      <w:r w:rsidRPr="00AE0CAB">
        <w:rPr>
          <w:rFonts w:ascii="Times New Roman" w:hAnsi="Times New Roman" w:cs="Times New Roman"/>
          <w:b/>
          <w:bCs/>
          <w:sz w:val="24"/>
          <w:szCs w:val="24"/>
        </w:rPr>
        <w:t>I.</w:t>
      </w:r>
      <w:r w:rsidRPr="00AE0CAB">
        <w:rPr>
          <w:rFonts w:ascii="Times New Roman" w:hAnsi="Times New Roman" w:cs="Times New Roman"/>
          <w:bCs/>
          <w:sz w:val="24"/>
          <w:szCs w:val="24"/>
        </w:rPr>
        <w:t xml:space="preserve"> Coaccionar, inducir o amenazar a personas trabajadoras o agremiadas para participar o abstenerse de participar en eventos de campaña sindical, o para votar por una planilla, dirigente o sindicato determinado. </w:t>
      </w:r>
    </w:p>
    <w:p w:rsidR="008C3DA8" w:rsidRPr="00AE0CAB" w:rsidRDefault="008C3DA8" w:rsidP="00D71801">
      <w:pPr>
        <w:spacing w:after="0" w:line="240" w:lineRule="auto"/>
        <w:contextualSpacing/>
        <w:jc w:val="both"/>
        <w:rPr>
          <w:rFonts w:ascii="Times New Roman" w:hAnsi="Times New Roman" w:cs="Times New Roman"/>
          <w:bCs/>
          <w:sz w:val="24"/>
          <w:szCs w:val="24"/>
        </w:rPr>
      </w:pPr>
    </w:p>
    <w:p w:rsidR="008C3DA8" w:rsidRPr="00AE0CAB" w:rsidRDefault="008C3DA8" w:rsidP="00D71801">
      <w:pPr>
        <w:spacing w:after="0" w:line="240" w:lineRule="auto"/>
        <w:contextualSpacing/>
        <w:jc w:val="both"/>
        <w:rPr>
          <w:rFonts w:ascii="Times New Roman" w:hAnsi="Times New Roman" w:cs="Times New Roman"/>
          <w:sz w:val="24"/>
          <w:szCs w:val="24"/>
        </w:rPr>
      </w:pPr>
      <w:r w:rsidRPr="00AE0CAB">
        <w:rPr>
          <w:rFonts w:ascii="Times New Roman" w:hAnsi="Times New Roman" w:cs="Times New Roman"/>
          <w:b/>
          <w:bCs/>
          <w:sz w:val="24"/>
          <w:szCs w:val="24"/>
        </w:rPr>
        <w:t>II.</w:t>
      </w:r>
      <w:r w:rsidRPr="00AE0CAB">
        <w:rPr>
          <w:rFonts w:ascii="Times New Roman" w:hAnsi="Times New Roman" w:cs="Times New Roman"/>
          <w:bCs/>
          <w:sz w:val="24"/>
          <w:szCs w:val="24"/>
        </w:rPr>
        <w:t xml:space="preserve"> Ejercer presión o intimidación jerárquica sobre subordinados para que expresen públicamente su apoyo o rechazo a determinada candidatura sindical. </w:t>
      </w:r>
    </w:p>
    <w:p w:rsidR="008C3DA8" w:rsidRPr="00AE0CAB" w:rsidRDefault="008C3DA8" w:rsidP="00D71801">
      <w:pPr>
        <w:spacing w:after="0" w:line="240" w:lineRule="auto"/>
        <w:contextualSpacing/>
        <w:jc w:val="both"/>
        <w:rPr>
          <w:rFonts w:ascii="Times New Roman" w:hAnsi="Times New Roman" w:cs="Times New Roman"/>
          <w:bCs/>
          <w:sz w:val="24"/>
          <w:szCs w:val="24"/>
        </w:rPr>
      </w:pPr>
    </w:p>
    <w:p w:rsidR="008C3DA8" w:rsidRPr="00AE0CAB" w:rsidRDefault="008C3DA8" w:rsidP="00D71801">
      <w:pPr>
        <w:spacing w:after="0" w:line="240" w:lineRule="auto"/>
        <w:contextualSpacing/>
        <w:jc w:val="both"/>
        <w:rPr>
          <w:rFonts w:ascii="Times New Roman" w:hAnsi="Times New Roman" w:cs="Times New Roman"/>
          <w:sz w:val="24"/>
          <w:szCs w:val="24"/>
        </w:rPr>
      </w:pPr>
      <w:r w:rsidRPr="00AE0CAB">
        <w:rPr>
          <w:rFonts w:ascii="Times New Roman" w:hAnsi="Times New Roman" w:cs="Times New Roman"/>
          <w:b/>
          <w:bCs/>
          <w:sz w:val="24"/>
          <w:szCs w:val="24"/>
        </w:rPr>
        <w:t>III.</w:t>
      </w:r>
      <w:r w:rsidRPr="00AE0CAB">
        <w:rPr>
          <w:rFonts w:ascii="Times New Roman" w:hAnsi="Times New Roman" w:cs="Times New Roman"/>
          <w:bCs/>
          <w:sz w:val="24"/>
          <w:szCs w:val="24"/>
        </w:rPr>
        <w:t xml:space="preserve"> Obligar o condicionar la asistencia a actos, mítines o reuniones sindicales con fines de proselitismo.</w:t>
      </w:r>
    </w:p>
    <w:p w:rsidR="008C3DA8" w:rsidRPr="00AE0CAB" w:rsidRDefault="008C3DA8" w:rsidP="00D71801">
      <w:pPr>
        <w:spacing w:after="0" w:line="240" w:lineRule="auto"/>
        <w:contextualSpacing/>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IV.</w:t>
      </w:r>
      <w:r w:rsidRPr="00AE0CAB">
        <w:rPr>
          <w:rFonts w:ascii="Times New Roman" w:hAnsi="Times New Roman" w:cs="Times New Roman"/>
          <w:bCs/>
          <w:sz w:val="24"/>
          <w:szCs w:val="24"/>
        </w:rPr>
        <w:t xml:space="preserve"> Condicionar la prestación de servicios institucionales, apoyos, licencias o permisos laborales a la emisión del voto o apoyo hacia una planilla sindical.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V.</w:t>
      </w:r>
      <w:r w:rsidRPr="00AE0CAB">
        <w:rPr>
          <w:rFonts w:ascii="Times New Roman" w:hAnsi="Times New Roman" w:cs="Times New Roman"/>
          <w:bCs/>
          <w:sz w:val="24"/>
          <w:szCs w:val="24"/>
        </w:rPr>
        <w:t xml:space="preserve"> Ofrecer beneficios laborales, ascensos, estímulos o promociones a cambio de apoyo o voto sindical.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VI.</w:t>
      </w:r>
      <w:r w:rsidRPr="00AE0CAB">
        <w:rPr>
          <w:rFonts w:ascii="Times New Roman" w:hAnsi="Times New Roman" w:cs="Times New Roman"/>
          <w:bCs/>
          <w:sz w:val="24"/>
          <w:szCs w:val="24"/>
        </w:rPr>
        <w:t xml:space="preserve"> Negar, suspender o limitar derechos o programas internos, capacitaciones, bonos o reconocimientos como represalia por no apoyar determinada opción sindical.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VII.</w:t>
      </w:r>
      <w:r w:rsidRPr="00AE0CAB">
        <w:rPr>
          <w:rFonts w:ascii="Times New Roman" w:hAnsi="Times New Roman" w:cs="Times New Roman"/>
          <w:bCs/>
          <w:sz w:val="24"/>
          <w:szCs w:val="24"/>
        </w:rPr>
        <w:t xml:space="preserve"> Utilizar programas institucionales o apoyos sociales para inducir o coaccionar el voto sindical.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VIII.</w:t>
      </w:r>
      <w:r w:rsidRPr="00AE0CAB">
        <w:rPr>
          <w:rFonts w:ascii="Times New Roman" w:hAnsi="Times New Roman" w:cs="Times New Roman"/>
          <w:bCs/>
          <w:sz w:val="24"/>
          <w:szCs w:val="24"/>
        </w:rPr>
        <w:t xml:space="preserve"> Destinar, utilizar o permitir el uso de fondos, bienes, servicios o personal institucional para favorecer o perjudicar a determinada planilla, corriente o dirigencia sindical.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IX.</w:t>
      </w:r>
      <w:r w:rsidRPr="00AE0CAB">
        <w:rPr>
          <w:rFonts w:ascii="Times New Roman" w:hAnsi="Times New Roman" w:cs="Times New Roman"/>
          <w:bCs/>
          <w:sz w:val="24"/>
          <w:szCs w:val="24"/>
        </w:rPr>
        <w:t xml:space="preserve"> Difundir propaganda, mensajes o material institucional que promueva o desacredite a una candidatura o grupo sindical.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X.</w:t>
      </w:r>
      <w:r w:rsidRPr="00AE0CAB">
        <w:rPr>
          <w:rFonts w:ascii="Times New Roman" w:hAnsi="Times New Roman" w:cs="Times New Roman"/>
          <w:bCs/>
          <w:sz w:val="24"/>
          <w:szCs w:val="24"/>
        </w:rPr>
        <w:t xml:space="preserve"> Permitir el uso de instalaciones, vehículos, redes o infraestructura pública para actos de campaña o propaganda sindical.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XI.</w:t>
      </w:r>
      <w:r w:rsidRPr="00AE0CAB">
        <w:rPr>
          <w:rFonts w:ascii="Times New Roman" w:hAnsi="Times New Roman" w:cs="Times New Roman"/>
          <w:bCs/>
          <w:sz w:val="24"/>
          <w:szCs w:val="24"/>
        </w:rPr>
        <w:t xml:space="preserve"> Proporcionar apoyo o servicios institucionales para actividades de campaña sindical.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sz w:val="24"/>
          <w:szCs w:val="24"/>
        </w:rPr>
      </w:pPr>
      <w:r w:rsidRPr="00AE0CAB">
        <w:rPr>
          <w:rFonts w:ascii="Times New Roman" w:hAnsi="Times New Roman" w:cs="Times New Roman"/>
          <w:b/>
          <w:bCs/>
          <w:sz w:val="24"/>
          <w:szCs w:val="24"/>
        </w:rPr>
        <w:t>XII.</w:t>
      </w:r>
      <w:r w:rsidRPr="00AE0CAB">
        <w:rPr>
          <w:rFonts w:ascii="Times New Roman" w:hAnsi="Times New Roman" w:cs="Times New Roman"/>
          <w:bCs/>
          <w:sz w:val="24"/>
          <w:szCs w:val="24"/>
        </w:rPr>
        <w:t xml:space="preserve"> Realizar aportaciones o solicitar contribuciones a subordinados para financiar campañas o actividades sindicales.</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XIII.</w:t>
      </w:r>
      <w:r w:rsidRPr="00AE0CAB">
        <w:rPr>
          <w:rFonts w:ascii="Times New Roman" w:hAnsi="Times New Roman" w:cs="Times New Roman"/>
          <w:bCs/>
          <w:sz w:val="24"/>
          <w:szCs w:val="24"/>
        </w:rPr>
        <w:t xml:space="preserve"> Usar recursos o programas institucionales con la finalidad de posicionar o promover ante la base trabajadora a una persona servidora pública o dirigente sindical.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XIV.</w:t>
      </w:r>
      <w:r w:rsidRPr="00AE0CAB">
        <w:rPr>
          <w:rFonts w:ascii="Times New Roman" w:hAnsi="Times New Roman" w:cs="Times New Roman"/>
          <w:bCs/>
          <w:sz w:val="24"/>
          <w:szCs w:val="24"/>
        </w:rPr>
        <w:t xml:space="preserve"> Negarse sin causa justificada a entregar información solicitada por la autoridad sindical o laboral competente, relacionada con el desarrollo de elecciones o procesos democráticos sindicales.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XV.</w:t>
      </w:r>
      <w:r w:rsidRPr="00AE0CAB">
        <w:rPr>
          <w:rFonts w:ascii="Times New Roman" w:hAnsi="Times New Roman" w:cs="Times New Roman"/>
          <w:bCs/>
          <w:sz w:val="24"/>
          <w:szCs w:val="24"/>
        </w:rPr>
        <w:t xml:space="preserve"> Omitir colaborar o prestar auxilio en los procesos de verificación, vigilancia o supervisión sindical cuando la autoridad lo requiera.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XVI.</w:t>
      </w:r>
      <w:r w:rsidRPr="00AE0CAB">
        <w:rPr>
          <w:rFonts w:ascii="Times New Roman" w:hAnsi="Times New Roman" w:cs="Times New Roman"/>
          <w:bCs/>
          <w:sz w:val="24"/>
          <w:szCs w:val="24"/>
        </w:rPr>
        <w:t xml:space="preserve"> Omitir actuar con imparcialidad durante los procesos electorales sindicales, afectando la equidad entre candidaturas.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XVII.</w:t>
      </w:r>
      <w:r w:rsidRPr="00AE0CAB">
        <w:rPr>
          <w:rFonts w:ascii="Times New Roman" w:hAnsi="Times New Roman" w:cs="Times New Roman"/>
          <w:bCs/>
          <w:sz w:val="24"/>
          <w:szCs w:val="24"/>
        </w:rPr>
        <w:t xml:space="preserve"> Actuar con parcialidad o favorecer públicamente a determinada candidatura.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bCs/>
          <w:sz w:val="24"/>
          <w:szCs w:val="24"/>
        </w:rPr>
      </w:pPr>
      <w:r w:rsidRPr="00AE0CAB">
        <w:rPr>
          <w:rFonts w:ascii="Times New Roman" w:hAnsi="Times New Roman" w:cs="Times New Roman"/>
          <w:b/>
          <w:bCs/>
          <w:sz w:val="24"/>
          <w:szCs w:val="24"/>
        </w:rPr>
        <w:t>XVIII.</w:t>
      </w:r>
      <w:r w:rsidRPr="00AE0CAB">
        <w:rPr>
          <w:rFonts w:ascii="Times New Roman" w:hAnsi="Times New Roman" w:cs="Times New Roman"/>
          <w:bCs/>
          <w:sz w:val="24"/>
          <w:szCs w:val="24"/>
        </w:rPr>
        <w:t xml:space="preserve"> Intervenir indebidamente en la equidad del proceso sindical, alterando la neutralidad institucional. </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contextualSpacing/>
        <w:jc w:val="both"/>
        <w:rPr>
          <w:rFonts w:ascii="Times New Roman" w:hAnsi="Times New Roman" w:cs="Times New Roman"/>
          <w:sz w:val="24"/>
          <w:szCs w:val="24"/>
        </w:rPr>
      </w:pPr>
      <w:r w:rsidRPr="00AE0CAB">
        <w:rPr>
          <w:rFonts w:ascii="Times New Roman" w:hAnsi="Times New Roman" w:cs="Times New Roman"/>
          <w:b/>
          <w:bCs/>
          <w:sz w:val="24"/>
          <w:szCs w:val="24"/>
        </w:rPr>
        <w:t>XIX.</w:t>
      </w:r>
      <w:r w:rsidRPr="00AE0CAB">
        <w:rPr>
          <w:rFonts w:ascii="Times New Roman" w:hAnsi="Times New Roman" w:cs="Times New Roman"/>
          <w:bCs/>
          <w:sz w:val="24"/>
          <w:szCs w:val="24"/>
        </w:rPr>
        <w:t xml:space="preserve"> Utilizar su cargo para influir en la opinión de las personas trabajadoras, afectando la libertad del voto sindical.</w:t>
      </w:r>
    </w:p>
    <w:p w:rsidR="008C3DA8" w:rsidRPr="00AE0CAB" w:rsidRDefault="008C3DA8" w:rsidP="00D71801">
      <w:pPr>
        <w:spacing w:after="0" w:line="240" w:lineRule="auto"/>
        <w:contextualSpacing/>
        <w:jc w:val="both"/>
        <w:rPr>
          <w:rFonts w:ascii="Times New Roman" w:hAnsi="Times New Roman" w:cs="Times New Roman"/>
          <w:sz w:val="24"/>
          <w:szCs w:val="24"/>
        </w:rPr>
      </w:pPr>
    </w:p>
    <w:p w:rsidR="008C3DA8" w:rsidRPr="00AE0CAB" w:rsidRDefault="008C3DA8" w:rsidP="00D71801">
      <w:pPr>
        <w:spacing w:after="0" w:line="240" w:lineRule="auto"/>
        <w:ind w:right="263"/>
        <w:contextualSpacing/>
        <w:jc w:val="both"/>
        <w:rPr>
          <w:rFonts w:ascii="Times New Roman" w:hAnsi="Times New Roman" w:cs="Times New Roman"/>
          <w:sz w:val="24"/>
          <w:szCs w:val="24"/>
        </w:rPr>
      </w:pPr>
      <w:r w:rsidRPr="00AE0CAB">
        <w:rPr>
          <w:rFonts w:ascii="Times New Roman" w:hAnsi="Times New Roman" w:cs="Times New Roman"/>
          <w:b/>
          <w:sz w:val="24"/>
          <w:szCs w:val="24"/>
        </w:rPr>
        <w:lastRenderedPageBreak/>
        <w:t>SEGUNDO.-</w:t>
      </w:r>
      <w:r w:rsidRPr="00AE0CAB">
        <w:rPr>
          <w:rFonts w:ascii="Times New Roman" w:hAnsi="Times New Roman" w:cs="Times New Roman"/>
          <w:sz w:val="24"/>
          <w:szCs w:val="24"/>
        </w:rPr>
        <w:t xml:space="preserve"> Se adiciona una fracción XIV al artículo 52, una SECCIÓN DÉCIMA CUARTA denominada DE LA INJERENCIA SINDICAL al CAPÍTULO SEGUNDO DE LAS FALTAS ADMINISTRATIVAS GRAVES DE LOS SERVIDORES PÚBLICOS, y un artículo 67 Bis a la Ley de Responsabilidades Administrativas del Estado de México y Municipios, para quedar como sigue: </w:t>
      </w:r>
    </w:p>
    <w:p w:rsidR="008C3DA8" w:rsidRPr="00AE0CAB" w:rsidRDefault="008C3DA8" w:rsidP="00D71801">
      <w:pPr>
        <w:spacing w:after="0" w:line="240" w:lineRule="auto"/>
        <w:ind w:right="263"/>
        <w:contextualSpacing/>
        <w:jc w:val="both"/>
        <w:rPr>
          <w:rFonts w:ascii="Times New Roman" w:hAnsi="Times New Roman" w:cs="Times New Roman"/>
          <w:sz w:val="24"/>
          <w:szCs w:val="24"/>
        </w:rPr>
      </w:pPr>
    </w:p>
    <w:p w:rsidR="008C3DA8" w:rsidRPr="00AE0CAB" w:rsidRDefault="008C3DA8" w:rsidP="00D71801">
      <w:pPr>
        <w:spacing w:after="0" w:line="240" w:lineRule="auto"/>
        <w:ind w:right="263"/>
        <w:contextualSpacing/>
        <w:jc w:val="both"/>
        <w:rPr>
          <w:rFonts w:ascii="Times New Roman" w:hAnsi="Times New Roman" w:cs="Times New Roman"/>
          <w:sz w:val="24"/>
          <w:szCs w:val="24"/>
        </w:rPr>
      </w:pPr>
      <w:r w:rsidRPr="00AE0CAB">
        <w:rPr>
          <w:rFonts w:ascii="Times New Roman" w:hAnsi="Times New Roman" w:cs="Times New Roman"/>
          <w:b/>
          <w:bCs/>
          <w:sz w:val="24"/>
          <w:szCs w:val="24"/>
        </w:rPr>
        <w:t>Artículo 52.</w:t>
      </w:r>
      <w:r w:rsidRPr="00AE0CAB">
        <w:rPr>
          <w:rFonts w:ascii="Times New Roman" w:hAnsi="Times New Roman" w:cs="Times New Roman"/>
          <w:bCs/>
          <w:sz w:val="24"/>
          <w:szCs w:val="24"/>
        </w:rPr>
        <w:t xml:space="preserve"> </w:t>
      </w:r>
      <w:r w:rsidRPr="00AE0CAB">
        <w:rPr>
          <w:rFonts w:ascii="Times New Roman" w:hAnsi="Times New Roman" w:cs="Times New Roman"/>
          <w:sz w:val="24"/>
          <w:szCs w:val="24"/>
        </w:rPr>
        <w:t>…</w:t>
      </w:r>
    </w:p>
    <w:p w:rsidR="008C3DA8" w:rsidRPr="00AE0CAB" w:rsidRDefault="008C3DA8" w:rsidP="00D71801">
      <w:pPr>
        <w:spacing w:after="0" w:line="240" w:lineRule="auto"/>
        <w:ind w:right="263"/>
        <w:contextualSpacing/>
        <w:jc w:val="both"/>
        <w:rPr>
          <w:rFonts w:ascii="Times New Roman" w:hAnsi="Times New Roman" w:cs="Times New Roman"/>
          <w:sz w:val="24"/>
          <w:szCs w:val="24"/>
        </w:rPr>
      </w:pPr>
    </w:p>
    <w:p w:rsidR="008C3DA8" w:rsidRPr="00AE0CAB" w:rsidRDefault="008C3DA8" w:rsidP="00D71801">
      <w:pPr>
        <w:spacing w:after="0" w:line="240" w:lineRule="auto"/>
        <w:ind w:right="263"/>
        <w:contextualSpacing/>
        <w:jc w:val="both"/>
        <w:rPr>
          <w:rFonts w:ascii="Times New Roman" w:hAnsi="Times New Roman" w:cs="Times New Roman"/>
          <w:sz w:val="24"/>
          <w:szCs w:val="24"/>
        </w:rPr>
      </w:pPr>
      <w:r w:rsidRPr="00AE0CAB">
        <w:rPr>
          <w:rFonts w:ascii="Times New Roman" w:hAnsi="Times New Roman" w:cs="Times New Roman"/>
          <w:b/>
          <w:bCs/>
          <w:sz w:val="24"/>
          <w:szCs w:val="24"/>
        </w:rPr>
        <w:t>I. a XIII.</w:t>
      </w:r>
      <w:r w:rsidRPr="00AE0CAB">
        <w:rPr>
          <w:rFonts w:ascii="Times New Roman" w:hAnsi="Times New Roman" w:cs="Times New Roman"/>
          <w:bCs/>
          <w:sz w:val="24"/>
          <w:szCs w:val="24"/>
        </w:rPr>
        <w:t xml:space="preserve"> ... </w:t>
      </w:r>
    </w:p>
    <w:p w:rsidR="008C3DA8" w:rsidRPr="00AE0CAB" w:rsidRDefault="008C3DA8" w:rsidP="00D71801">
      <w:pPr>
        <w:spacing w:after="0" w:line="240" w:lineRule="auto"/>
        <w:ind w:right="263"/>
        <w:contextualSpacing/>
        <w:jc w:val="both"/>
        <w:rPr>
          <w:rFonts w:ascii="Times New Roman" w:hAnsi="Times New Roman" w:cs="Times New Roman"/>
          <w:bCs/>
          <w:sz w:val="24"/>
          <w:szCs w:val="24"/>
        </w:rPr>
      </w:pPr>
    </w:p>
    <w:p w:rsidR="008C3DA8" w:rsidRPr="00AE0CAB" w:rsidRDefault="008C3DA8" w:rsidP="00D71801">
      <w:pPr>
        <w:spacing w:after="0" w:line="240" w:lineRule="auto"/>
        <w:ind w:right="263"/>
        <w:contextualSpacing/>
        <w:jc w:val="both"/>
        <w:rPr>
          <w:rFonts w:ascii="Times New Roman" w:hAnsi="Times New Roman" w:cs="Times New Roman"/>
          <w:sz w:val="24"/>
          <w:szCs w:val="24"/>
        </w:rPr>
      </w:pPr>
      <w:r w:rsidRPr="00AE0CAB">
        <w:rPr>
          <w:rFonts w:ascii="Times New Roman" w:hAnsi="Times New Roman" w:cs="Times New Roman"/>
          <w:b/>
          <w:bCs/>
          <w:sz w:val="24"/>
          <w:szCs w:val="24"/>
        </w:rPr>
        <w:t>XIV.</w:t>
      </w:r>
      <w:r w:rsidRPr="00AE0CAB">
        <w:rPr>
          <w:rFonts w:ascii="Times New Roman" w:hAnsi="Times New Roman" w:cs="Times New Roman"/>
          <w:bCs/>
          <w:sz w:val="24"/>
          <w:szCs w:val="24"/>
        </w:rPr>
        <w:t xml:space="preserve"> La Injerencia Sindical. </w:t>
      </w:r>
    </w:p>
    <w:p w:rsidR="008C3DA8" w:rsidRPr="00AE0CAB" w:rsidRDefault="008C3DA8" w:rsidP="00D71801">
      <w:pPr>
        <w:spacing w:after="0" w:line="240" w:lineRule="auto"/>
        <w:ind w:right="263"/>
        <w:contextualSpacing/>
        <w:jc w:val="both"/>
        <w:rPr>
          <w:rFonts w:ascii="Times New Roman" w:hAnsi="Times New Roman" w:cs="Times New Roman"/>
          <w:bCs/>
          <w:sz w:val="24"/>
          <w:szCs w:val="24"/>
        </w:rPr>
      </w:pPr>
    </w:p>
    <w:p w:rsidR="008C3DA8" w:rsidRPr="00AE0CAB" w:rsidRDefault="008C3DA8" w:rsidP="00D71801">
      <w:pPr>
        <w:spacing w:after="0" w:line="240" w:lineRule="auto"/>
        <w:ind w:right="263"/>
        <w:contextualSpacing/>
        <w:jc w:val="center"/>
        <w:rPr>
          <w:rFonts w:ascii="Times New Roman" w:hAnsi="Times New Roman" w:cs="Times New Roman"/>
          <w:b/>
          <w:sz w:val="24"/>
          <w:szCs w:val="24"/>
        </w:rPr>
      </w:pPr>
      <w:r w:rsidRPr="00AE0CAB">
        <w:rPr>
          <w:rFonts w:ascii="Times New Roman" w:hAnsi="Times New Roman" w:cs="Times New Roman"/>
          <w:b/>
          <w:bCs/>
          <w:sz w:val="24"/>
          <w:szCs w:val="24"/>
        </w:rPr>
        <w:t>SECCIÓN DÉCIMA CUARTA</w:t>
      </w:r>
    </w:p>
    <w:p w:rsidR="008C3DA8" w:rsidRPr="00AE0CAB" w:rsidRDefault="008C3DA8" w:rsidP="00D71801">
      <w:pPr>
        <w:spacing w:after="0" w:line="240" w:lineRule="auto"/>
        <w:ind w:right="263"/>
        <w:contextualSpacing/>
        <w:jc w:val="center"/>
        <w:rPr>
          <w:rFonts w:ascii="Times New Roman" w:hAnsi="Times New Roman" w:cs="Times New Roman"/>
          <w:b/>
          <w:sz w:val="24"/>
          <w:szCs w:val="24"/>
        </w:rPr>
      </w:pPr>
      <w:r w:rsidRPr="00AE0CAB">
        <w:rPr>
          <w:rFonts w:ascii="Times New Roman" w:hAnsi="Times New Roman" w:cs="Times New Roman"/>
          <w:b/>
          <w:bCs/>
          <w:sz w:val="24"/>
          <w:szCs w:val="24"/>
        </w:rPr>
        <w:t>DE LA INJERENCIA SINDICAL</w:t>
      </w:r>
    </w:p>
    <w:p w:rsidR="008C3DA8" w:rsidRPr="00AE0CAB" w:rsidRDefault="008C3DA8" w:rsidP="00D71801">
      <w:pPr>
        <w:spacing w:after="0" w:line="240" w:lineRule="auto"/>
        <w:ind w:right="263"/>
        <w:contextualSpacing/>
        <w:jc w:val="both"/>
        <w:rPr>
          <w:rFonts w:ascii="Times New Roman" w:hAnsi="Times New Roman" w:cs="Times New Roman"/>
          <w:bCs/>
          <w:sz w:val="24"/>
          <w:szCs w:val="24"/>
        </w:rPr>
      </w:pPr>
    </w:p>
    <w:p w:rsidR="008C3DA8" w:rsidRPr="00AE0CAB" w:rsidRDefault="008C3DA8" w:rsidP="00D71801">
      <w:pPr>
        <w:spacing w:after="0" w:line="240" w:lineRule="auto"/>
        <w:ind w:right="263"/>
        <w:contextualSpacing/>
        <w:jc w:val="both"/>
        <w:rPr>
          <w:rFonts w:ascii="Times New Roman" w:hAnsi="Times New Roman" w:cs="Times New Roman"/>
          <w:sz w:val="24"/>
          <w:szCs w:val="24"/>
        </w:rPr>
      </w:pPr>
      <w:r w:rsidRPr="00AE0CAB">
        <w:rPr>
          <w:rFonts w:ascii="Times New Roman" w:hAnsi="Times New Roman" w:cs="Times New Roman"/>
          <w:b/>
          <w:bCs/>
          <w:sz w:val="24"/>
          <w:szCs w:val="24"/>
        </w:rPr>
        <w:t>Artículo 67 Bis.</w:t>
      </w:r>
      <w:r w:rsidRPr="00AE0CAB">
        <w:rPr>
          <w:rFonts w:ascii="Times New Roman" w:hAnsi="Times New Roman" w:cs="Times New Roman"/>
          <w:bCs/>
          <w:sz w:val="24"/>
          <w:szCs w:val="24"/>
        </w:rPr>
        <w:t xml:space="preserve"> Será responsable de injerencia sindical la persona servidora pública que, por sí o por terceros, incurra en las conductas previstas en la Ley del Trabajo de los Servidores Públicos del Estado y Municipios.</w:t>
      </w:r>
    </w:p>
    <w:p w:rsidR="008C3DA8" w:rsidRPr="00AE0CAB" w:rsidRDefault="008C3DA8" w:rsidP="00D71801">
      <w:pPr>
        <w:spacing w:after="0" w:line="240" w:lineRule="auto"/>
        <w:ind w:right="263"/>
        <w:contextualSpacing/>
        <w:jc w:val="both"/>
        <w:rPr>
          <w:rFonts w:ascii="Times New Roman" w:hAnsi="Times New Roman" w:cs="Times New Roman"/>
          <w:sz w:val="24"/>
          <w:szCs w:val="24"/>
        </w:rPr>
      </w:pPr>
    </w:p>
    <w:p w:rsidR="008C3DA8" w:rsidRPr="00AE0CAB" w:rsidRDefault="008C3DA8" w:rsidP="00D71801">
      <w:pPr>
        <w:pStyle w:val="Textoindependiente"/>
        <w:contextualSpacing/>
        <w:jc w:val="center"/>
        <w:rPr>
          <w:rFonts w:ascii="Times New Roman" w:hAnsi="Times New Roman" w:cs="Times New Roman"/>
          <w:b/>
          <w:sz w:val="24"/>
          <w:szCs w:val="24"/>
          <w:lang w:val="es-MX"/>
        </w:rPr>
      </w:pPr>
      <w:r w:rsidRPr="00AE0CAB">
        <w:rPr>
          <w:rFonts w:ascii="Times New Roman" w:hAnsi="Times New Roman" w:cs="Times New Roman"/>
          <w:b/>
          <w:sz w:val="24"/>
          <w:szCs w:val="24"/>
          <w:lang w:val="es-MX"/>
        </w:rPr>
        <w:t>T R A N S I T O R I O S</w:t>
      </w:r>
    </w:p>
    <w:p w:rsidR="008C3DA8" w:rsidRPr="00AE0CAB" w:rsidRDefault="008C3DA8" w:rsidP="00D71801">
      <w:pPr>
        <w:pStyle w:val="Textoindependiente"/>
        <w:contextualSpacing/>
        <w:rPr>
          <w:rFonts w:ascii="Times New Roman" w:hAnsi="Times New Roman" w:cs="Times New Roman"/>
          <w:sz w:val="24"/>
          <w:szCs w:val="24"/>
          <w:lang w:val="es-MX"/>
        </w:rPr>
      </w:pPr>
    </w:p>
    <w:p w:rsidR="008C3DA8" w:rsidRPr="00AE0CAB" w:rsidRDefault="008C3DA8" w:rsidP="00D71801">
      <w:pPr>
        <w:pStyle w:val="Textoindependiente"/>
        <w:contextualSpacing/>
        <w:jc w:val="both"/>
        <w:rPr>
          <w:rFonts w:ascii="Times New Roman" w:hAnsi="Times New Roman" w:cs="Times New Roman"/>
          <w:sz w:val="24"/>
          <w:szCs w:val="24"/>
          <w:lang w:val="es-MX"/>
        </w:rPr>
      </w:pPr>
      <w:r w:rsidRPr="00AE0CAB">
        <w:rPr>
          <w:rFonts w:ascii="Times New Roman" w:hAnsi="Times New Roman" w:cs="Times New Roman"/>
          <w:b/>
          <w:bCs/>
          <w:sz w:val="24"/>
          <w:szCs w:val="24"/>
          <w:lang w:val="es-MX"/>
        </w:rPr>
        <w:t>PRIMERO.-</w:t>
      </w:r>
      <w:r w:rsidRPr="00AE0CAB">
        <w:rPr>
          <w:rFonts w:ascii="Times New Roman" w:hAnsi="Times New Roman" w:cs="Times New Roman"/>
          <w:bCs/>
          <w:sz w:val="24"/>
          <w:szCs w:val="24"/>
          <w:lang w:val="es-MX"/>
        </w:rPr>
        <w:t xml:space="preserve"> </w:t>
      </w:r>
      <w:r w:rsidRPr="00AE0CAB">
        <w:rPr>
          <w:rFonts w:ascii="Times New Roman" w:hAnsi="Times New Roman" w:cs="Times New Roman"/>
          <w:sz w:val="24"/>
          <w:szCs w:val="24"/>
          <w:lang w:val="es-MX"/>
        </w:rPr>
        <w:t xml:space="preserve">El presente Decreto entrará en vigor al día siguiente de su publicación en el Periódico Oficial “Gaceta del Gobierno”. </w:t>
      </w:r>
    </w:p>
    <w:p w:rsidR="008C3DA8" w:rsidRPr="00AE0CAB" w:rsidRDefault="008C3DA8" w:rsidP="00D71801">
      <w:pPr>
        <w:pStyle w:val="Textoindependiente"/>
        <w:contextualSpacing/>
        <w:jc w:val="both"/>
        <w:rPr>
          <w:rFonts w:ascii="Times New Roman" w:hAnsi="Times New Roman" w:cs="Times New Roman"/>
          <w:sz w:val="24"/>
          <w:szCs w:val="24"/>
          <w:lang w:val="es-MX"/>
        </w:rPr>
      </w:pPr>
    </w:p>
    <w:p w:rsidR="008C3DA8" w:rsidRPr="00AE0CAB" w:rsidRDefault="008C3DA8" w:rsidP="00D71801">
      <w:pPr>
        <w:pStyle w:val="Textoindependiente"/>
        <w:contextualSpacing/>
        <w:jc w:val="both"/>
        <w:rPr>
          <w:rFonts w:ascii="Times New Roman" w:hAnsi="Times New Roman" w:cs="Times New Roman"/>
          <w:bCs/>
          <w:sz w:val="24"/>
          <w:szCs w:val="24"/>
          <w:lang w:val="es-MX"/>
        </w:rPr>
      </w:pPr>
      <w:r w:rsidRPr="00AE0CAB">
        <w:rPr>
          <w:rFonts w:ascii="Times New Roman" w:hAnsi="Times New Roman" w:cs="Times New Roman"/>
          <w:b/>
          <w:bCs/>
          <w:sz w:val="24"/>
          <w:szCs w:val="24"/>
          <w:lang w:val="es-MX"/>
        </w:rPr>
        <w:t>SEGUNDO.-</w:t>
      </w:r>
      <w:r w:rsidRPr="00AE0CAB">
        <w:rPr>
          <w:rFonts w:ascii="Times New Roman" w:hAnsi="Times New Roman" w:cs="Times New Roman"/>
          <w:bCs/>
          <w:sz w:val="24"/>
          <w:szCs w:val="24"/>
          <w:lang w:val="es-MX"/>
        </w:rPr>
        <w:t xml:space="preserve"> </w:t>
      </w:r>
      <w:r w:rsidRPr="00AE0CAB">
        <w:rPr>
          <w:rFonts w:ascii="Times New Roman" w:hAnsi="Times New Roman" w:cs="Times New Roman"/>
          <w:sz w:val="24"/>
          <w:szCs w:val="24"/>
          <w:lang w:val="es-MX"/>
        </w:rPr>
        <w:t>Las autoridades estatales y municipales deberán adecuar sus reglamentos, lineamientos y disposiciones administrativas en un plazo no mayor a 60 días naturales, contados a partir de la entrada en vigor del presente Decreto, de conformidad con lo previsto en el mismo</w:t>
      </w:r>
      <w:r w:rsidRPr="00AE0CAB">
        <w:rPr>
          <w:rFonts w:ascii="Times New Roman" w:hAnsi="Times New Roman" w:cs="Times New Roman"/>
          <w:bCs/>
          <w:sz w:val="24"/>
          <w:szCs w:val="24"/>
          <w:lang w:val="es-MX"/>
        </w:rPr>
        <w:t xml:space="preserve">. </w:t>
      </w:r>
    </w:p>
    <w:p w:rsidR="008C3DA8" w:rsidRPr="00AE0CAB" w:rsidRDefault="008C3DA8" w:rsidP="00D71801">
      <w:pPr>
        <w:pStyle w:val="Textoindependiente"/>
        <w:contextualSpacing/>
        <w:jc w:val="both"/>
        <w:rPr>
          <w:rFonts w:ascii="Times New Roman" w:hAnsi="Times New Roman" w:cs="Times New Roman"/>
          <w:sz w:val="24"/>
          <w:szCs w:val="24"/>
          <w:lang w:val="es-MX"/>
        </w:rPr>
      </w:pPr>
    </w:p>
    <w:p w:rsidR="008C3DA8" w:rsidRPr="00AE0CAB" w:rsidRDefault="008C3DA8" w:rsidP="00D71801">
      <w:pPr>
        <w:pStyle w:val="Textoindependiente"/>
        <w:contextualSpacing/>
        <w:jc w:val="both"/>
        <w:rPr>
          <w:rFonts w:ascii="Times New Roman" w:hAnsi="Times New Roman" w:cs="Times New Roman"/>
          <w:sz w:val="24"/>
          <w:szCs w:val="24"/>
          <w:lang w:val="es-MX"/>
        </w:rPr>
      </w:pPr>
      <w:r w:rsidRPr="00AE0CAB">
        <w:rPr>
          <w:rFonts w:ascii="Times New Roman" w:hAnsi="Times New Roman" w:cs="Times New Roman"/>
          <w:b/>
          <w:bCs/>
          <w:sz w:val="24"/>
          <w:szCs w:val="24"/>
          <w:lang w:val="es-MX"/>
        </w:rPr>
        <w:t>TERCERO.-</w:t>
      </w:r>
      <w:r w:rsidRPr="00AE0CAB">
        <w:rPr>
          <w:rFonts w:ascii="Times New Roman" w:hAnsi="Times New Roman" w:cs="Times New Roman"/>
          <w:bCs/>
          <w:sz w:val="24"/>
          <w:szCs w:val="24"/>
          <w:lang w:val="es-MX"/>
        </w:rPr>
        <w:t xml:space="preserve"> </w:t>
      </w:r>
      <w:r w:rsidRPr="00AE0CAB">
        <w:rPr>
          <w:rFonts w:ascii="Times New Roman" w:hAnsi="Times New Roman" w:cs="Times New Roman"/>
          <w:sz w:val="24"/>
          <w:szCs w:val="24"/>
          <w:lang w:val="es-MX"/>
        </w:rPr>
        <w:t>Se derogan todas las disposiciones que se opongan al presente Decreto.</w:t>
      </w:r>
    </w:p>
    <w:bookmarkEnd w:id="6"/>
    <w:p w:rsidR="008C3DA8" w:rsidRPr="00AE0CAB" w:rsidRDefault="008C3DA8" w:rsidP="00D71801">
      <w:pPr>
        <w:pStyle w:val="Textoindependiente"/>
        <w:contextualSpacing/>
        <w:rPr>
          <w:rFonts w:ascii="Times New Roman" w:hAnsi="Times New Roman" w:cs="Times New Roman"/>
          <w:sz w:val="24"/>
          <w:szCs w:val="24"/>
          <w:lang w:val="es-MX"/>
        </w:rPr>
      </w:pPr>
    </w:p>
    <w:p w:rsidR="008C3DA8" w:rsidRPr="00AE0CAB" w:rsidRDefault="008C3DA8" w:rsidP="00D71801">
      <w:pPr>
        <w:kinsoku w:val="0"/>
        <w:overflowPunct w:val="0"/>
        <w:spacing w:after="0" w:line="240" w:lineRule="auto"/>
        <w:jc w:val="both"/>
        <w:textAlignment w:val="baseline"/>
        <w:rPr>
          <w:rFonts w:ascii="Times New Roman" w:hAnsi="Times New Roman" w:cs="Times New Roman"/>
          <w:sz w:val="24"/>
          <w:szCs w:val="24"/>
          <w:lang w:eastAsia="es-ES"/>
        </w:rPr>
      </w:pPr>
      <w:r w:rsidRPr="00AE0CAB">
        <w:rPr>
          <w:rFonts w:ascii="Times New Roman" w:hAnsi="Times New Roman" w:cs="Times New Roman"/>
          <w:sz w:val="24"/>
          <w:szCs w:val="24"/>
          <w:lang w:eastAsia="es-ES"/>
        </w:rPr>
        <w:t>Lo tendrá entendido la Gobernadora del Estado, haciendo que se publique y se cumpla.</w:t>
      </w:r>
    </w:p>
    <w:p w:rsidR="008C3DA8" w:rsidRPr="00AE0CAB" w:rsidRDefault="008C3DA8" w:rsidP="00D71801">
      <w:pPr>
        <w:kinsoku w:val="0"/>
        <w:overflowPunct w:val="0"/>
        <w:spacing w:after="0" w:line="240" w:lineRule="auto"/>
        <w:jc w:val="both"/>
        <w:textAlignment w:val="baseline"/>
        <w:rPr>
          <w:rFonts w:ascii="Times New Roman" w:hAnsi="Times New Roman" w:cs="Times New Roman"/>
          <w:sz w:val="24"/>
          <w:szCs w:val="24"/>
        </w:rPr>
      </w:pPr>
    </w:p>
    <w:p w:rsidR="008C3DA8" w:rsidRPr="00AE0CAB" w:rsidRDefault="008C3DA8" w:rsidP="00D71801">
      <w:pPr>
        <w:kinsoku w:val="0"/>
        <w:overflowPunct w:val="0"/>
        <w:spacing w:after="0" w:line="240" w:lineRule="auto"/>
        <w:jc w:val="both"/>
        <w:textAlignment w:val="baseline"/>
        <w:rPr>
          <w:rFonts w:ascii="Times New Roman" w:hAnsi="Times New Roman" w:cs="Times New Roman"/>
          <w:sz w:val="24"/>
          <w:szCs w:val="24"/>
        </w:rPr>
      </w:pPr>
      <w:r w:rsidRPr="00AE0CAB">
        <w:rPr>
          <w:rFonts w:ascii="Times New Roman" w:hAnsi="Times New Roman" w:cs="Times New Roman"/>
          <w:sz w:val="24"/>
          <w:szCs w:val="24"/>
        </w:rPr>
        <w:t>Dado en el Palacio del Poder Legislativo, en la ciudad de Toluca de Lerdo, Capital del Estado de México, a los dieciocho días del mes de febrero del dos mil veintiséis.</w:t>
      </w:r>
    </w:p>
    <w:p w:rsidR="008C3DA8" w:rsidRPr="00AE0CAB" w:rsidRDefault="008C3DA8" w:rsidP="00D71801">
      <w:pPr>
        <w:spacing w:after="0" w:line="240" w:lineRule="auto"/>
        <w:jc w:val="center"/>
        <w:rPr>
          <w:rFonts w:ascii="Times New Roman" w:hAnsi="Times New Roman" w:cs="Times New Roman"/>
          <w:b/>
          <w:sz w:val="24"/>
          <w:szCs w:val="24"/>
        </w:rPr>
      </w:pPr>
    </w:p>
    <w:p w:rsidR="008C3DA8" w:rsidRPr="00AE0CAB" w:rsidRDefault="008C3DA8"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PRESIDENTA</w:t>
      </w:r>
    </w:p>
    <w:p w:rsidR="008C3DA8" w:rsidRPr="00AE0CAB" w:rsidRDefault="008C3DA8"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DIP. MARTHA AZUCENA CAMACHO REYNOSO</w:t>
      </w:r>
    </w:p>
    <w:p w:rsidR="008C3DA8" w:rsidRPr="00AE0CAB" w:rsidRDefault="008C3DA8" w:rsidP="00D71801">
      <w:pPr>
        <w:spacing w:after="0" w:line="240" w:lineRule="auto"/>
        <w:jc w:val="center"/>
        <w:rPr>
          <w:rFonts w:ascii="Times New Roman" w:hAnsi="Times New Roman" w:cs="Times New Roman"/>
          <w:b/>
          <w:sz w:val="24"/>
          <w:szCs w:val="24"/>
        </w:rPr>
      </w:pPr>
    </w:p>
    <w:p w:rsidR="008C3DA8" w:rsidRPr="00AE0CAB" w:rsidRDefault="008C3DA8"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SECRETARIOS</w:t>
      </w:r>
    </w:p>
    <w:tbl>
      <w:tblPr>
        <w:tblW w:w="0" w:type="auto"/>
        <w:tblLook w:val="04A0" w:firstRow="1" w:lastRow="0" w:firstColumn="1" w:lastColumn="0" w:noHBand="0" w:noVBand="1"/>
      </w:tblPr>
      <w:tblGrid>
        <w:gridCol w:w="4877"/>
        <w:gridCol w:w="4528"/>
      </w:tblGrid>
      <w:tr w:rsidR="008C3DA8" w:rsidRPr="00AE0CAB" w:rsidTr="009601F3">
        <w:tc>
          <w:tcPr>
            <w:tcW w:w="4877" w:type="dxa"/>
            <w:shd w:val="clear" w:color="auto" w:fill="auto"/>
          </w:tcPr>
          <w:p w:rsidR="008C3DA8" w:rsidRPr="00AE0CAB" w:rsidRDefault="008C3DA8"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DIP. EDGAR SAMUEL RÍOS MORENO</w:t>
            </w:r>
          </w:p>
        </w:tc>
        <w:tc>
          <w:tcPr>
            <w:tcW w:w="4528" w:type="dxa"/>
            <w:shd w:val="clear" w:color="auto" w:fill="auto"/>
          </w:tcPr>
          <w:p w:rsidR="008C3DA8" w:rsidRPr="00AE0CAB" w:rsidRDefault="008C3DA8"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DIP. EDUARDO ZARZOSA SÁNCHEZ</w:t>
            </w:r>
          </w:p>
        </w:tc>
      </w:tr>
    </w:tbl>
    <w:p w:rsidR="00F51D6E" w:rsidRPr="00AE0CAB" w:rsidRDefault="00F51D6E" w:rsidP="00D71801">
      <w:pPr>
        <w:spacing w:after="0" w:line="240" w:lineRule="auto"/>
        <w:jc w:val="center"/>
        <w:rPr>
          <w:rFonts w:ascii="Times New Roman" w:hAnsi="Times New Roman" w:cs="Times New Roman"/>
          <w:sz w:val="24"/>
          <w:szCs w:val="24"/>
        </w:rPr>
      </w:pPr>
    </w:p>
    <w:p w:rsidR="00F51D6E" w:rsidRPr="00AE0CAB" w:rsidRDefault="00F51D6E"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(Fin del documento)</w:t>
      </w:r>
    </w:p>
    <w:p w:rsidR="00F51D6E" w:rsidRPr="00AE0CAB" w:rsidRDefault="00F51D6E" w:rsidP="00D71801">
      <w:pPr>
        <w:spacing w:after="0" w:line="240" w:lineRule="auto"/>
        <w:jc w:val="center"/>
        <w:rPr>
          <w:rFonts w:ascii="Times New Roman" w:hAnsi="Times New Roman" w:cs="Times New Roman"/>
          <w:sz w:val="24"/>
          <w:szCs w:val="24"/>
        </w:rPr>
      </w:pP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Leído el dictamen con sus antecedentes pido a quienes estén por su turno a discusión se sirvan levantar la mano.</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Secretario por favor puede hacer la lista del turno de oradores.</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SECRETARIO DIP. EDGAR SAMUEL RÍOS MORENO. El diputado Santillán, ¿alguien más?</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Adelante diputado.</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lastRenderedPageBreak/>
        <w:t>DIP. ERNESTO SANTILLÁN RAMÍREZ. Con su venia Presidenta de esta Legislatura, compañeras y compañeros diputados, quiero comentar que la libertad sindical no es sólo un derecho de asociación, es la columna vertebral de la justicia social y el pilar que sostiene la democracia en el mundo del trabajo.</w:t>
      </w:r>
    </w:p>
    <w:p w:rsidR="00315EB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Como Presidente de la Comisión de Trabajo y Previsión Social, acudo a esta máxima tribuna para respaldar la iniciativa que hoy nos ocupa la cual busca blindar la vida interna de los sindicatos frente a cualquier intento de control o manipulación institucional.</w:t>
      </w:r>
    </w:p>
    <w:p w:rsidR="00E04EDF" w:rsidRPr="00AE0CAB" w:rsidRDefault="00315EBF"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Históricamente la autonomía de las organizaciones de trabajadores ha enfrentado desafíos, desde presiones jerárquicas hasta el uso indebido de recursos públicos para influir en las elecciones gremiales</w:t>
      </w:r>
      <w:r w:rsidR="00F7209C" w:rsidRPr="00AE0CAB">
        <w:rPr>
          <w:rFonts w:ascii="Times New Roman" w:hAnsi="Times New Roman" w:cs="Times New Roman"/>
          <w:sz w:val="24"/>
          <w:szCs w:val="24"/>
        </w:rPr>
        <w:t>, esta iniciativa</w:t>
      </w:r>
      <w:r w:rsidR="00E04EDF" w:rsidRPr="00AE0CAB">
        <w:rPr>
          <w:rFonts w:ascii="Times New Roman" w:hAnsi="Times New Roman" w:cs="Times New Roman"/>
          <w:sz w:val="24"/>
          <w:szCs w:val="24"/>
          <w:lang w:eastAsia="es-MX"/>
        </w:rPr>
        <w:t xml:space="preserve"> impulsada por nuestro compañero diputado Rigoberto Vargas, propone poner fin a esas prácticas mediante reformas contundentes a la Ley del Trabajo de los Servidores Públicos y a la Ley de Responsabilidades Administrativas de nuestra </w:t>
      </w:r>
      <w:r w:rsidR="00416BC6" w:rsidRPr="00AE0CAB">
        <w:rPr>
          <w:rFonts w:ascii="Times New Roman" w:hAnsi="Times New Roman" w:cs="Times New Roman"/>
          <w:sz w:val="24"/>
          <w:szCs w:val="24"/>
          <w:lang w:eastAsia="es-MX"/>
        </w:rPr>
        <w:t>identidad</w:t>
      </w:r>
      <w:r w:rsidR="00E04EDF" w:rsidRPr="00AE0CAB">
        <w:rPr>
          <w:rFonts w:ascii="Times New Roman" w:hAnsi="Times New Roman" w:cs="Times New Roman"/>
          <w:sz w:val="24"/>
          <w:szCs w:val="24"/>
          <w:lang w:eastAsia="es-MX"/>
        </w:rPr>
        <w:t xml:space="preserve">. </w:t>
      </w:r>
    </w:p>
    <w:p w:rsidR="00E04EDF" w:rsidRPr="00AE0CAB" w:rsidRDefault="00E04EDF"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Es fundamental la armonización en el Marco Federal e Internacional, estamos alineando nuestra legislación local con convenios 87 y 98 de la OIT y la reciente reforma al artículo 69 Bis de la Ley Federal de Trabajadores al Servicio del Estado, no podemos permitir que el Estado de México se quede rezagado. </w:t>
      </w:r>
    </w:p>
    <w:p w:rsidR="00E04EDF" w:rsidRPr="00AE0CAB" w:rsidRDefault="00E04EDF"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La protección de los derechos humanos laborales es fundamental para los mexiquenses, la propuesta no queda solo en buenas intenciones, se adiciona el artículo 67 Bis para establecer la injerencia sindical sea considerada una falta administrativa grave, esto significa que cualquier servidor público que coaccione amenace o utilice recursos institucionales para favorecer o perjudicar a una planilla enfrentará sanciones muy severas. </w:t>
      </w:r>
    </w:p>
    <w:p w:rsidR="00E04EDF" w:rsidRPr="00AE0CAB" w:rsidRDefault="00E04EDF"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Transparencia y neutralidad, se prohíben expresamente 19 conductas de injerencia, tales como el condicionamiento de servicios o beneficios laborales a cambio del voto, el uso de infraestructura pública para campañas sindicales o la difusión de propaganda institucional que interfiera en la vida gremial</w:t>
      </w:r>
      <w:r w:rsidR="00126280" w:rsidRPr="00AE0CAB">
        <w:rPr>
          <w:rFonts w:ascii="Times New Roman" w:hAnsi="Times New Roman" w:cs="Times New Roman"/>
          <w:sz w:val="24"/>
          <w:szCs w:val="24"/>
          <w:lang w:eastAsia="es-MX"/>
        </w:rPr>
        <w:t>;</w:t>
      </w:r>
      <w:r w:rsidRPr="00AE0CAB">
        <w:rPr>
          <w:rFonts w:ascii="Times New Roman" w:hAnsi="Times New Roman" w:cs="Times New Roman"/>
          <w:sz w:val="24"/>
          <w:szCs w:val="24"/>
          <w:lang w:eastAsia="es-MX"/>
        </w:rPr>
        <w:t xml:space="preserve"> nuestra responsabilidad es garantizar que la elección de las dirigencias y la toma de decisiones colectivas pertenezcan exclusivamente a las y los trabajadores. </w:t>
      </w:r>
    </w:p>
    <w:p w:rsidR="00E04EDF" w:rsidRPr="00AE0CAB" w:rsidRDefault="00E04EDF"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Al aprobar este proyecto estamos enviando un mensaje claro en el Estado de México el respeto a la autonomía sindical es absoluta e injerencia oficial sancionable, no hay democracia real sin sindicatos libres, no hay paz laboral sin respeto mutuo entre autoridades y organizaciones de trabajadores. </w:t>
      </w:r>
    </w:p>
    <w:p w:rsidR="00E04EDF" w:rsidRPr="00AE0CAB" w:rsidRDefault="00E04EDF"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Por lo anterior, fortalezcamos el derecho y aseguremos que la voz del trabajador mexiquense sea escuchada de manera auténtica, libre y soberana. </w:t>
      </w:r>
    </w:p>
    <w:p w:rsidR="00E04EDF" w:rsidRPr="00AE0CAB" w:rsidRDefault="00E04EDF"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Sería cuanto, Presidenta gracias. </w:t>
      </w:r>
    </w:p>
    <w:p w:rsidR="00E04EDF" w:rsidRPr="00AE0CAB" w:rsidRDefault="00E04EDF" w:rsidP="00D71801">
      <w:pPr>
        <w:pStyle w:val="Sinespaciado"/>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PRESIDENTA DIP. MARTHA AZUCENA CAMACHO REYNOSO. Gracias diputado Santillán. </w:t>
      </w:r>
    </w:p>
    <w:p w:rsidR="00E04EDF" w:rsidRPr="00AE0CAB" w:rsidRDefault="00E04EDF"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Pido a quienes estén por su turno a discusión, se sirvan levantar la mano. </w:t>
      </w:r>
    </w:p>
    <w:p w:rsidR="00E04EDF" w:rsidRPr="00AE0CAB" w:rsidRDefault="00E04EDF" w:rsidP="00D71801">
      <w:pPr>
        <w:pStyle w:val="Sinespaciado"/>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SECRETARIO DIP. EDGAR SAMUEL RÍOS MORENO. La propuesta ha sido aprobada por unanimidad de votos. </w:t>
      </w:r>
    </w:p>
    <w:p w:rsidR="00E04EDF" w:rsidRPr="00AE0CAB" w:rsidRDefault="00E04EDF" w:rsidP="00D71801">
      <w:pPr>
        <w:pStyle w:val="Sinespaciado"/>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PRESIDENTA DIP. MARTHA AZUCENA CAMACHO REYNOSO. Gracias Secretario.</w:t>
      </w:r>
    </w:p>
    <w:p w:rsidR="00E04EDF" w:rsidRPr="00AE0CAB" w:rsidRDefault="00E04EDF"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Abro la discusión en lo general y consulto a las diputadas y a los diputados si desean hacer uso de la palabra.</w:t>
      </w:r>
    </w:p>
    <w:p w:rsidR="00E04EDF" w:rsidRPr="00AE0CAB" w:rsidRDefault="00E04EDF"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 Para recabar la votación en lo general pido a la Secretaría abra el sistema de votación hasta por dos minutos. Si alguien desea preparar algún artículo en lo particular, sírvase indicarlo. </w:t>
      </w:r>
    </w:p>
    <w:p w:rsidR="00E04EDF" w:rsidRPr="00AE0CAB" w:rsidRDefault="00E04EDF" w:rsidP="00D71801">
      <w:pPr>
        <w:pStyle w:val="Sinespaciado"/>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SECRETARIO DIP. EDGAR SAMUEL RÍOS MORENO. Abrase el sistema de votación hasta por dos minutos. </w:t>
      </w:r>
    </w:p>
    <w:p w:rsidR="00E04EDF" w:rsidRPr="00AE0CAB" w:rsidRDefault="00E04EDF" w:rsidP="00D71801">
      <w:pPr>
        <w:pStyle w:val="Sinespaciado"/>
        <w:jc w:val="center"/>
        <w:rPr>
          <w:rFonts w:ascii="Times New Roman" w:hAnsi="Times New Roman" w:cs="Times New Roman"/>
          <w:i/>
          <w:sz w:val="24"/>
          <w:szCs w:val="24"/>
          <w:lang w:eastAsia="es-MX"/>
        </w:rPr>
      </w:pPr>
      <w:r w:rsidRPr="00AE0CAB">
        <w:rPr>
          <w:rFonts w:ascii="Times New Roman" w:hAnsi="Times New Roman" w:cs="Times New Roman"/>
          <w:i/>
          <w:sz w:val="24"/>
          <w:szCs w:val="24"/>
          <w:lang w:eastAsia="es-MX"/>
        </w:rPr>
        <w:t>(Votación nominal)</w:t>
      </w:r>
    </w:p>
    <w:p w:rsidR="001F4B0C" w:rsidRPr="00AE0CAB" w:rsidRDefault="00E04EDF" w:rsidP="00D71801">
      <w:pPr>
        <w:pStyle w:val="Sinespaciado"/>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SECRETARIO DIP. EDGAR SAMUEL RÍOS MORENO. Alguien falta emitir su voto.</w:t>
      </w:r>
    </w:p>
    <w:p w:rsidR="00F7209C" w:rsidRPr="00AE0CAB" w:rsidRDefault="00E04EDF"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Por favor, registra el diputado, el voto de la diputada Sara, por favor</w:t>
      </w:r>
      <w:r w:rsidR="001F4B0C" w:rsidRPr="00AE0CAB">
        <w:rPr>
          <w:rFonts w:ascii="Times New Roman" w:hAnsi="Times New Roman" w:cs="Times New Roman"/>
          <w:sz w:val="24"/>
          <w:szCs w:val="24"/>
          <w:lang w:eastAsia="es-MX"/>
        </w:rPr>
        <w:t>.</w:t>
      </w:r>
    </w:p>
    <w:p w:rsidR="00E46430" w:rsidRPr="00AE0CAB" w:rsidRDefault="00E46430"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Presidenta le informo que el dictamen y el proyecto de decreto han sido aprobados por unanimidad de votos.</w:t>
      </w:r>
    </w:p>
    <w:p w:rsidR="00E46430" w:rsidRPr="00AE0CAB" w:rsidRDefault="00E46430"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lastRenderedPageBreak/>
        <w:t>PRESIDENTA DIP. MARTHA AZUCENA CAMACHO REYNOSO. Se tienen por aprobados en lo general el dictamen y el proyecto de decreto, se declara también su aprobación en lo particular.</w:t>
      </w:r>
    </w:p>
    <w:p w:rsidR="00E46430" w:rsidRPr="00AE0CAB" w:rsidRDefault="00E46430"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Maestras y maestros del SNTE sean todos ustedes bienvenidos a esta su “Casa del Pueblo”, gracias por su apoyo y siempre a sus órdenes mis queridos maestros.</w:t>
      </w:r>
    </w:p>
    <w:p w:rsidR="00E46430" w:rsidRPr="00AE0CAB" w:rsidRDefault="00E46430"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En cuanto al punto número 4, la diputada Vicepresidenta, Sara Alicia Ramírez de la O, leerá la iniciativa de decreto por el que se declara el día 27 de noviembre de cada año, como el “Día Estatal de las Ciénegas del Lerma”, presentada por la Titular del Ejecutivo Estatal.</w:t>
      </w:r>
    </w:p>
    <w:p w:rsidR="00A12F60" w:rsidRPr="00AE0CAB" w:rsidRDefault="00E46430"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VICEPRESIDENTA DIP. SARA ALICIA RAMÍREZ DE LA O.</w:t>
      </w:r>
      <w:r w:rsidR="00A12F60" w:rsidRPr="00AE0CAB">
        <w:rPr>
          <w:rFonts w:ascii="Times New Roman" w:hAnsi="Times New Roman" w:cs="Times New Roman"/>
          <w:sz w:val="24"/>
          <w:szCs w:val="24"/>
        </w:rPr>
        <w:t xml:space="preserve"> Gracias.</w:t>
      </w:r>
    </w:p>
    <w:p w:rsidR="00E46430" w:rsidRPr="00AE0CAB" w:rsidRDefault="00E46430"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DIPUTADA MARTHA AZUCENA CAMACHO REYNOSO</w:t>
      </w:r>
    </w:p>
    <w:p w:rsidR="007D49A6" w:rsidRPr="00AE0CAB" w:rsidRDefault="00E46430"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DE LA MESA DIRECTIVA</w:t>
      </w:r>
    </w:p>
    <w:p w:rsidR="00E46430" w:rsidRPr="00AE0CAB" w:rsidRDefault="00E46430"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DE LA "LXII" LEGISLATURA DEL ESTADO DE MÉXICO </w:t>
      </w:r>
    </w:p>
    <w:p w:rsidR="00E46430" w:rsidRPr="00AE0CAB" w:rsidRDefault="00E46430"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PRESENTE</w:t>
      </w:r>
    </w:p>
    <w:p w:rsidR="00E46430" w:rsidRPr="00AE0CAB" w:rsidRDefault="00E46430"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 ordenamiento, se somete a la consideración de esa Honorable Legislatura, por el digno conducto de usted, la presente Iniciativa de Decreto por el que se Declara el 27 de noviembre de cada año como el "Día Estatal de las Ciénegas del Lerma", con sustento en la siguiente: </w:t>
      </w:r>
    </w:p>
    <w:p w:rsidR="00E46430" w:rsidRPr="00AE0CAB" w:rsidRDefault="00E46430" w:rsidP="00D71801">
      <w:pPr>
        <w:spacing w:after="0" w:line="240" w:lineRule="auto"/>
        <w:jc w:val="center"/>
        <w:rPr>
          <w:rFonts w:ascii="Times New Roman" w:hAnsi="Times New Roman" w:cs="Times New Roman"/>
          <w:sz w:val="24"/>
          <w:szCs w:val="24"/>
        </w:rPr>
      </w:pPr>
      <w:r w:rsidRPr="00AE0CAB">
        <w:rPr>
          <w:rFonts w:ascii="Times New Roman" w:hAnsi="Times New Roman" w:cs="Times New Roman"/>
          <w:sz w:val="24"/>
          <w:szCs w:val="24"/>
        </w:rPr>
        <w:t>EXPOSICIÓN DE MOTIVOS</w:t>
      </w:r>
    </w:p>
    <w:p w:rsidR="00E46430" w:rsidRPr="00AE0CAB" w:rsidRDefault="00E46430"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En concordancia con el Plan de Desarrollo del Estado de México, 2023-2029, establece dentro del eje 2 bienestar ambiental y acceso universal al agua, preservación y promoción ecológica de manera específica, la estrategia 2.2.2, “Restaurar los ecosistemas degradados y promover su recuperación protegiendo la biodiversidad y los servicios ecosistémicos” y entre sus líneas de acción destaca la promoción de acciones necesarias para el mantenimiento recuperación, restauración, vigilancia y protección de las Áreas Naturales Protegidas y de los recursos forestales del Estado, involucrando a las comunidades y pueblos originarios, lo que evidencia la importancia de una gestión participativa ando a las comunidades y pueblos originarios, lo que evidencia la importancia de una gestión participativa e incluyente; así como, ordena el rescate y conserva de las especies prioritarias dentro de los ecosistemas mexiquenses con el fin de evitar la pérdida de biodiversidad y salvaguardar los equilibrios ecológicos que sustentan la vida</w:t>
      </w:r>
    </w:p>
    <w:p w:rsidR="00E46430" w:rsidRPr="00AE0CAB" w:rsidRDefault="00E46430"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No obstante, a pesar de su importancia, los humedales enfrentan serias amenazas. La contaminación y la urbanización han disminuido su capacidad para sostener la biodiversidad, alterando los ciclos naturales del agua y aumentando el riesgo de inundaciones</w:t>
      </w:r>
      <w:r w:rsidR="00C4180F" w:rsidRPr="00AE0CAB">
        <w:rPr>
          <w:rFonts w:ascii="Times New Roman" w:hAnsi="Times New Roman" w:cs="Times New Roman"/>
          <w:sz w:val="24"/>
          <w:szCs w:val="24"/>
        </w:rPr>
        <w:t>, s</w:t>
      </w:r>
      <w:r w:rsidRPr="00AE0CAB">
        <w:rPr>
          <w:rFonts w:ascii="Times New Roman" w:hAnsi="Times New Roman" w:cs="Times New Roman"/>
          <w:sz w:val="24"/>
          <w:szCs w:val="24"/>
        </w:rPr>
        <w:t>u deterioro también repercute en la salud de las personas al favorecer la proliferación de insectos y roedores transmisores de enfermedades. En ese sentido, con el propósito de generar conciencia entre la población mexiquense sobre la trascendencia de preservar los ecosistemas, proteger y conservar la diversidad genética de las especies, así como el aprovechamiento sustentable de los recursos naturales, se considera pertinente instituir el día 27 de noviembre de cada año como "Día Estatal de las Ciénegas del Lerma", conmemoración que no sólo busca reconocer uno de los humedales de mayor relevancia ecológica en el Estado; sino que también busca consolidar un recordatorio permanente de la obligación colectiva de salvaguardar estos espacios, fundamentales para el equilibrio ambiental, la biodiversidad y la calidad de vida de las generaciones presentes y futuras. En mérito de lo expuesto, se somete a la consideración de esa H. Legislatura, la presente Iniciativa de Decreto.</w:t>
      </w:r>
    </w:p>
    <w:p w:rsidR="00E46430" w:rsidRPr="00AE0CAB" w:rsidRDefault="00E46430"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Reitero a Usted la seguridad de mi atenta y distinguida consideración.</w:t>
      </w:r>
    </w:p>
    <w:p w:rsidR="00E46430" w:rsidRPr="00AE0CAB" w:rsidRDefault="00E46430"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Palacio del Poder Ejecutivo, en la Ciudad de Toluca, Capital del Estado de México, a los 9 días del mes de febrero del año 2026. </w:t>
      </w:r>
    </w:p>
    <w:p w:rsidR="00E46430" w:rsidRPr="00AE0CAB" w:rsidRDefault="00E46430"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Firma </w:t>
      </w:r>
    </w:p>
    <w:p w:rsidR="00E46430" w:rsidRPr="00AE0CAB" w:rsidRDefault="00E46430" w:rsidP="00D71801">
      <w:pPr>
        <w:spacing w:after="0" w:line="240" w:lineRule="auto"/>
        <w:ind w:firstLine="708"/>
        <w:jc w:val="center"/>
        <w:rPr>
          <w:rFonts w:ascii="Times New Roman" w:hAnsi="Times New Roman" w:cs="Times New Roman"/>
          <w:sz w:val="24"/>
          <w:szCs w:val="24"/>
        </w:rPr>
      </w:pPr>
      <w:r w:rsidRPr="00AE0CAB">
        <w:rPr>
          <w:rFonts w:ascii="Times New Roman" w:hAnsi="Times New Roman" w:cs="Times New Roman"/>
          <w:sz w:val="24"/>
          <w:szCs w:val="24"/>
        </w:rPr>
        <w:t>GOBERNADORA CONSTITUCIONAL</w:t>
      </w:r>
    </w:p>
    <w:p w:rsidR="00E46430" w:rsidRPr="00AE0CAB" w:rsidRDefault="00E46430" w:rsidP="00D71801">
      <w:pPr>
        <w:spacing w:after="0" w:line="240" w:lineRule="auto"/>
        <w:ind w:firstLine="708"/>
        <w:jc w:val="center"/>
        <w:rPr>
          <w:rFonts w:ascii="Times New Roman" w:hAnsi="Times New Roman" w:cs="Times New Roman"/>
          <w:sz w:val="24"/>
          <w:szCs w:val="24"/>
        </w:rPr>
      </w:pPr>
      <w:r w:rsidRPr="00AE0CAB">
        <w:rPr>
          <w:rFonts w:ascii="Times New Roman" w:hAnsi="Times New Roman" w:cs="Times New Roman"/>
          <w:sz w:val="24"/>
          <w:szCs w:val="24"/>
        </w:rPr>
        <w:lastRenderedPageBreak/>
        <w:t>DEL ESTADO DE MÉXICO</w:t>
      </w:r>
    </w:p>
    <w:p w:rsidR="00E46430" w:rsidRPr="00AE0CAB" w:rsidRDefault="00E46430" w:rsidP="00D71801">
      <w:pPr>
        <w:spacing w:after="0" w:line="240" w:lineRule="auto"/>
        <w:ind w:firstLine="708"/>
        <w:jc w:val="center"/>
        <w:rPr>
          <w:rFonts w:ascii="Times New Roman" w:hAnsi="Times New Roman" w:cs="Times New Roman"/>
          <w:sz w:val="24"/>
          <w:szCs w:val="24"/>
        </w:rPr>
      </w:pPr>
      <w:r w:rsidRPr="00AE0CAB">
        <w:rPr>
          <w:rFonts w:ascii="Times New Roman" w:hAnsi="Times New Roman" w:cs="Times New Roman"/>
          <w:sz w:val="24"/>
          <w:szCs w:val="24"/>
        </w:rPr>
        <w:t>MTRA. DEL</w:t>
      </w:r>
      <w:r w:rsidR="003D12A6" w:rsidRPr="00AE0CAB">
        <w:rPr>
          <w:rFonts w:ascii="Times New Roman" w:hAnsi="Times New Roman" w:cs="Times New Roman"/>
          <w:sz w:val="24"/>
          <w:szCs w:val="24"/>
        </w:rPr>
        <w:t>F</w:t>
      </w:r>
      <w:r w:rsidRPr="00AE0CAB">
        <w:rPr>
          <w:rFonts w:ascii="Times New Roman" w:hAnsi="Times New Roman" w:cs="Times New Roman"/>
          <w:sz w:val="24"/>
          <w:szCs w:val="24"/>
        </w:rPr>
        <w:t>INA GÓMEZ ÁLVARE</w:t>
      </w:r>
      <w:r w:rsidR="00C308BA" w:rsidRPr="00AE0CAB">
        <w:rPr>
          <w:rFonts w:ascii="Times New Roman" w:hAnsi="Times New Roman" w:cs="Times New Roman"/>
          <w:sz w:val="24"/>
          <w:szCs w:val="24"/>
        </w:rPr>
        <w:t>Z</w:t>
      </w:r>
    </w:p>
    <w:p w:rsidR="00E46430" w:rsidRPr="00AE0CAB" w:rsidRDefault="00E46430"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ab/>
        <w:t>Es cuanto Presidenta.</w:t>
      </w:r>
    </w:p>
    <w:p w:rsidR="0079082E" w:rsidRPr="00AE0CAB" w:rsidRDefault="0079082E" w:rsidP="00D71801">
      <w:pPr>
        <w:pStyle w:val="Sinespaciado"/>
        <w:jc w:val="both"/>
        <w:rPr>
          <w:rFonts w:ascii="Times New Roman" w:hAnsi="Times New Roman" w:cs="Times New Roman"/>
          <w:sz w:val="24"/>
          <w:szCs w:val="24"/>
        </w:rPr>
      </w:pPr>
    </w:p>
    <w:p w:rsidR="0079082E" w:rsidRPr="00AE0CAB" w:rsidRDefault="0079082E"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(Se inserta documento)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CONSEJERÍA</w:t>
      </w: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JURÍDICA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center"/>
        <w:rPr>
          <w:rFonts w:ascii="Times New Roman" w:eastAsia="Arial" w:hAnsi="Times New Roman" w:cs="Times New Roman"/>
          <w:b/>
          <w:sz w:val="24"/>
          <w:szCs w:val="24"/>
        </w:rPr>
      </w:pPr>
      <w:r w:rsidRPr="00AE0CAB">
        <w:rPr>
          <w:rFonts w:ascii="Times New Roman" w:eastAsia="Times New Roman" w:hAnsi="Times New Roman" w:cs="Times New Roman"/>
          <w:b/>
          <w:sz w:val="24"/>
          <w:szCs w:val="24"/>
        </w:rPr>
        <w:t xml:space="preserve">"2026. </w:t>
      </w:r>
      <w:r w:rsidRPr="00AE0CAB">
        <w:rPr>
          <w:rFonts w:ascii="Times New Roman" w:eastAsia="Arial" w:hAnsi="Times New Roman" w:cs="Times New Roman"/>
          <w:b/>
          <w:sz w:val="24"/>
          <w:szCs w:val="24"/>
        </w:rPr>
        <w:t>Año del Humanismo Mexicano en el Estado de México"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Toluca de Lerdo, Estado de México a 11 de febrero 2026</w:t>
      </w:r>
    </w:p>
    <w:p w:rsidR="0079082E" w:rsidRPr="00AE0CAB" w:rsidRDefault="0079082E" w:rsidP="00D71801">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b/>
          <w:sz w:val="24"/>
          <w:szCs w:val="24"/>
        </w:rPr>
        <w:t>Oficio número CJ/233A00000000000/259/2026</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Diputada</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Martha Azucena Camacho Reynoso</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Presidenta de la Mesa Directiva</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 la "LXII" Legislatura del Estado de México</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Presente</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Con fundamento en lo establecido por la fracción XI del artículo 57 de la Ley Orgánica de la Administración Pública del Estado de México, me permito ser el conducto para presentar ante Usted la </w:t>
      </w:r>
      <w:r w:rsidRPr="00AE0CAB">
        <w:rPr>
          <w:rFonts w:ascii="Times New Roman" w:eastAsia="Arial" w:hAnsi="Times New Roman" w:cs="Times New Roman"/>
          <w:b/>
          <w:sz w:val="24"/>
          <w:szCs w:val="24"/>
        </w:rPr>
        <w:t>Iniciativa de Decreto por el que se declara el 27 de noviembre de cada año como el "Día Estatal de las Ciénegas del Lerma".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Sin otro particular, aprovecho la ocasión para enviarle un cordial saludo.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Atentamente</w:t>
      </w:r>
    </w:p>
    <w:p w:rsidR="0079082E" w:rsidRPr="00AE0CAB" w:rsidRDefault="0079082E" w:rsidP="00D71801">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Lic. Jesús George Zamora</w:t>
      </w:r>
    </w:p>
    <w:p w:rsidR="0079082E" w:rsidRPr="00AE0CAB" w:rsidRDefault="0079082E" w:rsidP="00D71801">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Consejero Jurídico</w:t>
      </w:r>
    </w:p>
    <w:p w:rsidR="0079082E" w:rsidRPr="00AE0CAB" w:rsidRDefault="0079082E" w:rsidP="00D71801">
      <w:pPr>
        <w:spacing w:after="0" w:line="240" w:lineRule="auto"/>
        <w:jc w:val="center"/>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(Rúbrica)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C.c.p. Mtra. Delfina Gómez-Álvarez, Gobernadora Constitucional del Estado de México.</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Mtro. Horado Duarte Olivares, Secretario General </w:t>
      </w:r>
      <w:r w:rsidRPr="00AE0CAB">
        <w:rPr>
          <w:rFonts w:ascii="Times New Roman" w:eastAsia="Times New Roman" w:hAnsi="Times New Roman" w:cs="Times New Roman"/>
          <w:sz w:val="24"/>
          <w:szCs w:val="24"/>
        </w:rPr>
        <w:t xml:space="preserve">de </w:t>
      </w:r>
      <w:r w:rsidRPr="00AE0CAB">
        <w:rPr>
          <w:rFonts w:ascii="Times New Roman" w:eastAsia="Arial" w:hAnsi="Times New Roman" w:cs="Times New Roman"/>
          <w:sz w:val="24"/>
          <w:szCs w:val="24"/>
        </w:rPr>
        <w:t>Gobierno.</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Dip. José Francisco Vázquez Rodríguez, Presidente de</w:t>
      </w:r>
      <w:r w:rsidRPr="00AE0CAB">
        <w:rPr>
          <w:rFonts w:ascii="Times New Roman" w:eastAsia="Arial" w:hAnsi="Times New Roman" w:cs="Times New Roman"/>
          <w:i/>
          <w:sz w:val="24"/>
          <w:szCs w:val="24"/>
        </w:rPr>
        <w:t xml:space="preserve"> </w:t>
      </w:r>
      <w:r w:rsidRPr="00AE0CAB">
        <w:rPr>
          <w:rFonts w:ascii="Times New Roman" w:eastAsia="Arial" w:hAnsi="Times New Roman" w:cs="Times New Roman"/>
          <w:sz w:val="24"/>
          <w:szCs w:val="24"/>
        </w:rPr>
        <w:t>la Junta de Coordinación Política de</w:t>
      </w:r>
      <w:r w:rsidRPr="00AE0CAB">
        <w:rPr>
          <w:rFonts w:ascii="Times New Roman" w:eastAsia="Arial" w:hAnsi="Times New Roman" w:cs="Times New Roman"/>
          <w:i/>
          <w:sz w:val="24"/>
          <w:szCs w:val="24"/>
        </w:rPr>
        <w:t xml:space="preserve"> </w:t>
      </w:r>
      <w:r w:rsidRPr="00AE0CAB">
        <w:rPr>
          <w:rFonts w:ascii="Times New Roman" w:eastAsia="Arial" w:hAnsi="Times New Roman" w:cs="Times New Roman"/>
          <w:sz w:val="24"/>
          <w:szCs w:val="24"/>
        </w:rPr>
        <w:t>la ·LXII" Legislatura del Estado de México.</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Mtro. Javier Domínguez Morales, Secretario de Asuntos Parlamentarios de la "LXII" Legislatura del Estado de México.</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Lic. Javier de Jesús Domínguez González, Encargado de</w:t>
      </w:r>
      <w:r w:rsidRPr="00AE0CAB">
        <w:rPr>
          <w:rFonts w:ascii="Times New Roman" w:eastAsia="Arial" w:hAnsi="Times New Roman" w:cs="Times New Roman"/>
          <w:i/>
          <w:sz w:val="24"/>
          <w:szCs w:val="24"/>
        </w:rPr>
        <w:t xml:space="preserve"> </w:t>
      </w:r>
      <w:r w:rsidRPr="00AE0CAB">
        <w:rPr>
          <w:rFonts w:ascii="Times New Roman" w:eastAsia="Arial" w:hAnsi="Times New Roman" w:cs="Times New Roman"/>
          <w:sz w:val="24"/>
          <w:szCs w:val="24"/>
        </w:rPr>
        <w:t>Despacho de</w:t>
      </w:r>
      <w:r w:rsidRPr="00AE0CAB">
        <w:rPr>
          <w:rFonts w:ascii="Times New Roman" w:eastAsia="Arial" w:hAnsi="Times New Roman" w:cs="Times New Roman"/>
          <w:i/>
          <w:sz w:val="24"/>
          <w:szCs w:val="24"/>
        </w:rPr>
        <w:t xml:space="preserve"> </w:t>
      </w:r>
      <w:r w:rsidRPr="00AE0CAB">
        <w:rPr>
          <w:rFonts w:ascii="Times New Roman" w:eastAsia="Arial" w:hAnsi="Times New Roman" w:cs="Times New Roman"/>
          <w:sz w:val="24"/>
          <w:szCs w:val="24"/>
        </w:rPr>
        <w:t>la Dirección General de</w:t>
      </w:r>
      <w:r w:rsidRPr="00AE0CAB">
        <w:rPr>
          <w:rFonts w:ascii="Times New Roman" w:eastAsia="Arial" w:hAnsi="Times New Roman" w:cs="Times New Roman"/>
          <w:i/>
          <w:sz w:val="24"/>
          <w:szCs w:val="24"/>
        </w:rPr>
        <w:t xml:space="preserve"> </w:t>
      </w:r>
      <w:r w:rsidRPr="00AE0CAB">
        <w:rPr>
          <w:rFonts w:ascii="Times New Roman" w:eastAsia="Arial" w:hAnsi="Times New Roman" w:cs="Times New Roman"/>
          <w:sz w:val="24"/>
          <w:szCs w:val="24"/>
        </w:rPr>
        <w:t xml:space="preserve">Legislación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del Periódico Oficial "Gaceta del Gobierno".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p>
    <w:p w:rsidR="0079082E" w:rsidRPr="00AE0CAB" w:rsidRDefault="0079082E" w:rsidP="00D71801">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"2026. Año del Humanismo Mexicano en el Estado de México".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b/>
          <w:sz w:val="24"/>
          <w:szCs w:val="24"/>
        </w:rPr>
        <w:t>Oficina de la Gobernadora</w:t>
      </w:r>
    </w:p>
    <w:p w:rsidR="0079082E" w:rsidRPr="00AE0CAB" w:rsidRDefault="0079082E" w:rsidP="00D71801">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Toluca de lerdo, México,</w:t>
      </w:r>
    </w:p>
    <w:p w:rsidR="0079082E" w:rsidRPr="00AE0CAB" w:rsidRDefault="0079082E" w:rsidP="00D71801">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a 9 de febrero de 2026.</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DIPUTADA</w:t>
      </w: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lastRenderedPageBreak/>
        <w:t>MARTHA AZUCENA CAMACHO REYNOSO</w:t>
      </w: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PRESIDENTA DE LA MESA DIRECTIVA</w:t>
      </w: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DE LA "LXII" LEGISLATURA DEL ESTADO DE MÉXICO</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PRESENTE</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DELFINA GÓMEZ ÁLVAREZ, Gobernadora Constitucional del Estado Libre y Soberano de México, </w:t>
      </w:r>
      <w:r w:rsidRPr="00AE0CAB">
        <w:rPr>
          <w:rFonts w:ascii="Times New Roman" w:eastAsia="Arial" w:hAnsi="Times New Roman" w:cs="Times New Roman"/>
          <w:sz w:val="24"/>
          <w:szCs w:val="24"/>
        </w:rPr>
        <w:t xml:space="preserve">en ejercicio de la facultad que me confieren los artículos 57, fracción I y 77, fracción V de la Constitución Política del Estado Libre y Soberano de México, y con fundamento en el numeral 56 del mismo ordenamiento, se somete a la consideración de esa H. Legislatura, por el digno conducto de usted, la presente </w:t>
      </w:r>
      <w:r w:rsidRPr="00AE0CAB">
        <w:rPr>
          <w:rFonts w:ascii="Times New Roman" w:eastAsia="Arial" w:hAnsi="Times New Roman" w:cs="Times New Roman"/>
          <w:b/>
          <w:sz w:val="24"/>
          <w:szCs w:val="24"/>
        </w:rPr>
        <w:t xml:space="preserve">Iniciativa de Decreto por el que se Declara el 27 de noviembre de cada año como el "Día Estatal de las Ciénegas del Lerma", </w:t>
      </w:r>
      <w:r w:rsidRPr="00AE0CAB">
        <w:rPr>
          <w:rFonts w:ascii="Times New Roman" w:eastAsia="Arial" w:hAnsi="Times New Roman" w:cs="Times New Roman"/>
          <w:sz w:val="24"/>
          <w:szCs w:val="24"/>
        </w:rPr>
        <w:t>con sustento en la siguiente:</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EXPOSICIÓN DE MOTIVOS</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 acuerdo con la definición de la Convención Ramsar relativa a los Humedales de Importancia Internacional especialmente como Hábitat de Aves Acuáticas, adoptada por la Organización de las Naciones Unidas para la Educación, la Ciencia y la Cultura (UNESCO) el 2 de febrero de 7971, los humedales son extensiones de marismas, pantanos y turberas o superficies cubiertas de aguas, naturales o artificiales, permanentes o temporales, con aguas estancadas o corrientes, dulces, salobres o saladas, incluidas las extensiones de agua marina cuya profundidad en marea baja no exceda de seis metros.</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Actualmente, los humedales cubren más de 12.l millones de kilómetros cuadrados a nivel mundial, y se han perdido alrededor del 35% de la superficie de los humedales desde 1970, lo que los convierte en el ecosistema más amenazado del planeta, desapareciendo tres veces más rápido que los bosques.</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México ratificó la Convención de Ramsar en 1986, siendo uno de los 70 países con mayor número de áreas protegidas bajo la Convención, con 144 sitios designados en 8,721,914 hectáreas, entre los cuales se encuentran las Ciénegas del Lerma, incorporada a la Lista de Humedales de Importancia Internacional el 2 de febrero de 2004, constituyéndose como el remanente de humedales más grande en el Centro de México.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Los humedales son ecosistemas de transición entre ambientes terrestres y acuáticos que actúan como "esponjas" naturales contra fenómenos extremos y pueden reducir los picos de inundaciones hasta en un 60%; son ecosistemas esenciales que regulan el ciclo hidrológico, conservan la biodiversidad y mitigan inundaciones. Su conservación es clave para el equilibrio ambiental.</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27 de noviembre de 2002, se publicó en el Diario Oficial de la Federación el Decreto por el que se declaró Área Natural Protegida, con el carácter de área de protección de flora y fauna, a la región conocida como Ciénegas del Lerma, que se extiende en tres lagunas y se encuentra entre los municipios de Lerma, Santiago Tianguistenco, Almoloya del Río, Capulhuac, San Mateo Ateneo, Metepec y Texcalyacac, en el Estado de México, con una superficie total de 3,023-95-74.005 hectáreas, las cuales, en algún momento llegaron a cubrir hasta 27,000 hectáreas.</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El Decreto consideró a las Ciénegas del Lerma como una unidad ecológica en la que están presentes diversos ecosistemas de alta biodiversidad, así como de extrema fragilidad, ya que es uno de los pocos sitios de la República Mexicana que aún conserva sistemas ecológicos bien desarrollados. </w:t>
      </w:r>
      <w:r w:rsidRPr="00AE0CAB">
        <w:rPr>
          <w:rFonts w:ascii="Times New Roman" w:eastAsia="Arial" w:hAnsi="Times New Roman" w:cs="Times New Roman"/>
          <w:sz w:val="24"/>
          <w:szCs w:val="24"/>
        </w:rPr>
        <w:lastRenderedPageBreak/>
        <w:t xml:space="preserve">Considerados como los últimos remanentes de lo que fueron los extensos humedales del Altiplano Central, con una gran diversidad de especies de fauna silvestre, tanto terrestres como acuáticas, en alguna categoría de riesgo de acuerdo a la Norma Oficial Mexicana NOM-059-SEMARNAT-2070, Protección ambiental-Especies nativas de México de flora y fauna silvestres-Categorías de riesgo y especificaciones para su inclusión, exclusión o cambio-Lista de especies en riesgo, tales como: polluela amarilla </w:t>
      </w:r>
      <w:r w:rsidRPr="00AE0CAB">
        <w:rPr>
          <w:rFonts w:ascii="Times New Roman" w:eastAsia="Arial" w:hAnsi="Times New Roman" w:cs="Times New Roman"/>
          <w:i/>
          <w:sz w:val="24"/>
          <w:szCs w:val="24"/>
        </w:rPr>
        <w:t>(</w:t>
      </w:r>
      <w:proofErr w:type="spellStart"/>
      <w:r w:rsidRPr="00AE0CAB">
        <w:rPr>
          <w:rFonts w:ascii="Times New Roman" w:eastAsia="Arial" w:hAnsi="Times New Roman" w:cs="Times New Roman"/>
          <w:i/>
          <w:sz w:val="24"/>
          <w:szCs w:val="24"/>
        </w:rPr>
        <w:t>Coturnicops</w:t>
      </w:r>
      <w:proofErr w:type="spellEnd"/>
      <w:r w:rsidRPr="00AE0CAB">
        <w:rPr>
          <w:rFonts w:ascii="Times New Roman" w:eastAsia="Arial" w:hAnsi="Times New Roman" w:cs="Times New Roman"/>
          <w:i/>
          <w:sz w:val="24"/>
          <w:szCs w:val="24"/>
        </w:rPr>
        <w:t xml:space="preserve"> </w:t>
      </w:r>
      <w:proofErr w:type="spellStart"/>
      <w:r w:rsidRPr="00AE0CAB">
        <w:rPr>
          <w:rFonts w:ascii="Times New Roman" w:eastAsia="Arial" w:hAnsi="Times New Roman" w:cs="Times New Roman"/>
          <w:i/>
          <w:sz w:val="24"/>
          <w:szCs w:val="24"/>
        </w:rPr>
        <w:t>noveboracensis</w:t>
      </w:r>
      <w:proofErr w:type="spellEnd"/>
      <w:r w:rsidRPr="00AE0CAB">
        <w:rPr>
          <w:rFonts w:ascii="Times New Roman" w:eastAsia="Arial" w:hAnsi="Times New Roman" w:cs="Times New Roman"/>
          <w:i/>
          <w:sz w:val="24"/>
          <w:szCs w:val="24"/>
        </w:rPr>
        <w:t xml:space="preserve"> </w:t>
      </w:r>
      <w:proofErr w:type="spellStart"/>
      <w:r w:rsidRPr="00AE0CAB">
        <w:rPr>
          <w:rFonts w:ascii="Times New Roman" w:eastAsia="Arial" w:hAnsi="Times New Roman" w:cs="Times New Roman"/>
          <w:i/>
          <w:sz w:val="24"/>
          <w:szCs w:val="24"/>
        </w:rPr>
        <w:t>qoldrnariñ</w:t>
      </w:r>
      <w:proofErr w:type="spellEnd"/>
      <w:r w:rsidRPr="00AE0CAB">
        <w:rPr>
          <w:rFonts w:ascii="Times New Roman" w:eastAsia="Arial" w:hAnsi="Times New Roman" w:cs="Times New Roman"/>
          <w:i/>
          <w:sz w:val="24"/>
          <w:szCs w:val="24"/>
        </w:rPr>
        <w:t xml:space="preserve">, </w:t>
      </w:r>
      <w:proofErr w:type="spellStart"/>
      <w:r w:rsidRPr="00AE0CAB">
        <w:rPr>
          <w:rFonts w:ascii="Times New Roman" w:eastAsia="Arial" w:hAnsi="Times New Roman" w:cs="Times New Roman"/>
          <w:sz w:val="24"/>
          <w:szCs w:val="24"/>
        </w:rPr>
        <w:t>pachachirri</w:t>
      </w:r>
      <w:proofErr w:type="spellEnd"/>
      <w:r w:rsidRPr="00AE0CAB">
        <w:rPr>
          <w:rFonts w:ascii="Times New Roman" w:eastAsia="Arial" w:hAnsi="Times New Roman" w:cs="Times New Roman"/>
          <w:sz w:val="24"/>
          <w:szCs w:val="24"/>
        </w:rPr>
        <w:t xml:space="preserve"> o mascarita </w:t>
      </w:r>
      <w:proofErr w:type="spellStart"/>
      <w:r w:rsidRPr="00AE0CAB">
        <w:rPr>
          <w:rFonts w:ascii="Times New Roman" w:eastAsia="Arial" w:hAnsi="Times New Roman" w:cs="Times New Roman"/>
          <w:sz w:val="24"/>
          <w:szCs w:val="24"/>
        </w:rPr>
        <w:t>transvolcánica</w:t>
      </w:r>
      <w:proofErr w:type="spellEnd"/>
      <w:r w:rsidRPr="00AE0CAB">
        <w:rPr>
          <w:rFonts w:ascii="Times New Roman" w:eastAsia="Arial" w:hAnsi="Times New Roman" w:cs="Times New Roman"/>
          <w:sz w:val="24"/>
          <w:szCs w:val="24"/>
        </w:rPr>
        <w:t xml:space="preserve"> </w:t>
      </w:r>
      <w:r w:rsidRPr="00AE0CAB">
        <w:rPr>
          <w:rFonts w:ascii="Times New Roman" w:eastAsia="Arial" w:hAnsi="Times New Roman" w:cs="Times New Roman"/>
          <w:i/>
          <w:sz w:val="24"/>
          <w:szCs w:val="24"/>
        </w:rPr>
        <w:t>(</w:t>
      </w:r>
      <w:proofErr w:type="spellStart"/>
      <w:r w:rsidRPr="00AE0CAB">
        <w:rPr>
          <w:rFonts w:ascii="Times New Roman" w:eastAsia="Arial" w:hAnsi="Times New Roman" w:cs="Times New Roman"/>
          <w:i/>
          <w:sz w:val="24"/>
          <w:szCs w:val="24"/>
        </w:rPr>
        <w:t>Geothlypis</w:t>
      </w:r>
      <w:proofErr w:type="spellEnd"/>
      <w:r w:rsidRPr="00AE0CAB">
        <w:rPr>
          <w:rFonts w:ascii="Times New Roman" w:eastAsia="Arial" w:hAnsi="Times New Roman" w:cs="Times New Roman"/>
          <w:i/>
          <w:sz w:val="24"/>
          <w:szCs w:val="24"/>
        </w:rPr>
        <w:t xml:space="preserve"> </w:t>
      </w:r>
      <w:proofErr w:type="spellStart"/>
      <w:r w:rsidRPr="00AE0CAB">
        <w:rPr>
          <w:rFonts w:ascii="Times New Roman" w:eastAsia="Arial" w:hAnsi="Times New Roman" w:cs="Times New Roman"/>
          <w:i/>
          <w:sz w:val="24"/>
          <w:szCs w:val="24"/>
        </w:rPr>
        <w:t>speciosa</w:t>
      </w:r>
      <w:proofErr w:type="spellEnd"/>
      <w:r w:rsidRPr="00AE0CAB">
        <w:rPr>
          <w:rFonts w:ascii="Times New Roman" w:eastAsia="Arial" w:hAnsi="Times New Roman" w:cs="Times New Roman"/>
          <w:i/>
          <w:sz w:val="24"/>
          <w:szCs w:val="24"/>
        </w:rPr>
        <w:t xml:space="preserve">), </w:t>
      </w:r>
      <w:r w:rsidRPr="00AE0CAB">
        <w:rPr>
          <w:rFonts w:ascii="Times New Roman" w:eastAsia="Arial" w:hAnsi="Times New Roman" w:cs="Times New Roman"/>
          <w:sz w:val="24"/>
          <w:szCs w:val="24"/>
        </w:rPr>
        <w:t xml:space="preserve">ambas sujetas a protección, el ajolote del Lerma </w:t>
      </w:r>
      <w:r w:rsidRPr="00AE0CAB">
        <w:rPr>
          <w:rFonts w:ascii="Times New Roman" w:eastAsia="Arial" w:hAnsi="Times New Roman" w:cs="Times New Roman"/>
          <w:i/>
          <w:sz w:val="24"/>
          <w:szCs w:val="24"/>
        </w:rPr>
        <w:t>(</w:t>
      </w:r>
      <w:proofErr w:type="spellStart"/>
      <w:r w:rsidRPr="00AE0CAB">
        <w:rPr>
          <w:rFonts w:ascii="Times New Roman" w:eastAsia="Arial" w:hAnsi="Times New Roman" w:cs="Times New Roman"/>
          <w:i/>
          <w:sz w:val="24"/>
          <w:szCs w:val="24"/>
        </w:rPr>
        <w:t>Ambystomo</w:t>
      </w:r>
      <w:proofErr w:type="spellEnd"/>
      <w:r w:rsidRPr="00AE0CAB">
        <w:rPr>
          <w:rFonts w:ascii="Times New Roman" w:eastAsia="Arial" w:hAnsi="Times New Roman" w:cs="Times New Roman"/>
          <w:i/>
          <w:sz w:val="24"/>
          <w:szCs w:val="24"/>
        </w:rPr>
        <w:t xml:space="preserve"> </w:t>
      </w:r>
      <w:proofErr w:type="spellStart"/>
      <w:r w:rsidRPr="00AE0CAB">
        <w:rPr>
          <w:rFonts w:ascii="Times New Roman" w:eastAsia="Arial" w:hAnsi="Times New Roman" w:cs="Times New Roman"/>
          <w:i/>
          <w:sz w:val="24"/>
          <w:szCs w:val="24"/>
        </w:rPr>
        <w:t>lermaense</w:t>
      </w:r>
      <w:proofErr w:type="spellEnd"/>
      <w:r w:rsidRPr="00AE0CAB">
        <w:rPr>
          <w:rFonts w:ascii="Times New Roman" w:eastAsia="Arial" w:hAnsi="Times New Roman" w:cs="Times New Roman"/>
          <w:i/>
          <w:sz w:val="24"/>
          <w:szCs w:val="24"/>
        </w:rPr>
        <w:t xml:space="preserve">), </w:t>
      </w:r>
      <w:r w:rsidRPr="00AE0CAB">
        <w:rPr>
          <w:rFonts w:ascii="Times New Roman" w:eastAsia="Arial" w:hAnsi="Times New Roman" w:cs="Times New Roman"/>
          <w:sz w:val="24"/>
          <w:szCs w:val="24"/>
        </w:rPr>
        <w:t xml:space="preserve">en protección especial y charal del Santiago, conocido localmente como pescado blanco </w:t>
      </w:r>
      <w:r w:rsidRPr="00AE0CAB">
        <w:rPr>
          <w:rFonts w:ascii="Times New Roman" w:eastAsia="Arial" w:hAnsi="Times New Roman" w:cs="Times New Roman"/>
          <w:i/>
          <w:sz w:val="24"/>
          <w:szCs w:val="24"/>
        </w:rPr>
        <w:t>(</w:t>
      </w:r>
      <w:proofErr w:type="spellStart"/>
      <w:r w:rsidRPr="00AE0CAB">
        <w:rPr>
          <w:rFonts w:ascii="Times New Roman" w:eastAsia="Arial" w:hAnsi="Times New Roman" w:cs="Times New Roman"/>
          <w:i/>
          <w:sz w:val="24"/>
          <w:szCs w:val="24"/>
        </w:rPr>
        <w:t>Medinia</w:t>
      </w:r>
      <w:proofErr w:type="spellEnd"/>
      <w:r w:rsidRPr="00AE0CAB">
        <w:rPr>
          <w:rFonts w:ascii="Times New Roman" w:eastAsia="Arial" w:hAnsi="Times New Roman" w:cs="Times New Roman"/>
          <w:i/>
          <w:sz w:val="24"/>
          <w:szCs w:val="24"/>
        </w:rPr>
        <w:t xml:space="preserve"> </w:t>
      </w:r>
      <w:proofErr w:type="spellStart"/>
      <w:r w:rsidRPr="00AE0CAB">
        <w:rPr>
          <w:rFonts w:ascii="Times New Roman" w:eastAsia="Arial" w:hAnsi="Times New Roman" w:cs="Times New Roman"/>
          <w:i/>
          <w:sz w:val="24"/>
          <w:szCs w:val="24"/>
        </w:rPr>
        <w:t>riojañ</w:t>
      </w:r>
      <w:proofErr w:type="spellEnd"/>
      <w:r w:rsidRPr="00AE0CAB">
        <w:rPr>
          <w:rFonts w:ascii="Times New Roman" w:eastAsia="Arial" w:hAnsi="Times New Roman" w:cs="Times New Roman"/>
          <w:i/>
          <w:sz w:val="24"/>
          <w:szCs w:val="24"/>
        </w:rPr>
        <w:t xml:space="preserve">, </w:t>
      </w:r>
      <w:r w:rsidRPr="00AE0CAB">
        <w:rPr>
          <w:rFonts w:ascii="Times New Roman" w:eastAsia="Arial" w:hAnsi="Times New Roman" w:cs="Times New Roman"/>
          <w:sz w:val="24"/>
          <w:szCs w:val="24"/>
        </w:rPr>
        <w:t>también sujeta a protección por la norma antes referida. Asimismo, el área natural protegida constituye por su propia naturaleza el hábitat invernal de diversas especies de patos y cercetas migratorias.</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 conformidad con lo dispuesto en el artículo 44 de la Ley General del Equilibrio Ecológico y la Protección al Ambiente, las Áreas Naturales Protegidas son zonas del territorio nacional, sobre las que la Nación ejerce soberanía y jurisdicción, cuyos ambientes originales no han sido significativamente alterados por la actividad del ser humano, o que sus ecosistemas y funciones integrales requieren ser preservadas y restauradas.</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su parte, el artículo 18 de la Constitución Política del Estado Libre y Soberano de México dispone que la legislación y las normas que al efecto se expidan, pondrán énfasis en el fomento de la cultura de protección a la naturaleza, al mejoramiento del ambiente, al aprovechamiento racional de los recursos naturales, a las medidas de adaptación y mitigación al cambio climático en el Estado, así como a la propagación de la flora y la fauna existentes en el territorio estatal.</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Asimismo, el artículo 2.82 del Código para la Biodiversidad del Estado de México señala que, es obligación de las autoridades estatales y municipales, de las personas, organizaciones de los sectores social o privado y comunidades actuar para la preservación, conservación, remediación, rehabilitación, recuperación, restauración y protección de las Áreas Naturales Protegidas, la diversidad biológica y sus ecosistemas dentro del territorio del Estado.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concordancia, el Plan de Desarrollo del Estado de México 2023-2029, establece dentro del Eje 2. Bienestar ambiental y acceso universal al agua "Preservación y promoción ecológica", de manera específica, la Estrategia 2.2.2 "Restaurar los ecosistemas degradados y promover su recuperación, protegiendo la biodiversidad y los servicios ecosistémicos" y entre sus líneas de acción destaca la promoción de acciones necesarias para el mantenimiento, recuperación, restauración, vigilancia y protección de las Áreas Naturales Protegidas y de los recursos forestales del estado, involucrando a las comunidades y pueblos originarios, lo que evidencia la importancia de una gestión participativa e incluyente; así como, ordena el rescate y conserva de las especies prioritarias dentro de los ecosistemas mexiquenses. con el fin de evitar la pérdida de biodiversidad y salvaguardar los equilibrios ecológicos que sustentan la vida.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No obstante, a pesar de su importancia, los humedales enfrentan serias amenazas. La contaminación y la urbanización han disminuido su capacidad para sostener la biodiversidad, alterando los ciclos naturales del agua y aumentando el riesgo de inundaciones. Su deterioro también repercute en la salud de las personas al favorecer la proliferación de insectos y roedores transmisores de enfermedades.</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En ese sentido, con el propósito de generar conciencia entre la población mexiquense sobre la trascendencia de preservar los ecosistemas, proteger y conservar la diversidad genética de las </w:t>
      </w:r>
      <w:r w:rsidRPr="00AE0CAB">
        <w:rPr>
          <w:rFonts w:ascii="Times New Roman" w:eastAsia="Arial" w:hAnsi="Times New Roman" w:cs="Times New Roman"/>
          <w:sz w:val="24"/>
          <w:szCs w:val="24"/>
        </w:rPr>
        <w:lastRenderedPageBreak/>
        <w:t>especies, así como el aprovechamiento sustentable de los recursos naturales, se considera pertinente instituir el día 27 de noviembre de cada año como el "Día Estatal de las Ciénegas del Lerma", conmemoración que no solo busca reconocer uno de los humedales de mayor relevancia ecológica en el Estado, sino que también busca consolidar un recordatorio permanente de la obligación colectiva de salvaguardar estos espacios, fundamentales para el equilibrio ambiental, la biodiversidad y la calidad de vida de las generaciones presentes y futuras.</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mérito de lo expuesto, se somete a la consideración de esa H. Legislatura, la presente Iniciativa de Decreto.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center"/>
        <w:rPr>
          <w:rFonts w:ascii="Times New Roman" w:eastAsia="Arial" w:hAnsi="Times New Roman" w:cs="Times New Roman"/>
          <w:b/>
          <w:sz w:val="24"/>
          <w:szCs w:val="24"/>
        </w:rPr>
      </w:pPr>
      <w:r w:rsidRPr="00AE0CAB">
        <w:rPr>
          <w:rFonts w:ascii="Times New Roman" w:eastAsia="Arial" w:hAnsi="Times New Roman" w:cs="Times New Roman"/>
          <w:b/>
          <w:sz w:val="24"/>
          <w:szCs w:val="24"/>
        </w:rPr>
        <w:t>"2026. Año del Humanismo Mexicano en el Estado de México".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DECRETO NÚMERO:</w:t>
      </w: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LA H. "LXII" LEGISLATURA</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DEL ESTADO DE MÉXICO</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DECRETA: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PRIMERO. </w:t>
      </w:r>
      <w:r w:rsidRPr="00AE0CAB">
        <w:rPr>
          <w:rFonts w:ascii="Times New Roman" w:eastAsia="Arial" w:hAnsi="Times New Roman" w:cs="Times New Roman"/>
          <w:sz w:val="24"/>
          <w:szCs w:val="24"/>
        </w:rPr>
        <w:t>Se declara el 27 de noviembre de cada año como el "Día Estatal de las Ciénegas del Lerma".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SEGUNDO. </w:t>
      </w:r>
      <w:r w:rsidRPr="00AE0CAB">
        <w:rPr>
          <w:rFonts w:ascii="Times New Roman" w:eastAsia="Arial" w:hAnsi="Times New Roman" w:cs="Times New Roman"/>
          <w:sz w:val="24"/>
          <w:szCs w:val="24"/>
        </w:rPr>
        <w:t>Agréguese en el Calendario Cívico Estatal, el 27 de noviembre de cada año como "Día Estatal de las Ciénegas del Lerma".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TRANSITORIOS</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PRIMERO. </w:t>
      </w:r>
      <w:r w:rsidRPr="00AE0CAB">
        <w:rPr>
          <w:rFonts w:ascii="Times New Roman" w:eastAsia="Arial" w:hAnsi="Times New Roman" w:cs="Times New Roman"/>
          <w:sz w:val="24"/>
          <w:szCs w:val="24"/>
        </w:rPr>
        <w:t>Publíquese el presente Decreto en el Periódico Oficial "Gaceta del Gobierno".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SEGUNDO. </w:t>
      </w:r>
      <w:r w:rsidRPr="00AE0CAB">
        <w:rPr>
          <w:rFonts w:ascii="Times New Roman" w:eastAsia="Arial" w:hAnsi="Times New Roman" w:cs="Times New Roman"/>
          <w:sz w:val="24"/>
          <w:szCs w:val="24"/>
        </w:rPr>
        <w:t>El presente Decreto entrará en vigor al día siguiente de su publicación en el Periódico Oficial "Gaceta del Gobierno".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TERCERO. </w:t>
      </w:r>
      <w:r w:rsidRPr="00AE0CAB">
        <w:rPr>
          <w:rFonts w:ascii="Times New Roman" w:eastAsia="Arial" w:hAnsi="Times New Roman" w:cs="Times New Roman"/>
          <w:sz w:val="24"/>
          <w:szCs w:val="24"/>
        </w:rPr>
        <w:t xml:space="preserve">La Secretaría del Medio Ambiente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 xml:space="preserve">Desarrollo Sostenible organizará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 xml:space="preserve">coordinará a las dependencias, organismos auxiliares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municipios, en su caso, para el desarrollo de las actividades correspondientes, en cumplimiento a las disposiciones del presente Decreto.</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CUARTO. </w:t>
      </w:r>
      <w:r w:rsidRPr="00AE0CAB">
        <w:rPr>
          <w:rFonts w:ascii="Times New Roman" w:eastAsia="Arial" w:hAnsi="Times New Roman" w:cs="Times New Roman"/>
          <w:sz w:val="24"/>
          <w:szCs w:val="24"/>
        </w:rPr>
        <w:t xml:space="preserve">Las erogaciones que se generen con motivo de la entrada en vigor del presente Decreto se sujetarán a la disponibilidad de recursos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 xml:space="preserve">se cubrirán con cargo al presupuesto aprobado a las dependencias o entidades competentes para el ejercicio fiscal en curso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subsecuentes.</w:t>
      </w:r>
    </w:p>
    <w:p w:rsidR="0079082E" w:rsidRPr="00AE0CAB" w:rsidRDefault="0079082E" w:rsidP="00D71801">
      <w:pPr>
        <w:spacing w:after="0" w:line="240" w:lineRule="auto"/>
        <w:jc w:val="both"/>
        <w:rPr>
          <w:rFonts w:ascii="Times New Roman" w:eastAsia="Arial" w:hAnsi="Times New Roman" w:cs="Times New Roman"/>
          <w:sz w:val="24"/>
          <w:szCs w:val="24"/>
        </w:rPr>
      </w:pPr>
    </w:p>
    <w:p w:rsidR="0079082E" w:rsidRPr="00AE0CAB" w:rsidRDefault="0079082E" w:rsidP="00D71801">
      <w:pPr>
        <w:spacing w:after="0" w:line="240" w:lineRule="auto"/>
        <w:ind w:left="3545"/>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HOJA DE FIRMA DE LA INICIATIVA DE DECRETO POR EL QUE SE DECLARA EL 27 DE NOVIEMBRE DE CADA AÑO COMO EL "DÍA ESTATAL DE LAS CIÉNEGAS DEL LERMA".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Reitero a Usted la seguridad de mi atenta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distinguida consideración.</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Palacio del Poder Ejecutivo, en la ciudad de Toluca, capital del Estado de México, a los 9 días del mes de febrero del año 2026.</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center"/>
        <w:rPr>
          <w:rFonts w:ascii="Times New Roman" w:eastAsia="Times New Roman" w:hAnsi="Times New Roman" w:cs="Times New Roman"/>
          <w:b/>
          <w:sz w:val="24"/>
          <w:szCs w:val="24"/>
        </w:rPr>
      </w:pPr>
      <w:r w:rsidRPr="00AE0CAB">
        <w:rPr>
          <w:rFonts w:ascii="Times New Roman" w:eastAsia="Times New Roman" w:hAnsi="Times New Roman" w:cs="Times New Roman"/>
          <w:b/>
          <w:sz w:val="24"/>
          <w:szCs w:val="24"/>
        </w:rPr>
        <w:lastRenderedPageBreak/>
        <w:t>La Gobernadora Constitucional</w:t>
      </w:r>
    </w:p>
    <w:p w:rsidR="0079082E" w:rsidRPr="00AE0CAB" w:rsidRDefault="0079082E" w:rsidP="00D71801">
      <w:pPr>
        <w:spacing w:after="0" w:line="240" w:lineRule="auto"/>
        <w:jc w:val="center"/>
        <w:rPr>
          <w:rFonts w:ascii="Times New Roman" w:eastAsia="Times New Roman" w:hAnsi="Times New Roman" w:cs="Times New Roman"/>
          <w:b/>
          <w:sz w:val="24"/>
          <w:szCs w:val="24"/>
        </w:rPr>
      </w:pPr>
      <w:r w:rsidRPr="00AE0CAB">
        <w:rPr>
          <w:rFonts w:ascii="Times New Roman" w:eastAsia="Times New Roman" w:hAnsi="Times New Roman" w:cs="Times New Roman"/>
          <w:b/>
          <w:sz w:val="24"/>
          <w:szCs w:val="24"/>
        </w:rPr>
        <w:t>del Estado de México</w:t>
      </w:r>
    </w:p>
    <w:p w:rsidR="0079082E" w:rsidRPr="00AE0CAB" w:rsidRDefault="0079082E" w:rsidP="00D71801">
      <w:pPr>
        <w:spacing w:after="0" w:line="240" w:lineRule="auto"/>
        <w:jc w:val="center"/>
        <w:rPr>
          <w:rFonts w:ascii="Times New Roman" w:eastAsia="Times New Roman" w:hAnsi="Times New Roman" w:cs="Times New Roman"/>
          <w:b/>
          <w:sz w:val="24"/>
          <w:szCs w:val="24"/>
        </w:rPr>
      </w:pPr>
      <w:r w:rsidRPr="00AE0CAB">
        <w:rPr>
          <w:rFonts w:ascii="Times New Roman" w:eastAsia="Times New Roman" w:hAnsi="Times New Roman" w:cs="Times New Roman"/>
          <w:b/>
          <w:sz w:val="24"/>
          <w:szCs w:val="24"/>
        </w:rPr>
        <w:t>Mtra. Delfina Gómez Álvarez</w:t>
      </w:r>
    </w:p>
    <w:p w:rsidR="0079082E" w:rsidRPr="00AE0CAB" w:rsidRDefault="0079082E" w:rsidP="00D71801">
      <w:pPr>
        <w:spacing w:after="0" w:line="240" w:lineRule="auto"/>
        <w:jc w:val="center"/>
        <w:rPr>
          <w:rFonts w:ascii="Times New Roman" w:eastAsia="Times New Roman" w:hAnsi="Times New Roman" w:cs="Times New Roman"/>
          <w:sz w:val="24"/>
          <w:szCs w:val="24"/>
        </w:rPr>
      </w:pPr>
      <w:r w:rsidRPr="00AE0CAB">
        <w:rPr>
          <w:rFonts w:ascii="Times New Roman" w:eastAsia="Times New Roman" w:hAnsi="Times New Roman" w:cs="Times New Roman"/>
          <w:b/>
          <w:sz w:val="24"/>
          <w:szCs w:val="24"/>
        </w:rPr>
        <w:t>(</w:t>
      </w:r>
      <w:r w:rsidRPr="00AE0CAB">
        <w:rPr>
          <w:rFonts w:ascii="Times New Roman" w:eastAsia="Times New Roman" w:hAnsi="Times New Roman" w:cs="Times New Roman"/>
          <w:sz w:val="24"/>
          <w:szCs w:val="24"/>
        </w:rPr>
        <w:t>Rúbrica)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Times New Roman" w:hAnsi="Times New Roman" w:cs="Times New Roman"/>
          <w:b/>
          <w:sz w:val="24"/>
          <w:szCs w:val="24"/>
        </w:rPr>
      </w:pPr>
      <w:r w:rsidRPr="00AE0CAB">
        <w:rPr>
          <w:rFonts w:ascii="Times New Roman" w:eastAsia="Times New Roman" w:hAnsi="Times New Roman" w:cs="Times New Roman"/>
          <w:b/>
          <w:sz w:val="24"/>
          <w:szCs w:val="24"/>
        </w:rPr>
        <w:t>*JGZ</w:t>
      </w:r>
    </w:p>
    <w:p w:rsidR="0079082E" w:rsidRPr="00AE0CAB" w:rsidRDefault="0079082E" w:rsidP="00D71801">
      <w:pPr>
        <w:spacing w:after="0" w:line="240" w:lineRule="auto"/>
        <w:jc w:val="both"/>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Validación jurídica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Asunto: Se comunica la Integración de Directiva.</w:t>
      </w:r>
    </w:p>
    <w:p w:rsidR="0079082E" w:rsidRPr="00AE0CAB" w:rsidRDefault="0079082E" w:rsidP="00D71801">
      <w:pPr>
        <w:spacing w:after="0" w:line="240" w:lineRule="auto"/>
        <w:jc w:val="right"/>
        <w:rPr>
          <w:rFonts w:ascii="Times New Roman" w:eastAsia="Times New Roman" w:hAnsi="Times New Roman" w:cs="Times New Roman"/>
          <w:sz w:val="24"/>
          <w:szCs w:val="24"/>
        </w:rPr>
      </w:pPr>
    </w:p>
    <w:p w:rsidR="0079082E" w:rsidRPr="00AE0CAB" w:rsidRDefault="0079082E" w:rsidP="00D71801">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Pachuca de Soto, Hidalgo a 03 de febrero del 2026.</w:t>
      </w:r>
    </w:p>
    <w:p w:rsidR="0079082E" w:rsidRPr="00AE0CAB" w:rsidRDefault="0079082E" w:rsidP="00D71801">
      <w:pPr>
        <w:spacing w:after="0" w:line="240" w:lineRule="auto"/>
        <w:jc w:val="right"/>
        <w:rPr>
          <w:rFonts w:ascii="Times New Roman" w:eastAsia="Arial" w:hAnsi="Times New Roman" w:cs="Times New Roman"/>
          <w:b/>
          <w:sz w:val="24"/>
          <w:szCs w:val="24"/>
        </w:rPr>
      </w:pPr>
      <w:r w:rsidRPr="00AE0CAB">
        <w:rPr>
          <w:rFonts w:ascii="Times New Roman" w:eastAsia="Arial" w:hAnsi="Times New Roman" w:cs="Times New Roman"/>
          <w:b/>
          <w:sz w:val="24"/>
          <w:szCs w:val="24"/>
        </w:rPr>
        <w:t>CIRCULAR No. CELSH/LXVI/SSL-18- 14/ 2026</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DIP. MARTHA AZUCENA CAMACHO REYNOSO</w:t>
      </w: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PRESIDENTA DE LA DIRECTIVA</w:t>
      </w: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DEL H. CONGRESO DEL ESTADO DE MÉXICO</w:t>
      </w: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PRESENTE.</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Reciba un afectuoso saludo, por instrucciones de la Directiva del Congreso de Estado Libre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 xml:space="preserve">Soberano de Hidalgo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actuando en suplencia de la Secretaría, comunico lo siguiente:</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1.- En Sesión de la Diputación Permanente celebrada en fecha 28 de enero del año en curso, se eligió a la Directiva que presidirá los trabajos de esta Soberanía, durante el mes de febrero, correspondiente al Segundo Periodo Ordinario de Sesiones del Segundo Año de Ejercicio Constitucional, resultando electos las Diputadas y los Diputados que a continuación se mencionan:</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Presidenta:</w:t>
      </w:r>
      <w:r w:rsidRPr="00AE0CAB">
        <w:rPr>
          <w:rFonts w:ascii="Times New Roman" w:eastAsia="Arial" w:hAnsi="Times New Roman" w:cs="Times New Roman"/>
          <w:b/>
          <w:sz w:val="24"/>
          <w:szCs w:val="24"/>
        </w:rPr>
        <w:tab/>
      </w:r>
      <w:r w:rsidRPr="00AE0CAB">
        <w:rPr>
          <w:rFonts w:ascii="Times New Roman" w:eastAsia="Arial" w:hAnsi="Times New Roman" w:cs="Times New Roman"/>
          <w:b/>
          <w:sz w:val="24"/>
          <w:szCs w:val="24"/>
        </w:rPr>
        <w:tab/>
      </w:r>
      <w:r w:rsidRPr="00AE0CAB">
        <w:rPr>
          <w:rFonts w:ascii="Times New Roman" w:eastAsia="Arial" w:hAnsi="Times New Roman" w:cs="Times New Roman"/>
          <w:b/>
          <w:sz w:val="24"/>
          <w:szCs w:val="24"/>
        </w:rPr>
        <w:tab/>
      </w:r>
      <w:r w:rsidRPr="00AE0CAB">
        <w:rPr>
          <w:rFonts w:ascii="Times New Roman" w:eastAsia="Arial" w:hAnsi="Times New Roman" w:cs="Times New Roman"/>
          <w:sz w:val="24"/>
          <w:szCs w:val="24"/>
        </w:rPr>
        <w:t xml:space="preserve"> Diputada Cynthia Citlali Delgado Mendoza.</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Vicepresidente:</w:t>
      </w:r>
      <w:r w:rsidRPr="00AE0CAB">
        <w:rPr>
          <w:rFonts w:ascii="Times New Roman" w:eastAsia="Arial" w:hAnsi="Times New Roman" w:cs="Times New Roman"/>
          <w:b/>
          <w:sz w:val="24"/>
          <w:szCs w:val="24"/>
        </w:rPr>
        <w:tab/>
      </w:r>
      <w:r w:rsidRPr="00AE0CAB">
        <w:rPr>
          <w:rFonts w:ascii="Times New Roman" w:eastAsia="Arial" w:hAnsi="Times New Roman" w:cs="Times New Roman"/>
          <w:b/>
          <w:sz w:val="24"/>
          <w:szCs w:val="24"/>
        </w:rPr>
        <w:tab/>
      </w:r>
      <w:r w:rsidRPr="00AE0CAB">
        <w:rPr>
          <w:rFonts w:ascii="Times New Roman" w:eastAsia="Arial" w:hAnsi="Times New Roman" w:cs="Times New Roman"/>
          <w:sz w:val="24"/>
          <w:szCs w:val="24"/>
        </w:rPr>
        <w:t xml:space="preserve"> Diputado Jorge Arguelles Solazar.</w:t>
      </w: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Secretaria propietaria:</w:t>
      </w:r>
      <w:r w:rsidRPr="00AE0CAB">
        <w:rPr>
          <w:rFonts w:ascii="Times New Roman" w:eastAsia="Arial" w:hAnsi="Times New Roman" w:cs="Times New Roman"/>
          <w:b/>
          <w:sz w:val="24"/>
          <w:szCs w:val="24"/>
        </w:rPr>
        <w:tab/>
      </w:r>
      <w:r w:rsidRPr="00AE0CAB">
        <w:rPr>
          <w:rFonts w:ascii="Times New Roman" w:eastAsia="Arial" w:hAnsi="Times New Roman" w:cs="Times New Roman"/>
          <w:sz w:val="24"/>
          <w:szCs w:val="24"/>
        </w:rPr>
        <w:t xml:space="preserve"> Diputada Orquídea Larragoiti Osorio.</w:t>
      </w:r>
    </w:p>
    <w:p w:rsidR="0079082E" w:rsidRPr="00AE0CAB" w:rsidRDefault="0079082E" w:rsidP="00D71801">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Secretario propietario:</w:t>
      </w:r>
      <w:r w:rsidRPr="00AE0CAB">
        <w:rPr>
          <w:rFonts w:ascii="Times New Roman" w:eastAsia="Arial" w:hAnsi="Times New Roman" w:cs="Times New Roman"/>
          <w:b/>
          <w:sz w:val="24"/>
          <w:szCs w:val="24"/>
        </w:rPr>
        <w:tab/>
      </w:r>
      <w:r w:rsidRPr="00AE0CAB">
        <w:rPr>
          <w:rFonts w:ascii="Times New Roman" w:eastAsia="Arial" w:hAnsi="Times New Roman" w:cs="Times New Roman"/>
          <w:sz w:val="24"/>
          <w:szCs w:val="24"/>
        </w:rPr>
        <w:t xml:space="preserve"> Diputado Arturo Gómez Canales.</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Suplente general:</w:t>
      </w:r>
      <w:r w:rsidRPr="00AE0CAB">
        <w:rPr>
          <w:rFonts w:ascii="Times New Roman" w:eastAsia="Arial" w:hAnsi="Times New Roman" w:cs="Times New Roman"/>
          <w:b/>
          <w:sz w:val="24"/>
          <w:szCs w:val="24"/>
        </w:rPr>
        <w:tab/>
      </w:r>
      <w:r w:rsidRPr="00AE0CAB">
        <w:rPr>
          <w:rFonts w:ascii="Times New Roman" w:eastAsia="Arial" w:hAnsi="Times New Roman" w:cs="Times New Roman"/>
          <w:b/>
          <w:sz w:val="24"/>
          <w:szCs w:val="24"/>
        </w:rPr>
        <w:tab/>
      </w:r>
      <w:r w:rsidRPr="00AE0CAB">
        <w:rPr>
          <w:rFonts w:ascii="Times New Roman" w:eastAsia="Arial" w:hAnsi="Times New Roman" w:cs="Times New Roman"/>
          <w:sz w:val="24"/>
          <w:szCs w:val="24"/>
        </w:rPr>
        <w:t xml:space="preserve"> Diputada Karla Perales Arrieta.</w:t>
      </w: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Suplente general:</w:t>
      </w:r>
      <w:r w:rsidRPr="00AE0CAB">
        <w:rPr>
          <w:rFonts w:ascii="Times New Roman" w:eastAsia="Arial" w:hAnsi="Times New Roman" w:cs="Times New Roman"/>
          <w:b/>
          <w:sz w:val="24"/>
          <w:szCs w:val="24"/>
        </w:rPr>
        <w:tab/>
      </w:r>
      <w:r w:rsidRPr="00AE0CAB">
        <w:rPr>
          <w:rFonts w:ascii="Times New Roman" w:eastAsia="Arial" w:hAnsi="Times New Roman" w:cs="Times New Roman"/>
          <w:b/>
          <w:sz w:val="24"/>
          <w:szCs w:val="24"/>
        </w:rPr>
        <w:tab/>
      </w:r>
      <w:r w:rsidRPr="00AE0CAB">
        <w:rPr>
          <w:rFonts w:ascii="Times New Roman" w:eastAsia="Arial" w:hAnsi="Times New Roman" w:cs="Times New Roman"/>
          <w:sz w:val="24"/>
          <w:szCs w:val="24"/>
        </w:rPr>
        <w:t xml:space="preserve"> Diputado Leonel Perusquía Muedano.</w:t>
      </w:r>
    </w:p>
    <w:p w:rsidR="0079082E" w:rsidRPr="00AE0CAB" w:rsidRDefault="0079082E" w:rsidP="00D71801">
      <w:pPr>
        <w:spacing w:after="0" w:line="240" w:lineRule="auto"/>
        <w:jc w:val="both"/>
        <w:rPr>
          <w:rFonts w:ascii="Times New Roman" w:eastAsia="Arial"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2.- Se dio Clausura a los Trabajos de la Diputación Permanente correspondiente al Primer Receso del Segundo Año de Ejercicio Constitucional de la Sexagésima Sexta Legislatura.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3.- En Sesión de fecha 03 de febrero 2026, se dio apertura al Segundo Periodo Ordinario de Sesiones del Segundo Año de Ejercicio Constitucional de la Sexagésima Sexta Legislatura.</w:t>
      </w:r>
    </w:p>
    <w:p w:rsidR="0079082E" w:rsidRPr="00AE0CAB" w:rsidRDefault="0079082E" w:rsidP="00D71801">
      <w:pPr>
        <w:spacing w:after="0" w:line="240" w:lineRule="auto"/>
        <w:jc w:val="both"/>
        <w:rPr>
          <w:rFonts w:ascii="Times New Roman" w:eastAsia="Times New Roman" w:hAnsi="Times New Roman" w:cs="Times New Roman"/>
          <w:sz w:val="24"/>
          <w:szCs w:val="24"/>
        </w:rPr>
      </w:pPr>
    </w:p>
    <w:p w:rsidR="0079082E" w:rsidRPr="00AE0CAB" w:rsidRDefault="0079082E"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(Fin del documento)</w:t>
      </w:r>
    </w:p>
    <w:p w:rsidR="0079082E" w:rsidRPr="00AE0CAB" w:rsidRDefault="0079082E" w:rsidP="00D71801">
      <w:pPr>
        <w:spacing w:after="0" w:line="240" w:lineRule="auto"/>
        <w:jc w:val="center"/>
        <w:rPr>
          <w:rFonts w:ascii="Times New Roman" w:hAnsi="Times New Roman" w:cs="Times New Roman"/>
          <w:sz w:val="24"/>
          <w:szCs w:val="24"/>
        </w:rPr>
      </w:pPr>
    </w:p>
    <w:p w:rsidR="00693783" w:rsidRPr="00AE0CAB" w:rsidRDefault="00E46430"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PRESIDENTA DIP. MARTHA AZUCENA CAMACHO REYNOSO. </w:t>
      </w:r>
      <w:r w:rsidR="00693783" w:rsidRPr="00AE0CAB">
        <w:rPr>
          <w:rFonts w:ascii="Times New Roman" w:eastAsia="Arial" w:hAnsi="Times New Roman" w:cs="Times New Roman"/>
          <w:sz w:val="24"/>
          <w:szCs w:val="24"/>
        </w:rPr>
        <w:t>Gracias diputada Vicepresidenta Sara Alicia Ramírez de la O.</w:t>
      </w:r>
    </w:p>
    <w:p w:rsidR="00693783" w:rsidRPr="00AE0CAB" w:rsidRDefault="00693783"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Se registra la iniciativa y se remite a la Comisión Legislativa de Gobernación y Puntos Constitucionales y de la Comisión Especial para el Rescate de la Cuenca del Río Lerma para su estudio y dictamen. </w:t>
      </w:r>
    </w:p>
    <w:p w:rsidR="00693783" w:rsidRPr="00AE0CAB" w:rsidRDefault="00693783" w:rsidP="00D71801">
      <w:pPr>
        <w:pStyle w:val="Sinespaciado"/>
        <w:ind w:firstLine="708"/>
        <w:jc w:val="both"/>
        <w:rPr>
          <w:rFonts w:ascii="Times New Roman" w:hAnsi="Times New Roman" w:cs="Times New Roman"/>
          <w:sz w:val="24"/>
          <w:szCs w:val="24"/>
        </w:rPr>
      </w:pPr>
      <w:r w:rsidRPr="00AE0CAB">
        <w:rPr>
          <w:rFonts w:ascii="Times New Roman" w:eastAsia="Arial" w:hAnsi="Times New Roman" w:cs="Times New Roman"/>
          <w:sz w:val="24"/>
          <w:szCs w:val="24"/>
        </w:rPr>
        <w:t xml:space="preserve">En cuanto al punto número 5, la diputada Vicepresidenta Itzel Guadalupe Pérez Correa leerá la iniciativa de decreto por el que se reforman diversas disposiciones del Código para la </w:t>
      </w:r>
      <w:r w:rsidRPr="00AE0CAB">
        <w:rPr>
          <w:rFonts w:ascii="Times New Roman" w:eastAsia="Arial" w:hAnsi="Times New Roman" w:cs="Times New Roman"/>
          <w:sz w:val="24"/>
          <w:szCs w:val="24"/>
        </w:rPr>
        <w:lastRenderedPageBreak/>
        <w:t>Biodiversidad del Estado de México y la Ley Orgánica Municipal de Estado de México en materia de prácticas ambientalmente responsables de inhumación</w:t>
      </w:r>
      <w:r w:rsidR="003D12A6" w:rsidRPr="00AE0CAB">
        <w:rPr>
          <w:rFonts w:ascii="Times New Roman" w:eastAsia="Arial" w:hAnsi="Times New Roman" w:cs="Times New Roman"/>
          <w:sz w:val="24"/>
          <w:szCs w:val="24"/>
        </w:rPr>
        <w:t xml:space="preserve"> p</w:t>
      </w:r>
      <w:r w:rsidRPr="00AE0CAB">
        <w:rPr>
          <w:rFonts w:ascii="Times New Roman" w:eastAsia="Arial" w:hAnsi="Times New Roman" w:cs="Times New Roman"/>
          <w:sz w:val="24"/>
          <w:szCs w:val="24"/>
        </w:rPr>
        <w:t>resentada por la Titular del Ejecutivo Estatal.</w:t>
      </w:r>
    </w:p>
    <w:p w:rsidR="00693783" w:rsidRPr="00AE0CAB" w:rsidRDefault="00693783" w:rsidP="00D71801">
      <w:pPr>
        <w:pStyle w:val="Sinespaciado"/>
        <w:jc w:val="both"/>
        <w:rPr>
          <w:rFonts w:ascii="Times New Roman" w:eastAsia="Arial" w:hAnsi="Times New Roman" w:cs="Times New Roman"/>
          <w:sz w:val="24"/>
          <w:szCs w:val="24"/>
        </w:rPr>
      </w:pPr>
      <w:r w:rsidRPr="00AE0CAB">
        <w:rPr>
          <w:rFonts w:ascii="Times New Roman" w:hAnsi="Times New Roman" w:cs="Times New Roman"/>
          <w:sz w:val="24"/>
          <w:szCs w:val="24"/>
        </w:rPr>
        <w:t>VICEPRESIDENTA DIP. ITZEL GUADALUPE PÉREZ CORREA.</w:t>
      </w:r>
      <w:r w:rsidR="00077307" w:rsidRPr="00AE0CAB">
        <w:rPr>
          <w:rFonts w:ascii="Times New Roman" w:hAnsi="Times New Roman" w:cs="Times New Roman"/>
          <w:sz w:val="24"/>
          <w:szCs w:val="24"/>
        </w:rPr>
        <w:t xml:space="preserve"> </w:t>
      </w:r>
      <w:r w:rsidRPr="00AE0CAB">
        <w:rPr>
          <w:rFonts w:ascii="Times New Roman" w:eastAsia="Arial" w:hAnsi="Times New Roman" w:cs="Times New Roman"/>
          <w:sz w:val="24"/>
          <w:szCs w:val="24"/>
        </w:rPr>
        <w:t>Oficina de la Gobernadora.</w:t>
      </w:r>
    </w:p>
    <w:p w:rsidR="00693783" w:rsidRPr="00AE0CAB" w:rsidRDefault="00693783" w:rsidP="00D71801">
      <w:pPr>
        <w:pStyle w:val="Sinespaciado"/>
        <w:ind w:left="3540"/>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Toluca de Lerdo, México, a 9 de febrero de 2025. </w:t>
      </w:r>
    </w:p>
    <w:p w:rsidR="00693783" w:rsidRPr="00AE0CAB" w:rsidRDefault="00693783" w:rsidP="00D71801">
      <w:pPr>
        <w:pStyle w:val="Sinespaciad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DIPUTADA MARTHA AZUCENA CAMACHO REYNOSO</w:t>
      </w:r>
    </w:p>
    <w:p w:rsidR="00693783" w:rsidRPr="00AE0CAB" w:rsidRDefault="00693783" w:rsidP="00D71801">
      <w:pPr>
        <w:pStyle w:val="Sinespaciad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PRESIDENTA DE LA MESA DIRECTIVA </w:t>
      </w:r>
    </w:p>
    <w:p w:rsidR="00693783" w:rsidRPr="00AE0CAB" w:rsidRDefault="00693783" w:rsidP="00D71801">
      <w:pPr>
        <w:pStyle w:val="Sinespaciad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 LA LXII LEGISLATURA</w:t>
      </w:r>
    </w:p>
    <w:p w:rsidR="00693783" w:rsidRPr="00AE0CAB" w:rsidRDefault="00693783" w:rsidP="00D71801">
      <w:pPr>
        <w:pStyle w:val="Sinespaciad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DEL ESTADO DE MÉXICO</w:t>
      </w:r>
    </w:p>
    <w:p w:rsidR="00693783" w:rsidRPr="00AE0CAB" w:rsidRDefault="00693783" w:rsidP="00D71801">
      <w:pPr>
        <w:pStyle w:val="Sinespaciad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PRESENTE.</w:t>
      </w:r>
    </w:p>
    <w:p w:rsidR="00693783" w:rsidRPr="00AE0CAB" w:rsidRDefault="00693783"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Delfina Gómez Álvarez, Gobernadora Constitucional del Estado Libre y Soberano de México, en el ejercicio de la facultad que me confieren los artículos 51, fracción I y 77, fracción V de la Constitución Política del Estado Libre y Soberano de México y con fundamento en el numeral 58 del mismo ordenamiento, se somete a la consideración de esta Honorable Legislatura por el digno conducto de ustedes, la presente iniciativa de decreto por el que se reforman las diversas disposiciones del Código para la Biodiversidad del Estado de México y de la Ley Orgánica Municipal del Estado de México, en materia de prácticas ambientales responsables de inhumación con sustento en lo siguiente</w:t>
      </w:r>
      <w:r w:rsidR="00DC01A0" w:rsidRPr="00AE0CAB">
        <w:rPr>
          <w:rFonts w:ascii="Times New Roman" w:eastAsia="Arial" w:hAnsi="Times New Roman" w:cs="Times New Roman"/>
          <w:sz w:val="24"/>
          <w:szCs w:val="24"/>
        </w:rPr>
        <w:t>:</w:t>
      </w:r>
    </w:p>
    <w:p w:rsidR="00693783" w:rsidRPr="00AE0CAB" w:rsidRDefault="00693783"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Los panteones ecológicos son una opción innovadora y ecológica frente al modelo funerario habitual, sus principales beneficios radican en la reducción significativa del impacto al medio ambiente al prescindir de materiales no biodegradables como el concreto, mármol o metal pesados, a diferencia de los entierros tradicionales, los panteones verdes permiten que el cuerpo vuelva al suelo mediante una descomposición habitual, sin generar lixiviados tóxicos ni dañar las condiciones del subsuelo. </w:t>
      </w:r>
    </w:p>
    <w:p w:rsidR="00693783" w:rsidRPr="00AE0CAB" w:rsidRDefault="00693783"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Aunado a ello, si adoptar panteones ecológicos bajo la figura de zonas de preservación ecológica de los centros de población, se fortalecen las políticas públicas en materia de desarrollo sustentable, la crisis climática, la salud pública, la protección del medio ambiente y la justicia territorial, su implementación contribuirá al cumplimiento de los Objetivos de Desarrollo Sostenible, en particular a los relativos a comunidades sostenibles. </w:t>
      </w:r>
    </w:p>
    <w:p w:rsidR="00693783" w:rsidRPr="00AE0CAB" w:rsidRDefault="00693783"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número 11 lucha contra el cambio climático</w:t>
      </w:r>
      <w:r w:rsidR="003D12A6" w:rsidRPr="00AE0CAB">
        <w:rPr>
          <w:rFonts w:ascii="Times New Roman" w:eastAsia="Arial" w:hAnsi="Times New Roman" w:cs="Times New Roman"/>
          <w:sz w:val="24"/>
          <w:szCs w:val="24"/>
        </w:rPr>
        <w:t>;</w:t>
      </w:r>
      <w:r w:rsidRPr="00AE0CAB">
        <w:rPr>
          <w:rFonts w:ascii="Times New Roman" w:eastAsia="Arial" w:hAnsi="Times New Roman" w:cs="Times New Roman"/>
          <w:sz w:val="24"/>
          <w:szCs w:val="24"/>
        </w:rPr>
        <w:t xml:space="preserve"> 13 Cuidado de la vida terrestre</w:t>
      </w:r>
      <w:r w:rsidR="003D12A6" w:rsidRPr="00AE0CAB">
        <w:rPr>
          <w:rFonts w:ascii="Times New Roman" w:eastAsia="Arial" w:hAnsi="Times New Roman" w:cs="Times New Roman"/>
          <w:sz w:val="24"/>
          <w:szCs w:val="24"/>
        </w:rPr>
        <w:t>;</w:t>
      </w:r>
      <w:r w:rsidRPr="00AE0CAB">
        <w:rPr>
          <w:rFonts w:ascii="Times New Roman" w:eastAsia="Arial" w:hAnsi="Times New Roman" w:cs="Times New Roman"/>
          <w:sz w:val="24"/>
          <w:szCs w:val="24"/>
        </w:rPr>
        <w:t xml:space="preserve"> 15 además alinearse a los pilares de tratado Escazú y además normas globales acerca de la fortaleza urbana y los derechos relacionados con el planeta.</w:t>
      </w:r>
    </w:p>
    <w:p w:rsidR="00693783" w:rsidRPr="00AE0CAB" w:rsidRDefault="00693783"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En este orden de ideas, la iniciativa que se propone pretende aprovechar un marco jurídico vigente para conformar una nueva e innovadora categoría de manejo, perfectamente compatible con la legislación ambiental y municipal, que permita impulsar procesos de innovación sustentable, con la coordinación y apoyo de las autoridades sanitarias municipales y competentes, mediante el establecimiento de parques funerarios verdes amparados bajo la figura de zonas de preservación ecológica de los centros de población. </w:t>
      </w:r>
    </w:p>
    <w:p w:rsidR="00693783" w:rsidRPr="00AE0CAB" w:rsidRDefault="00693783"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mérito de lo anterior expuesto se somete a la consideración de esta Honorable Legislatura la presente iniciativa de derecho.</w:t>
      </w:r>
    </w:p>
    <w:p w:rsidR="00693783" w:rsidRPr="00AE0CAB" w:rsidRDefault="00693783"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Reitero a usted la seguridad de mi atenta y distinguida consideración.</w:t>
      </w:r>
    </w:p>
    <w:p w:rsidR="00693783" w:rsidRPr="00AE0CAB" w:rsidRDefault="00693783"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Palacio del Poder Ejecutivo en la ciudad de Toluca, capital del Estado de México, a los nueve días del mes de febrero del año dos mil veintiséis. </w:t>
      </w:r>
    </w:p>
    <w:p w:rsidR="00693783" w:rsidRPr="00AE0CAB" w:rsidRDefault="00693783"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Firma.</w:t>
      </w:r>
    </w:p>
    <w:p w:rsidR="00693783" w:rsidRPr="00AE0CAB" w:rsidRDefault="00E776A8" w:rsidP="00D71801">
      <w:pPr>
        <w:pStyle w:val="Sinespaciado"/>
        <w:ind w:firstLine="708"/>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GOBERNADORA CONSTITUCIONAL DEL ESTADO DE MÉXICO</w:t>
      </w:r>
    </w:p>
    <w:p w:rsidR="00693783" w:rsidRPr="00AE0CAB" w:rsidRDefault="00E776A8" w:rsidP="00D71801">
      <w:pPr>
        <w:pStyle w:val="Sinespaciado"/>
        <w:ind w:firstLine="708"/>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MAESTRA DELFINA GÓMEZ ÁLVAREZ.</w:t>
      </w:r>
    </w:p>
    <w:p w:rsidR="00693783" w:rsidRPr="00AE0CAB" w:rsidRDefault="00693783" w:rsidP="00D71801">
      <w:pPr>
        <w:pStyle w:val="Sinespaciado"/>
        <w:ind w:firstLine="708"/>
        <w:jc w:val="both"/>
        <w:rPr>
          <w:rFonts w:ascii="Times New Roman" w:hAnsi="Times New Roman" w:cs="Times New Roman"/>
          <w:sz w:val="24"/>
          <w:szCs w:val="24"/>
        </w:rPr>
      </w:pPr>
      <w:r w:rsidRPr="00AE0CAB">
        <w:rPr>
          <w:rFonts w:ascii="Times New Roman" w:eastAsia="Arial" w:hAnsi="Times New Roman" w:cs="Times New Roman"/>
          <w:sz w:val="24"/>
          <w:szCs w:val="24"/>
        </w:rPr>
        <w:t>Es cuanto Presidenta.</w:t>
      </w:r>
    </w:p>
    <w:p w:rsidR="00A761FB" w:rsidRPr="00AE0CAB" w:rsidRDefault="00A761FB" w:rsidP="00D71801">
      <w:pPr>
        <w:pStyle w:val="Sinespaciado"/>
        <w:jc w:val="both"/>
        <w:rPr>
          <w:rFonts w:ascii="Times New Roman" w:hAnsi="Times New Roman" w:cs="Times New Roman"/>
          <w:sz w:val="24"/>
          <w:szCs w:val="24"/>
        </w:rPr>
      </w:pPr>
    </w:p>
    <w:p w:rsidR="00A761FB" w:rsidRPr="00AE0CAB" w:rsidRDefault="00A761FB"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(Se inserta documento)</w:t>
      </w:r>
    </w:p>
    <w:p w:rsidR="00A761FB" w:rsidRPr="00AE0CAB" w:rsidRDefault="00A761FB" w:rsidP="00D71801">
      <w:pPr>
        <w:spacing w:after="0" w:line="240" w:lineRule="auto"/>
        <w:jc w:val="center"/>
        <w:rPr>
          <w:rFonts w:ascii="Times New Roman" w:hAnsi="Times New Roman" w:cs="Times New Roman"/>
          <w:sz w:val="24"/>
          <w:szCs w:val="24"/>
        </w:rPr>
      </w:pPr>
    </w:p>
    <w:p w:rsidR="00A761FB" w:rsidRPr="00AE0CAB" w:rsidRDefault="00A761FB" w:rsidP="00D71801">
      <w:pPr>
        <w:spacing w:after="0" w:line="240" w:lineRule="auto"/>
        <w:ind w:right="27"/>
        <w:jc w:val="center"/>
        <w:rPr>
          <w:rFonts w:ascii="Times New Roman" w:eastAsia="Arial" w:hAnsi="Times New Roman" w:cs="Times New Roman"/>
          <w:b/>
          <w:sz w:val="24"/>
          <w:szCs w:val="24"/>
        </w:rPr>
      </w:pPr>
      <w:r w:rsidRPr="00AE0CAB">
        <w:rPr>
          <w:rFonts w:ascii="Times New Roman" w:eastAsia="Times New Roman" w:hAnsi="Times New Roman" w:cs="Times New Roman"/>
          <w:b/>
          <w:sz w:val="24"/>
          <w:szCs w:val="24"/>
        </w:rPr>
        <w:t xml:space="preserve">“2026. </w:t>
      </w:r>
      <w:r w:rsidRPr="00AE0CAB">
        <w:rPr>
          <w:rFonts w:ascii="Times New Roman" w:eastAsia="Arial" w:hAnsi="Times New Roman" w:cs="Times New Roman"/>
          <w:b/>
          <w:sz w:val="24"/>
          <w:szCs w:val="24"/>
        </w:rPr>
        <w:t>Año del Humanismo Mexicano en el Estado de México"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Toluca de Lerdo, Estado de México a </w:t>
      </w:r>
      <w:r w:rsidRPr="00AE0CAB">
        <w:rPr>
          <w:rFonts w:ascii="Times New Roman" w:eastAsia="Times New Roman" w:hAnsi="Times New Roman" w:cs="Times New Roman"/>
          <w:sz w:val="24"/>
          <w:szCs w:val="24"/>
        </w:rPr>
        <w:t xml:space="preserve">1l </w:t>
      </w:r>
      <w:r w:rsidRPr="00AE0CAB">
        <w:rPr>
          <w:rFonts w:ascii="Times New Roman" w:eastAsia="Arial" w:hAnsi="Times New Roman" w:cs="Times New Roman"/>
          <w:sz w:val="24"/>
          <w:szCs w:val="24"/>
        </w:rPr>
        <w:t>de febrero 2026</w:t>
      </w:r>
    </w:p>
    <w:p w:rsidR="00A761FB" w:rsidRPr="00AE0CAB" w:rsidRDefault="00A761FB" w:rsidP="00D71801">
      <w:pPr>
        <w:spacing w:after="0" w:line="240" w:lineRule="auto"/>
        <w:ind w:right="27"/>
        <w:jc w:val="right"/>
        <w:rPr>
          <w:rFonts w:ascii="Times New Roman" w:eastAsia="Arial" w:hAnsi="Times New Roman" w:cs="Times New Roman"/>
          <w:sz w:val="24"/>
          <w:szCs w:val="24"/>
        </w:rPr>
      </w:pPr>
      <w:r w:rsidRPr="00AE0CAB">
        <w:rPr>
          <w:rFonts w:ascii="Times New Roman" w:eastAsia="Arial" w:hAnsi="Times New Roman" w:cs="Times New Roman"/>
          <w:b/>
          <w:sz w:val="24"/>
          <w:szCs w:val="24"/>
        </w:rPr>
        <w:t>Oficio número CJ/233400000000000/258/2026</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Diputada</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Martha Azucena Camacho Reynoso</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Presidenta de la Mesa Directiva</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 la "LXII" Legislatura del Estado de México</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Presente</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Con fundamento en lo establecido por la fracción XI del artículo 57 de la Ley Orgánica de la Administración Pública del Estado de México, me permito ser el conducto para presentar ante Usted la </w:t>
      </w:r>
      <w:r w:rsidRPr="00AE0CAB">
        <w:rPr>
          <w:rFonts w:ascii="Times New Roman" w:eastAsia="Arial" w:hAnsi="Times New Roman" w:cs="Times New Roman"/>
          <w:b/>
          <w:sz w:val="24"/>
          <w:szCs w:val="24"/>
        </w:rPr>
        <w:t>Iniciativa de Decreto por el que se reforman diversas disposiciones del Código para la Biodiversidad del Estado de México y de la Ley Orgánica Municipal del Estado de México, en materia de Practicas Ambientalmente Responsables de Inhumación.</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Sin otro particular, aprovecho la ocasión para enviarle un cordial saludo.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Atentamente</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Lic. Jesús George Zamora</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Consejero Jurídico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proofErr w:type="spellStart"/>
      <w:r w:rsidRPr="00AE0CAB">
        <w:rPr>
          <w:rFonts w:ascii="Times New Roman" w:eastAsia="Arial" w:hAnsi="Times New Roman" w:cs="Times New Roman"/>
          <w:sz w:val="24"/>
          <w:szCs w:val="24"/>
        </w:rPr>
        <w:t>Cc.p</w:t>
      </w:r>
      <w:proofErr w:type="spellEnd"/>
      <w:r w:rsidRPr="00AE0CAB">
        <w:rPr>
          <w:rFonts w:ascii="Times New Roman" w:eastAsia="Arial" w:hAnsi="Times New Roman" w:cs="Times New Roman"/>
          <w:sz w:val="24"/>
          <w:szCs w:val="24"/>
        </w:rPr>
        <w:t>. Mtra. Delfina Gómez Álvarez, Gobernadora Constitucional del Estado de México.</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Mtro. Horacio Duarte Olivares, Secretario General de Gobierno.</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Dip. José Francisco Vázquez Rodríguez Presidente de la Junta de Coordinación Política de la "LXII" Legislatura del Estado de México.</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Mtro. Javier Domínguez Morales, Secretario de Asuntos Parlamentarios de la "LXII" Legislatura del Estado de México.</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Lic. Javier de Jess Domínguez González, Encargado de Despacho de la </w:t>
      </w:r>
      <w:r w:rsidRPr="00AE0CAB">
        <w:rPr>
          <w:rFonts w:ascii="Times New Roman" w:eastAsia="Times New Roman" w:hAnsi="Times New Roman" w:cs="Times New Roman"/>
          <w:sz w:val="24"/>
          <w:szCs w:val="24"/>
        </w:rPr>
        <w:t xml:space="preserve">Dirección </w:t>
      </w:r>
      <w:r w:rsidRPr="00AE0CAB">
        <w:rPr>
          <w:rFonts w:ascii="Times New Roman" w:eastAsia="Arial" w:hAnsi="Times New Roman" w:cs="Times New Roman"/>
          <w:sz w:val="24"/>
          <w:szCs w:val="24"/>
        </w:rPr>
        <w:t xml:space="preserve">General de Legislación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 xml:space="preserve">del </w:t>
      </w:r>
      <w:r w:rsidRPr="00AE0CAB">
        <w:rPr>
          <w:rFonts w:ascii="Times New Roman" w:eastAsia="Times New Roman" w:hAnsi="Times New Roman" w:cs="Times New Roman"/>
          <w:sz w:val="24"/>
          <w:szCs w:val="24"/>
        </w:rPr>
        <w:t xml:space="preserve">Periódico </w:t>
      </w:r>
      <w:r w:rsidRPr="00AE0CAB">
        <w:rPr>
          <w:rFonts w:ascii="Times New Roman" w:eastAsia="Arial" w:hAnsi="Times New Roman" w:cs="Times New Roman"/>
          <w:sz w:val="24"/>
          <w:szCs w:val="24"/>
        </w:rPr>
        <w:t xml:space="preserve">Oficial </w:t>
      </w:r>
      <w:r w:rsidRPr="00AE0CAB">
        <w:rPr>
          <w:rFonts w:ascii="Times New Roman" w:eastAsia="Times New Roman" w:hAnsi="Times New Roman" w:cs="Times New Roman"/>
          <w:sz w:val="24"/>
          <w:szCs w:val="24"/>
        </w:rPr>
        <w:t xml:space="preserve">"Gaceta </w:t>
      </w:r>
      <w:r w:rsidRPr="00AE0CAB">
        <w:rPr>
          <w:rFonts w:ascii="Times New Roman" w:eastAsia="Arial" w:hAnsi="Times New Roman" w:cs="Times New Roman"/>
          <w:sz w:val="24"/>
          <w:szCs w:val="24"/>
        </w:rPr>
        <w:t>del Gobierno".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1" locked="0" layoutInCell="1" allowOverlap="1">
                <wp:simplePos x="0" y="0"/>
                <wp:positionH relativeFrom="page">
                  <wp:posOffset>1520825</wp:posOffset>
                </wp:positionH>
                <wp:positionV relativeFrom="paragraph">
                  <wp:posOffset>60960</wp:posOffset>
                </wp:positionV>
                <wp:extent cx="12065" cy="254000"/>
                <wp:effectExtent l="0" t="3810" r="635"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5F0" w:rsidRDefault="003165F0" w:rsidP="00A761FB">
                            <w:pPr>
                              <w:spacing w:line="400" w:lineRule="exact"/>
                              <w:ind w:right="-80"/>
                              <w:rPr>
                                <w:rFonts w:ascii="Arial" w:eastAsia="Arial" w:hAnsi="Arial" w:cs="Arial"/>
                                <w:sz w:val="40"/>
                                <w:szCs w:val="40"/>
                              </w:rPr>
                            </w:pPr>
                            <w:r>
                              <w:rPr>
                                <w:rFonts w:ascii="Arial" w:eastAsia="Arial" w:hAnsi="Arial" w:cs="Arial"/>
                                <w:color w:val="313131"/>
                                <w:w w:val="17"/>
                                <w:sz w:val="40"/>
                                <w:szCs w:val="40"/>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19.75pt;margin-top:4.8pt;width:.95pt;height:2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" filled="f" stroked="f">
                <v:textbox inset="0,0,0,0">
                  <w:txbxContent>
                    <w:p w:rsidR="003165F0" w:rsidRDefault="003165F0" w:rsidP="00A761FB">
                      <w:pPr>
                        <w:spacing w:line="400" w:lineRule="exact"/>
                        <w:ind w:right="-80"/>
                        <w:rPr>
                          <w:rFonts w:ascii="Arial" w:eastAsia="Arial" w:hAnsi="Arial" w:cs="Arial"/>
                          <w:sz w:val="40"/>
                          <w:szCs w:val="40"/>
                        </w:rPr>
                      </w:pPr>
                      <w:r>
                        <w:rPr>
                          <w:rFonts w:ascii="Arial" w:eastAsia="Arial" w:hAnsi="Arial" w:cs="Arial"/>
                          <w:color w:val="313131"/>
                          <w:w w:val="17"/>
                          <w:sz w:val="40"/>
                          <w:szCs w:val="40"/>
                        </w:rPr>
                        <w:t>I</w:t>
                      </w:r>
                    </w:p>
                  </w:txbxContent>
                </v:textbox>
                <w10:wrap anchorx="page"/>
              </v:shape>
            </w:pict>
          </mc:Fallback>
        </mc:AlternateContent>
      </w:r>
    </w:p>
    <w:p w:rsidR="00A761FB" w:rsidRPr="00AE0CAB" w:rsidRDefault="00A761FB" w:rsidP="00D71801">
      <w:pPr>
        <w:spacing w:after="0" w:line="240" w:lineRule="auto"/>
        <w:ind w:right="27"/>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Oficina de la Gobernadora</w:t>
      </w:r>
    </w:p>
    <w:p w:rsidR="00A761FB" w:rsidRPr="00AE0CAB" w:rsidRDefault="00A761FB" w:rsidP="00D71801">
      <w:pPr>
        <w:spacing w:after="0" w:line="240" w:lineRule="auto"/>
        <w:ind w:right="27"/>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Toluca de Lerdo, México, a 9 de febrero de 2026.</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DIPUTADA</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MARTHA AZUCENA CAMACHO REYNOSO</w:t>
      </w:r>
    </w:p>
    <w:p w:rsidR="00A761FB" w:rsidRPr="00AE0CAB" w:rsidRDefault="00A761FB" w:rsidP="00D71801">
      <w:pPr>
        <w:spacing w:after="0" w:line="240" w:lineRule="auto"/>
        <w:ind w:right="27"/>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PRESIDENTA DE LA MESA DIRECTIVA DE LA</w:t>
      </w:r>
    </w:p>
    <w:p w:rsidR="00A761FB" w:rsidRPr="00AE0CAB" w:rsidRDefault="00A761FB" w:rsidP="00D71801">
      <w:pPr>
        <w:spacing w:after="0" w:line="240" w:lineRule="auto"/>
        <w:ind w:right="27"/>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LXII" LEGISLATURA DEL ESTADO DE MÉXICO</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PRESENTE</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DELFINA GOMEZ ALVAREZ, Gobernadora Constitucional del Estado Libre y Soberano de México, </w:t>
      </w:r>
      <w:r w:rsidRPr="00AE0CAB">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el numeral 56 del mismo ordenamiento, se somete a la consideración de esa H. Legislatura, por el </w:t>
      </w:r>
      <w:r w:rsidRPr="00AE0CAB">
        <w:rPr>
          <w:rFonts w:ascii="Times New Roman" w:eastAsia="Arial" w:hAnsi="Times New Roman" w:cs="Times New Roman"/>
          <w:sz w:val="24"/>
          <w:szCs w:val="24"/>
        </w:rPr>
        <w:lastRenderedPageBreak/>
        <w:t xml:space="preserve">digno conducto de usted, la presente </w:t>
      </w:r>
      <w:r w:rsidRPr="00AE0CAB">
        <w:rPr>
          <w:rFonts w:ascii="Times New Roman" w:eastAsia="Arial" w:hAnsi="Times New Roman" w:cs="Times New Roman"/>
          <w:b/>
          <w:sz w:val="24"/>
          <w:szCs w:val="24"/>
        </w:rPr>
        <w:t xml:space="preserve">Iniciativa de Decreto por el que se reforman diversas disposiciones del Código para la Biodiversidad del Estado de México y de la Ley Orgánica Municipal del Estado de México, en materia de prácticas ambientalmente responsables de inhumación, </w:t>
      </w:r>
      <w:r w:rsidRPr="00AE0CAB">
        <w:rPr>
          <w:rFonts w:ascii="Times New Roman" w:eastAsia="Arial" w:hAnsi="Times New Roman" w:cs="Times New Roman"/>
          <w:sz w:val="24"/>
          <w:szCs w:val="24"/>
        </w:rPr>
        <w:t>con sustento en la siguiente:</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EXPOSICIÓN DE MOTIVOS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artículo 115 de la Constitución Política de los Estados Unidos Mexicanos, particularmente en su fracción II inciso e) establece la competencia de los municipios para la prestación de diversos servicios públicos, entre los cuales se incluye, el de panteones. Esta atribución se robustece en el marco constitucional y legal del Estado de México, conforme a lo dispuesto en los artículos 122 de la Constitución Política del Estado Libre y Soberano de México; así como en los diversos 125, 126, 127, 127, 128, 131, 137, 138, 139, 140 y 141 de la Orgánica Municipal del Estado de México.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Por su parte, en lo que respecta a la preservación y restauración del equilibrio ecológico, así como a la protección del ambiente y de manera específica, a las áreas naturales protegidas, la distribución de competencias se precisa en la Ley General del Equilibrio Ecológico y la Protección al Ambiente que, en sus artículos 7, fracción V y 8, fracción V, respectivamente, determinan que compete al Estado el establecimiento, regulación, administración y vigilancia de las áreas naturales protegidas previstas en la legislación local, con la participación de los gobiernos municipales, en tanto que, corresponde a los municipios se les confiere la creación y administración de zonas de preservación </w:t>
      </w:r>
      <w:r w:rsidR="009542A2" w:rsidRPr="00AE0CAB">
        <w:rPr>
          <w:rFonts w:ascii="Times New Roman" w:eastAsia="Arial" w:hAnsi="Times New Roman" w:cs="Times New Roman"/>
          <w:sz w:val="24"/>
          <w:szCs w:val="24"/>
        </w:rPr>
        <w:t>ecológica</w:t>
      </w:r>
      <w:r w:rsidRPr="00AE0CAB">
        <w:rPr>
          <w:rFonts w:ascii="Times New Roman" w:eastAsia="Arial" w:hAnsi="Times New Roman" w:cs="Times New Roman"/>
          <w:sz w:val="24"/>
          <w:szCs w:val="24"/>
        </w:rPr>
        <w:t xml:space="preserve"> de los </w:t>
      </w:r>
      <w:r w:rsidR="009542A2" w:rsidRPr="00AE0CAB">
        <w:rPr>
          <w:rFonts w:ascii="Times New Roman" w:eastAsia="Arial" w:hAnsi="Times New Roman" w:cs="Times New Roman"/>
          <w:sz w:val="24"/>
          <w:szCs w:val="24"/>
        </w:rPr>
        <w:t>centros</w:t>
      </w:r>
      <w:r w:rsidRPr="00AE0CAB">
        <w:rPr>
          <w:rFonts w:ascii="Times New Roman" w:eastAsia="Arial" w:hAnsi="Times New Roman" w:cs="Times New Roman"/>
          <w:sz w:val="24"/>
          <w:szCs w:val="24"/>
        </w:rPr>
        <w:t xml:space="preserve"> de población, parques urbanos, jardines públicos y demás áreas análogas previstas por la legislación local.</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Esta condición conduce a la tipología prevista en la Ley General del Equilibrio Ecológico y la Protección al Ambiente respecto de las áreas naturales protegidas establecidas en la legislación local, cuyo artículo 46 fracciones IX y X disponen:</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Arial" w:hAnsi="Times New Roman" w:cs="Times New Roman"/>
          <w:sz w:val="24"/>
          <w:szCs w:val="24"/>
        </w:rPr>
      </w:pPr>
      <w:r w:rsidRPr="00AE0CAB">
        <w:rPr>
          <w:rFonts w:ascii="Times New Roman" w:eastAsia="Arial" w:hAnsi="Times New Roman" w:cs="Times New Roman"/>
          <w:b/>
          <w:i/>
          <w:sz w:val="24"/>
          <w:szCs w:val="24"/>
        </w:rPr>
        <w:t xml:space="preserve">ARTÍCULO 46.- </w:t>
      </w:r>
      <w:r w:rsidRPr="00AE0CAB">
        <w:rPr>
          <w:rFonts w:ascii="Times New Roman" w:eastAsia="Arial" w:hAnsi="Times New Roman" w:cs="Times New Roman"/>
          <w:i/>
          <w:sz w:val="24"/>
          <w:szCs w:val="24"/>
        </w:rPr>
        <w:t>Se consideran áreas naturales protegidas:</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i/>
          <w:sz w:val="24"/>
          <w:szCs w:val="24"/>
        </w:rPr>
        <w:t xml:space="preserve">IX.- Parques </w:t>
      </w:r>
      <w:r w:rsidRPr="00AE0CAB">
        <w:rPr>
          <w:rFonts w:ascii="Times New Roman" w:eastAsia="Times New Roman" w:hAnsi="Times New Roman" w:cs="Times New Roman"/>
          <w:i/>
          <w:sz w:val="24"/>
          <w:szCs w:val="24"/>
        </w:rPr>
        <w:t xml:space="preserve">y </w:t>
      </w:r>
      <w:r w:rsidRPr="00AE0CAB">
        <w:rPr>
          <w:rFonts w:ascii="Times New Roman" w:eastAsia="Arial" w:hAnsi="Times New Roman" w:cs="Times New Roman"/>
          <w:i/>
          <w:sz w:val="24"/>
          <w:szCs w:val="24"/>
        </w:rPr>
        <w:t>Reservas Estatales, así como las demás categorías que establezcan las legislaciones locales,</w:t>
      </w: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Arial" w:hAnsi="Times New Roman" w:cs="Times New Roman"/>
          <w:i/>
          <w:sz w:val="24"/>
          <w:szCs w:val="24"/>
        </w:rPr>
        <w:t xml:space="preserve">X.- Zonas de conservación ecológica municipales, así como las demás categorías que establezcan las legislaciones locales, </w:t>
      </w:r>
      <w:r w:rsidRPr="00AE0CAB">
        <w:rPr>
          <w:rFonts w:ascii="Times New Roman" w:eastAsia="Times New Roman" w:hAnsi="Times New Roman" w:cs="Times New Roman"/>
          <w:i/>
          <w:sz w:val="24"/>
          <w:szCs w:val="24"/>
        </w:rPr>
        <w:t>y</w:t>
      </w: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w:t>
      </w: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i/>
          <w:sz w:val="24"/>
          <w:szCs w:val="24"/>
        </w:rPr>
        <w:t>Asimismo, corresponde a los municipios establecer las zonas de conservación ecológica municipales así como las demás categorías, conforme a lo previsto en la legislación local</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Bajo esta perspectiva, el Código para la Biodiversidad del Estado de México establece distintas disposiciones aplicables a la declaratoria y establecimiento de áreas naturales protegidas, contenidas en los artículos 2.2 fracción VIII, 2.3 fracción II, 2.9 fracción IX</w:t>
      </w:r>
      <w:r w:rsidRPr="00AE0CAB">
        <w:rPr>
          <w:rFonts w:ascii="Times New Roman" w:eastAsia="Times New Roman" w:hAnsi="Times New Roman" w:cs="Times New Roman"/>
          <w:b/>
          <w:sz w:val="24"/>
          <w:szCs w:val="24"/>
        </w:rPr>
        <w:t xml:space="preserve"> </w:t>
      </w:r>
      <w:r w:rsidRPr="00AE0CAB">
        <w:rPr>
          <w:rFonts w:ascii="Times New Roman" w:eastAsia="Arial" w:hAnsi="Times New Roman" w:cs="Times New Roman"/>
          <w:sz w:val="24"/>
          <w:szCs w:val="24"/>
        </w:rPr>
        <w:t>destacando este último por otorgar a los municipios la atribución de crear y administrar las zonas de preservación ecológica vinculadas a los centros de población, parques urbanos, jardines públicos y demás áreas análogas previstas por la legislación local.</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forma correlativa, los artículos 2.88 fracción VII y 2.99 del Código para la Biodiversidad determinan los tipos de áreas naturales protegidas y especificando sus características, entre ellas las zonas de preservación ecológica de los centros de población, y los que a la letra señalan:</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Times New Roman" w:hAnsi="Times New Roman" w:cs="Times New Roman"/>
          <w:b/>
          <w:i/>
          <w:sz w:val="24"/>
          <w:szCs w:val="24"/>
        </w:rPr>
        <w:t xml:space="preserve">Artículo 2.88. </w:t>
      </w:r>
      <w:r w:rsidRPr="00AE0CAB">
        <w:rPr>
          <w:rFonts w:ascii="Times New Roman" w:eastAsia="Arial" w:hAnsi="Times New Roman" w:cs="Times New Roman"/>
          <w:i/>
          <w:sz w:val="24"/>
          <w:szCs w:val="24"/>
        </w:rPr>
        <w:t>Se consideran áreas naturales protegidas: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i/>
          <w:sz w:val="24"/>
          <w:szCs w:val="24"/>
        </w:rPr>
        <w:t>VII. Las zonas de preservación ecológica de los centros de población;</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9542A2" w:rsidP="00D71801">
      <w:pPr>
        <w:spacing w:after="0" w:line="240" w:lineRule="auto"/>
        <w:ind w:right="27"/>
        <w:jc w:val="both"/>
        <w:rPr>
          <w:rFonts w:ascii="Times New Roman" w:eastAsia="Arial" w:hAnsi="Times New Roman" w:cs="Times New Roman"/>
          <w:sz w:val="24"/>
          <w:szCs w:val="24"/>
        </w:rPr>
      </w:pPr>
      <w:r w:rsidRPr="00AE0CAB">
        <w:rPr>
          <w:rFonts w:ascii="Times New Roman" w:eastAsia="Times New Roman" w:hAnsi="Times New Roman" w:cs="Times New Roman"/>
          <w:b/>
          <w:i/>
          <w:sz w:val="24"/>
          <w:szCs w:val="24"/>
        </w:rPr>
        <w:t>Artículo</w:t>
      </w:r>
      <w:r w:rsidR="00A761FB" w:rsidRPr="00AE0CAB">
        <w:rPr>
          <w:rFonts w:ascii="Times New Roman" w:eastAsia="Times New Roman" w:hAnsi="Times New Roman" w:cs="Times New Roman"/>
          <w:b/>
          <w:i/>
          <w:sz w:val="24"/>
          <w:szCs w:val="24"/>
        </w:rPr>
        <w:t xml:space="preserve"> </w:t>
      </w:r>
      <w:r w:rsidR="00A761FB" w:rsidRPr="00AE0CAB">
        <w:rPr>
          <w:rFonts w:ascii="Times New Roman" w:eastAsia="Arial" w:hAnsi="Times New Roman" w:cs="Times New Roman"/>
          <w:b/>
          <w:sz w:val="24"/>
          <w:szCs w:val="24"/>
        </w:rPr>
        <w:t xml:space="preserve">2.99.- </w:t>
      </w:r>
      <w:r w:rsidR="00A761FB" w:rsidRPr="00AE0CAB">
        <w:rPr>
          <w:rFonts w:ascii="Times New Roman" w:eastAsia="Arial" w:hAnsi="Times New Roman" w:cs="Times New Roman"/>
          <w:i/>
          <w:sz w:val="24"/>
          <w:szCs w:val="24"/>
        </w:rPr>
        <w:t xml:space="preserve">Las zonas de preservación ecológica de los centros de población se integran por los parques, corredores, andadores, camellones, </w:t>
      </w:r>
      <w:r w:rsidR="00A761FB" w:rsidRPr="00AE0CAB">
        <w:rPr>
          <w:rFonts w:ascii="Times New Roman" w:eastAsia="Times New Roman" w:hAnsi="Times New Roman" w:cs="Times New Roman"/>
          <w:i/>
          <w:sz w:val="24"/>
          <w:szCs w:val="24"/>
        </w:rPr>
        <w:t xml:space="preserve">y </w:t>
      </w:r>
      <w:r w:rsidR="00A761FB" w:rsidRPr="00AE0CAB">
        <w:rPr>
          <w:rFonts w:ascii="Times New Roman" w:eastAsia="Arial" w:hAnsi="Times New Roman" w:cs="Times New Roman"/>
          <w:i/>
          <w:sz w:val="24"/>
          <w:szCs w:val="24"/>
        </w:rPr>
        <w:t xml:space="preserve">en general cualquier rea de uso público en zonas industriales o circunvecinos de los asentamientos humanos </w:t>
      </w:r>
      <w:r w:rsidR="00A761FB" w:rsidRPr="00AE0CAB">
        <w:rPr>
          <w:rFonts w:ascii="Times New Roman" w:eastAsia="Arial" w:hAnsi="Times New Roman" w:cs="Times New Roman"/>
          <w:sz w:val="24"/>
          <w:szCs w:val="24"/>
        </w:rPr>
        <w:t xml:space="preserve">en </w:t>
      </w:r>
      <w:r w:rsidR="00A761FB" w:rsidRPr="00AE0CAB">
        <w:rPr>
          <w:rFonts w:ascii="Times New Roman" w:eastAsia="Arial" w:hAnsi="Times New Roman" w:cs="Times New Roman"/>
          <w:i/>
          <w:sz w:val="24"/>
          <w:szCs w:val="24"/>
        </w:rPr>
        <w:t xml:space="preserve">las que existen ecosistemas en buen estado que se destinen a preservar los elementos naturales indispensables para el equilibrio ecológico </w:t>
      </w:r>
      <w:r w:rsidR="00A761FB" w:rsidRPr="00AE0CAB">
        <w:rPr>
          <w:rFonts w:ascii="Times New Roman" w:eastAsia="Times New Roman" w:hAnsi="Times New Roman" w:cs="Times New Roman"/>
          <w:i/>
          <w:sz w:val="24"/>
          <w:szCs w:val="24"/>
        </w:rPr>
        <w:t xml:space="preserve">y </w:t>
      </w:r>
      <w:r w:rsidR="00A761FB" w:rsidRPr="00AE0CAB">
        <w:rPr>
          <w:rFonts w:ascii="Times New Roman" w:eastAsia="Arial" w:hAnsi="Times New Roman" w:cs="Times New Roman"/>
          <w:i/>
          <w:sz w:val="24"/>
          <w:szCs w:val="24"/>
        </w:rPr>
        <w:t xml:space="preserve">el bienestar de la población de lo localidad correspondiente. Tales reas quedan exceptuadas de lo establecido por lo porte final del </w:t>
      </w:r>
      <w:r w:rsidRPr="00AE0CAB">
        <w:rPr>
          <w:rFonts w:ascii="Times New Roman" w:eastAsia="Arial" w:hAnsi="Times New Roman" w:cs="Times New Roman"/>
          <w:i/>
          <w:sz w:val="24"/>
          <w:szCs w:val="24"/>
        </w:rPr>
        <w:t>artículo</w:t>
      </w:r>
      <w:r w:rsidR="00A761FB" w:rsidRPr="00AE0CAB">
        <w:rPr>
          <w:rFonts w:ascii="Times New Roman" w:eastAsia="Arial" w:hAnsi="Times New Roman" w:cs="Times New Roman"/>
          <w:i/>
          <w:sz w:val="24"/>
          <w:szCs w:val="24"/>
        </w:rPr>
        <w:t xml:space="preserve"> </w:t>
      </w:r>
      <w:r w:rsidR="00A761FB" w:rsidRPr="00AE0CAB">
        <w:rPr>
          <w:rFonts w:ascii="Times New Roman" w:eastAsia="Times New Roman" w:hAnsi="Times New Roman" w:cs="Times New Roman"/>
          <w:sz w:val="24"/>
          <w:szCs w:val="24"/>
        </w:rPr>
        <w:t xml:space="preserve">2.97 </w:t>
      </w:r>
      <w:r w:rsidR="00A761FB" w:rsidRPr="00AE0CAB">
        <w:rPr>
          <w:rFonts w:ascii="Times New Roman" w:eastAsia="Arial" w:hAnsi="Times New Roman" w:cs="Times New Roman"/>
          <w:i/>
          <w:sz w:val="24"/>
          <w:szCs w:val="24"/>
        </w:rPr>
        <w:t xml:space="preserve">del presente Libro, sin embargo los Municipios podrán imponer las medidos de creación, protección, administración </w:t>
      </w:r>
      <w:r w:rsidR="00A761FB" w:rsidRPr="00AE0CAB">
        <w:rPr>
          <w:rFonts w:ascii="Times New Roman" w:eastAsia="Times New Roman" w:hAnsi="Times New Roman" w:cs="Times New Roman"/>
          <w:i/>
          <w:sz w:val="24"/>
          <w:szCs w:val="24"/>
        </w:rPr>
        <w:t xml:space="preserve">y </w:t>
      </w:r>
      <w:r w:rsidR="00A761FB" w:rsidRPr="00AE0CAB">
        <w:rPr>
          <w:rFonts w:ascii="Times New Roman" w:eastAsia="Arial" w:hAnsi="Times New Roman" w:cs="Times New Roman"/>
          <w:i/>
          <w:sz w:val="24"/>
          <w:szCs w:val="24"/>
        </w:rPr>
        <w:t xml:space="preserve">vigilancia que consideren pertinentes para la consecución de los objetivos por </w:t>
      </w:r>
      <w:r w:rsidR="00A761FB" w:rsidRPr="00AE0CAB">
        <w:rPr>
          <w:rFonts w:ascii="Times New Roman" w:eastAsia="Arial" w:hAnsi="Times New Roman" w:cs="Times New Roman"/>
          <w:sz w:val="24"/>
          <w:szCs w:val="24"/>
        </w:rPr>
        <w:t xml:space="preserve">los </w:t>
      </w:r>
      <w:r w:rsidR="00A761FB" w:rsidRPr="00AE0CAB">
        <w:rPr>
          <w:rFonts w:ascii="Times New Roman" w:eastAsia="Arial" w:hAnsi="Times New Roman" w:cs="Times New Roman"/>
          <w:i/>
          <w:sz w:val="24"/>
          <w:szCs w:val="24"/>
        </w:rPr>
        <w:t xml:space="preserve">que </w:t>
      </w:r>
      <w:r w:rsidR="00A761FB" w:rsidRPr="00AE0CAB">
        <w:rPr>
          <w:rFonts w:ascii="Times New Roman" w:eastAsia="Arial" w:hAnsi="Times New Roman" w:cs="Times New Roman"/>
          <w:sz w:val="24"/>
          <w:szCs w:val="24"/>
        </w:rPr>
        <w:t xml:space="preserve">se someto </w:t>
      </w:r>
      <w:r w:rsidR="00A761FB" w:rsidRPr="00AE0CAB">
        <w:rPr>
          <w:rFonts w:ascii="Times New Roman" w:eastAsia="Arial" w:hAnsi="Times New Roman" w:cs="Times New Roman"/>
          <w:i/>
          <w:sz w:val="24"/>
          <w:szCs w:val="24"/>
        </w:rPr>
        <w:t xml:space="preserve">al presente régimen </w:t>
      </w:r>
      <w:r w:rsidR="00A761FB" w:rsidRPr="00AE0CAB">
        <w:rPr>
          <w:rFonts w:ascii="Times New Roman" w:eastAsia="Arial" w:hAnsi="Times New Roman" w:cs="Times New Roman"/>
          <w:sz w:val="24"/>
          <w:szCs w:val="24"/>
        </w:rPr>
        <w:t xml:space="preserve">de este </w:t>
      </w:r>
      <w:r w:rsidR="00A761FB" w:rsidRPr="00AE0CAB">
        <w:rPr>
          <w:rFonts w:ascii="Times New Roman" w:eastAsia="Arial" w:hAnsi="Times New Roman" w:cs="Times New Roman"/>
          <w:i/>
          <w:sz w:val="24"/>
          <w:szCs w:val="24"/>
        </w:rPr>
        <w:t xml:space="preserve">tipo </w:t>
      </w:r>
      <w:r w:rsidR="00A761FB" w:rsidRPr="00AE0CAB">
        <w:rPr>
          <w:rFonts w:ascii="Times New Roman" w:eastAsia="Arial" w:hAnsi="Times New Roman" w:cs="Times New Roman"/>
          <w:sz w:val="24"/>
          <w:szCs w:val="24"/>
        </w:rPr>
        <w:t>de á</w:t>
      </w:r>
      <w:r w:rsidR="00A761FB" w:rsidRPr="00AE0CAB">
        <w:rPr>
          <w:rFonts w:ascii="Times New Roman" w:eastAsia="Arial" w:hAnsi="Times New Roman" w:cs="Times New Roman"/>
          <w:i/>
          <w:sz w:val="24"/>
          <w:szCs w:val="24"/>
        </w:rPr>
        <w:t>reas naturales protegidas.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Frente a los recientes desafíos ambientales, sociales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territoriales que afronta nuestra entidad, resulta indispensable replantear los métodos tradicionales empleados para la disposición final de los restos humanos, a fin de integrar criterios de sostenibilidad, respeto al medio ambiente y dignidad humana. La muerte, es un suceso inevitable en el ciclo de la vida, que trasciende lo meramente biológico y se vincula a aspectos culturales, tradicionales, religiosos e incluso filosóficos, cargados de simbolismos, rituales, creencias e historia.</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Las prácticas funerarias tradicionales se concentran en la inhumación de los cuerpos en cementerios tradicionales y la cremación que, vistos desde un punto de vista ambiental y de salud pública, generan impactos negativos al contribuir a la contaminación del suelo y del agua, la emisión de gases de efecto invernadero y el uso excesivo de recursos naturales.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uso de ataúdes fabricados con materiales no biodegradables y con barniz poliuretano, así como la aplicación de productos químicos embalsamadores, con los que, una vez que inicia la descomposición del cuerpo y las sustancias químicas que se liberan entran en contacto con éstos, se convierten en reacciones y líquidos altamente contaminantes que se filtran al suelo y al agua.</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cuanto hace a la cremación o incineración, cuyo uso se ha incrementado en los últimos años, implica a combustión y emisión de gases de efecto invernadero, produciendo principalmente dióxido de carbono (CO2) y metales como el mercurio (Hg), mismos que son dispersados en la atmosfera, convirtiéndola en una práctica altamente contaminante.</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Estos efectos obligan a reconsiderar las formas en que la sociedad enfrenta el proceso de la muerte, orientándose hacia modelos más conscientes, respetuosos y amigable con el entorno natural. En este contexto, han emergido tanto a nivel mundial como nacional, propuestas innovadoras como los cementerios verdes o ecológicos; los cuales, representan lugares pensados para facilitar la reincorporación natural de los cuerpos a la tierra, a través de procesos biodegradables sin emplear elementos contaminantes ni construcciones que dar en el paisaje.</w:t>
      </w:r>
    </w:p>
    <w:p w:rsidR="00A761FB" w:rsidRPr="00AE0CAB" w:rsidRDefault="00A761FB" w:rsidP="00D71801">
      <w:pPr>
        <w:spacing w:after="0" w:line="240" w:lineRule="auto"/>
        <w:ind w:right="27"/>
        <w:jc w:val="center"/>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Estos espacios fomentan una perspectiva integral de la muerte, entendiéndola no como una ruptura, sino como una fase de un ciclo vital en equilibrio con los ecosistemas. Son áreas que combinan el valor simbólico del recuerdo y el duelo con funciones ecológicas, impulsando la recuperación de terrenos, la reforestación, la filtración de agua y la defensa de la biodiversidad. Su diseño responde a lineamientos de bajo impacto ambiental, preservación del paisaje y respeto cultural, generando beneficios tanto para el medio ambiente como para la comunidad.</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En diversas partes del mundo, los cementerios verdes han demostrado ser una opción factible ante la saturación de los cementerios convencionales, la contaminación asociada al uso de formaldehido, hormigón, plomo y metales pesados, así como el aumento de los precios del suelo urbano. Además, brindan una oportunidad para fortalecer la educación ambiental y la participación ciudadana, transformando los lugares de despedida en reservas naturales llenas de vida.</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Los países precursores en este tipo de compostaje humano son Suecia, Reino Unido, Alemania, Australia y algunos estados pertenecientes a Estados Unidos, quienes han permeado entre su población, esta nueva culture, a fin de abatir los efectos nocivos al medio ambiente que implica la disposición final de los cuerpos; adoptado la sepultura ecológica, mediante métodos que evitan el embalsamamiento químico, usan ataúdes biodegradables (de mimbre, cartón reciclado, lino o cáñamo) y facilitan la descomposición natural del cuerpo bajo tierra, en áreas de conservación o parques diseñados con criterios ecológicos.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Considerar alternativas funerarias que no comprometan los servicios ambientales del territorio y que promuevan el uso racional del suelo y la restauración ecológica es congruente con los compromisos globales en materia de cambio climático, salud pública, justicia ambiental y planificación territorial. Asimismo, responde a una creciente demanda social por modelos de vida ms conscientes, empáticos y respetuosos con la tierra.</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Adoptar este enfoque en </w:t>
      </w:r>
      <w:r w:rsidRPr="00AE0CAB">
        <w:rPr>
          <w:rFonts w:ascii="Times New Roman" w:eastAsia="Times New Roman" w:hAnsi="Times New Roman" w:cs="Times New Roman"/>
          <w:sz w:val="24"/>
          <w:szCs w:val="24"/>
        </w:rPr>
        <w:t xml:space="preserve">el </w:t>
      </w:r>
      <w:r w:rsidRPr="00AE0CAB">
        <w:rPr>
          <w:rFonts w:ascii="Times New Roman" w:eastAsia="Arial" w:hAnsi="Times New Roman" w:cs="Times New Roman"/>
          <w:sz w:val="24"/>
          <w:szCs w:val="24"/>
        </w:rPr>
        <w:t>Estado de México no solo implicaría innovar en términos técnicos, sino también afianzar un mensaje profundo de que, incluso el último acto humano en la tierra puede convertirse en un gesto de reconciliación con la naturaleza. Lo anterior, considerando que, los cementerios que actualmente se encuentran en la entidad, ya no responden a las necesidades de la población, ya sea por el incremento poblacional, los residuos generados al interior, la falta de salubridad y de seguridad, por mencionar algunas.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 acuerdo con la Recopilación de Información de los Panteones Públicos en las Zonas Metropolitanas del País 2020, publicado por el Instituto Nacional de Estadística y Geografía (INEGI), México tiene 3,953 cementerios registrados, con un cupo total de 6, 099, 547 espacios entre tumbas y fosas. Del total, el 83% está en uso, mientras que solo el 16.7% sigue libre. Esta estadística revela la saturación gradual de los lugares para sepulturas, sobre todo en zonas metropolitanas, como los valles de Toluca y México, donde el crecimiento urbano, el uso intensivo del terreno y la especulación inmobiliaria complican la expansión de los cementerios tradicionales.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En el Estado de México, la entidad más poblada del Estado de México, con grandes áreas metropolitanas y presión creciente sobre su territorio, es vital explorar alternativas innovadoras que equilibren el derecho a una despedida digna con la protección ambiental y congruente con el ordenamiento territorial. El establecimiento de panteones ecológicos se presenta como una respuesta coherente, viable y urgente a la saturación de los panteones tradicionales, la escasez de suelo urbano, </w:t>
      </w:r>
      <w:r w:rsidRPr="00AE0CAB">
        <w:rPr>
          <w:rFonts w:ascii="Times New Roman" w:eastAsia="Times New Roman" w:hAnsi="Times New Roman" w:cs="Times New Roman"/>
          <w:sz w:val="24"/>
          <w:szCs w:val="24"/>
        </w:rPr>
        <w:t xml:space="preserve">el </w:t>
      </w:r>
      <w:r w:rsidRPr="00AE0CAB">
        <w:rPr>
          <w:rFonts w:ascii="Times New Roman" w:eastAsia="Arial" w:hAnsi="Times New Roman" w:cs="Times New Roman"/>
          <w:sz w:val="24"/>
          <w:szCs w:val="24"/>
        </w:rPr>
        <w:t>impacto ambiental de los servicios funerarios convencionales y el creciente interés de las nuevas generaciones de formas de vida y muerte ms sostenibles, a partir del establecimiento de espacios verdes urbanos que en apego a la normatividad implementen categorías de manejo que permitan la inhumación en condiciones de sustentabilidad, considerando una categoría de manejo compatible con la legislación ambiental.</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Los panteones en la entidad enfrentan una serie de desafíos en términos de sustentabilidad, entre ellos, la gestión de residuos sólidos, especialmente en los cementerios tradicionales donde se utilizan materiales no biodegradables. Toma especial relevancia el tema referente al cuidado, </w:t>
      </w:r>
      <w:r w:rsidRPr="00AE0CAB">
        <w:rPr>
          <w:rFonts w:ascii="Times New Roman" w:eastAsia="Arial" w:hAnsi="Times New Roman" w:cs="Times New Roman"/>
          <w:sz w:val="24"/>
          <w:szCs w:val="24"/>
        </w:rPr>
        <w:lastRenderedPageBreak/>
        <w:t xml:space="preserve">conservación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 xml:space="preserve">limpieza de los panteones; típico indispensable debido a que estos espacios públicos, al ser un terreno destinado al depósito de cadáveres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restos humanos, conformado en su mayoría por tierra, facilita en temporada de lluvias el desarrollo de importantes volúmenes de maleza, lo que genera fauna nociva, trasmisora de enfermedades a la población. Referente al tema, es significativo recordar que el estancamiento de agua y la generación de basura provoca el aumento de poblaciones de mosquitos e insectos transmisores y causantes de enfermedades, por lo que una de las principales acciones para el control de ese tipo de enfermedades es el saneamiento básico de la comunidad en general a través del mantenimiento de entornos ordenados y limpios, sobre todo de panteones.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consecuencia, los panteones ecológicos son una opción innovadora y ecológica frente al modelo funerario habitual. Sus principales beneficios radican en la reducción significativa del impacto al medio ambiente, al prescindir de materiales no biodegradables, como el concreto, mármol o metales pesados, y sustancias químicas altamente contaminantes como el formaldehido, usado en el embalsamamiento. A diferencia de los entierros tradicionales, los panteones verdes permiten que el cuerpo vuelva al suelo mediante una descomposición natural, sin generar lixiviados tóxicos ni dañar las condiciones del subsuelo.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Aunado a ello, al adoptar panteones ecológicos bajo la figura de zonas de preservación ecológica de los centros de población, se fortalecen las políticas públicas en materia de desarrollo sostenible, la crisis climática, la salud pública, la protección del medio ambiente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 xml:space="preserve">la justicia territorial. Su implementación contribuiría al cumplimiento de los Objetivos de Desarrollo Sostenible, en particular los relativos a comunidades sostenibles (ODS 11), Lucha contra </w:t>
      </w:r>
      <w:r w:rsidRPr="00AE0CAB">
        <w:rPr>
          <w:rFonts w:ascii="Times New Roman" w:eastAsia="Times New Roman" w:hAnsi="Times New Roman" w:cs="Times New Roman"/>
          <w:sz w:val="24"/>
          <w:szCs w:val="24"/>
        </w:rPr>
        <w:t xml:space="preserve">el </w:t>
      </w:r>
      <w:r w:rsidRPr="00AE0CAB">
        <w:rPr>
          <w:rFonts w:ascii="Times New Roman" w:eastAsia="Arial" w:hAnsi="Times New Roman" w:cs="Times New Roman"/>
          <w:sz w:val="24"/>
          <w:szCs w:val="24"/>
        </w:rPr>
        <w:t xml:space="preserve">cambio climático (ODS 13) y Cuidado de la vida terrestre (ODS 15), y además de alinearse con los pilares del Tratado de Escazú y demás normas globales acerca de la fortaleza urbana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los derechos relacionados con el planeta.</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En este orden de ideas, la iniciativa que se propone pretende aprovechar el marco jurídico vigente para conformar una nueva e innovadora categoría de manejo, perfectamente compatible con la legislación ambiental y municipal, que permita impulsar procesos de inhumación sustentable con la coordinación y apoyo de las autoridades sanitarias y municipales competentes, mediante </w:t>
      </w:r>
      <w:r w:rsidRPr="00AE0CAB">
        <w:rPr>
          <w:rFonts w:ascii="Times New Roman" w:eastAsia="Times New Roman" w:hAnsi="Times New Roman" w:cs="Times New Roman"/>
          <w:sz w:val="24"/>
          <w:szCs w:val="24"/>
        </w:rPr>
        <w:t xml:space="preserve">el </w:t>
      </w:r>
      <w:r w:rsidRPr="00AE0CAB">
        <w:rPr>
          <w:rFonts w:ascii="Times New Roman" w:eastAsia="Arial" w:hAnsi="Times New Roman" w:cs="Times New Roman"/>
          <w:sz w:val="24"/>
          <w:szCs w:val="24"/>
        </w:rPr>
        <w:t>establecimiento de parques funerarios verdes, amparados bajo la figura de zonas de preservación ecológica de los centros de población.</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mérito de lo anteriormente expuesto, se somete a la consideración de esta H. Legislatura, la presente Iniciativa de Decreto.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Arial" w:hAnsi="Times New Roman" w:cs="Times New Roman"/>
          <w:sz w:val="24"/>
          <w:szCs w:val="24"/>
        </w:rPr>
      </w:pPr>
      <w:r w:rsidRPr="00AE0CAB">
        <w:rPr>
          <w:rFonts w:ascii="Times New Roman" w:eastAsia="Arial" w:hAnsi="Times New Roman" w:cs="Times New Roman"/>
          <w:b/>
          <w:sz w:val="24"/>
          <w:szCs w:val="24"/>
        </w:rPr>
        <w:t>DECRETO NÚMERO:</w:t>
      </w:r>
    </w:p>
    <w:p w:rsidR="00A761FB" w:rsidRPr="00AE0CAB" w:rsidRDefault="00A761FB" w:rsidP="00D71801">
      <w:pPr>
        <w:spacing w:after="0" w:line="240" w:lineRule="auto"/>
        <w:ind w:right="27"/>
        <w:rPr>
          <w:rFonts w:ascii="Times New Roman" w:eastAsia="Arial" w:hAnsi="Times New Roman" w:cs="Times New Roman"/>
          <w:b/>
          <w:sz w:val="24"/>
          <w:szCs w:val="24"/>
        </w:rPr>
      </w:pPr>
      <w:r w:rsidRPr="00AE0CAB">
        <w:rPr>
          <w:rFonts w:ascii="Times New Roman" w:eastAsia="Arial" w:hAnsi="Times New Roman" w:cs="Times New Roman"/>
          <w:b/>
          <w:sz w:val="24"/>
          <w:szCs w:val="24"/>
        </w:rPr>
        <w:t>LA H. "LXII" LEGISLATURA</w:t>
      </w:r>
    </w:p>
    <w:p w:rsidR="00A761FB" w:rsidRPr="00AE0CAB" w:rsidRDefault="00A761FB" w:rsidP="00D71801">
      <w:pPr>
        <w:spacing w:after="0" w:line="240" w:lineRule="auto"/>
        <w:ind w:right="27"/>
        <w:rPr>
          <w:rFonts w:ascii="Times New Roman" w:eastAsia="Arial" w:hAnsi="Times New Roman" w:cs="Times New Roman"/>
          <w:b/>
          <w:sz w:val="24"/>
          <w:szCs w:val="24"/>
        </w:rPr>
      </w:pPr>
      <w:r w:rsidRPr="00AE0CAB">
        <w:rPr>
          <w:rFonts w:ascii="Times New Roman" w:eastAsia="Arial" w:hAnsi="Times New Roman" w:cs="Times New Roman"/>
          <w:b/>
          <w:sz w:val="24"/>
          <w:szCs w:val="24"/>
        </w:rPr>
        <w:t>DEL ESTADO DE MÉXICO</w:t>
      </w:r>
    </w:p>
    <w:p w:rsidR="00A761FB" w:rsidRPr="00AE0CAB" w:rsidRDefault="00A761FB" w:rsidP="00D71801">
      <w:pPr>
        <w:spacing w:after="0" w:line="240" w:lineRule="auto"/>
        <w:ind w:right="27"/>
        <w:rPr>
          <w:rFonts w:ascii="Times New Roman" w:eastAsia="Arial" w:hAnsi="Times New Roman" w:cs="Times New Roman"/>
          <w:sz w:val="24"/>
          <w:szCs w:val="24"/>
        </w:rPr>
      </w:pPr>
      <w:r w:rsidRPr="00AE0CAB">
        <w:rPr>
          <w:rFonts w:ascii="Times New Roman" w:eastAsia="Arial" w:hAnsi="Times New Roman" w:cs="Times New Roman"/>
          <w:b/>
          <w:sz w:val="24"/>
          <w:szCs w:val="24"/>
        </w:rPr>
        <w:t>DECRETA:</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ARTICULO PRIMERO. </w:t>
      </w:r>
      <w:r w:rsidRPr="00AE0CAB">
        <w:rPr>
          <w:rFonts w:ascii="Times New Roman" w:eastAsia="Arial" w:hAnsi="Times New Roman" w:cs="Times New Roman"/>
          <w:sz w:val="24"/>
          <w:szCs w:val="24"/>
        </w:rPr>
        <w:t xml:space="preserve">Se reforma el artículo 2.99,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 xml:space="preserve">se adicionan la fracción VIII Bis al artículo 2.5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la fracción X Bis al artículo 2.8 del Código para la Biodiversidad del Estado de México, para quedar como siguen:</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 2.5. ...</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 xml:space="preserve">I. a </w:t>
      </w:r>
      <w:r w:rsidRPr="00AE0CAB">
        <w:rPr>
          <w:rFonts w:ascii="Times New Roman" w:eastAsia="Arial" w:hAnsi="Times New Roman" w:cs="Times New Roman"/>
          <w:b/>
          <w:sz w:val="24"/>
          <w:szCs w:val="24"/>
        </w:rPr>
        <w:t>VIII. ...</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Arial" w:hAnsi="Times New Roman" w:cs="Times New Roman"/>
          <w:b/>
          <w:sz w:val="24"/>
          <w:szCs w:val="24"/>
        </w:rPr>
        <w:t xml:space="preserve">VIII Bis. Panteones Ecológicos: A las zonas de preservación ecológica de los </w:t>
      </w:r>
      <w:proofErr w:type="spellStart"/>
      <w:r w:rsidRPr="00AE0CAB">
        <w:rPr>
          <w:rFonts w:ascii="Times New Roman" w:eastAsia="Arial" w:hAnsi="Times New Roman" w:cs="Times New Roman"/>
          <w:b/>
          <w:sz w:val="24"/>
          <w:szCs w:val="24"/>
        </w:rPr>
        <w:t>centres</w:t>
      </w:r>
      <w:proofErr w:type="spellEnd"/>
      <w:r w:rsidRPr="00AE0CAB">
        <w:rPr>
          <w:rFonts w:ascii="Times New Roman" w:eastAsia="Arial" w:hAnsi="Times New Roman" w:cs="Times New Roman"/>
          <w:b/>
          <w:sz w:val="24"/>
          <w:szCs w:val="24"/>
        </w:rPr>
        <w:t xml:space="preserve"> de población, </w:t>
      </w:r>
      <w:r w:rsidRPr="00AE0CAB">
        <w:rPr>
          <w:rFonts w:ascii="Times New Roman" w:eastAsia="Times New Roman" w:hAnsi="Times New Roman" w:cs="Times New Roman"/>
          <w:sz w:val="24"/>
          <w:szCs w:val="24"/>
        </w:rPr>
        <w:t>destinadas a la inhumación legal de restos humanos, a partir de acciones ecológicas y ambientalmente responsables, como entierros ecológicos o naturales, nichos verdes y aquellas prácticas que contribuyan a la preservación y restauración del suelo minimizando el impacto ambiental, utilizando materiales biodegradables en lugar de bóvedas de hormigón o metales, labores para plantar árboles o reforestación en los sitios de disposición, evitando embalsamamientos químicos y favoreciendo la reincorporación natural del cuerpo a la tierra, de manera que el lugar de entierro se transforme en un hábitat o bosque conservado;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Arial" w:hAnsi="Times New Roman" w:cs="Times New Roman"/>
          <w:b/>
          <w:sz w:val="24"/>
          <w:szCs w:val="24"/>
        </w:rPr>
        <w:t xml:space="preserve">XLIV. </w:t>
      </w:r>
      <w:r w:rsidRPr="00AE0CAB">
        <w:rPr>
          <w:rFonts w:ascii="Times New Roman" w:eastAsia="Arial" w:hAnsi="Times New Roman" w:cs="Times New Roman"/>
          <w:sz w:val="24"/>
          <w:szCs w:val="24"/>
        </w:rPr>
        <w:t xml:space="preserve">a </w:t>
      </w:r>
      <w:r w:rsidRPr="00AE0CAB">
        <w:rPr>
          <w:rFonts w:ascii="Times New Roman" w:eastAsia="Times New Roman" w:hAnsi="Times New Roman" w:cs="Times New Roman"/>
          <w:sz w:val="24"/>
          <w:szCs w:val="24"/>
        </w:rPr>
        <w:t>LXIII. ...</w:t>
      </w: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Artículo 2.8. ...</w:t>
      </w: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I. a X...</w:t>
      </w: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 xml:space="preserve">X Bis. Promover, en coordinación con las autoridades de salud estatales y municipales, el establecimiento de zonas de preservación </w:t>
      </w:r>
      <w:proofErr w:type="spellStart"/>
      <w:r w:rsidRPr="00AE0CAB">
        <w:rPr>
          <w:rFonts w:ascii="Times New Roman" w:eastAsia="Times New Roman" w:hAnsi="Times New Roman" w:cs="Times New Roman"/>
          <w:sz w:val="24"/>
          <w:szCs w:val="24"/>
        </w:rPr>
        <w:t>ecolgica</w:t>
      </w:r>
      <w:proofErr w:type="spellEnd"/>
      <w:r w:rsidRPr="00AE0CAB">
        <w:rPr>
          <w:rFonts w:ascii="Times New Roman" w:eastAsia="Times New Roman" w:hAnsi="Times New Roman" w:cs="Times New Roman"/>
          <w:sz w:val="24"/>
          <w:szCs w:val="24"/>
        </w:rPr>
        <w:t xml:space="preserve"> de los </w:t>
      </w:r>
      <w:proofErr w:type="spellStart"/>
      <w:r w:rsidRPr="00AE0CAB">
        <w:rPr>
          <w:rFonts w:ascii="Times New Roman" w:eastAsia="Times New Roman" w:hAnsi="Times New Roman" w:cs="Times New Roman"/>
          <w:sz w:val="24"/>
          <w:szCs w:val="24"/>
        </w:rPr>
        <w:t>centres</w:t>
      </w:r>
      <w:proofErr w:type="spellEnd"/>
      <w:r w:rsidRPr="00AE0CAB">
        <w:rPr>
          <w:rFonts w:ascii="Times New Roman" w:eastAsia="Times New Roman" w:hAnsi="Times New Roman" w:cs="Times New Roman"/>
          <w:sz w:val="24"/>
          <w:szCs w:val="24"/>
        </w:rPr>
        <w:t xml:space="preserve"> de población, con categoría de Panteones Ecológicos, así como la práctica de actividades legales de inhumación ecológicas y ambientalmente responsables.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Estos espacios se regirán por la </w:t>
      </w:r>
      <w:proofErr w:type="spellStart"/>
      <w:r w:rsidRPr="00AE0CAB">
        <w:rPr>
          <w:rFonts w:ascii="Times New Roman" w:eastAsia="Arial" w:hAnsi="Times New Roman" w:cs="Times New Roman"/>
          <w:b/>
          <w:sz w:val="24"/>
          <w:szCs w:val="24"/>
        </w:rPr>
        <w:t>legislacin</w:t>
      </w:r>
      <w:proofErr w:type="spellEnd"/>
      <w:r w:rsidRPr="00AE0CAB">
        <w:rPr>
          <w:rFonts w:ascii="Times New Roman" w:eastAsia="Arial" w:hAnsi="Times New Roman" w:cs="Times New Roman"/>
          <w:b/>
          <w:sz w:val="24"/>
          <w:szCs w:val="24"/>
        </w:rPr>
        <w:t xml:space="preserve"> aplicable en materia de panteones, cementerios, servicios funerarios, crematorios, fosas comunes y los relativos a cualquier espacio destinado a la inhumación, en concordancia con la Ley General de Salud y demás disposiciones jurídicas aplicables;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XI. </w:t>
      </w:r>
      <w:r w:rsidRPr="00AE0CAB">
        <w:rPr>
          <w:rFonts w:ascii="Times New Roman" w:eastAsia="Arial" w:hAnsi="Times New Roman" w:cs="Times New Roman"/>
          <w:sz w:val="24"/>
          <w:szCs w:val="24"/>
        </w:rPr>
        <w:t xml:space="preserve">a </w:t>
      </w:r>
      <w:r w:rsidRPr="00AE0CAB">
        <w:rPr>
          <w:rFonts w:ascii="Times New Roman" w:eastAsia="Arial" w:hAnsi="Times New Roman" w:cs="Times New Roman"/>
          <w:b/>
          <w:sz w:val="24"/>
          <w:szCs w:val="24"/>
        </w:rPr>
        <w:t>LXII. ...</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2.99. </w:t>
      </w:r>
      <w:r w:rsidRPr="00AE0CAB">
        <w:rPr>
          <w:rFonts w:ascii="Times New Roman" w:eastAsia="Arial" w:hAnsi="Times New Roman" w:cs="Times New Roman"/>
          <w:sz w:val="24"/>
          <w:szCs w:val="24"/>
        </w:rPr>
        <w:t xml:space="preserve">Las zonas de preservación ecológica de los centros de población se integran por los parques, corredores, andadores, camellones, </w:t>
      </w:r>
      <w:r w:rsidRPr="00AE0CAB">
        <w:rPr>
          <w:rFonts w:ascii="Times New Roman" w:eastAsia="Arial" w:hAnsi="Times New Roman" w:cs="Times New Roman"/>
          <w:b/>
          <w:sz w:val="24"/>
          <w:szCs w:val="24"/>
        </w:rPr>
        <w:t xml:space="preserve">panteones ecológicos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 xml:space="preserve">en general cualquier área de uso público en zonas industriales o circunvecinas de los asentamientos humanos en las que existan ecosistemas en buen estado que se destinen a preservar los elementos naturales indispensables para el equilibrio ecológico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 xml:space="preserve">el bienestar de la población de la localidad correspondiente. Tales áreas quedan exceptuadas de lo establecido por la parte final del artículo 2.91 del presente Libro, sin embargo, los Municipios podrán imponer las medidas de creación, protección, administración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vigilancia que consideren pertinentes para la consecución de los objetivos por los que se someta al presente régimen</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En el caso de panteones ecológicos, se observarán los siguientes criterios mínimos de diseño y operación:</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Arial" w:hAnsi="Times New Roman" w:cs="Times New Roman"/>
          <w:sz w:val="24"/>
          <w:szCs w:val="24"/>
        </w:rPr>
        <w:t xml:space="preserve">I. </w:t>
      </w:r>
      <w:r w:rsidRPr="00AE0CAB">
        <w:rPr>
          <w:rFonts w:ascii="Times New Roman" w:eastAsia="Times New Roman" w:hAnsi="Times New Roman" w:cs="Times New Roman"/>
          <w:sz w:val="24"/>
          <w:szCs w:val="24"/>
        </w:rPr>
        <w:t>Fomentar prácticas libres de embalsamamiento antes de las cuarenta y ocho horas en áreas de inhumación verde;</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Arial" w:hAnsi="Times New Roman" w:cs="Times New Roman"/>
          <w:sz w:val="24"/>
          <w:szCs w:val="24"/>
        </w:rPr>
        <w:t xml:space="preserve">II. </w:t>
      </w:r>
      <w:r w:rsidRPr="00AE0CAB">
        <w:rPr>
          <w:rFonts w:ascii="Times New Roman" w:eastAsia="Times New Roman" w:hAnsi="Times New Roman" w:cs="Times New Roman"/>
          <w:sz w:val="24"/>
          <w:szCs w:val="24"/>
        </w:rPr>
        <w:t>Uso de ataúdes, urnas o sudarios biodegradables;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Arial" w:hAnsi="Times New Roman" w:cs="Times New Roman"/>
          <w:sz w:val="24"/>
          <w:szCs w:val="24"/>
        </w:rPr>
        <w:t xml:space="preserve">III. </w:t>
      </w:r>
      <w:r w:rsidRPr="00AE0CAB">
        <w:rPr>
          <w:rFonts w:ascii="Times New Roman" w:eastAsia="Times New Roman" w:hAnsi="Times New Roman" w:cs="Times New Roman"/>
          <w:sz w:val="24"/>
          <w:szCs w:val="24"/>
        </w:rPr>
        <w:t>Planes de revegetación con especies nativas y árboles de bajo consumo de agua, determinando la proporción de áreas arboladas;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Arial" w:hAnsi="Times New Roman" w:cs="Times New Roman"/>
          <w:sz w:val="24"/>
          <w:szCs w:val="24"/>
        </w:rPr>
        <w:t xml:space="preserve">IV. </w:t>
      </w:r>
      <w:r w:rsidRPr="00AE0CAB">
        <w:rPr>
          <w:rFonts w:ascii="Times New Roman" w:eastAsia="Times New Roman" w:hAnsi="Times New Roman" w:cs="Times New Roman"/>
          <w:sz w:val="24"/>
          <w:szCs w:val="24"/>
        </w:rPr>
        <w:t>Inclusión obligatoria de un área de inhumación verde en los nuevos panteones;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V. Registro catastral y georreferenciado de sepulturas;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VI. Cumplimiento de disposiciones legales sobre inhumaciones, incluyendo fosas comunes;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VII. Participación de autoridades competentes en la difusión de estos espacios, respetando tradiciones;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VIIL. Monitoreo de suelos y aguas subterráneas, conforme a la normatividad que sustente la inhumación vertical, y</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IX. Cumplimiento sanitario en casos infectocontagiosos.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Times New Roman" w:hAnsi="Times New Roman" w:cs="Times New Roman"/>
          <w:sz w:val="24"/>
          <w:szCs w:val="24"/>
        </w:rPr>
        <w:t xml:space="preserve">ARTICULO SEGUNDO. </w:t>
      </w:r>
      <w:r w:rsidRPr="00AE0CAB">
        <w:rPr>
          <w:rFonts w:ascii="Times New Roman" w:eastAsia="Arial" w:hAnsi="Times New Roman" w:cs="Times New Roman"/>
          <w:sz w:val="24"/>
          <w:szCs w:val="24"/>
        </w:rPr>
        <w:t xml:space="preserve">Se adiciona un cuarto párrafo a la fracción XXIII del artículo </w:t>
      </w:r>
      <w:r w:rsidRPr="00AE0CAB">
        <w:rPr>
          <w:rFonts w:ascii="Times New Roman" w:eastAsia="Times New Roman" w:hAnsi="Times New Roman" w:cs="Times New Roman"/>
          <w:sz w:val="24"/>
          <w:szCs w:val="24"/>
        </w:rPr>
        <w:t xml:space="preserve">3l </w:t>
      </w:r>
      <w:r w:rsidRPr="00AE0CAB">
        <w:rPr>
          <w:rFonts w:ascii="Times New Roman" w:eastAsia="Arial" w:hAnsi="Times New Roman" w:cs="Times New Roman"/>
          <w:sz w:val="24"/>
          <w:szCs w:val="24"/>
        </w:rPr>
        <w:t>de la Ley Orgánica Municipal, para quedar como siguen:</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Artículo 31. ...</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 xml:space="preserve">I. </w:t>
      </w:r>
      <w:r w:rsidRPr="00AE0CAB">
        <w:rPr>
          <w:rFonts w:ascii="Times New Roman" w:eastAsia="Arial" w:hAnsi="Times New Roman" w:cs="Times New Roman"/>
          <w:sz w:val="24"/>
          <w:szCs w:val="24"/>
        </w:rPr>
        <w:t xml:space="preserve">a </w:t>
      </w:r>
      <w:r w:rsidRPr="00AE0CAB">
        <w:rPr>
          <w:rFonts w:ascii="Times New Roman" w:eastAsia="Times New Roman" w:hAnsi="Times New Roman" w:cs="Times New Roman"/>
          <w:sz w:val="24"/>
          <w:szCs w:val="24"/>
        </w:rPr>
        <w:t>XXII. …</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XXIII. ...</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 xml:space="preserve">Los municipios podrán establecer por si o a través de servicios concesionados, la creación de panteones ecológicos, que constituirían zonas de preservación ecológica de los </w:t>
      </w:r>
      <w:proofErr w:type="spellStart"/>
      <w:r w:rsidRPr="00AE0CAB">
        <w:rPr>
          <w:rFonts w:ascii="Times New Roman" w:eastAsia="Times New Roman" w:hAnsi="Times New Roman" w:cs="Times New Roman"/>
          <w:sz w:val="24"/>
          <w:szCs w:val="24"/>
        </w:rPr>
        <w:t>centres</w:t>
      </w:r>
      <w:proofErr w:type="spellEnd"/>
      <w:r w:rsidRPr="00AE0CAB">
        <w:rPr>
          <w:rFonts w:ascii="Times New Roman" w:eastAsia="Times New Roman" w:hAnsi="Times New Roman" w:cs="Times New Roman"/>
          <w:sz w:val="24"/>
          <w:szCs w:val="24"/>
        </w:rPr>
        <w:t xml:space="preserve"> de población destinadas a la inhumación ecológica, cuya promoción, vigilancia y protección estarán a cargo de la administración municipal. Los reglamentos respectivos regularán las características y formas de prestación del servicio.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Times New Roman" w:hAnsi="Times New Roman" w:cs="Times New Roman"/>
          <w:sz w:val="24"/>
          <w:szCs w:val="24"/>
        </w:rPr>
      </w:pPr>
      <w:r w:rsidRPr="00AE0CAB">
        <w:rPr>
          <w:rFonts w:ascii="Times New Roman" w:eastAsia="Arial" w:hAnsi="Times New Roman" w:cs="Times New Roman"/>
          <w:b/>
          <w:sz w:val="24"/>
          <w:szCs w:val="24"/>
        </w:rPr>
        <w:t xml:space="preserve">XXIV. </w:t>
      </w:r>
      <w:r w:rsidRPr="00AE0CAB">
        <w:rPr>
          <w:rFonts w:ascii="Times New Roman" w:eastAsia="Arial" w:hAnsi="Times New Roman" w:cs="Times New Roman"/>
          <w:sz w:val="24"/>
          <w:szCs w:val="24"/>
        </w:rPr>
        <w:t xml:space="preserve">a </w:t>
      </w:r>
      <w:r w:rsidRPr="00AE0CAB">
        <w:rPr>
          <w:rFonts w:ascii="Times New Roman" w:eastAsia="Times New Roman" w:hAnsi="Times New Roman" w:cs="Times New Roman"/>
          <w:b/>
          <w:sz w:val="24"/>
          <w:szCs w:val="24"/>
        </w:rPr>
        <w:t>XLVIII</w:t>
      </w:r>
      <w:r w:rsidRPr="00AE0CAB">
        <w:rPr>
          <w:rFonts w:ascii="Times New Roman" w:eastAsia="Times New Roman" w:hAnsi="Times New Roman" w:cs="Times New Roman"/>
          <w:sz w:val="24"/>
          <w:szCs w:val="24"/>
        </w:rPr>
        <w:t>. ...</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center"/>
        <w:rPr>
          <w:rFonts w:ascii="Times New Roman" w:eastAsia="Times New Roman" w:hAnsi="Times New Roman" w:cs="Times New Roman"/>
          <w:b/>
          <w:sz w:val="24"/>
          <w:szCs w:val="24"/>
        </w:rPr>
      </w:pPr>
      <w:r w:rsidRPr="00AE0CAB">
        <w:rPr>
          <w:rFonts w:ascii="Times New Roman" w:eastAsia="Times New Roman" w:hAnsi="Times New Roman" w:cs="Times New Roman"/>
          <w:b/>
          <w:sz w:val="24"/>
          <w:szCs w:val="24"/>
        </w:rPr>
        <w:t>TRANSITORIOS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PRIMERO. </w:t>
      </w:r>
      <w:r w:rsidRPr="00AE0CAB">
        <w:rPr>
          <w:rFonts w:ascii="Times New Roman" w:eastAsia="Arial" w:hAnsi="Times New Roman" w:cs="Times New Roman"/>
          <w:sz w:val="24"/>
          <w:szCs w:val="24"/>
        </w:rPr>
        <w:t>Publíquese el presente Decreto en el Periódico Oficial "Caceta del Gobierno".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SEGUNDO. </w:t>
      </w:r>
      <w:r w:rsidRPr="00AE0CAB">
        <w:rPr>
          <w:rFonts w:ascii="Times New Roman" w:eastAsia="Arial" w:hAnsi="Times New Roman" w:cs="Times New Roman"/>
          <w:sz w:val="24"/>
          <w:szCs w:val="24"/>
        </w:rPr>
        <w:t>El presente Decreto entrara en vigor al día siguiente de su publicación en el Periódico Oficial "Gaceta del Gobierno".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TERCERO. </w:t>
      </w:r>
      <w:r w:rsidRPr="00AE0CAB">
        <w:rPr>
          <w:rFonts w:ascii="Times New Roman" w:eastAsia="Arial" w:hAnsi="Times New Roman" w:cs="Times New Roman"/>
          <w:sz w:val="24"/>
          <w:szCs w:val="24"/>
        </w:rPr>
        <w:t xml:space="preserve">EI Poder Ejecutivo del Estado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los municipios, en el ámbito de sus atribuciones, deberán realizar las adecuaciones correspondientes a las disposiciones reglamentarias, a fin de armonizar su contenido con lo previsto en el presente Decreto.</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lastRenderedPageBreak/>
        <w:t xml:space="preserve">CUARTO. </w:t>
      </w:r>
      <w:r w:rsidRPr="00AE0CAB">
        <w:rPr>
          <w:rFonts w:ascii="Times New Roman" w:eastAsia="Arial" w:hAnsi="Times New Roman" w:cs="Times New Roman"/>
          <w:sz w:val="24"/>
          <w:szCs w:val="24"/>
        </w:rPr>
        <w:t xml:space="preserve">Las erogaciones que se generen con motivo de la entrada en vigor del presente Decreto se sujetarán a la disponibilidad de recursos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 xml:space="preserve">se cubrirán con cargo al presupuesto aprobado a las dependencias o entidades competentes para el ejercicio fiscal en curso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subsecuentes.</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Reitero a Usted la seguridad de mi atenta </w:t>
      </w:r>
      <w:r w:rsidRPr="00AE0CAB">
        <w:rPr>
          <w:rFonts w:ascii="Times New Roman" w:eastAsia="Times New Roman" w:hAnsi="Times New Roman" w:cs="Times New Roman"/>
          <w:sz w:val="24"/>
          <w:szCs w:val="24"/>
        </w:rPr>
        <w:t xml:space="preserve">y </w:t>
      </w:r>
      <w:r w:rsidRPr="00AE0CAB">
        <w:rPr>
          <w:rFonts w:ascii="Times New Roman" w:eastAsia="Arial" w:hAnsi="Times New Roman" w:cs="Times New Roman"/>
          <w:sz w:val="24"/>
          <w:szCs w:val="24"/>
        </w:rPr>
        <w:t>distinguida consideración.</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Palacio del Poder Ejecutivo, en la ciudad de Toluca, capital del Estado de México, a los 9 días del mes de febrero del año 2026.</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center"/>
        <w:rPr>
          <w:rFonts w:ascii="Times New Roman" w:eastAsia="Times New Roman" w:hAnsi="Times New Roman" w:cs="Times New Roman"/>
          <w:b/>
          <w:sz w:val="24"/>
          <w:szCs w:val="24"/>
        </w:rPr>
      </w:pPr>
      <w:r w:rsidRPr="00AE0CAB">
        <w:rPr>
          <w:rFonts w:ascii="Times New Roman" w:eastAsia="Times New Roman" w:hAnsi="Times New Roman" w:cs="Times New Roman"/>
          <w:b/>
          <w:sz w:val="24"/>
          <w:szCs w:val="24"/>
        </w:rPr>
        <w:t>Gobernadora Constitucional</w:t>
      </w:r>
    </w:p>
    <w:p w:rsidR="00A761FB" w:rsidRPr="00AE0CAB" w:rsidRDefault="00A761FB" w:rsidP="00D71801">
      <w:pPr>
        <w:spacing w:after="0" w:line="240" w:lineRule="auto"/>
        <w:ind w:right="27"/>
        <w:jc w:val="center"/>
        <w:rPr>
          <w:rFonts w:ascii="Times New Roman" w:eastAsia="Times New Roman" w:hAnsi="Times New Roman" w:cs="Times New Roman"/>
          <w:b/>
          <w:sz w:val="24"/>
          <w:szCs w:val="24"/>
        </w:rPr>
      </w:pPr>
      <w:r w:rsidRPr="00AE0CAB">
        <w:rPr>
          <w:rFonts w:ascii="Times New Roman" w:eastAsia="Times New Roman" w:hAnsi="Times New Roman" w:cs="Times New Roman"/>
          <w:b/>
          <w:sz w:val="24"/>
          <w:szCs w:val="24"/>
        </w:rPr>
        <w:t xml:space="preserve">del Estado de México </w:t>
      </w:r>
    </w:p>
    <w:p w:rsidR="00A761FB" w:rsidRPr="00AE0CAB" w:rsidRDefault="00A761FB" w:rsidP="00D71801">
      <w:pPr>
        <w:spacing w:after="0" w:line="240" w:lineRule="auto"/>
        <w:ind w:right="27"/>
        <w:rPr>
          <w:rFonts w:ascii="Times New Roman" w:eastAsia="Times New Roman" w:hAnsi="Times New Roman" w:cs="Times New Roman"/>
          <w:sz w:val="24"/>
          <w:szCs w:val="24"/>
        </w:rPr>
      </w:pPr>
    </w:p>
    <w:p w:rsidR="00A761FB" w:rsidRPr="00AE0CAB" w:rsidRDefault="00A761FB" w:rsidP="00D71801">
      <w:pPr>
        <w:spacing w:after="0" w:line="240" w:lineRule="auto"/>
        <w:ind w:right="27"/>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Mtra. Delfina Gómez Álvarez</w:t>
      </w:r>
    </w:p>
    <w:p w:rsidR="00A761FB" w:rsidRPr="00AE0CAB" w:rsidRDefault="00A761FB" w:rsidP="00D71801">
      <w:pPr>
        <w:spacing w:after="0" w:line="240" w:lineRule="auto"/>
        <w:ind w:right="27"/>
        <w:jc w:val="center"/>
        <w:rPr>
          <w:rFonts w:ascii="Times New Roman" w:eastAsia="Arial" w:hAnsi="Times New Roman" w:cs="Times New Roman"/>
          <w:sz w:val="24"/>
          <w:szCs w:val="24"/>
        </w:rPr>
      </w:pPr>
      <w:r w:rsidRPr="00AE0CAB">
        <w:rPr>
          <w:rFonts w:ascii="Times New Roman" w:eastAsia="Arial" w:hAnsi="Times New Roman" w:cs="Times New Roman"/>
          <w:i/>
          <w:sz w:val="24"/>
          <w:szCs w:val="24"/>
        </w:rPr>
        <w:t>(Rúbrica)</w:t>
      </w:r>
    </w:p>
    <w:p w:rsidR="00A761FB" w:rsidRPr="00AE0CAB" w:rsidRDefault="00A761FB" w:rsidP="00D71801">
      <w:pPr>
        <w:spacing w:after="0" w:line="240" w:lineRule="auto"/>
        <w:jc w:val="center"/>
        <w:rPr>
          <w:rFonts w:ascii="Times New Roman" w:hAnsi="Times New Roman" w:cs="Times New Roman"/>
          <w:sz w:val="24"/>
          <w:szCs w:val="24"/>
        </w:rPr>
      </w:pPr>
    </w:p>
    <w:p w:rsidR="00A761FB" w:rsidRPr="00AE0CAB" w:rsidRDefault="00A761FB"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(Fin del documento)</w:t>
      </w:r>
    </w:p>
    <w:p w:rsidR="00A761FB" w:rsidRPr="00AE0CAB" w:rsidRDefault="00A761FB" w:rsidP="00D71801">
      <w:pPr>
        <w:spacing w:after="0" w:line="240" w:lineRule="auto"/>
        <w:jc w:val="center"/>
        <w:rPr>
          <w:rFonts w:ascii="Times New Roman" w:hAnsi="Times New Roman" w:cs="Times New Roman"/>
          <w:sz w:val="24"/>
          <w:szCs w:val="24"/>
        </w:rPr>
      </w:pPr>
    </w:p>
    <w:p w:rsidR="00693783" w:rsidRPr="00AE0CAB" w:rsidRDefault="00693783" w:rsidP="00D71801">
      <w:pPr>
        <w:pStyle w:val="Sinespaciad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PRESIDENTA DIP. MARTHA AZUCENA CAMACHO REYNOSO. Gracias diputada Vicepresidenta Itzel Guadalupe Pérez Correa.</w:t>
      </w:r>
    </w:p>
    <w:p w:rsidR="00693783" w:rsidRPr="00AE0CAB" w:rsidRDefault="00693783"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Se registra la iniciativa y se remite a las Comisiones Legislativas de Protección Ambiental y Cambio Climático y de Legislación Administración Municipal, para su estudio y dictamen.</w:t>
      </w:r>
    </w:p>
    <w:p w:rsidR="0050709F" w:rsidRPr="00AE0CAB" w:rsidRDefault="00693783" w:rsidP="00D71801">
      <w:pPr>
        <w:pStyle w:val="Sinespaciado"/>
        <w:ind w:firstLine="708"/>
        <w:jc w:val="both"/>
        <w:rPr>
          <w:rFonts w:ascii="Times New Roman" w:hAnsi="Times New Roman" w:cs="Times New Roman"/>
          <w:sz w:val="24"/>
          <w:szCs w:val="24"/>
        </w:rPr>
      </w:pPr>
      <w:r w:rsidRPr="00AE0CAB">
        <w:rPr>
          <w:rFonts w:ascii="Times New Roman" w:eastAsia="Arial" w:hAnsi="Times New Roman" w:cs="Times New Roman"/>
          <w:sz w:val="24"/>
          <w:szCs w:val="24"/>
        </w:rPr>
        <w:t xml:space="preserve">De conformidad con el punto número 6, la diputada </w:t>
      </w:r>
      <w:r w:rsidRPr="00AE0CAB">
        <w:rPr>
          <w:rFonts w:ascii="Times New Roman" w:hAnsi="Times New Roman" w:cs="Times New Roman"/>
          <w:sz w:val="24"/>
          <w:szCs w:val="24"/>
        </w:rPr>
        <w:t xml:space="preserve">Jennifer Nathalie </w:t>
      </w:r>
      <w:r w:rsidRPr="00AE0CAB">
        <w:rPr>
          <w:rFonts w:ascii="Times New Roman" w:eastAsia="Arial" w:hAnsi="Times New Roman" w:cs="Times New Roman"/>
          <w:sz w:val="24"/>
          <w:szCs w:val="24"/>
        </w:rPr>
        <w:t>González López Leerá la iniciativa de decreto por el por el que se</w:t>
      </w:r>
      <w:r w:rsidR="00842DF7" w:rsidRPr="00AE0CAB">
        <w:rPr>
          <w:rFonts w:ascii="Times New Roman" w:eastAsia="Arial" w:hAnsi="Times New Roman" w:cs="Times New Roman"/>
          <w:sz w:val="24"/>
          <w:szCs w:val="24"/>
        </w:rPr>
        <w:t xml:space="preserve"> expide la Ley de</w:t>
      </w:r>
      <w:r w:rsidR="0050709F" w:rsidRPr="00AE0CAB">
        <w:rPr>
          <w:rFonts w:ascii="Times New Roman" w:hAnsi="Times New Roman" w:cs="Times New Roman"/>
          <w:sz w:val="24"/>
          <w:szCs w:val="24"/>
        </w:rPr>
        <w:t xml:space="preserve"> </w:t>
      </w:r>
      <w:r w:rsidR="00842DF7" w:rsidRPr="00AE0CAB">
        <w:rPr>
          <w:rFonts w:ascii="Times New Roman" w:hAnsi="Times New Roman" w:cs="Times New Roman"/>
          <w:sz w:val="24"/>
          <w:szCs w:val="24"/>
        </w:rPr>
        <w:t>S</w:t>
      </w:r>
      <w:r w:rsidR="0050709F" w:rsidRPr="00AE0CAB">
        <w:rPr>
          <w:rFonts w:ascii="Times New Roman" w:hAnsi="Times New Roman" w:cs="Times New Roman"/>
          <w:sz w:val="24"/>
          <w:szCs w:val="24"/>
        </w:rPr>
        <w:t xml:space="preserve">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y de la Ley de Fomento Económico para el Estado de México, de la Ley de Turismo Sostenible y de Desarrollo Artesanal del Estado de México y de la Ley Orgánica Municipal del Estado de México y de la Ley que regula los Centros de Asistencia Social y las Adopciones del Estado de México, presentada por la Titular del Ejecutivo Estatal. </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DIP. JENNIFER NATHALIE GONZÁLEZ LÓPEZ. </w:t>
      </w:r>
      <w:r w:rsidR="007D49A6" w:rsidRPr="00AE0CAB">
        <w:rPr>
          <w:rFonts w:ascii="Times New Roman" w:hAnsi="Times New Roman" w:cs="Times New Roman"/>
          <w:sz w:val="24"/>
          <w:szCs w:val="24"/>
        </w:rPr>
        <w:t>Gracias.</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DIPUTADA</w:t>
      </w:r>
      <w:r w:rsidR="00CE2F2B" w:rsidRPr="00AE0CAB">
        <w:rPr>
          <w:rFonts w:ascii="Times New Roman" w:hAnsi="Times New Roman" w:cs="Times New Roman"/>
          <w:sz w:val="24"/>
          <w:szCs w:val="24"/>
        </w:rPr>
        <w:t xml:space="preserve"> </w:t>
      </w:r>
      <w:r w:rsidRPr="00AE0CAB">
        <w:rPr>
          <w:rFonts w:ascii="Times New Roman" w:hAnsi="Times New Roman" w:cs="Times New Roman"/>
          <w:sz w:val="24"/>
          <w:szCs w:val="24"/>
        </w:rPr>
        <w:t xml:space="preserve">MARTHA AZUCENA CAMACHO REYNOSO </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PRESIDENTA DE LA MESA DIRECTIVA DE LA </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LXII LEGISLATURA DEL ESTADO DE MÉXICO</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PRESENTE.</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Compañeras, compañeros, Legislatura.</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Hoy respaldamos con firmeza el fortalecimiento de la Ley Salud del Estado de México, en plena congruencia con el Plan de Desarrollo del Estado de México y en armonización con la Ley General de Salud, para consolidar un sistema sanitario más equitativo, preventivo y con verdadera capacidad resolutiva, pero, sobre todo, con una visión humana.</w:t>
      </w:r>
    </w:p>
    <w:p w:rsidR="00FD414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Como médica, sé que detrás de cada artículo de esta ley es un rostro, es una familia, es una esperanza y como Presidenta de la Comisión de Salud, Asistencia y Bienestar Social, afirmo que estamos alineándonos con el liderazgo de nuestra Presidenta, la Doctora Claudia Sheinbaum y con nuestra Gobernadora, la Maestra Delfina Gómez, para que la salud pública sea el corazón del bienestar y la justicia social del Estado de México. Esta reforma no es una declarativa, incorpora modificaciones sustantivas</w:t>
      </w:r>
      <w:r w:rsidR="00FD414F" w:rsidRPr="00AE0CAB">
        <w:rPr>
          <w:rFonts w:ascii="Times New Roman" w:hAnsi="Times New Roman" w:cs="Times New Roman"/>
          <w:sz w:val="24"/>
          <w:szCs w:val="24"/>
        </w:rPr>
        <w:t>:</w:t>
      </w:r>
      <w:r w:rsidRPr="00AE0CAB">
        <w:rPr>
          <w:rFonts w:ascii="Times New Roman" w:hAnsi="Times New Roman" w:cs="Times New Roman"/>
          <w:sz w:val="24"/>
          <w:szCs w:val="24"/>
        </w:rPr>
        <w:t xml:space="preserve"> </w:t>
      </w:r>
    </w:p>
    <w:p w:rsidR="0050709F" w:rsidRPr="00AE0CAB" w:rsidRDefault="0050709F"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Primero, se fortalece la rectoría sanitaria estatal, alineando competencias con el marco federal para garantizar coordinación efectiva con la federación en materia de salubridad general, vigilancia epidemiológica y control de riesgos sanitarios. </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lastRenderedPageBreak/>
        <w:tab/>
        <w:t>En segundo, se consolida el modelo de atención primaria a la salud, priorizando la prevención, la detección oportuna y el enfoque comunitario, en concordancia con los principios universales de gratuidad progresiva establecida en la legislación nacional.</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En tercero se incorpora la disposición específica en salud mental y adicciones armonizadas al enfoque de derechos humanos previsto en la Ley General de Salud, privilegiando la atención comunitaria sobre el modelo de aislar y garantizar consentimiento informado y trato digno, absolutamente. </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Se refuerza la protección financiera de las familias, alineando las prestaciones de servicios públicos con los mecanismos federales de la cobertura, evitando gastos catastróficos, informando y profundizando para debatir la pobreza. </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Se amplía la atención prioritaria a grupos vulnerables niñas, niños, adolescentes, madres, personas enfermas, situación en violencia, personas adultas mayores, personas con alguna discapacidad, comunidades indígenas, incorporando una perspectiva intercultural con enfoque de género, pero, con una inclusión sustantiva y verdadera. Garantiza el derecho humano a la salud bajo criterios universales de equidad y progresividad.</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Consolida los sistemas estatales con el federal, prioriza la prevención, pero sobre todo tiene ejes estructurales donde la modernización para gestionar las acciones sanitarias mediante digitalización e inteligencia epidemiológica son fundamentales.</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Hay algo que impulsa esta Iniciativa, que es un modelo integral de salud con una atención preventiva, con rehabilitación, salud mental, centro epidemiológico, promoción comunitaria y por primera vez en el Estado de México, por primera vez se reconocen los derechos de las personas usuarias y de los pacientes.</w:t>
      </w:r>
    </w:p>
    <w:p w:rsidR="0050709F" w:rsidRPr="00AE0CAB" w:rsidRDefault="0050709F"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Esta ley es un catálogo robusto de derechos, entre ellos está el trato digno, el consentimiento informado, la confidencialidad, el acceso al expediente clínico, segunda opinión médica, atención de urgencias, acceso a medicamentos, no discriminación y también reconoce las obligaciones para las personas usuarias para la corresponsabilidad sanitaria. Hay grupos de atención prioritaria y se establece la protección reforzada para las mujeres, niñas, niños, adolescentes, personas con alguna discapacidad o muchas, personas en situación de calle, población LGBTTIQ+, pueblos indígenas, afroamericanos, migrantes víctimas de violencia, entre otros</w:t>
      </w:r>
      <w:r w:rsidR="005B24C8" w:rsidRPr="00AE0CAB">
        <w:rPr>
          <w:rFonts w:ascii="Times New Roman" w:hAnsi="Times New Roman" w:cs="Times New Roman"/>
          <w:sz w:val="24"/>
          <w:szCs w:val="24"/>
        </w:rPr>
        <w:t>.</w:t>
      </w:r>
      <w:r w:rsidR="00F57D45" w:rsidRPr="00AE0CAB">
        <w:rPr>
          <w:rFonts w:ascii="Times New Roman" w:hAnsi="Times New Roman" w:cs="Times New Roman"/>
          <w:sz w:val="24"/>
          <w:szCs w:val="24"/>
        </w:rPr>
        <w:t xml:space="preserve">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El Poder Ejecutivo Estatal armoniza las formas con la Secretaría de Salud, las dependencias transversales, municipios, organizaciones descentralizadas y crea un modelo de trabajo intersectorial donde la salud se vincula con la educación, con el medio ambiente, con el trabajo, la seguridad, el bienestar y el desarrollo social. Esta planeación estratégica lleva a evaluaciones constantes digitalización de la información, transparencia, calidad en la atención, en la infraestructura y en los recursos humanos y subraya en consolidación de la Coordinación intergubernamental en el marco de la Ley General de Salud, así como refuerza la alineación entre las políticas sanitarias impulsadas por la Presidenta la Doctora Claudia Sheinbaum Pardo y se articula con la visión social territorial, con los compromisos y con el trabajo diario que hace la Gobernadora la Maestra Delfina Gómez Álvarez, priorizando el fortalecimiento del primer nivel, la atención continua y el eje para reducir las desigualdades estructurales. Asimismo, se actualizan disposiciones en materia de digitalización de expedientes clínicos, transparencia del uso de recursos y armoniza la simplificación para no estar replicando los procesos. Para mí la salud no es solo un servicio, es un derecho humano y es el pilar del bienestar social. Esta reforma construye un sector público más sólido, más humano, más justo, contribuyendo directamente al combate estructural de la pobreza.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La Iniciativa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w:t>
      </w:r>
      <w:r w:rsidRPr="00AE0CAB">
        <w:rPr>
          <w:rFonts w:ascii="Times New Roman" w:hAnsi="Times New Roman" w:cs="Times New Roman"/>
          <w:sz w:val="24"/>
          <w:szCs w:val="24"/>
        </w:rPr>
        <w:lastRenderedPageBreak/>
        <w:t>México, de la Ley de Fomento Económico para el Estado de México, de la Ley de Turismo Sostenible y Desarrollo Artesanal del Estado de México, de la Ley Orgánica Municipal del Estado de México y de la Ley que Regula los Centros de Asistencia Social y las Adopciones en el Estado de México, que dan conformidad al siguiente.</w:t>
      </w:r>
    </w:p>
    <w:p w:rsidR="000E0101" w:rsidRPr="00AE0CAB" w:rsidRDefault="000E0101" w:rsidP="00D71801">
      <w:pPr>
        <w:pStyle w:val="Sinespaciado"/>
        <w:jc w:val="center"/>
        <w:rPr>
          <w:rFonts w:ascii="Times New Roman" w:hAnsi="Times New Roman" w:cs="Times New Roman"/>
          <w:sz w:val="24"/>
          <w:szCs w:val="24"/>
        </w:rPr>
      </w:pPr>
      <w:r w:rsidRPr="00AE0CAB">
        <w:rPr>
          <w:rFonts w:ascii="Times New Roman" w:hAnsi="Times New Roman" w:cs="Times New Roman"/>
          <w:sz w:val="24"/>
          <w:szCs w:val="24"/>
        </w:rPr>
        <w:t>EXPOSICIÓN DE MOTIVOS</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La Organización Mundial de la Salud, define la salud como un estado completo de bienestar físico y mental y social, y no solamente como la ausencia de efectos o enfermedades que en concepción integral imponen a los poderes públicos el deber de diseñar políticas que entiendan de manera transversal los determinantes sociales, económicos y ambientales que inciden en el bienestar de la población. En este sentido, y con un firme compromiso orientado a consolidar una transformación sustantiva del sector salud, el Plan de Desarrollo del Estado de México 2023-2029, Establece como objetivo prioritario </w:t>
      </w:r>
      <w:r w:rsidRPr="00AE0CAB">
        <w:rPr>
          <w:rFonts w:ascii="Times New Roman" w:hAnsi="Times New Roman" w:cs="Times New Roman"/>
          <w:sz w:val="24"/>
          <w:szCs w:val="24"/>
          <w:shd w:val="clear" w:color="auto" w:fill="FFFFFF"/>
        </w:rPr>
        <w:t>El Eje 4, "Bienestar social, combate a la pobreza y atención a grupos en situación de vulnerabilidad" </w:t>
      </w:r>
      <w:r w:rsidRPr="00AE0CAB">
        <w:rPr>
          <w:rFonts w:ascii="Times New Roman" w:hAnsi="Times New Roman" w:cs="Times New Roman"/>
          <w:sz w:val="24"/>
          <w:szCs w:val="24"/>
        </w:rPr>
        <w:t xml:space="preserve"> El acceso a la salud integral, el cual implica que todas las personas tengan acceso pleno, efectivo y equitativo a servicios de atención médica de calidad, sin que enfrenten barreras financieras, geográficas, culturales, administrativas o de cualquier otro índole que limiten el ejercicio de su derecho. Bajo esta premisa, la acción gubernamental reconoce que la salud contribuye un pilar estratégico para el desarrollo humano, la coerción social y la prosperidad de las y los mexicanos. En ese marco, el Plan Estatal establece acciones concretas que dan sustento operativo a esta visión, entre la que se destaca la estrategia 4, 6.1, relativa a la importación, implementación de modelos de promoción de la salud y prevención de las principales causas de morbimortalidad.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La estrategia 4.6.2 orientada a consolidar un modelo de atención integral humanista con énfasis en población vulnerable.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La Estrategia 4.6.3 que impulsa políticas interseccionales para el diagnóstico, atención y promoción del bienestar material, así como las estrategias 4.7.1 y 4.7.2. dirigida a la capacitación continua del personal de salud.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La evaluación de la calidad de los servicios y el adecuado abasto control de insumos. Además de la estrategia 4.8.1 enfocada a incrementar la capacidad de atención hospitalaria, fortaleciendo integralmente la infraestructura y la operatividad del Sistema Estatal de Salud. Desde esta perspectiva, resulta indispensable promover acciones para la satisfacción de las necesidades sanitarias de las personas a lo largo de la vida y no solo en momentos de enfermedades,  afecciones, valiendo porque las personas reciban una atención integral en las distintas etapas de su vida, por ello, es fundamental implementar la promoción y la prevención de medidas primordiales de la acción pública, sin determinante de la atención curativa, la rehabilitación y los cuidados paliativos, garantizando en todo momento acceso efectivo, calidad técnica e integridad en la prestación de los servicios.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Dado al contexto actual, la evolución del modelo sanitario nacional, resulta imperativo que el Estado de México cuente con un marco jurídico específico, sistemático y actualizado en materia de salud, capaz de responder a las necesidades contemporáneas y especialmente para garantizar a la población la existencia de instituciones sólidas, articuladas y eficaces que respalden el ejercicio del derecho fundamental. En este sentido, la presente iniciativa constituye un paso fundamental para fortalecer la garantía del derecho a la salud, procurando la debida correspondencia entre la normativa estatal y la estructura institucional vigente, dando la coherencia del nuevo modelo de salud y actualmente la regulación en materia de salud en la entidad se encuentra contenida en el libro segundo del Código Administrativo del Estado de México, expedida mediante el Decreto número 41, publicado en el Periódico Oficial Gaceta del Gobierno el trece de diciembre del dos mil uno, tras la aprobación de la Ley de Salud del Estado de México de aquel entonces.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En este momento dicha decisión respondió a la necesidad de simplificar y sistematizar un conjunto disperso de ordenamientos administrativos; sin embargo, con el paso del tiempo, la </w:t>
      </w:r>
      <w:r w:rsidRPr="00AE0CAB">
        <w:rPr>
          <w:rFonts w:ascii="Times New Roman" w:hAnsi="Times New Roman" w:cs="Times New Roman"/>
          <w:sz w:val="24"/>
          <w:szCs w:val="24"/>
        </w:rPr>
        <w:lastRenderedPageBreak/>
        <w:t xml:space="preserve">concentración de materia sustantiva dentro de un código de naturaleza predominantemente administrativa ha generado limitantes para el desarrollo integral del derecho a la salud, si bien el libro segundo del citado Código delimita de manera sistemática los ámbitos de competencia de la Secretaría de Salud y del Instituto de Salud del Estado de México, esta regulación resulta insuficiente frente a la complejidad actual del sistema sanitario, pues circunscribe al derecho de la salud a una lógica administrativa y orgánica, sin desplegar con amplitud sus dimensiones sustantivas, preventivas, comunitarias y de coordinación institucional.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La simplificación normativa de entonces hoy se traduce en una fragmentación conceptual que dificulta la adecuada comprensión, aplicación y fortalecimiento del Sistema Estatal de salud; por ello, se requiere la expedición de un ordenamiento especializado que establezca con claridad los principios rectores, la distribución de competencias, los mecanismos de coordinación, la rectoría sanitaria, la operación de los organismos especializados en salud y el fortalecimiento de sus capacidades técnicas, operativas y organizacionales. Desde la perspectiva que contemporánea de los derechos humanos; mantener la regulación de un derecho es un derecho fundamental; en un apartado administrativo limita su desarrollo progresivo y su adecuada tutela, en consecuencia, resulta impostergable que el Estado de México cuente con la Ley de Salud propia que aborde de manera integral el derecho en todas sus dimensiones preventiva, curativa, rehabilitadora y paliativa, que fortalezca la rectoría del sector, regule la coordinación entre instituciones públicas y privadas y consolide un modelo de atención con un enfoque de curso de vida, perspectiva de derechos humanos y vocación transformadora a favor de la población mexiquense.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Es muy extensa, son más de 90 páginas, es un pequeño resumen del esquema y reitero a usted la seguridad de mi atenta y distinguida consideración.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En el Palacio del Poder Ejecutivo en la ciudad de Toluca, capital del Estado de México, a los doce días del mes de febrero del año 2026, suscribe la Gobernadora Constitucional del Estado de México. Maestra Delfina Gómez Álvarez.</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Es </w:t>
      </w:r>
      <w:proofErr w:type="spellStart"/>
      <w:r w:rsidRPr="00AE0CAB">
        <w:rPr>
          <w:rFonts w:ascii="Times New Roman" w:hAnsi="Times New Roman" w:cs="Times New Roman"/>
          <w:sz w:val="24"/>
          <w:szCs w:val="24"/>
        </w:rPr>
        <w:t>cuanto</w:t>
      </w:r>
      <w:proofErr w:type="spellEnd"/>
      <w:r w:rsidRPr="00AE0CAB">
        <w:rPr>
          <w:rFonts w:ascii="Times New Roman" w:hAnsi="Times New Roman" w:cs="Times New Roman"/>
          <w:sz w:val="24"/>
          <w:szCs w:val="24"/>
        </w:rPr>
        <w:t>.</w:t>
      </w:r>
    </w:p>
    <w:p w:rsidR="00BE60F9" w:rsidRPr="00AE0CAB" w:rsidRDefault="00BE60F9" w:rsidP="00D71801">
      <w:pPr>
        <w:pStyle w:val="Sinespaciado"/>
        <w:jc w:val="both"/>
        <w:rPr>
          <w:rFonts w:ascii="Times New Roman" w:hAnsi="Times New Roman" w:cs="Times New Roman"/>
          <w:sz w:val="24"/>
          <w:szCs w:val="24"/>
        </w:rPr>
      </w:pPr>
    </w:p>
    <w:p w:rsidR="00BE60F9" w:rsidRPr="00AE0CAB" w:rsidRDefault="00BE60F9"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(Se inserta documento)</w:t>
      </w:r>
    </w:p>
    <w:p w:rsidR="00BE60F9" w:rsidRPr="00AE0CAB" w:rsidRDefault="00BE60F9" w:rsidP="00D71801">
      <w:pPr>
        <w:spacing w:after="0" w:line="240" w:lineRule="auto"/>
        <w:jc w:val="center"/>
        <w:rPr>
          <w:rFonts w:ascii="Times New Roman" w:hAnsi="Times New Roman" w:cs="Times New Roman"/>
          <w:sz w:val="24"/>
          <w:szCs w:val="24"/>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CONSEJERÍA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JURÍDICA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"2026. Año del Humanismo en 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right"/>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Toluca de Lerdo, Estado de México a 16 de febrero 2026</w:t>
      </w:r>
    </w:p>
    <w:p w:rsidR="005F04F9" w:rsidRPr="00AE0CAB" w:rsidRDefault="005F04F9" w:rsidP="005F04F9">
      <w:pPr>
        <w:spacing w:after="0" w:line="240" w:lineRule="auto"/>
        <w:jc w:val="right"/>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Oficio número CJ/233AOOOOOOOOOOO/271/2026</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Diputada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Martha Azucena Camacho Reynoso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Presidenta de la Mesa Directiva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"LXII" Legislatura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Presente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Con fundamento en lo establecido por la fracción 57 de la Ley Orgánica de la Administración Pública del Estado de México, me permito ser el conducto para presentar ante Usted la Iniciativa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w:t>
      </w:r>
      <w:r w:rsidRPr="00AE0CAB">
        <w:rPr>
          <w:rFonts w:ascii="Times New Roman" w:eastAsiaTheme="minorEastAsia" w:hAnsi="Times New Roman" w:cs="Times New Roman"/>
          <w:sz w:val="24"/>
          <w:szCs w:val="24"/>
          <w:lang w:eastAsia="es-MX"/>
        </w:rPr>
        <w:lastRenderedPageBreak/>
        <w:t xml:space="preserve">Pública del Estado de México, de la Ley de Eventos Públicos del Estado de México, de la Ley de Fomento Económico para el Estado de México, de la Ley de Turismo Sostenible y Desarrollo Artesanal del Estado de México, de la Ley Orgánica Municipal del Estado de México y de la Ley que Regula los Centros </w:t>
      </w:r>
      <w:r w:rsidRPr="00AE0CAB">
        <w:rPr>
          <w:rFonts w:ascii="Times New Roman" w:eastAsiaTheme="minorEastAsia" w:hAnsi="Times New Roman" w:cs="Times New Roman"/>
          <w:noProof/>
          <w:sz w:val="24"/>
          <w:szCs w:val="24"/>
          <w:lang w:eastAsia="es-MX"/>
        </w:rPr>
        <w:drawing>
          <wp:inline distT="0" distB="0" distL="0" distR="0" wp14:anchorId="255B6FA9" wp14:editId="3FD77452">
            <wp:extent cx="4575" cy="4572"/>
            <wp:effectExtent l="0" t="0" r="0" b="0"/>
            <wp:docPr id="2907" name="Picture 2907"/>
            <wp:cNvGraphicFramePr/>
            <a:graphic xmlns:a="http://schemas.openxmlformats.org/drawingml/2006/main">
              <a:graphicData uri="http://schemas.openxmlformats.org/drawingml/2006/picture">
                <pic:pic xmlns:pic="http://schemas.openxmlformats.org/drawingml/2006/picture">
                  <pic:nvPicPr>
                    <pic:cNvPr id="2907" name="Picture 2907"/>
                    <pic:cNvPicPr/>
                  </pic:nvPicPr>
                  <pic:blipFill>
                    <a:blip r:embed="rId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de Asistencia Social y las Adopciones en 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Sin otro particular, aprovecho la ocasión para enviarle un cordial saludo.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Atentamente</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Lic. Jesús George Zamora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Consejero Jurídico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(Rúbrica)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C.c.p.</w:t>
      </w:r>
      <w:r w:rsidRPr="00AE0CAB">
        <w:rPr>
          <w:rFonts w:ascii="Times New Roman" w:eastAsiaTheme="minorEastAsia" w:hAnsi="Times New Roman" w:cs="Times New Roman"/>
          <w:sz w:val="24"/>
          <w:szCs w:val="24"/>
          <w:lang w:eastAsia="es-MX"/>
        </w:rPr>
        <w:tab/>
        <w:t>Mtra. Delfina Gómez Álvarez, Gobernadora Constitucional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Mtro. Horacio Duarte Olivares, Secretario General de Gobierno.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Dip. José Francisco Vázquez Rodríguez, Presidente de la Junta de Coordinación Política de la "LXII" Legislatura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Mtro. Javier Domínguez Morales, Secretario de Asuntos Parlamentarios de la "LXII" Legislatura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Lic. Javier de Jesús Domínguez González, Encargado de Despacho de la Dirección General de Legislación y del Periódico Oficial "Caceta del Gobierno".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right"/>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Toluca de Lerdo, México, a 12 de febrero de 2026.</w:t>
      </w:r>
    </w:p>
    <w:p w:rsidR="005F04F9" w:rsidRPr="00AE0CAB" w:rsidRDefault="005F04F9" w:rsidP="005F04F9">
      <w:pPr>
        <w:spacing w:after="0" w:line="240" w:lineRule="auto"/>
        <w:jc w:val="right"/>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DIPUTADA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MARTHA AZUCENA CAMACHO REYNOSO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PRESIDENTA DE LA MESA DIRECTIVA DE LA H.</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"LXII" LEGISLATURA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PRESENTE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 ordenamiento, se somete a la consideración de esta H. Soberanía, por el digno conducto de usted, la Iniciativa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de la Ley de Fomento Económico para el Estado de México, de la Ley de Turismo Sostenible y Desarrollo Artesanal del Estado de México, de la Ley Orgánica Municipal del Estado de México y de la Ley que Regula los Centros de Asistencia Social y las Adopciones en el Estado de México, de conformidad con la siguiente: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EXPOSICIÓN DE MOTIVOS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La Organización Mundial de la Salud define la salud como un estado de completo bienestar físico, mental y social, y no solamente como la ausencia de afecciones o enfermedades, esta concepción integral impone a los poderes públicos el deber de diseñar políticas que atiendan de manera </w:t>
      </w:r>
      <w:r w:rsidRPr="00AE0CAB">
        <w:rPr>
          <w:rFonts w:ascii="Times New Roman" w:eastAsiaTheme="minorEastAsia" w:hAnsi="Times New Roman" w:cs="Times New Roman"/>
          <w:sz w:val="24"/>
          <w:szCs w:val="24"/>
          <w:lang w:eastAsia="es-MX"/>
        </w:rPr>
        <w:lastRenderedPageBreak/>
        <w:t>transversal los determinantes sociales, económicos y ambientales que inciden en el bienestar de la población.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congruencia con ello, la Constitución Política de los Estados Unidos Mexicanos reconoce en su artículo 4</w:t>
      </w:r>
      <w:r w:rsidRPr="00AE0CAB">
        <w:rPr>
          <w:rFonts w:ascii="Times New Roman" w:eastAsiaTheme="minorEastAsia" w:hAnsi="Times New Roman" w:cs="Times New Roman"/>
          <w:sz w:val="24"/>
          <w:szCs w:val="24"/>
          <w:vertAlign w:val="superscript"/>
          <w:lang w:eastAsia="es-MX"/>
        </w:rPr>
        <w:t xml:space="preserve">0 </w:t>
      </w:r>
      <w:r w:rsidRPr="00AE0CAB">
        <w:rPr>
          <w:rFonts w:ascii="Times New Roman" w:eastAsiaTheme="minorEastAsia" w:hAnsi="Times New Roman" w:cs="Times New Roman"/>
          <w:sz w:val="24"/>
          <w:szCs w:val="24"/>
          <w:lang w:eastAsia="es-MX"/>
        </w:rPr>
        <w:t>el derecho de la protección a la salud, configurándolo como un derecho humano de naturaleza prestacional y progresiva, que implica no solo la prestación de servicios médicos, sino la adopción de políticas públicas integrales orientadas a la prevención, atención, rehabilitación y control de enfermedades, así como a la promoción del bienestar físico y mental.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propia Constitución mandata que la ley definirá las bases y modalidades para el acceso a los servicios de salud y establecerá la concurrencia de la Federación y las entidades federativas en materia de salubridad general, en términos de la fracción XVI del artículo 73. Asimismo, se prevé la definición de un Sistema de Salud para el Bienestar, con el propósito de garantizar la extensión progresiva, cuantitativa y cualitativa de los servicios de salud para la atención integral y gratuita de las personas que no cuenten con seguridad social.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igual manera, recientemente se reforzó la dimensión preventiva del derecho a la salud al establecer que la ley sancionará toda actividad relacionada con cigarrillos electrónicos, vapeadores y dispositivos análogos, así como la producción, distribución y comercialización de sustancias tóxicas, precursores químicos y drogas sintéticas no autorizadas, incluido el uso ilícito del fentanilo. En ese sentido, se reconoce que la protección de la salud exige tanto la prestación de servicios médicos como la regulación estricta de actividades que representen riesgos graves para la salud pública y el orden social.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Por su parte, la Agenda de Salud Sostenible para las Américas 2018-2030 señala que los Estados miembros </w:t>
      </w:r>
      <w:r w:rsidRPr="00AE0CAB">
        <w:rPr>
          <w:rFonts w:ascii="Times New Roman" w:eastAsiaTheme="minorEastAsia" w:hAnsi="Times New Roman" w:cs="Times New Roman"/>
          <w:noProof/>
          <w:sz w:val="24"/>
          <w:szCs w:val="24"/>
          <w:lang w:eastAsia="es-MX"/>
        </w:rPr>
        <w:drawing>
          <wp:inline distT="0" distB="0" distL="0" distR="0" wp14:anchorId="47964408" wp14:editId="6ABCC35E">
            <wp:extent cx="4575" cy="4572"/>
            <wp:effectExtent l="0" t="0" r="0" b="0"/>
            <wp:docPr id="7314" name="Picture 7314"/>
            <wp:cNvGraphicFramePr/>
            <a:graphic xmlns:a="http://schemas.openxmlformats.org/drawingml/2006/main">
              <a:graphicData uri="http://schemas.openxmlformats.org/drawingml/2006/picture">
                <pic:pic xmlns:pic="http://schemas.openxmlformats.org/drawingml/2006/picture">
                  <pic:nvPicPr>
                    <pic:cNvPr id="7314" name="Picture 7314"/>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de la Organización Panamericana de la Salud debe asumir compromisos firmes en materia de protección a la salud; alineando sus acciones con la Agenda 2030 para el Desarrollo Sostenible, particularmente con el objetivo de garantizar una vida sana y promover el bienestar para todas las personas en todas las edades.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este contexto, el acceso equitativo a servicios integrales de salud, el fortalecimiento de la rectoría y la gobernanza del sistema, la formación y profesionalización permanente del personal sanitario, el financiamiento suficiente y sostenible, la disponibilidad de medicamentos, vacunas e insumos estratégicos; la incorporación de tecnologías sanitarias, el desarrollo de sistemas de información que permitan la toma de decisiones basada en evidencia; la atención oportuna ante brotes y emergencias; la vigilancia epidemiológica de enfermedades transmisibles y no transmisibles; así como la implementación de políticas orientadas a reducir desigualdades e inequidades en salud, constituyen ejes prioritarios para consolidar un sistema estatal que responda eficazmente a las necesidades presentes y futuras de la población mexiquense.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desarrollo del mandato constitucional, la Ley General de Salud establece los principios, finalidades, competencias y mecanismos de coordinación institucional del derecho a la protección de la salud y en su artículo 2</w:t>
      </w:r>
      <w:r w:rsidRPr="00AE0CAB">
        <w:rPr>
          <w:rFonts w:ascii="Times New Roman" w:eastAsiaTheme="minorEastAsia" w:hAnsi="Times New Roman" w:cs="Times New Roman"/>
          <w:sz w:val="24"/>
          <w:szCs w:val="24"/>
          <w:vertAlign w:val="superscript"/>
          <w:lang w:eastAsia="es-MX"/>
        </w:rPr>
        <w:t xml:space="preserve">0 </w:t>
      </w:r>
      <w:r w:rsidRPr="00AE0CAB">
        <w:rPr>
          <w:rFonts w:ascii="Times New Roman" w:eastAsiaTheme="minorEastAsia" w:hAnsi="Times New Roman" w:cs="Times New Roman"/>
          <w:sz w:val="24"/>
          <w:szCs w:val="24"/>
          <w:lang w:eastAsia="es-MX"/>
        </w:rPr>
        <w:t xml:space="preserve">precisa que tiene finalidades concretas y exigibles, entre las que destacan: garantizar el </w:t>
      </w:r>
      <w:r w:rsidRPr="00AE0CAB">
        <w:rPr>
          <w:rFonts w:ascii="Times New Roman" w:eastAsiaTheme="minorEastAsia" w:hAnsi="Times New Roman" w:cs="Times New Roman"/>
          <w:noProof/>
          <w:sz w:val="24"/>
          <w:szCs w:val="24"/>
          <w:lang w:eastAsia="es-MX"/>
        </w:rPr>
        <w:drawing>
          <wp:inline distT="0" distB="0" distL="0" distR="0" wp14:anchorId="669FCC88" wp14:editId="1B766004">
            <wp:extent cx="4575" cy="4572"/>
            <wp:effectExtent l="0" t="0" r="0" b="0"/>
            <wp:docPr id="12659" name="Picture 12659"/>
            <wp:cNvGraphicFramePr/>
            <a:graphic xmlns:a="http://schemas.openxmlformats.org/drawingml/2006/main">
              <a:graphicData uri="http://schemas.openxmlformats.org/drawingml/2006/picture">
                <pic:pic xmlns:pic="http://schemas.openxmlformats.org/drawingml/2006/picture">
                  <pic:nvPicPr>
                    <pic:cNvPr id="12659" name="Picture 12659"/>
                    <pic:cNvPicPr/>
                  </pic:nvPicPr>
                  <pic:blipFill>
                    <a:blip r:embed="rId1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bienestar físico y mental para el ejercicio pleno de las capacidades humanas; prolongar y mejorar la calidad de vida; proteger y fortalecer los valores que contribuyan al desarrollo social; fomentar actitudes solidarias y responsables en la preservación de la salud; asegurar el disfrute efectivo y oportuno de servicios de salud y de asistencia social; garantizar, tratándose de personas sin seguridad social, la </w:t>
      </w:r>
      <w:r w:rsidRPr="00AE0CAB">
        <w:rPr>
          <w:rFonts w:ascii="Times New Roman" w:eastAsiaTheme="minorEastAsia" w:hAnsi="Times New Roman" w:cs="Times New Roman"/>
          <w:noProof/>
          <w:sz w:val="24"/>
          <w:szCs w:val="24"/>
          <w:lang w:eastAsia="es-MX"/>
        </w:rPr>
        <w:drawing>
          <wp:inline distT="0" distB="0" distL="0" distR="0" wp14:anchorId="274E2E6E" wp14:editId="7D57F58B">
            <wp:extent cx="4575" cy="4572"/>
            <wp:effectExtent l="0" t="0" r="0" b="0"/>
            <wp:docPr id="12660" name="Picture 12660"/>
            <wp:cNvGraphicFramePr/>
            <a:graphic xmlns:a="http://schemas.openxmlformats.org/drawingml/2006/main">
              <a:graphicData uri="http://schemas.openxmlformats.org/drawingml/2006/picture">
                <pic:pic xmlns:pic="http://schemas.openxmlformats.org/drawingml/2006/picture">
                  <pic:nvPicPr>
                    <pic:cNvPr id="12660" name="Picture 12660"/>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prestación gratuita de servicios, medicamentos e insumos asociados; promover el conocimiento para el adecuado uso de los servicios sanitarios; </w:t>
      </w:r>
      <w:r w:rsidRPr="00AE0CAB">
        <w:rPr>
          <w:rFonts w:ascii="Times New Roman" w:eastAsiaTheme="minorEastAsia" w:hAnsi="Times New Roman" w:cs="Times New Roman"/>
          <w:sz w:val="24"/>
          <w:szCs w:val="24"/>
          <w:lang w:eastAsia="es-MX"/>
        </w:rPr>
        <w:lastRenderedPageBreak/>
        <w:t>impulsar la enseñanza y la investigación científica y tecnológica en materia de salud; así como priorizar la promoción de la salud y la prevención de enfermedades.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el mismo sentido, la Ley establece con claridad el esquema de concurrencia entre la Federación y las entidades federativas en materia de salubridad general, precisando que los gobiernos estatales deben coadyuvar en la operación, funcionamiento y fortalecimiento del Sistema Nacional de Salud y, para tal efecto, planear, organizar y desarrollar sistemas estatales de salud dentro de sus respectivas circunscripciones territoriales, procurando su participación programática en el sistema nacional.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manera específica, corresponde a los gobiernos de las entidades federativas, como autoridades locales en materia de salubridad general y dentro de su jurisdicción, organizar, operar, supervisar y evaluar la prestación de los servicios previstos en el artículo 3</w:t>
      </w:r>
      <w:r w:rsidRPr="00AE0CAB">
        <w:rPr>
          <w:rFonts w:ascii="Times New Roman" w:eastAsiaTheme="minorEastAsia" w:hAnsi="Times New Roman" w:cs="Times New Roman"/>
          <w:sz w:val="24"/>
          <w:szCs w:val="24"/>
          <w:vertAlign w:val="superscript"/>
          <w:lang w:eastAsia="es-MX"/>
        </w:rPr>
        <w:t xml:space="preserve">0 </w:t>
      </w:r>
      <w:r w:rsidRPr="00AE0CAB">
        <w:rPr>
          <w:rFonts w:ascii="Times New Roman" w:eastAsiaTheme="minorEastAsia" w:hAnsi="Times New Roman" w:cs="Times New Roman"/>
          <w:sz w:val="24"/>
          <w:szCs w:val="24"/>
          <w:lang w:eastAsia="es-MX"/>
        </w:rPr>
        <w:t>de la Ley General; celebrar convenios de coordinación con la Secretaría de Salud u otras entidades para asumir dichas funciones; formular y desarrollar programas locales de salud en congruencia con el Plan Nacional de Desarrollo; ejecutar acciones en materia de salubridad local; generar y proporcionar información estadística a la Federación; vigilar el cumplimiento de la legislación sanitaria; y ejercer las demás atribuciones que establezcan las disposiciones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De este modo, la Ley General de Salud no sólo define el contenido material del derecho a la protección de la salud, sino que estructura un modelo de coordinación y corresponsabilidad institucional que obliga a </w:t>
      </w:r>
      <w:r w:rsidRPr="00AE0CAB">
        <w:rPr>
          <w:rFonts w:ascii="Times New Roman" w:eastAsiaTheme="minorEastAsia" w:hAnsi="Times New Roman" w:cs="Times New Roman"/>
          <w:noProof/>
          <w:sz w:val="24"/>
          <w:szCs w:val="24"/>
          <w:lang w:eastAsia="es-MX"/>
        </w:rPr>
        <w:drawing>
          <wp:inline distT="0" distB="0" distL="0" distR="0" wp14:anchorId="3273CF8E" wp14:editId="1FEE5062">
            <wp:extent cx="9150" cy="27432"/>
            <wp:effectExtent l="0" t="0" r="0" b="0"/>
            <wp:docPr id="562706" name="Picture 562706"/>
            <wp:cNvGraphicFramePr/>
            <a:graphic xmlns:a="http://schemas.openxmlformats.org/drawingml/2006/main">
              <a:graphicData uri="http://schemas.openxmlformats.org/drawingml/2006/picture">
                <pic:pic xmlns:pic="http://schemas.openxmlformats.org/drawingml/2006/picture">
                  <pic:nvPicPr>
                    <pic:cNvPr id="562706" name="Picture 562706"/>
                    <pic:cNvPicPr/>
                  </pic:nvPicPr>
                  <pic:blipFill>
                    <a:blip r:embed="rId11"/>
                    <a:stretch>
                      <a:fillRect/>
                    </a:stretch>
                  </pic:blipFill>
                  <pic:spPr>
                    <a:xfrm>
                      <a:off x="0" y="0"/>
                      <a:ext cx="9150" cy="27432"/>
                    </a:xfrm>
                    <a:prstGeom prst="rect">
                      <a:avLst/>
                    </a:prstGeom>
                  </pic:spPr>
                </pic:pic>
              </a:graphicData>
            </a:graphic>
          </wp:inline>
        </w:drawing>
      </w:r>
      <w:r w:rsidRPr="00AE0CAB">
        <w:rPr>
          <w:rFonts w:ascii="Times New Roman" w:eastAsiaTheme="minorEastAsia" w:hAnsi="Times New Roman" w:cs="Times New Roman"/>
          <w:sz w:val="24"/>
          <w:szCs w:val="24"/>
          <w:lang w:eastAsia="es-MX"/>
        </w:rPr>
        <w:t>las entidades federativas a asumir un papel activo en la planeación, operación y evaluación de los servicios sanitarios, bajo los principios de integralidad, gratuidad para quienes carecen de seguridad social, prevención, promoción y mejora continua de la calidad de los servicios.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En este orden de ideas, se dispone que todas las personas que se encuentren en el país que no cuenten </w:t>
      </w:r>
      <w:r w:rsidRPr="00AE0CAB">
        <w:rPr>
          <w:rFonts w:ascii="Times New Roman" w:eastAsiaTheme="minorEastAsia" w:hAnsi="Times New Roman" w:cs="Times New Roman"/>
          <w:noProof/>
          <w:sz w:val="24"/>
          <w:szCs w:val="24"/>
          <w:lang w:eastAsia="es-MX"/>
        </w:rPr>
        <w:drawing>
          <wp:inline distT="0" distB="0" distL="0" distR="0" wp14:anchorId="148E7242" wp14:editId="37C1F95C">
            <wp:extent cx="4575" cy="36576"/>
            <wp:effectExtent l="0" t="0" r="0" b="0"/>
            <wp:docPr id="562708" name="Picture 562708"/>
            <wp:cNvGraphicFramePr/>
            <a:graphic xmlns:a="http://schemas.openxmlformats.org/drawingml/2006/main">
              <a:graphicData uri="http://schemas.openxmlformats.org/drawingml/2006/picture">
                <pic:pic xmlns:pic="http://schemas.openxmlformats.org/drawingml/2006/picture">
                  <pic:nvPicPr>
                    <pic:cNvPr id="562708" name="Picture 562708"/>
                    <pic:cNvPicPr/>
                  </pic:nvPicPr>
                  <pic:blipFill>
                    <a:blip r:embed="rId12"/>
                    <a:stretch>
                      <a:fillRect/>
                    </a:stretch>
                  </pic:blipFill>
                  <pic:spPr>
                    <a:xfrm>
                      <a:off x="0" y="0"/>
                      <a:ext cx="4575" cy="36576"/>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con seguridad social tienen derecho a recibir de forma gratuita la prestación de servicios públicos de </w:t>
      </w:r>
      <w:r w:rsidRPr="00AE0CAB">
        <w:rPr>
          <w:rFonts w:ascii="Times New Roman" w:eastAsiaTheme="minorEastAsia" w:hAnsi="Times New Roman" w:cs="Times New Roman"/>
          <w:noProof/>
          <w:sz w:val="24"/>
          <w:szCs w:val="24"/>
          <w:lang w:eastAsia="es-MX"/>
        </w:rPr>
        <w:drawing>
          <wp:inline distT="0" distB="0" distL="0" distR="0" wp14:anchorId="27881EC8" wp14:editId="2C11A8C3">
            <wp:extent cx="4575" cy="4572"/>
            <wp:effectExtent l="0" t="0" r="0" b="0"/>
            <wp:docPr id="12665" name="Picture 12665"/>
            <wp:cNvGraphicFramePr/>
            <a:graphic xmlns:a="http://schemas.openxmlformats.org/drawingml/2006/main">
              <a:graphicData uri="http://schemas.openxmlformats.org/drawingml/2006/picture">
                <pic:pic xmlns:pic="http://schemas.openxmlformats.org/drawingml/2006/picture">
                  <pic:nvPicPr>
                    <pic:cNvPr id="12665" name="Picture 12665"/>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salud, medicamentos y demás insumos asociados, al momento de requerir la atención, a través del Sistema de Salud para el Bienestar, el cual contará con un Modelo de Atención a la Salud para el Bienestar, </w:t>
      </w:r>
      <w:r w:rsidRPr="00AE0CAB">
        <w:rPr>
          <w:rFonts w:ascii="Times New Roman" w:eastAsiaTheme="minorEastAsia" w:hAnsi="Times New Roman" w:cs="Times New Roman"/>
          <w:noProof/>
          <w:sz w:val="24"/>
          <w:szCs w:val="24"/>
          <w:lang w:eastAsia="es-MX"/>
        </w:rPr>
        <w:drawing>
          <wp:inline distT="0" distB="0" distL="0" distR="0" wp14:anchorId="3C840CF8" wp14:editId="30F24E8D">
            <wp:extent cx="4575" cy="4572"/>
            <wp:effectExtent l="0" t="0" r="0" b="0"/>
            <wp:docPr id="12666" name="Picture 12666"/>
            <wp:cNvGraphicFramePr/>
            <a:graphic xmlns:a="http://schemas.openxmlformats.org/drawingml/2006/main">
              <a:graphicData uri="http://schemas.openxmlformats.org/drawingml/2006/picture">
                <pic:pic xmlns:pic="http://schemas.openxmlformats.org/drawingml/2006/picture">
                  <pic:nvPicPr>
                    <pic:cNvPr id="12666" name="Picture 12666"/>
                    <pic:cNvPicPr/>
                  </pic:nvPicPr>
                  <pic:blipFill>
                    <a:blip r:embed="rId13"/>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base para la transformación de la salud, bajo la responsabilidad operativa del Estado. La prestación de </w:t>
      </w:r>
      <w:r w:rsidRPr="00AE0CAB">
        <w:rPr>
          <w:rFonts w:ascii="Times New Roman" w:eastAsiaTheme="minorEastAsia" w:hAnsi="Times New Roman" w:cs="Times New Roman"/>
          <w:noProof/>
          <w:sz w:val="24"/>
          <w:szCs w:val="24"/>
          <w:lang w:eastAsia="es-MX"/>
        </w:rPr>
        <w:drawing>
          <wp:inline distT="0" distB="0" distL="0" distR="0" wp14:anchorId="5ABC4380" wp14:editId="03765BE5">
            <wp:extent cx="9149" cy="18288"/>
            <wp:effectExtent l="0" t="0" r="0" b="0"/>
            <wp:docPr id="562710" name="Picture 562710"/>
            <wp:cNvGraphicFramePr/>
            <a:graphic xmlns:a="http://schemas.openxmlformats.org/drawingml/2006/main">
              <a:graphicData uri="http://schemas.openxmlformats.org/drawingml/2006/picture">
                <pic:pic xmlns:pic="http://schemas.openxmlformats.org/drawingml/2006/picture">
                  <pic:nvPicPr>
                    <pic:cNvPr id="562710" name="Picture 562710"/>
                    <pic:cNvPicPr/>
                  </pic:nvPicPr>
                  <pic:blipFill>
                    <a:blip r:embed="rId14"/>
                    <a:stretch>
                      <a:fillRect/>
                    </a:stretch>
                  </pic:blipFill>
                  <pic:spPr>
                    <a:xfrm>
                      <a:off x="0" y="0"/>
                      <a:ext cx="9149" cy="18288"/>
                    </a:xfrm>
                    <a:prstGeom prst="rect">
                      <a:avLst/>
                    </a:prstGeom>
                  </pic:spPr>
                </pic:pic>
              </a:graphicData>
            </a:graphic>
          </wp:inline>
        </w:drawing>
      </w:r>
      <w:r w:rsidRPr="00AE0CAB">
        <w:rPr>
          <w:rFonts w:ascii="Times New Roman" w:eastAsiaTheme="minorEastAsia" w:hAnsi="Times New Roman" w:cs="Times New Roman"/>
          <w:sz w:val="24"/>
          <w:szCs w:val="24"/>
          <w:lang w:eastAsia="es-MX"/>
        </w:rPr>
        <w:t>servicios que plantea el modelo, insta a las entidades federativas, a fortalecer las capacidades de rectoría del sector salud y la operación de los servicios en favor de la salud pública, con un enfoque de promoción de la salud y prevención de enfermedades, centrado en las personas, las familias y las comunidades, con perspectiva de derechos humanos y equidad de género.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Atento a lo anterior, la Constitución Política del Estado Libre y Soberano de México en su artículo 5</w:t>
      </w:r>
      <w:r w:rsidR="007415C0" w:rsidRPr="00AE0CAB">
        <w:rPr>
          <w:rFonts w:ascii="Times New Roman" w:eastAsiaTheme="minorEastAsia" w:hAnsi="Times New Roman" w:cs="Times New Roman"/>
          <w:sz w:val="24"/>
          <w:szCs w:val="24"/>
          <w:lang w:eastAsia="es-MX"/>
        </w:rPr>
        <w:t>°</w:t>
      </w:r>
      <w:r w:rsidRPr="00AE0CAB">
        <w:rPr>
          <w:rFonts w:ascii="Times New Roman" w:eastAsiaTheme="minorEastAsia" w:hAnsi="Times New Roman" w:cs="Times New Roman"/>
          <w:sz w:val="24"/>
          <w:szCs w:val="24"/>
          <w:vertAlign w:val="superscript"/>
          <w:lang w:eastAsia="es-MX"/>
        </w:rPr>
        <w:t xml:space="preserve"> </w:t>
      </w:r>
      <w:r w:rsidRPr="00AE0CAB">
        <w:rPr>
          <w:rFonts w:ascii="Times New Roman" w:eastAsiaTheme="minorEastAsia" w:hAnsi="Times New Roman" w:cs="Times New Roman"/>
          <w:sz w:val="24"/>
          <w:szCs w:val="24"/>
          <w:lang w:eastAsia="es-MX"/>
        </w:rPr>
        <w:t>establece que en el Estado de México se fomentará, entre sus habitantes, el cuidado de la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este sentido, y con un firme compromiso orientada a consolidar una transformación sustantiva del sector salud, el Plan de Desarrollo del Estado de México 2023-2029 establece como objetivo prioritario del Eje 4. Bienestar social "Combate a la pobreza y atención a grupos en situación de vulnerabilidad" el acceso a la salud integral, el cual implica que todas las personas tengan acceso pleno, efectivo y equitativo a servicios de atención médica de calidad, sin que enfrenten barreras financieras, geográficas, culturales, administrativas o de cualquier otra índole que limiten el ejercicio de su derecho. Bajo esta premisa, la acción gubernamental reconoce que la salud constituye un pilar estratégico para el desarrollo humano, la cohesión social y la prosperidad de las y los mexiquenses.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En ese marco, el Plan Estatal establece acciones concretas que dan sustento operativo a esta visión, entre las que destacan: la Estrategia 4.6.1, relativa a la implementación de un modelo de promoción de la salud y prevención de las principales causas de morbilidad y mortalidad; la Estrategia 4.6.2, orientada a </w:t>
      </w:r>
      <w:r w:rsidRPr="00AE0CAB">
        <w:rPr>
          <w:rFonts w:ascii="Times New Roman" w:eastAsiaTheme="minorEastAsia" w:hAnsi="Times New Roman" w:cs="Times New Roman"/>
          <w:noProof/>
          <w:sz w:val="24"/>
          <w:szCs w:val="24"/>
          <w:lang w:eastAsia="es-MX"/>
        </w:rPr>
        <w:drawing>
          <wp:inline distT="0" distB="0" distL="0" distR="0" wp14:anchorId="6EB02439" wp14:editId="766A9C35">
            <wp:extent cx="4575" cy="4572"/>
            <wp:effectExtent l="0" t="0" r="0" b="0"/>
            <wp:docPr id="17811" name="Picture 17811"/>
            <wp:cNvGraphicFramePr/>
            <a:graphic xmlns:a="http://schemas.openxmlformats.org/drawingml/2006/main">
              <a:graphicData uri="http://schemas.openxmlformats.org/drawingml/2006/picture">
                <pic:pic xmlns:pic="http://schemas.openxmlformats.org/drawingml/2006/picture">
                  <pic:nvPicPr>
                    <pic:cNvPr id="17811" name="Picture 17811"/>
                    <pic:cNvPicPr/>
                  </pic:nvPicPr>
                  <pic:blipFill>
                    <a:blip r:embed="rId1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consolidar un modelo de atención integral humanista con énfasis en población vulnerable; la Estrategia </w:t>
      </w:r>
      <w:r w:rsidRPr="00AE0CAB">
        <w:rPr>
          <w:rFonts w:ascii="Times New Roman" w:eastAsiaTheme="minorEastAsia" w:hAnsi="Times New Roman" w:cs="Times New Roman"/>
          <w:noProof/>
          <w:sz w:val="24"/>
          <w:szCs w:val="24"/>
          <w:lang w:eastAsia="es-MX"/>
        </w:rPr>
        <w:drawing>
          <wp:inline distT="0" distB="0" distL="0" distR="0" wp14:anchorId="72F7A70B" wp14:editId="21D052B3">
            <wp:extent cx="4575" cy="4572"/>
            <wp:effectExtent l="0" t="0" r="0" b="0"/>
            <wp:docPr id="17812" name="Picture 17812"/>
            <wp:cNvGraphicFramePr/>
            <a:graphic xmlns:a="http://schemas.openxmlformats.org/drawingml/2006/main">
              <a:graphicData uri="http://schemas.openxmlformats.org/drawingml/2006/picture">
                <pic:pic xmlns:pic="http://schemas.openxmlformats.org/drawingml/2006/picture">
                  <pic:nvPicPr>
                    <pic:cNvPr id="17812" name="Picture 17812"/>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4.6.3, que impulsa políticas intersectoriales para el diagnóstico, atención y promoción del bienestar </w:t>
      </w:r>
      <w:r w:rsidRPr="00AE0CAB">
        <w:rPr>
          <w:rFonts w:ascii="Times New Roman" w:eastAsiaTheme="minorEastAsia" w:hAnsi="Times New Roman" w:cs="Times New Roman"/>
          <w:noProof/>
          <w:sz w:val="24"/>
          <w:szCs w:val="24"/>
          <w:lang w:eastAsia="es-MX"/>
        </w:rPr>
        <w:drawing>
          <wp:inline distT="0" distB="0" distL="0" distR="0" wp14:anchorId="500160B0" wp14:editId="5FE71A99">
            <wp:extent cx="4575" cy="4572"/>
            <wp:effectExtent l="0" t="0" r="0" b="0"/>
            <wp:docPr id="17813" name="Picture 17813"/>
            <wp:cNvGraphicFramePr/>
            <a:graphic xmlns:a="http://schemas.openxmlformats.org/drawingml/2006/main">
              <a:graphicData uri="http://schemas.openxmlformats.org/drawingml/2006/picture">
                <pic:pic xmlns:pic="http://schemas.openxmlformats.org/drawingml/2006/picture">
                  <pic:nvPicPr>
                    <pic:cNvPr id="17813" name="Picture 17813"/>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mental; así como con las Estrategias 4.7.1 y 4.7.2, dirigidas a la capacitación continua del personal de salud, la evaluación de la calidad de los servicios y el adecuado abasto y control de insumos, además de la Estrategia 4.8.1, enfocada en incrementar la capacidad de atención hospitalaria, fortaleciendo integralmente la infraestructura y la operatividad del sistema estatal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Dado el contexto actual y la evolución del modelo sanitario nacional, resulta imperativo que en el Estado de México cuente con un marco jurídico específico, sistemático y actualizado en materia de salud, capaz de responder a las necesidades contemporáneas y especialmente para garantizar a la población la existencia de instituciones sólidas, articuladas y eficaces que respalden el ejercicio de este derecho fundamental.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En este sentido, la presente iniciativa constituye un paso fundamental para fortalecer la garantía del </w:t>
      </w:r>
      <w:r w:rsidRPr="00AE0CAB">
        <w:rPr>
          <w:rFonts w:ascii="Times New Roman" w:eastAsiaTheme="minorEastAsia" w:hAnsi="Times New Roman" w:cs="Times New Roman"/>
          <w:noProof/>
          <w:sz w:val="24"/>
          <w:szCs w:val="24"/>
          <w:lang w:eastAsia="es-MX"/>
        </w:rPr>
        <w:drawing>
          <wp:inline distT="0" distB="0" distL="0" distR="0" wp14:anchorId="3FF4578B" wp14:editId="1BCF41EB">
            <wp:extent cx="4575" cy="4572"/>
            <wp:effectExtent l="0" t="0" r="0" b="0"/>
            <wp:docPr id="17815" name="Picture 17815"/>
            <wp:cNvGraphicFramePr/>
            <a:graphic xmlns:a="http://schemas.openxmlformats.org/drawingml/2006/main">
              <a:graphicData uri="http://schemas.openxmlformats.org/drawingml/2006/picture">
                <pic:pic xmlns:pic="http://schemas.openxmlformats.org/drawingml/2006/picture">
                  <pic:nvPicPr>
                    <pic:cNvPr id="17815" name="Picture 17815"/>
                    <pic:cNvPicPr/>
                  </pic:nvPicPr>
                  <pic:blipFill>
                    <a:blip r:embed="rId16"/>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derecho a la salud, procurando la debida correspondencia entre la normativa estatal y la estructura institucional vigente, datando de coherencia al nuevo modelo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Actualmente, la regulación en materia de salud en la entidad se encuentra contenida en el Libro Segundo del Código Administrativo del Estado de México, expedido mediante el Decreto número 41, publicado en el Periódico Oficial "Gaceta del Gobierno" el 13 de diciembre del 2001, tras la abrogación de la Ley de Salud del Estado de México de aquel entonces.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su momento, dicha decisión respondió a la necesidad de simplificar y sistematizar un conjunto disperso de ordenamientos administrativos; sin embargo, con el paso del tiempo, la concentración de materias sustantivas dentro de un código de naturaleza predominantemente administrativa ha generado limitaciones para el desarrollo integral del derecho a la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Si bien el Libro Segundo del citado Código, delimitan de manera sistemática los ámbitos de competencia de la Secretaría de Salud y del Instituto de Salud del Estado de México, esta regulación resulta insuficiente frente a la complejidad actual del sistema sanitario, pues circunscribe el derecho a la salud a una lógica administrativa y orgánica, sin desplegar con amplitud sus dimensiones sustantivas, preventivas, comunitarias y de coordinación interinstitucional.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simplificación normativa de entonces, hoy se traduce en una fragmentación conceptual que dificulta la adecuada comprensión, aplicación y fortalecimiento del sistema estatal de salud. Por ello, se requiere la expedición de un ordenamiento especializado que establezca con claridad los principios rectores, la distribución de competencias, los mecanismos de coordinación, la rectoría sanitaria, la operación de los organismos especializados en salud y el fortalecimiento de sus capacidades técnicas, operativas y organizacionales.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Desde la perspectiva contemporánea de los derechos humanos, mantener la regulación de un derecho </w:t>
      </w:r>
      <w:r w:rsidRPr="00AE0CAB">
        <w:rPr>
          <w:rFonts w:ascii="Times New Roman" w:eastAsiaTheme="minorEastAsia" w:hAnsi="Times New Roman" w:cs="Times New Roman"/>
          <w:noProof/>
          <w:sz w:val="24"/>
          <w:szCs w:val="24"/>
          <w:lang w:eastAsia="es-MX"/>
        </w:rPr>
        <w:drawing>
          <wp:inline distT="0" distB="0" distL="0" distR="0" wp14:anchorId="7920A6B7" wp14:editId="74A8AC38">
            <wp:extent cx="4575" cy="4572"/>
            <wp:effectExtent l="0" t="0" r="0" b="0"/>
            <wp:docPr id="22964" name="Picture 22964"/>
            <wp:cNvGraphicFramePr/>
            <a:graphic xmlns:a="http://schemas.openxmlformats.org/drawingml/2006/main">
              <a:graphicData uri="http://schemas.openxmlformats.org/drawingml/2006/picture">
                <pic:pic xmlns:pic="http://schemas.openxmlformats.org/drawingml/2006/picture">
                  <pic:nvPicPr>
                    <pic:cNvPr id="22964" name="Picture 22964"/>
                    <pic:cNvPicPr/>
                  </pic:nvPicPr>
                  <pic:blipFill>
                    <a:blip r:embed="rId1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fundamental en un apartado administrativo limita su desarrollo progresivo y su adecuada tutela. En consecuencia, resulta impostergable que el Estado de México cuente con una Ley de Salud propia, que aborde de manera integral este derecho en todas sus dimensiones - preventiva, </w:t>
      </w:r>
      <w:r w:rsidRPr="00AE0CAB">
        <w:rPr>
          <w:rFonts w:ascii="Times New Roman" w:eastAsiaTheme="minorEastAsia" w:hAnsi="Times New Roman" w:cs="Times New Roman"/>
          <w:sz w:val="24"/>
          <w:szCs w:val="24"/>
          <w:lang w:eastAsia="es-MX"/>
        </w:rPr>
        <w:lastRenderedPageBreak/>
        <w:t xml:space="preserve">curativa, rehabilitadora </w:t>
      </w:r>
      <w:r w:rsidRPr="00AE0CAB">
        <w:rPr>
          <w:rFonts w:ascii="Times New Roman" w:eastAsiaTheme="minorEastAsia" w:hAnsi="Times New Roman" w:cs="Times New Roman"/>
          <w:noProof/>
          <w:sz w:val="24"/>
          <w:szCs w:val="24"/>
          <w:lang w:eastAsia="es-MX"/>
        </w:rPr>
        <w:drawing>
          <wp:inline distT="0" distB="0" distL="0" distR="0" wp14:anchorId="05E3D65C" wp14:editId="10A33E33">
            <wp:extent cx="4575" cy="9144"/>
            <wp:effectExtent l="0" t="0" r="0" b="0"/>
            <wp:docPr id="22965" name="Picture 22965"/>
            <wp:cNvGraphicFramePr/>
            <a:graphic xmlns:a="http://schemas.openxmlformats.org/drawingml/2006/main">
              <a:graphicData uri="http://schemas.openxmlformats.org/drawingml/2006/picture">
                <pic:pic xmlns:pic="http://schemas.openxmlformats.org/drawingml/2006/picture">
                  <pic:nvPicPr>
                    <pic:cNvPr id="22965" name="Picture 22965"/>
                    <pic:cNvPicPr/>
                  </pic:nvPicPr>
                  <pic:blipFill>
                    <a:blip r:embed="rId17"/>
                    <a:stretch>
                      <a:fillRect/>
                    </a:stretch>
                  </pic:blipFill>
                  <pic:spPr>
                    <a:xfrm>
                      <a:off x="0" y="0"/>
                      <a:ext cx="4575" cy="9144"/>
                    </a:xfrm>
                    <a:prstGeom prst="rect">
                      <a:avLst/>
                    </a:prstGeom>
                  </pic:spPr>
                </pic:pic>
              </a:graphicData>
            </a:graphic>
          </wp:inline>
        </w:drawing>
      </w:r>
      <w:r w:rsidRPr="00AE0CAB">
        <w:rPr>
          <w:rFonts w:ascii="Times New Roman" w:eastAsiaTheme="minorEastAsia" w:hAnsi="Times New Roman" w:cs="Times New Roman"/>
          <w:sz w:val="24"/>
          <w:szCs w:val="24"/>
          <w:lang w:eastAsia="es-MX"/>
        </w:rPr>
        <w:t>y paliativa-, que fortalezca la rectoría del sector, regule la coordinación entre instituciones públicas y privadas, y consolide un modelo de atención con enfoque de curso de vida, perspectiva de derechos</w:t>
      </w:r>
      <w:r w:rsidRPr="00AE0CAB">
        <w:rPr>
          <w:rFonts w:ascii="Times New Roman" w:eastAsiaTheme="minorEastAsia" w:hAnsi="Times New Roman" w:cs="Times New Roman"/>
          <w:noProof/>
          <w:sz w:val="24"/>
          <w:szCs w:val="24"/>
          <w:lang w:eastAsia="es-MX"/>
        </w:rPr>
        <w:drawing>
          <wp:inline distT="0" distB="0" distL="0" distR="0" wp14:anchorId="6195D589" wp14:editId="4C2DCCA6">
            <wp:extent cx="4574" cy="4572"/>
            <wp:effectExtent l="0" t="0" r="0" b="0"/>
            <wp:docPr id="22966" name="Picture 22966"/>
            <wp:cNvGraphicFramePr/>
            <a:graphic xmlns:a="http://schemas.openxmlformats.org/drawingml/2006/main">
              <a:graphicData uri="http://schemas.openxmlformats.org/drawingml/2006/picture">
                <pic:pic xmlns:pic="http://schemas.openxmlformats.org/drawingml/2006/picture">
                  <pic:nvPicPr>
                    <pic:cNvPr id="22966" name="Picture 22966"/>
                    <pic:cNvPicPr/>
                  </pic:nvPicPr>
                  <pic:blipFill>
                    <a:blip r:embed="rId16"/>
                    <a:stretch>
                      <a:fillRect/>
                    </a:stretch>
                  </pic:blipFill>
                  <pic:spPr>
                    <a:xfrm>
                      <a:off x="0" y="0"/>
                      <a:ext cx="4574"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 humanos y vocación transformadora en favor de la población mexiquense.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este tenor, la presente iniciativa está integrada por doce títulos, distribuidos de la siguiente manera: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el Titulo Primero, se encuentran contenidas la directrices generales de este instrumento, estableciendo el objeto, así como, los principios fundamentales que regirán el actuar de las autoridades y su aplicación en materia de salud, encaminados a garantizar la protección de la salud de la población en el Estado de México, derechos contenidos en los artículos 4</w:t>
      </w:r>
      <w:r w:rsidRPr="00AE0CAB">
        <w:rPr>
          <w:rFonts w:ascii="Times New Roman" w:eastAsiaTheme="minorEastAsia" w:hAnsi="Times New Roman" w:cs="Times New Roman"/>
          <w:sz w:val="24"/>
          <w:szCs w:val="24"/>
          <w:vertAlign w:val="superscript"/>
          <w:lang w:eastAsia="es-MX"/>
        </w:rPr>
        <w:t>0</w:t>
      </w:r>
      <w:r w:rsidRPr="00AE0CAB">
        <w:rPr>
          <w:rFonts w:ascii="Times New Roman" w:eastAsiaTheme="minorEastAsia" w:hAnsi="Times New Roman" w:cs="Times New Roman"/>
          <w:sz w:val="24"/>
          <w:szCs w:val="24"/>
          <w:lang w:eastAsia="es-MX"/>
        </w:rPr>
        <w:t>de la Constitución Política de los Estados Unidos Mexicanos, 5</w:t>
      </w:r>
      <w:r w:rsidRPr="00AE0CAB">
        <w:rPr>
          <w:rFonts w:ascii="Times New Roman" w:eastAsiaTheme="minorEastAsia" w:hAnsi="Times New Roman" w:cs="Times New Roman"/>
          <w:sz w:val="24"/>
          <w:szCs w:val="24"/>
          <w:vertAlign w:val="superscript"/>
          <w:lang w:eastAsia="es-MX"/>
        </w:rPr>
        <w:t xml:space="preserve">0 </w:t>
      </w:r>
      <w:r w:rsidRPr="00AE0CAB">
        <w:rPr>
          <w:rFonts w:ascii="Times New Roman" w:eastAsiaTheme="minorEastAsia" w:hAnsi="Times New Roman" w:cs="Times New Roman"/>
          <w:sz w:val="24"/>
          <w:szCs w:val="24"/>
          <w:lang w:eastAsia="es-MX"/>
        </w:rPr>
        <w:t>de la Constitución Política del Estado Libre y Soberano de México y 13 de la Ley General de Salud, y los convenios y acuerdos de coordinación en materia de salud que se celebren entre la Federación y 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Referente al Título Segundo, se precisa la población objetivo, sus derechos y obligaciones y en particular la aplicación del enfoque de interseccionalidad, el cual reconoce que existen diversas condiciones que, en suma, incrementan las desigualdades que pueden enfrentar ciertos grupos poblacionales. Ante esto, y con el propósito de disminuir brechas de desigualdad, se enuncian aquellos grupos que enfrentan mayores desigualdades, considerando a las personas adultas mayores; mujeres y personas gestantes; niñas, niños y adolescentes; personas con discapacidad; personas en situación de calle; personas de la comunidad LGBTTTIQ+; personas migrantes; personas pertenecientes a pueblos y comunidades indígenas y afromexicanas; así como, víctimas de delitos o de violaciones a derechos humanos, considerados como grupos de atención prioritaria para efectos de esta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Título Tercero busca consagrar las responsabilidades colectivas de las instituciones del Estado en favor de la garantía del derecho a la salud, entendida como una atención integral, retornando atribuciones esenciales de cada una de las instancias, en armonía con Ley Orgánica de la Administración Pública del Estado de México, ordenamientos normativos específicos, reglamentos, entre otros.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Asimismo, se retoma el Sistema Estatal de Salud como máxima autoridad en salud, con el objeto de facilitar el desarrollo de políticas públicas transversales, encaminadas a la consolidación de la prestación de los servicios de salud e impulsar mecanismos de colaboración para dar cumplimiento a este derecho.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dinámica actual en la entidad y su relación con la ejecución de políticas federales, vuelve imperante la necesidad de fortalecer la capacidad rectora de la Secretaría de Salud del Estado de México, para lo cual habrá de considerarse la regulación, coordinación y supervisión de las directrices, planes, programas, proyectos, acciones y demás políticas de salud. Asimismo, se robustece el papel de los Organismos Especializados en Salud en sus respectivos ámbitos de competencia, como ejecutores de las directrices de la Secretaria. En este sentido, el Instituto de Salud del Estado de México como instancia operadora, normativa y de conducción de la política estatal, se constituye como brazo ejecutor de autoridad de la Secretaría, en la planeación ejecución y coordinación de los servicios de salud en la entidad y del ejercicio del control y fomento sanitarios.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 xml:space="preserve">Entendiendo que la toma de decisiones en torno a la salud pública, debe realizarse considerando las diversas situaciones que enfrentan los sectores público, social y privado, así como en apego a las normas </w:t>
      </w:r>
      <w:r w:rsidRPr="00AE0CAB">
        <w:rPr>
          <w:rFonts w:ascii="Times New Roman" w:eastAsiaTheme="minorEastAsia" w:hAnsi="Times New Roman" w:cs="Times New Roman"/>
          <w:noProof/>
          <w:sz w:val="24"/>
          <w:szCs w:val="24"/>
          <w:lang w:eastAsia="es-MX"/>
        </w:rPr>
        <w:drawing>
          <wp:inline distT="0" distB="0" distL="0" distR="0" wp14:anchorId="1410DB04" wp14:editId="65AEF2B5">
            <wp:extent cx="4574" cy="4572"/>
            <wp:effectExtent l="0" t="0" r="0" b="0"/>
            <wp:docPr id="28192" name="Picture 28192"/>
            <wp:cNvGraphicFramePr/>
            <a:graphic xmlns:a="http://schemas.openxmlformats.org/drawingml/2006/main">
              <a:graphicData uri="http://schemas.openxmlformats.org/drawingml/2006/picture">
                <pic:pic xmlns:pic="http://schemas.openxmlformats.org/drawingml/2006/picture">
                  <pic:nvPicPr>
                    <pic:cNvPr id="28192" name="Picture 28192"/>
                    <pic:cNvPicPr/>
                  </pic:nvPicPr>
                  <pic:blipFill>
                    <a:blip r:embed="rId18"/>
                    <a:stretch>
                      <a:fillRect/>
                    </a:stretch>
                  </pic:blipFill>
                  <pic:spPr>
                    <a:xfrm>
                      <a:off x="0" y="0"/>
                      <a:ext cx="4574"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nacionales en la materia, se vuelve fundamental contar con órganos consultivos de atención a problemáticas específicas, con la finalidad de brindar respuestas integrales y oportunas ante una </w:t>
      </w:r>
      <w:r w:rsidRPr="00AE0CAB">
        <w:rPr>
          <w:rFonts w:ascii="Times New Roman" w:eastAsiaTheme="minorEastAsia" w:hAnsi="Times New Roman" w:cs="Times New Roman"/>
          <w:noProof/>
          <w:sz w:val="24"/>
          <w:szCs w:val="24"/>
          <w:lang w:eastAsia="es-MX"/>
        </w:rPr>
        <w:drawing>
          <wp:inline distT="0" distB="0" distL="0" distR="0" wp14:anchorId="03A1E3D2" wp14:editId="74ADAF80">
            <wp:extent cx="13724" cy="68580"/>
            <wp:effectExtent l="0" t="0" r="0" b="0"/>
            <wp:docPr id="562725" name="Picture 562725"/>
            <wp:cNvGraphicFramePr/>
            <a:graphic xmlns:a="http://schemas.openxmlformats.org/drawingml/2006/main">
              <a:graphicData uri="http://schemas.openxmlformats.org/drawingml/2006/picture">
                <pic:pic xmlns:pic="http://schemas.openxmlformats.org/drawingml/2006/picture">
                  <pic:nvPicPr>
                    <pic:cNvPr id="562725" name="Picture 562725"/>
                    <pic:cNvPicPr/>
                  </pic:nvPicPr>
                  <pic:blipFill>
                    <a:blip r:embed="rId19"/>
                    <a:stretch>
                      <a:fillRect/>
                    </a:stretch>
                  </pic:blipFill>
                  <pic:spPr>
                    <a:xfrm>
                      <a:off x="0" y="0"/>
                      <a:ext cx="13724" cy="68580"/>
                    </a:xfrm>
                    <a:prstGeom prst="rect">
                      <a:avLst/>
                    </a:prstGeom>
                  </pic:spPr>
                </pic:pic>
              </a:graphicData>
            </a:graphic>
          </wp:inline>
        </w:drawing>
      </w:r>
      <w:r w:rsidRPr="00AE0CAB">
        <w:rPr>
          <w:rFonts w:ascii="Times New Roman" w:eastAsiaTheme="minorEastAsia" w:hAnsi="Times New Roman" w:cs="Times New Roman"/>
          <w:sz w:val="24"/>
          <w:szCs w:val="24"/>
          <w:lang w:eastAsia="es-MX"/>
        </w:rPr>
        <w:t>situación dada.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En observancia de los principios de austeridad, racionalidad y disciplina financiera, es importante </w:t>
      </w:r>
      <w:r w:rsidRPr="00AE0CAB">
        <w:rPr>
          <w:rFonts w:ascii="Times New Roman" w:eastAsiaTheme="minorEastAsia" w:hAnsi="Times New Roman" w:cs="Times New Roman"/>
          <w:noProof/>
          <w:sz w:val="24"/>
          <w:szCs w:val="24"/>
          <w:lang w:eastAsia="es-MX"/>
        </w:rPr>
        <w:drawing>
          <wp:inline distT="0" distB="0" distL="0" distR="0" wp14:anchorId="4632B4E4" wp14:editId="22525E2E">
            <wp:extent cx="4575" cy="4572"/>
            <wp:effectExtent l="0" t="0" r="0" b="0"/>
            <wp:docPr id="28195" name="Picture 28195"/>
            <wp:cNvGraphicFramePr/>
            <a:graphic xmlns:a="http://schemas.openxmlformats.org/drawingml/2006/main">
              <a:graphicData uri="http://schemas.openxmlformats.org/drawingml/2006/picture">
                <pic:pic xmlns:pic="http://schemas.openxmlformats.org/drawingml/2006/picture">
                  <pic:nvPicPr>
                    <pic:cNvPr id="28195" name="Picture 28195"/>
                    <pic:cNvPicPr/>
                  </pic:nvPicPr>
                  <pic:blipFill>
                    <a:blip r:embed="rId2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mencionar, que la estructura organizacional prevista en este Título, se implementará con los recursos humanos, materiales y presupuestales actualmente asignados a la Secretaría, sin generar cargas </w:t>
      </w:r>
      <w:r w:rsidRPr="00AE0CAB">
        <w:rPr>
          <w:rFonts w:ascii="Times New Roman" w:eastAsiaTheme="minorEastAsia" w:hAnsi="Times New Roman" w:cs="Times New Roman"/>
          <w:noProof/>
          <w:sz w:val="24"/>
          <w:szCs w:val="24"/>
          <w:lang w:eastAsia="es-MX"/>
        </w:rPr>
        <w:drawing>
          <wp:inline distT="0" distB="0" distL="0" distR="0" wp14:anchorId="4CF3CBE6" wp14:editId="3FE21171">
            <wp:extent cx="4574" cy="4572"/>
            <wp:effectExtent l="0" t="0" r="0" b="0"/>
            <wp:docPr id="28196" name="Picture 28196"/>
            <wp:cNvGraphicFramePr/>
            <a:graphic xmlns:a="http://schemas.openxmlformats.org/drawingml/2006/main">
              <a:graphicData uri="http://schemas.openxmlformats.org/drawingml/2006/picture">
                <pic:pic xmlns:pic="http://schemas.openxmlformats.org/drawingml/2006/picture">
                  <pic:nvPicPr>
                    <pic:cNvPr id="28196" name="Picture 28196"/>
                    <pic:cNvPicPr/>
                  </pic:nvPicPr>
                  <pic:blipFill>
                    <a:blip r:embed="rId21"/>
                    <a:stretch>
                      <a:fillRect/>
                    </a:stretch>
                  </pic:blipFill>
                  <pic:spPr>
                    <a:xfrm>
                      <a:off x="0" y="0"/>
                      <a:ext cx="4574"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adicionales al erario público. De manera que, la operación se realizará con la estructura autorizada, conservando la actual naturaleza jurídica y administrativa y fortaleciendo al mismo tiempo la eficiencia y productividad en el cumplimiento de sus funciones.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Por cuanto hace a la regulación, fomento y control sanitario, esta se realiza a través de la Comisión para la Protección Contra Riesgos Sanitarios del Estado de México, se fortalece en este instrumento, con miras a garantizar la sanidad en nuestra entidad.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Ahora bien, en el Título Cuarto "De la Prestación de Servicios de Salud" se reconoce la presencia de distintos ofertantes de servicios de salud de naturaleza diversa, por lo que se vuelve necesario clasificarles para una debida coordinación tomando en cuenta la rectoría del sector salud, para lo cual se distinguen prestadores de los servicios de salud de tipo públicos, sociales o privados.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7415C0">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Relativo al Título Quinto "De la Vigilancia e Inteligencia Epidemiológica y Emergencias en Salud" y ante la necesidad de atender las demandas actuales en materia de salud, teniendo como antesala, una de las pandemias más devastadoras que ha padecido el mundo entero, las instituciones de salud están llamadas a innovar con la finalidad de prevenir y, en su caso, tener las herramientas necesarias para mitigar posibles </w:t>
      </w:r>
      <w:r w:rsidRPr="00AE0CAB">
        <w:rPr>
          <w:rFonts w:ascii="Times New Roman" w:eastAsiaTheme="minorEastAsia" w:hAnsi="Times New Roman" w:cs="Times New Roman"/>
          <w:noProof/>
          <w:sz w:val="24"/>
          <w:szCs w:val="24"/>
          <w:lang w:eastAsia="es-MX"/>
        </w:rPr>
        <w:drawing>
          <wp:inline distT="0" distB="0" distL="0" distR="0" wp14:anchorId="5EC4028D" wp14:editId="20A2C7A5">
            <wp:extent cx="4575" cy="4572"/>
            <wp:effectExtent l="0" t="0" r="0" b="0"/>
            <wp:docPr id="28197" name="Picture 28197"/>
            <wp:cNvGraphicFramePr/>
            <a:graphic xmlns:a="http://schemas.openxmlformats.org/drawingml/2006/main">
              <a:graphicData uri="http://schemas.openxmlformats.org/drawingml/2006/picture">
                <pic:pic xmlns:pic="http://schemas.openxmlformats.org/drawingml/2006/picture">
                  <pic:nvPicPr>
                    <pic:cNvPr id="28197" name="Picture 28197"/>
                    <pic:cNvPicPr/>
                  </pic:nvPicPr>
                  <pic:blipFill>
                    <a:blip r:embed="rId2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enfermedades que aquejen a la población, por lo que se incorpora un apartado señalando las intervenciones en salud respecto a la sanidad internacional. Asimismo, se incorporan en esta Ley los conceptos de vigilancia e inteligencia epidemiológica, en los cuales se establecen las directrices en torno al desarrollo de acciones de prevención y blindaje, tomando como base la recolección sistemática, continúa, oportuna y confiable de información, como instrumento dinámico y permanente, para conocer las condiciones de salud de la población y sus determinantes, su análisis e interpretación para la toma de decisiones dirigidas a prevenir, contener o controlar los riesgos y daños a la salud.</w:t>
      </w:r>
    </w:p>
    <w:p w:rsidR="005F04F9" w:rsidRPr="00AE0CAB" w:rsidRDefault="005F04F9" w:rsidP="007415C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7415C0">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El Título Sexto, centra su atención en la promoción y prevención, como componentes fundamentales en </w:t>
      </w:r>
      <w:r w:rsidRPr="00AE0CAB">
        <w:rPr>
          <w:rFonts w:ascii="Times New Roman" w:eastAsiaTheme="minorEastAsia" w:hAnsi="Times New Roman" w:cs="Times New Roman"/>
          <w:noProof/>
          <w:sz w:val="24"/>
          <w:szCs w:val="24"/>
          <w:lang w:eastAsia="es-MX"/>
        </w:rPr>
        <w:drawing>
          <wp:inline distT="0" distB="0" distL="0" distR="0" wp14:anchorId="1FD1D86A" wp14:editId="50681B52">
            <wp:extent cx="4575" cy="4572"/>
            <wp:effectExtent l="0" t="0" r="0" b="0"/>
            <wp:docPr id="28198" name="Picture 28198"/>
            <wp:cNvGraphicFramePr/>
            <a:graphic xmlns:a="http://schemas.openxmlformats.org/drawingml/2006/main">
              <a:graphicData uri="http://schemas.openxmlformats.org/drawingml/2006/picture">
                <pic:pic xmlns:pic="http://schemas.openxmlformats.org/drawingml/2006/picture">
                  <pic:nvPicPr>
                    <pic:cNvPr id="28198" name="Picture 28198"/>
                    <pic:cNvPicPr/>
                  </pic:nvPicPr>
                  <pic:blipFill>
                    <a:blip r:embed="rId16"/>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la construcción de una sociedad en bienestar. En este sentido, se aborda la ejecución de políticas y proyectos estratégicos, programas, campañas permanentes y planes de contingencia necesarios para la promoción de la salud, la prevención, control y eliminación de enfermedades transmisibles y no </w:t>
      </w:r>
      <w:r w:rsidRPr="00AE0CAB">
        <w:rPr>
          <w:rFonts w:ascii="Times New Roman" w:eastAsiaTheme="minorEastAsia" w:hAnsi="Times New Roman" w:cs="Times New Roman"/>
          <w:noProof/>
          <w:sz w:val="24"/>
          <w:szCs w:val="24"/>
          <w:lang w:eastAsia="es-MX"/>
        </w:rPr>
        <w:drawing>
          <wp:inline distT="0" distB="0" distL="0" distR="0" wp14:anchorId="44ECF733" wp14:editId="51D43445">
            <wp:extent cx="4575" cy="4572"/>
            <wp:effectExtent l="0" t="0" r="0" b="0"/>
            <wp:docPr id="28199" name="Picture 28199"/>
            <wp:cNvGraphicFramePr/>
            <a:graphic xmlns:a="http://schemas.openxmlformats.org/drawingml/2006/main">
              <a:graphicData uri="http://schemas.openxmlformats.org/drawingml/2006/picture">
                <pic:pic xmlns:pic="http://schemas.openxmlformats.org/drawingml/2006/picture">
                  <pic:nvPicPr>
                    <pic:cNvPr id="28199" name="Picture 28199"/>
                    <pic:cNvPicPr/>
                  </pic:nvPicPr>
                  <pic:blipFill>
                    <a:blip r:embed="rId1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transmisibles, que representen un riesgo real o potencial para la salud pública, reconociendo que la mejor atención es la prevención.</w:t>
      </w:r>
    </w:p>
    <w:p w:rsidR="005F04F9" w:rsidRPr="00AE0CAB" w:rsidRDefault="005F04F9" w:rsidP="007415C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7415C0">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 la luz de los problemas de salud pública que aquejan a la población, es primordial desarrollar políticas públicas para prevenir la mortalidad materna, para lo cual se incorpora un Capítulo en el que se señalan las acciones preventivas y emergentes para reducir los factores de riesgo para las madres y sus bebés. Del mismo modo, con la finalidad de garantizar que los procesos de reproducción asistida en la entidad cumplan con las normativas, este instrumento establece la regulación relativa a los espacios en los que se lleve a cabo, a las y los profesionales que lo realicen, las estadísticas, así como las implicaciones médico legales que correspondan.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Por cuanto hace al Título Séptimo, relativo a la Atención Prehospitalaria y los Servicios de Urgencias, es necesario considerar que existen factores externos tales como emergencias e imprevistos condicionados a la interacción de las personas con su entorno, aquellas de la naturaleza y fenómenos perturbadores, que </w:t>
      </w:r>
      <w:r w:rsidRPr="00AE0CAB">
        <w:rPr>
          <w:rFonts w:ascii="Times New Roman" w:eastAsiaTheme="minorEastAsia" w:hAnsi="Times New Roman" w:cs="Times New Roman"/>
          <w:noProof/>
          <w:sz w:val="24"/>
          <w:szCs w:val="24"/>
          <w:lang w:eastAsia="es-MX"/>
        </w:rPr>
        <w:drawing>
          <wp:inline distT="0" distB="0" distL="0" distR="0" wp14:anchorId="54E6259D" wp14:editId="1C3DDD1E">
            <wp:extent cx="4573" cy="4572"/>
            <wp:effectExtent l="0" t="0" r="0" b="0"/>
            <wp:docPr id="33434" name="Picture 33434"/>
            <wp:cNvGraphicFramePr/>
            <a:graphic xmlns:a="http://schemas.openxmlformats.org/drawingml/2006/main">
              <a:graphicData uri="http://schemas.openxmlformats.org/drawingml/2006/picture">
                <pic:pic xmlns:pic="http://schemas.openxmlformats.org/drawingml/2006/picture">
                  <pic:nvPicPr>
                    <pic:cNvPr id="33434" name="Picture 33434"/>
                    <pic:cNvPicPr/>
                  </pic:nvPicPr>
                  <pic:blipFill>
                    <a:blip r:embed="rId22"/>
                    <a:stretch>
                      <a:fillRect/>
                    </a:stretch>
                  </pic:blipFill>
                  <pic:spPr>
                    <a:xfrm>
                      <a:off x="0" y="0"/>
                      <a:ext cx="4573"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ponen en riesgo la salud de las personas, por lo que se vuelve necesario abordar lo tocante a los servicios de urgencias, rescate y las atenciones prehospitalarias, privilegiando la organización y articulación de las instituciones, como punto de partida para una óptima prestación de los servicios. Por su parte, previendo </w:t>
      </w:r>
      <w:r w:rsidRPr="00AE0CAB">
        <w:rPr>
          <w:rFonts w:ascii="Times New Roman" w:eastAsiaTheme="minorEastAsia" w:hAnsi="Times New Roman" w:cs="Times New Roman"/>
          <w:noProof/>
          <w:sz w:val="24"/>
          <w:szCs w:val="24"/>
          <w:lang w:eastAsia="es-MX"/>
        </w:rPr>
        <w:drawing>
          <wp:inline distT="0" distB="0" distL="0" distR="0" wp14:anchorId="0C587CA7" wp14:editId="39B2C159">
            <wp:extent cx="4575" cy="41148"/>
            <wp:effectExtent l="0" t="0" r="0" b="0"/>
            <wp:docPr id="562734" name="Picture 562734"/>
            <wp:cNvGraphicFramePr/>
            <a:graphic xmlns:a="http://schemas.openxmlformats.org/drawingml/2006/main">
              <a:graphicData uri="http://schemas.openxmlformats.org/drawingml/2006/picture">
                <pic:pic xmlns:pic="http://schemas.openxmlformats.org/drawingml/2006/picture">
                  <pic:nvPicPr>
                    <pic:cNvPr id="562734" name="Picture 562734"/>
                    <pic:cNvPicPr/>
                  </pic:nvPicPr>
                  <pic:blipFill>
                    <a:blip r:embed="rId23"/>
                    <a:stretch>
                      <a:fillRect/>
                    </a:stretch>
                  </pic:blipFill>
                  <pic:spPr>
                    <a:xfrm>
                      <a:off x="0" y="0"/>
                      <a:ext cx="4575" cy="41148"/>
                    </a:xfrm>
                    <a:prstGeom prst="rect">
                      <a:avLst/>
                    </a:prstGeom>
                  </pic:spPr>
                </pic:pic>
              </a:graphicData>
            </a:graphic>
          </wp:inline>
        </w:drawing>
      </w:r>
      <w:r w:rsidRPr="00AE0CAB">
        <w:rPr>
          <w:rFonts w:ascii="Times New Roman" w:eastAsiaTheme="minorEastAsia" w:hAnsi="Times New Roman" w:cs="Times New Roman"/>
          <w:sz w:val="24"/>
          <w:szCs w:val="24"/>
          <w:lang w:eastAsia="es-MX"/>
        </w:rPr>
        <w:t>la atención de emergencias en salud cuya capacidad reactiva sea fundamental para preservar la vida, se incluyen Códigos de atención y observancia obligatoria en la prestación de los servicios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lo relativo al Título Octavo, el Estado de México reafirma su compromiso con la promoción, procuración y realización de la donación y trasplante de órganos y tejidos, reconociendo estas acciones como instrumentos esenciales para preservar la vida, restituir la salud y mejorar sustancialmente la calidad de vida de las personas. Por ello, este Título fortalece las estrategias de sensibilización y promoción de la cultura de la donación de órganos, tejidos y sangre, destacando su carácter altruista y su relevancia como actos de corresponsabilidad comunitaria. Asimismo, se refuerza la articulación de acciones en favor de la donación y trasplante de órganos y tejidos, mediante la creación del Sistema Estatal de Donación y Trasplante de Órganos y Tejidos, en sustitución del anterior Sistema Estatal de Donación de Órganos Humanos, con lo que se incorporan a las autoridades fundamentales para el óptimo desarrollo de estos procesos, garantizando a las personas que requieren de un órgano o tejido, la posibilidad de mejorar su calidad de vida.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Por su parte, el Título Noveno aborda lo correspondiente a la regulación, control y fomento sanitario que habrán de observar las entidades médicas y unidades económicas tendientes al cuidado de la salud pública. Asimismo, concentra el marco normativo en torno a los mecanismos alternativos de solución de </w:t>
      </w:r>
      <w:r w:rsidRPr="00AE0CAB">
        <w:rPr>
          <w:rFonts w:ascii="Times New Roman" w:eastAsiaTheme="minorEastAsia" w:hAnsi="Times New Roman" w:cs="Times New Roman"/>
          <w:noProof/>
          <w:sz w:val="24"/>
          <w:szCs w:val="24"/>
          <w:lang w:eastAsia="es-MX"/>
        </w:rPr>
        <w:drawing>
          <wp:inline distT="0" distB="0" distL="0" distR="0" wp14:anchorId="19B05365" wp14:editId="1C7BF7ED">
            <wp:extent cx="4575" cy="4572"/>
            <wp:effectExtent l="0" t="0" r="0" b="0"/>
            <wp:docPr id="33438" name="Picture 33438"/>
            <wp:cNvGraphicFramePr/>
            <a:graphic xmlns:a="http://schemas.openxmlformats.org/drawingml/2006/main">
              <a:graphicData uri="http://schemas.openxmlformats.org/drawingml/2006/picture">
                <pic:pic xmlns:pic="http://schemas.openxmlformats.org/drawingml/2006/picture">
                  <pic:nvPicPr>
                    <pic:cNvPr id="33438" name="Picture 33438"/>
                    <pic:cNvPicPr/>
                  </pic:nvPicPr>
                  <pic:blipFill>
                    <a:blip r:embed="rId24"/>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controversias en la práctica médica.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Reconociendo que, es fundamental para la óptima prestación de los servicios de salud, contar con personal capaz, profesionalizado, actualizado y que conduzca su actuar en apego a las más altas normas de calidad y de ética, se incorpora el Título Décimo, que aborda las responsabilidades del personal de salud en la atención de la población.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Con relación al Título Décimo Primero "De la Investigación e Información de la Salud", se parte de la premisa de contar con información actualizada de los procesos en materia de salud, por lo que la investigación toma un papel fundamental para la generación de acciones basadas en datos cuantitativos y cualitativos que permitan un análisis profundo y detallado de ciertos aspectos, asimismo, exige del Estado una vigilancia permanente de que esta investigación sea llevada a cabo bajo los más estrictos estándares de calidad y ética, así como por profesionales altamente capacitados en las distintas </w:t>
      </w:r>
      <w:r w:rsidRPr="00AE0CAB">
        <w:rPr>
          <w:rFonts w:ascii="Times New Roman" w:eastAsiaTheme="minorEastAsia" w:hAnsi="Times New Roman" w:cs="Times New Roman"/>
          <w:noProof/>
          <w:sz w:val="24"/>
          <w:szCs w:val="24"/>
          <w:lang w:eastAsia="es-MX"/>
        </w:rPr>
        <w:drawing>
          <wp:inline distT="0" distB="0" distL="0" distR="0" wp14:anchorId="5AE2F558" wp14:editId="4FEB1E4A">
            <wp:extent cx="4575" cy="4572"/>
            <wp:effectExtent l="0" t="0" r="0" b="0"/>
            <wp:docPr id="33439" name="Picture 33439"/>
            <wp:cNvGraphicFramePr/>
            <a:graphic xmlns:a="http://schemas.openxmlformats.org/drawingml/2006/main">
              <a:graphicData uri="http://schemas.openxmlformats.org/drawingml/2006/picture">
                <pic:pic xmlns:pic="http://schemas.openxmlformats.org/drawingml/2006/picture">
                  <pic:nvPicPr>
                    <pic:cNvPr id="33439" name="Picture 33439"/>
                    <pic:cNvPicPr/>
                  </pic:nvPicPr>
                  <pic:blipFill>
                    <a:blip r:embed="rId2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disciplinas del ramo de la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mismo modo, se vuelve necesario contar con información detallada, suficiente, clara, veraz e inmediata y permanente en torno a la salud pública, por lo que el Título Décimo Segundo da vida al Sistema Estatal de Información en Salud, como un mecanismo de gestión de información referente a los distintos factores que intervienen en la salud pública, la cual será retroalimentada por los distintos prestadores de servicios de salud, ya sean públicos, sociales o privados y que servirá de referencia para la toma de decisiones basadas en la dinámica en salud de la población mexiquense.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mérito de lo anteriormente expuesto, se somete a la consideración de esa H. Legislatura, la presente iniciativa de Decreto.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DECRETO NÚMERO: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H. "LXII" LEGISLATURA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DECRETA: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PRIMERO. Se expide la Ley de Salud del Estado de México, para quedar como sigue:</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LEY DE SALUD DEL ESTADO DE MÉXICO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 PRIMERO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DISPOSICIONES GENERALES</w:t>
      </w:r>
      <w:r w:rsidRPr="00AE0CAB">
        <w:rPr>
          <w:rFonts w:ascii="Times New Roman" w:eastAsiaTheme="minorEastAsia" w:hAnsi="Times New Roman" w:cs="Times New Roman"/>
          <w:noProof/>
          <w:sz w:val="24"/>
          <w:szCs w:val="24"/>
          <w:lang w:eastAsia="es-MX"/>
        </w:rPr>
        <w:drawing>
          <wp:inline distT="0" distB="0" distL="0" distR="0" wp14:anchorId="09F5D740" wp14:editId="374F67F9">
            <wp:extent cx="4575" cy="4572"/>
            <wp:effectExtent l="0" t="0" r="0" b="0"/>
            <wp:docPr id="38758" name="Picture 38758"/>
            <wp:cNvGraphicFramePr/>
            <a:graphic xmlns:a="http://schemas.openxmlformats.org/drawingml/2006/main">
              <a:graphicData uri="http://schemas.openxmlformats.org/drawingml/2006/picture">
                <pic:pic xmlns:pic="http://schemas.openxmlformats.org/drawingml/2006/picture">
                  <pic:nvPicPr>
                    <pic:cNvPr id="38758" name="Picture 38758"/>
                    <pic:cNvPicPr/>
                  </pic:nvPicPr>
                  <pic:blipFill>
                    <a:blip r:embed="rId25"/>
                    <a:stretch>
                      <a:fillRect/>
                    </a:stretch>
                  </pic:blipFill>
                  <pic:spPr>
                    <a:xfrm>
                      <a:off x="0" y="0"/>
                      <a:ext cx="4575" cy="4572"/>
                    </a:xfrm>
                    <a:prstGeom prst="rect">
                      <a:avLst/>
                    </a:prstGeom>
                  </pic:spPr>
                </pic:pic>
              </a:graphicData>
            </a:graphic>
          </wp:inline>
        </w:drawing>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ÚNICO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Generalidades</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 Las disposiciones de la presente Ley son de orden público e interés social y de observancia general en el Estado de México, de aplicación obligatoria al sector salud público, social y privado y tienen por objeto: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Establecer los principios fundamentales, derechos y responsabilidades que garanticen la protección de la salud de la población en el Estado de México, contenidos en los artículos 4</w:t>
      </w:r>
      <w:r w:rsidRPr="00AE0CAB">
        <w:rPr>
          <w:rFonts w:ascii="Times New Roman" w:eastAsiaTheme="minorEastAsia" w:hAnsi="Times New Roman" w:cs="Times New Roman"/>
          <w:sz w:val="24"/>
          <w:szCs w:val="24"/>
          <w:vertAlign w:val="superscript"/>
          <w:lang w:eastAsia="es-MX"/>
        </w:rPr>
        <w:t xml:space="preserve">0 </w:t>
      </w:r>
      <w:r w:rsidRPr="00AE0CAB">
        <w:rPr>
          <w:rFonts w:ascii="Times New Roman" w:eastAsiaTheme="minorEastAsia" w:hAnsi="Times New Roman" w:cs="Times New Roman"/>
          <w:sz w:val="24"/>
          <w:szCs w:val="24"/>
          <w:lang w:eastAsia="es-MX"/>
        </w:rPr>
        <w:t>de la Constitución Política de los Estados Unidos Mexicanos, 5</w:t>
      </w:r>
      <w:r w:rsidRPr="00AE0CAB">
        <w:rPr>
          <w:rFonts w:ascii="Times New Roman" w:eastAsiaTheme="minorEastAsia" w:hAnsi="Times New Roman" w:cs="Times New Roman"/>
          <w:sz w:val="24"/>
          <w:szCs w:val="24"/>
          <w:vertAlign w:val="superscript"/>
          <w:lang w:eastAsia="es-MX"/>
        </w:rPr>
        <w:t xml:space="preserve">0 </w:t>
      </w:r>
      <w:r w:rsidRPr="00AE0CAB">
        <w:rPr>
          <w:rFonts w:ascii="Times New Roman" w:eastAsiaTheme="minorEastAsia" w:hAnsi="Times New Roman" w:cs="Times New Roman"/>
          <w:sz w:val="24"/>
          <w:szCs w:val="24"/>
          <w:lang w:eastAsia="es-MX"/>
        </w:rPr>
        <w:t xml:space="preserve">de la Constitución Política del Estado Libre y Soberano de México y </w:t>
      </w:r>
      <w:r w:rsidRPr="00AE0CAB">
        <w:rPr>
          <w:rFonts w:ascii="Times New Roman" w:eastAsiaTheme="minorEastAsia" w:hAnsi="Times New Roman" w:cs="Times New Roman"/>
          <w:noProof/>
          <w:sz w:val="24"/>
          <w:szCs w:val="24"/>
          <w:lang w:eastAsia="es-MX"/>
        </w:rPr>
        <w:drawing>
          <wp:inline distT="0" distB="0" distL="0" distR="0" wp14:anchorId="7C549E5C" wp14:editId="554C26A2">
            <wp:extent cx="4573" cy="4572"/>
            <wp:effectExtent l="0" t="0" r="0" b="0"/>
            <wp:docPr id="38759" name="Picture 38759"/>
            <wp:cNvGraphicFramePr/>
            <a:graphic xmlns:a="http://schemas.openxmlformats.org/drawingml/2006/main">
              <a:graphicData uri="http://schemas.openxmlformats.org/drawingml/2006/picture">
                <pic:pic xmlns:pic="http://schemas.openxmlformats.org/drawingml/2006/picture">
                  <pic:nvPicPr>
                    <pic:cNvPr id="38759" name="Picture 38759"/>
                    <pic:cNvPicPr/>
                  </pic:nvPicPr>
                  <pic:blipFill>
                    <a:blip r:embed="rId26"/>
                    <a:stretch>
                      <a:fillRect/>
                    </a:stretch>
                  </pic:blipFill>
                  <pic:spPr>
                    <a:xfrm>
                      <a:off x="0" y="0"/>
                      <a:ext cx="4573"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13, Apartados B y C de la Ley General de Salud, así como de los convenios y acuerdos de coordinación en materia de salud que se celebren entre la Federación y el Estado de México, incluida la regulación, control y fomento sanitarios en materia de salubridad local;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Establecer las responsabilidades de las autoridades, en el ámbito de sus respectivas competencias, en la procuración del derecho a la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acciones en favor de la salud pública;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Normar la prestación de los servicios de salud en 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 Son principios rectores de esta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 Calidad: Asegurar que cada paciente reciba el conjunto de servicios preventivos, diagnósticos y terapéuticos más adecuado para conseguir una atención sanitaria óptima, teniendo en cuenta todos los factores y los conocimientos del paciente y del servicio médico, y lograr el mejor resultado con el mínimo </w:t>
      </w:r>
      <w:r w:rsidRPr="00AE0CAB">
        <w:rPr>
          <w:rFonts w:ascii="Times New Roman" w:eastAsiaTheme="minorEastAsia" w:hAnsi="Times New Roman" w:cs="Times New Roman"/>
          <w:noProof/>
          <w:sz w:val="24"/>
          <w:szCs w:val="24"/>
          <w:lang w:eastAsia="es-MX"/>
        </w:rPr>
        <w:drawing>
          <wp:inline distT="0" distB="0" distL="0" distR="0" wp14:anchorId="6572EE64" wp14:editId="05304E7E">
            <wp:extent cx="9150" cy="13716"/>
            <wp:effectExtent l="0" t="0" r="0" b="0"/>
            <wp:docPr id="562749" name="Picture 562749"/>
            <wp:cNvGraphicFramePr/>
            <a:graphic xmlns:a="http://schemas.openxmlformats.org/drawingml/2006/main">
              <a:graphicData uri="http://schemas.openxmlformats.org/drawingml/2006/picture">
                <pic:pic xmlns:pic="http://schemas.openxmlformats.org/drawingml/2006/picture">
                  <pic:nvPicPr>
                    <pic:cNvPr id="562749" name="Picture 562749"/>
                    <pic:cNvPicPr/>
                  </pic:nvPicPr>
                  <pic:blipFill>
                    <a:blip r:embed="rId27"/>
                    <a:stretch>
                      <a:fillRect/>
                    </a:stretch>
                  </pic:blipFill>
                  <pic:spPr>
                    <a:xfrm>
                      <a:off x="0" y="0"/>
                      <a:ext cx="9150" cy="13716"/>
                    </a:xfrm>
                    <a:prstGeom prst="rect">
                      <a:avLst/>
                    </a:prstGeom>
                  </pic:spPr>
                </pic:pic>
              </a:graphicData>
            </a:graphic>
          </wp:inline>
        </w:drawing>
      </w:r>
      <w:r w:rsidRPr="00AE0CAB">
        <w:rPr>
          <w:rFonts w:ascii="Times New Roman" w:eastAsiaTheme="minorEastAsia" w:hAnsi="Times New Roman" w:cs="Times New Roman"/>
          <w:sz w:val="24"/>
          <w:szCs w:val="24"/>
          <w:lang w:eastAsia="es-MX"/>
        </w:rPr>
        <w:t>riesgo de efectos adversos y la máxima satisfacción de la o el paciente con el proceso;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Eficiencia: Entendido como la utilización óptima de los recursos humanos, materiales y financieros disponibles, con el fin de maximizar los beneficios en términos de protección, cuidado de la salud y satisfacción de las demandas sanitarias de la población;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Enfoque transformador: Las autoridades encargadas de la aplicación de la presente Ley realizarán, en el ámbito de sus respectivas competencias, los esfuerzos necesarios encaminados a buscar la mejoría en el estado de salud integral de las personas;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Equidad: Se refiere a garantizar que las y los pacientes accedan a servicios sanitarios de igual calidad, </w:t>
      </w:r>
      <w:r w:rsidRPr="00AE0CAB">
        <w:rPr>
          <w:rFonts w:ascii="Times New Roman" w:eastAsiaTheme="minorEastAsia" w:hAnsi="Times New Roman" w:cs="Times New Roman"/>
          <w:noProof/>
          <w:sz w:val="24"/>
          <w:szCs w:val="24"/>
          <w:lang w:eastAsia="es-MX"/>
        </w:rPr>
        <w:drawing>
          <wp:inline distT="0" distB="0" distL="0" distR="0" wp14:anchorId="293FFB49" wp14:editId="1697EC40">
            <wp:extent cx="4575" cy="4572"/>
            <wp:effectExtent l="0" t="0" r="0" b="0"/>
            <wp:docPr id="38762" name="Picture 38762"/>
            <wp:cNvGraphicFramePr/>
            <a:graphic xmlns:a="http://schemas.openxmlformats.org/drawingml/2006/main">
              <a:graphicData uri="http://schemas.openxmlformats.org/drawingml/2006/picture">
                <pic:pic xmlns:pic="http://schemas.openxmlformats.org/drawingml/2006/picture">
                  <pic:nvPicPr>
                    <pic:cNvPr id="38762" name="Picture 38762"/>
                    <pic:cNvPicPr/>
                  </pic:nvPicPr>
                  <pic:blipFill>
                    <a:blip r:embed="rId2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independientemente de sus condiciones particulares, asegurando que reciban el tratamiento más adecuado con los mínimos y máximos beneficios posibles, asegurando la eliminación de las diferencias debido a sus circunstancias sociales, económicas, demográficas, así como que estén libres de estereotipos, prejuicios y prácticas discriminatorias;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Gratuidad: Acceso sin costo a los servicios de salud disponibles en las unidades médicas del sector público y a los medicamentos, conforme al catálogo de medicamentos e insumos que apruebe la autoridad competente, asociados a estos servicios, a las personas habitantes en el territorio del Estado de México, que carezcan de seguridad social;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Humanismo: La prestación de servicios debe caracterizarse por la empatía, el trato digno y respetuoso, </w:t>
      </w:r>
      <w:r w:rsidRPr="00AE0CAB">
        <w:rPr>
          <w:rFonts w:ascii="Times New Roman" w:eastAsiaTheme="minorEastAsia" w:hAnsi="Times New Roman" w:cs="Times New Roman"/>
          <w:noProof/>
          <w:sz w:val="24"/>
          <w:szCs w:val="24"/>
          <w:lang w:eastAsia="es-MX"/>
        </w:rPr>
        <w:drawing>
          <wp:inline distT="0" distB="0" distL="0" distR="0" wp14:anchorId="5D4F06B9" wp14:editId="3BC1DF3E">
            <wp:extent cx="4575" cy="4572"/>
            <wp:effectExtent l="0" t="0" r="0" b="0"/>
            <wp:docPr id="43087" name="Picture 43087"/>
            <wp:cNvGraphicFramePr/>
            <a:graphic xmlns:a="http://schemas.openxmlformats.org/drawingml/2006/main">
              <a:graphicData uri="http://schemas.openxmlformats.org/drawingml/2006/picture">
                <pic:pic xmlns:pic="http://schemas.openxmlformats.org/drawingml/2006/picture">
                  <pic:nvPicPr>
                    <pic:cNvPr id="43087" name="Picture 43087"/>
                    <pic:cNvPicPr/>
                  </pic:nvPicPr>
                  <pic:blipFill>
                    <a:blip r:embed="rId24"/>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así como por una comunicación efectiva por parte del personal de salud hacia las personas usuarias de los servicios, sus familias y comunidades, fortaleciendo así la calidad en la atención sanitaria;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Integralidad: Se concibe la salud bajo una perspectiva biopsicosocial que abarca todas las dimensiones de la atención sanitaria, desde la promoción y prevención hasta el diagnóstico, tratamiento, cuidados paliativos y rehabilitación. Dichas acciones deberán ejecutarse de manera coordinada entre los distintos niveles y unidades del sistema de salud, respondiendo a las necesidades específicas de las personas a lo largo de su ciclo vital, desde la concepción hasta la vejez;</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Interculturalidad: Se privilegiará el respeto y la integración de las diversas culturas y tradiciones </w:t>
      </w:r>
      <w:r w:rsidRPr="00AE0CAB">
        <w:rPr>
          <w:rFonts w:ascii="Times New Roman" w:eastAsiaTheme="minorEastAsia" w:hAnsi="Times New Roman" w:cs="Times New Roman"/>
          <w:noProof/>
          <w:sz w:val="24"/>
          <w:szCs w:val="24"/>
          <w:lang w:eastAsia="es-MX"/>
        </w:rPr>
        <w:drawing>
          <wp:inline distT="0" distB="0" distL="0" distR="0" wp14:anchorId="179E26EA" wp14:editId="2947AD3C">
            <wp:extent cx="4575" cy="9144"/>
            <wp:effectExtent l="0" t="0" r="0" b="0"/>
            <wp:docPr id="43088" name="Picture 43088"/>
            <wp:cNvGraphicFramePr/>
            <a:graphic xmlns:a="http://schemas.openxmlformats.org/drawingml/2006/main">
              <a:graphicData uri="http://schemas.openxmlformats.org/drawingml/2006/picture">
                <pic:pic xmlns:pic="http://schemas.openxmlformats.org/drawingml/2006/picture">
                  <pic:nvPicPr>
                    <pic:cNvPr id="43088" name="Picture 43088"/>
                    <pic:cNvPicPr/>
                  </pic:nvPicPr>
                  <pic:blipFill>
                    <a:blip r:embed="rId29"/>
                    <a:stretch>
                      <a:fillRect/>
                    </a:stretch>
                  </pic:blipFill>
                  <pic:spPr>
                    <a:xfrm>
                      <a:off x="0" y="0"/>
                      <a:ext cx="4575" cy="9144"/>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presentes en el Estado de México, fomentando el diálogo y el intercambio de saberes entre los </w:t>
      </w:r>
      <w:r w:rsidRPr="00AE0CAB">
        <w:rPr>
          <w:rFonts w:ascii="Times New Roman" w:eastAsiaTheme="minorEastAsia" w:hAnsi="Times New Roman" w:cs="Times New Roman"/>
          <w:noProof/>
          <w:sz w:val="24"/>
          <w:szCs w:val="24"/>
          <w:lang w:eastAsia="es-MX"/>
        </w:rPr>
        <w:drawing>
          <wp:inline distT="0" distB="0" distL="0" distR="0" wp14:anchorId="3DCDA28D" wp14:editId="14E1C734">
            <wp:extent cx="4575" cy="4572"/>
            <wp:effectExtent l="0" t="0" r="0" b="0"/>
            <wp:docPr id="43089" name="Picture 43089"/>
            <wp:cNvGraphicFramePr/>
            <a:graphic xmlns:a="http://schemas.openxmlformats.org/drawingml/2006/main">
              <a:graphicData uri="http://schemas.openxmlformats.org/drawingml/2006/picture">
                <pic:pic xmlns:pic="http://schemas.openxmlformats.org/drawingml/2006/picture">
                  <pic:nvPicPr>
                    <pic:cNvPr id="43089" name="Picture 43089"/>
                    <pic:cNvPicPr/>
                  </pic:nvPicPr>
                  <pic:blipFill>
                    <a:blip r:embed="rId2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profesionales de salud y las comunidades, garantizando un enriquecimiento mutuo y un acceso equitativo a los servicios;</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Interés superior de la niñez: Implica que las políticas, las acciones y la toma de decisiones de las instituciones públicas, relacionados con este periodo de vida, deberán dar prioridad a los derechos reconocidos en los ordenamientos legales, reconociéndoles como sujetos plenos de derecho;</w:t>
      </w:r>
    </w:p>
    <w:p w:rsidR="005F04F9" w:rsidRPr="00AE0CAB" w:rsidRDefault="005F04F9" w:rsidP="005F04F9">
      <w:pPr>
        <w:spacing w:after="0" w:line="240" w:lineRule="auto"/>
        <w:contextualSpacing/>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Justicia social: Se encaminarán acciones con la finalidad de reducir las brechas de desigualdad sistemática e histórica que han enfrentado diversos sectores de la población en el ejercicio de sus derechos;</w:t>
      </w:r>
    </w:p>
    <w:p w:rsidR="005F04F9" w:rsidRPr="00AE0CAB" w:rsidRDefault="005F04F9" w:rsidP="005F04F9">
      <w:pPr>
        <w:spacing w:after="0" w:line="240" w:lineRule="auto"/>
        <w:contextualSpacing/>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No revictimización: Deber de todas las autoridades a abstenerse de realizar actos u omisiones que agraven la situación de la víctima, la expongan nuevamente al sufrimiento, o reproduzcan el daño sufrido, especialmente durante su interacción con el sistema de salud estatal;</w:t>
      </w:r>
    </w:p>
    <w:p w:rsidR="005F04F9" w:rsidRPr="00AE0CAB" w:rsidRDefault="005F04F9" w:rsidP="005F04F9">
      <w:pPr>
        <w:spacing w:after="0" w:line="240" w:lineRule="auto"/>
        <w:contextualSpacing/>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Perspectiva de atención etaria: Este principio considerará las necesidades específicas de cada rango eterio, a fin de brindar las atenciones correspondientes a cada grupo poblacional;</w:t>
      </w:r>
    </w:p>
    <w:p w:rsidR="005F04F9" w:rsidRPr="00AE0CAB" w:rsidRDefault="005F04F9" w:rsidP="005F04F9">
      <w:pPr>
        <w:spacing w:after="0" w:line="240" w:lineRule="auto"/>
        <w:contextualSpacing/>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Perspectiva de género: Se refiere a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w:t>
      </w:r>
    </w:p>
    <w:p w:rsidR="005F04F9" w:rsidRPr="00AE0CAB" w:rsidRDefault="005F04F9" w:rsidP="005F04F9">
      <w:pPr>
        <w:spacing w:after="0" w:line="240" w:lineRule="auto"/>
        <w:contextualSpacing/>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Progresividad: Las instituciones encargadas de la aplicación de esta Ley, tienen la obligación de </w:t>
      </w:r>
      <w:r w:rsidRPr="00AE0CAB">
        <w:rPr>
          <w:rFonts w:ascii="Times New Roman" w:eastAsiaTheme="minorEastAsia" w:hAnsi="Times New Roman" w:cs="Times New Roman"/>
          <w:noProof/>
          <w:sz w:val="24"/>
          <w:szCs w:val="24"/>
          <w:lang w:eastAsia="es-MX"/>
        </w:rPr>
        <w:drawing>
          <wp:inline distT="0" distB="0" distL="0" distR="0" wp14:anchorId="34A3D069" wp14:editId="0B7F20AB">
            <wp:extent cx="4575" cy="4572"/>
            <wp:effectExtent l="0" t="0" r="0" b="0"/>
            <wp:docPr id="43090" name="Picture 43090"/>
            <wp:cNvGraphicFramePr/>
            <a:graphic xmlns:a="http://schemas.openxmlformats.org/drawingml/2006/main">
              <a:graphicData uri="http://schemas.openxmlformats.org/drawingml/2006/picture">
                <pic:pic xmlns:pic="http://schemas.openxmlformats.org/drawingml/2006/picture">
                  <pic:nvPicPr>
                    <pic:cNvPr id="43090" name="Picture 43090"/>
                    <pic:cNvPicPr/>
                  </pic:nvPicPr>
                  <pic:blipFill>
                    <a:blip r:embed="rId2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fortalecer y desarrollar continuamente el sistema de salud, evitando cualquier retroceso en el goce del derecho a la salud, lo cual implica, el diseño e implementación de políticas públicas, programas y acciones, tendientes a mejorar lo ya existente;</w:t>
      </w:r>
    </w:p>
    <w:p w:rsidR="005F04F9" w:rsidRPr="00AE0CAB" w:rsidRDefault="005F04F9" w:rsidP="005F04F9">
      <w:pPr>
        <w:spacing w:after="0" w:line="240" w:lineRule="auto"/>
        <w:contextualSpacing/>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Sostenibilidad: Capacidad de satisfacer las necesidades presentes sin comprometer la capacidad de las futuras generaciones para satisfacer las suyas, especialmente en el contexto de la salud y el bienestar,</w:t>
      </w:r>
    </w:p>
    <w:p w:rsidR="005F04F9" w:rsidRPr="00AE0CAB" w:rsidRDefault="005F04F9" w:rsidP="005F04F9">
      <w:pPr>
        <w:spacing w:after="0" w:line="240" w:lineRule="auto"/>
        <w:contextualSpacing/>
        <w:rPr>
          <w:rFonts w:ascii="Times New Roman" w:eastAsiaTheme="minorEastAsia" w:hAnsi="Times New Roman" w:cs="Times New Roman"/>
          <w:sz w:val="24"/>
          <w:szCs w:val="24"/>
          <w:lang w:eastAsia="es-MX"/>
        </w:rPr>
      </w:pPr>
    </w:p>
    <w:p w:rsidR="005F04F9" w:rsidRPr="00AE0CAB" w:rsidRDefault="005F04F9" w:rsidP="00551BD2">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Universalidad: Este principio reconoce que todas las personas son titulares del derecho a la salud, sin discriminación alguna.</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 Para los efectos de la presente Ley, se entenderán los siguientes términos: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Acuerdo de Coordinación: Al instrumento jurídico mediante el cual el Estado de México y la Federación formalizan la transferencia de recursos federales, tanto en efectivo como en especie, para ser utilizados en los fines establecidos. Dichos recursos no podrán ser embargados, gravados, utilizados como garantía ni desviados para fines distintos a los previamente estipulados;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Administración Pública Estatal: Al conjunto de dependencias, organismos auxiliares y entidades que conforman la Administración Pública Centralizada y Paraestatal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Adicción: A la enfermedad física y psicoemocional, que crea dependencia o necesidad hacia una sustancia, actividad o relación, caracterizada por signos y síntomas en los que se involucran factores biológicos, genéticos, psicológicos y sociales;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Atención hospitalaria: Al conjunto de servicios médicos prestados en un establecimiento de primer o segundo nivel, que cubren las especialidades básicas de la medicina, tales como cirugía general, ginecoobstetricia, medicina interna, pediatría, entre otras, e incluyen servicios de urgencias, consulta externa y hospitalización. Además, abarca actividades de prevención, tratamiento, rehabilitación, cuidados paliativos y formación de personal;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Atención médica: Al conjunto de servicios que se proporcionan a las personas con el fin de proteger, promover y restaurar su salud, los cuales podrán ser prestados en establecimientos públicos, sociales o privados, fijos o móviles, ya sean ambulatorios o de internamiento;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Atención médica ambulatoria: A los servicios médicos proporcionados en establecimientos fijos o móviles, o en el domicilio de las personas, que no requieren hospitalización;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inline distT="0" distB="0" distL="0" distR="0" wp14:anchorId="2714EF67" wp14:editId="69310D7E">
            <wp:extent cx="4575" cy="4572"/>
            <wp:effectExtent l="0" t="0" r="0" b="0"/>
            <wp:docPr id="47353" name="Picture 47353"/>
            <wp:cNvGraphicFramePr/>
            <a:graphic xmlns:a="http://schemas.openxmlformats.org/drawingml/2006/main">
              <a:graphicData uri="http://schemas.openxmlformats.org/drawingml/2006/picture">
                <pic:pic xmlns:pic="http://schemas.openxmlformats.org/drawingml/2006/picture">
                  <pic:nvPicPr>
                    <pic:cNvPr id="47353" name="Picture 47353"/>
                    <pic:cNvPicPr/>
                  </pic:nvPicPr>
                  <pic:blipFill>
                    <a:blip r:embed="rId30"/>
                    <a:stretch>
                      <a:fillRect/>
                    </a:stretch>
                  </pic:blipFill>
                  <pic:spPr>
                    <a:xfrm>
                      <a:off x="0" y="0"/>
                      <a:ext cx="4575" cy="4572"/>
                    </a:xfrm>
                    <a:prstGeom prst="rect">
                      <a:avLst/>
                    </a:prstGeom>
                  </pic:spPr>
                </pic:pic>
              </a:graphicData>
            </a:graphic>
          </wp:inline>
        </w:drawing>
      </w: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Atención médica integral: Al conjunto de acciones realizadas por personal profesional y técnico en salud, que incluyen la detección, diagnóstico, tratamiento y rehabilitación, cuidados </w:t>
      </w:r>
      <w:r w:rsidRPr="00AE0CAB">
        <w:rPr>
          <w:rFonts w:ascii="Times New Roman" w:eastAsiaTheme="minorEastAsia" w:hAnsi="Times New Roman" w:cs="Times New Roman"/>
          <w:sz w:val="24"/>
          <w:szCs w:val="24"/>
          <w:lang w:eastAsia="es-MX"/>
        </w:rPr>
        <w:lastRenderedPageBreak/>
        <w:t>paliativos, así como la referencia y contrarreferencia, con el fin de proteger, promover y restaurar la salud de las personas;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Atención primaria de salud: Al conjunto de intervenciones esenciales basadas en métodos y tecnologías prácticas, científicamente validadas y socialmente aceptables, que deben ser accesibles para </w:t>
      </w:r>
      <w:r w:rsidRPr="00AE0CAB">
        <w:rPr>
          <w:rFonts w:ascii="Times New Roman" w:eastAsiaTheme="minorEastAsia" w:hAnsi="Times New Roman" w:cs="Times New Roman"/>
          <w:noProof/>
          <w:sz w:val="24"/>
          <w:szCs w:val="24"/>
          <w:lang w:eastAsia="es-MX"/>
        </w:rPr>
        <w:drawing>
          <wp:inline distT="0" distB="0" distL="0" distR="0" wp14:anchorId="19DF9B21" wp14:editId="324EFA3C">
            <wp:extent cx="4575" cy="4573"/>
            <wp:effectExtent l="0" t="0" r="0" b="0"/>
            <wp:docPr id="47354" name="Picture 47354"/>
            <wp:cNvGraphicFramePr/>
            <a:graphic xmlns:a="http://schemas.openxmlformats.org/drawingml/2006/main">
              <a:graphicData uri="http://schemas.openxmlformats.org/drawingml/2006/picture">
                <pic:pic xmlns:pic="http://schemas.openxmlformats.org/drawingml/2006/picture">
                  <pic:nvPicPr>
                    <pic:cNvPr id="47354" name="Picture 47354"/>
                    <pic:cNvPicPr/>
                  </pic:nvPicPr>
                  <pic:blipFill>
                    <a:blip r:embed="rId31"/>
                    <a:stretch>
                      <a:fillRect/>
                    </a:stretch>
                  </pic:blipFill>
                  <pic:spPr>
                    <a:xfrm>
                      <a:off x="0" y="0"/>
                      <a:ext cx="4575" cy="4573"/>
                    </a:xfrm>
                    <a:prstGeom prst="rect">
                      <a:avLst/>
                    </a:prstGeom>
                  </pic:spPr>
                </pic:pic>
              </a:graphicData>
            </a:graphic>
          </wp:inline>
        </w:drawing>
      </w:r>
      <w:r w:rsidRPr="00AE0CAB">
        <w:rPr>
          <w:rFonts w:ascii="Times New Roman" w:eastAsiaTheme="minorEastAsia" w:hAnsi="Times New Roman" w:cs="Times New Roman"/>
          <w:sz w:val="24"/>
          <w:szCs w:val="24"/>
          <w:lang w:eastAsia="es-MX"/>
        </w:rPr>
        <w:t>todos los individuos y familias mediante su plena participación;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Biopsia embrionaria: Al procedimiento mediante el cual se extraen una o varias células de un embrión para poder analizar su ADN y buscar si existe alguna alteración genética. Esta técnica se realiza durante un tratamiento de fecundación in vitro, cuando los embriones se encuentran en día 3 0 5 de desarrollo, para la realización de un diagnóstico genético preimplantacional;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Calidad de vida: Al nivel de satisfacción y bienestar general que una persona experimenta en su vida </w:t>
      </w:r>
      <w:r w:rsidRPr="00AE0CAB">
        <w:rPr>
          <w:rFonts w:ascii="Times New Roman" w:eastAsiaTheme="minorEastAsia" w:hAnsi="Times New Roman" w:cs="Times New Roman"/>
          <w:noProof/>
          <w:sz w:val="24"/>
          <w:szCs w:val="24"/>
          <w:lang w:eastAsia="es-MX"/>
        </w:rPr>
        <w:drawing>
          <wp:inline distT="0" distB="0" distL="0" distR="0" wp14:anchorId="1AE2A0F2" wp14:editId="034532E4">
            <wp:extent cx="9150" cy="13715"/>
            <wp:effectExtent l="0" t="0" r="0" b="0"/>
            <wp:docPr id="562761" name="Picture 562761"/>
            <wp:cNvGraphicFramePr/>
            <a:graphic xmlns:a="http://schemas.openxmlformats.org/drawingml/2006/main">
              <a:graphicData uri="http://schemas.openxmlformats.org/drawingml/2006/picture">
                <pic:pic xmlns:pic="http://schemas.openxmlformats.org/drawingml/2006/picture">
                  <pic:nvPicPr>
                    <pic:cNvPr id="562761" name="Picture 562761"/>
                    <pic:cNvPicPr/>
                  </pic:nvPicPr>
                  <pic:blipFill>
                    <a:blip r:embed="rId32"/>
                    <a:stretch>
                      <a:fillRect/>
                    </a:stretch>
                  </pic:blipFill>
                  <pic:spPr>
                    <a:xfrm>
                      <a:off x="0" y="0"/>
                      <a:ext cx="9150" cy="13715"/>
                    </a:xfrm>
                    <a:prstGeom prst="rect">
                      <a:avLst/>
                    </a:prstGeom>
                  </pic:spPr>
                </pic:pic>
              </a:graphicData>
            </a:graphic>
          </wp:inline>
        </w:drawing>
      </w:r>
      <w:r w:rsidRPr="00AE0CAB">
        <w:rPr>
          <w:rFonts w:ascii="Times New Roman" w:eastAsiaTheme="minorEastAsia" w:hAnsi="Times New Roman" w:cs="Times New Roman"/>
          <w:sz w:val="24"/>
          <w:szCs w:val="24"/>
          <w:lang w:eastAsia="es-MX"/>
        </w:rPr>
        <w:t>diaria, incluye aspectos físicos, emocionales, sociales, psicológicos y espirituales, que influyen en la percepción personal o juicio de valor de bienestar y realización personal;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Células germinales: A las células reproductoras masculinas y femeninas capaces de dar origen a un </w:t>
      </w:r>
      <w:r w:rsidRPr="00AE0CAB">
        <w:rPr>
          <w:rFonts w:ascii="Times New Roman" w:eastAsiaTheme="minorEastAsia" w:hAnsi="Times New Roman" w:cs="Times New Roman"/>
          <w:noProof/>
          <w:sz w:val="24"/>
          <w:szCs w:val="24"/>
          <w:lang w:eastAsia="es-MX"/>
        </w:rPr>
        <w:drawing>
          <wp:inline distT="0" distB="0" distL="0" distR="0" wp14:anchorId="10BE198A" wp14:editId="67E68C43">
            <wp:extent cx="4575" cy="45720"/>
            <wp:effectExtent l="0" t="0" r="0" b="0"/>
            <wp:docPr id="562763" name="Picture 562763"/>
            <wp:cNvGraphicFramePr/>
            <a:graphic xmlns:a="http://schemas.openxmlformats.org/drawingml/2006/main">
              <a:graphicData uri="http://schemas.openxmlformats.org/drawingml/2006/picture">
                <pic:pic xmlns:pic="http://schemas.openxmlformats.org/drawingml/2006/picture">
                  <pic:nvPicPr>
                    <pic:cNvPr id="562763" name="Picture 562763"/>
                    <pic:cNvPicPr/>
                  </pic:nvPicPr>
                  <pic:blipFill>
                    <a:blip r:embed="rId33"/>
                    <a:stretch>
                      <a:fillRect/>
                    </a:stretch>
                  </pic:blipFill>
                  <pic:spPr>
                    <a:xfrm>
                      <a:off x="0" y="0"/>
                      <a:ext cx="4575" cy="45720"/>
                    </a:xfrm>
                    <a:prstGeom prst="rect">
                      <a:avLst/>
                    </a:prstGeom>
                  </pic:spPr>
                </pic:pic>
              </a:graphicData>
            </a:graphic>
          </wp:inline>
        </w:drawing>
      </w:r>
      <w:r w:rsidRPr="00AE0CAB">
        <w:rPr>
          <w:rFonts w:ascii="Times New Roman" w:eastAsiaTheme="minorEastAsia" w:hAnsi="Times New Roman" w:cs="Times New Roman"/>
          <w:sz w:val="24"/>
          <w:szCs w:val="24"/>
          <w:lang w:eastAsia="es-MX"/>
        </w:rPr>
        <w:t>embrión;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Células troncales: Aquellas capaces de autoreplicarse y diferenciarse hacia diversos linajes celulares especializados;</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Cigarrillos electrónicos: A los cigarrillos electrónicos, vapeadores y demás sistemas o dispositivos análogos, ya sea mecánico, electrónico o de cualquier tecnología, que se utilice para calentar, vaporizar o atomizar sustancias tóxicas líquidas, geles, sales, ceras, aerosoles secos, resinas, aceites cerosos u otra nueva formulación sintética, con o sin nicotina, susceptibles de ser inhaladas por la persona consumidora;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COFEPRIS: A la Comisión Federal para la Protección contra Riesgos Sanitarios;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Convenio de Coordinación: Al acuerdo de voluntades que se suscriban de manera institucional el Gobierno Federal y el Gobierno del Estado o la instituciones federales y estatales que integran el Sistema </w:t>
      </w:r>
      <w:r w:rsidRPr="00AE0CAB">
        <w:rPr>
          <w:rFonts w:ascii="Times New Roman" w:eastAsiaTheme="minorEastAsia" w:hAnsi="Times New Roman" w:cs="Times New Roman"/>
          <w:noProof/>
          <w:sz w:val="24"/>
          <w:szCs w:val="24"/>
          <w:lang w:eastAsia="es-MX"/>
        </w:rPr>
        <w:drawing>
          <wp:inline distT="0" distB="0" distL="0" distR="0" wp14:anchorId="129FE1FA" wp14:editId="1AACDC0F">
            <wp:extent cx="4575" cy="4572"/>
            <wp:effectExtent l="0" t="0" r="0" b="0"/>
            <wp:docPr id="51387" name="Picture 51387"/>
            <wp:cNvGraphicFramePr/>
            <a:graphic xmlns:a="http://schemas.openxmlformats.org/drawingml/2006/main">
              <a:graphicData uri="http://schemas.openxmlformats.org/drawingml/2006/picture">
                <pic:pic xmlns:pic="http://schemas.openxmlformats.org/drawingml/2006/picture">
                  <pic:nvPicPr>
                    <pic:cNvPr id="51387" name="Picture 51387"/>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Estatal de Salud o los municipios, para establecer un marco de colaboración que permita llevar a cabo acciones conjuntas en materia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t xml:space="preserve"> </w:t>
      </w:r>
      <w:r w:rsidRPr="00AE0CAB">
        <w:rPr>
          <w:rFonts w:ascii="Times New Roman" w:eastAsiaTheme="minorEastAsia" w:hAnsi="Times New Roman" w:cs="Times New Roman"/>
          <w:sz w:val="24"/>
          <w:szCs w:val="24"/>
          <w:lang w:eastAsia="es-MX"/>
        </w:rPr>
        <w:t>Control sanitario: Al conjunto de acciones de orientación, educación, muestreo, verificación y, en su caso, aplicación de medidas de seguridad y sanciones;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COPRISEMEX: A la Comisión para la Protección contra Riesgos Sanitarios del Estado de México;</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 Disposición de sangre: Al conjunto de actividades relativas a la atención, recolección, análisis, conservación, preparación, suministro, utilización y destino final de la sangre y productos sanguíneos con fines terapéuticos. Los productos sanguíneos se entienden por sangre, hemocomponentes, hemoderivados y células troncales;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Enfermedades emergentes: Aquellas enfermedades que aparecen por primera vez en una población o que aumentan su incidencia o distribución geográfica y se consideran una amenaza para la salud pública;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Enfermedades reemergentes: a las enfermedades que vuelven a aparecer, después de haber sido aparentemente eliminadas o después de que fuera disminuida su incidencia;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Emergencias epidemiológicas: A todo aquel evento extraordinario, que constituye un riesgo para la salud pública del Estado, que también puede afectar a otras entidades federativas o a nivel internacional;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Emergencia sanitaria: Al evento extraordinario ocasionado por brotes epidémicos o afectaciones graves con potencialidad de generar un aumento de la morbimortalidad de la población o afectación inusitada de la salud pública;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Enfermedad transmisible: A aquellas causadas por un agente infeccioso específico o sus productos </w:t>
      </w:r>
      <w:r w:rsidRPr="00AE0CAB">
        <w:rPr>
          <w:rFonts w:ascii="Times New Roman" w:eastAsiaTheme="minorEastAsia" w:hAnsi="Times New Roman" w:cs="Times New Roman"/>
          <w:noProof/>
          <w:sz w:val="24"/>
          <w:szCs w:val="24"/>
          <w:lang w:eastAsia="es-MX"/>
        </w:rPr>
        <w:drawing>
          <wp:inline distT="0" distB="0" distL="0" distR="0" wp14:anchorId="7482F3AD" wp14:editId="5ECB37F2">
            <wp:extent cx="4575" cy="4573"/>
            <wp:effectExtent l="0" t="0" r="0" b="0"/>
            <wp:docPr id="51392" name="Picture 51392"/>
            <wp:cNvGraphicFramePr/>
            <a:graphic xmlns:a="http://schemas.openxmlformats.org/drawingml/2006/main">
              <a:graphicData uri="http://schemas.openxmlformats.org/drawingml/2006/picture">
                <pic:pic xmlns:pic="http://schemas.openxmlformats.org/drawingml/2006/picture">
                  <pic:nvPicPr>
                    <pic:cNvPr id="51392" name="Picture 51392"/>
                    <pic:cNvPicPr/>
                  </pic:nvPicPr>
                  <pic:blipFill>
                    <a:blip r:embed="rId28"/>
                    <a:stretch>
                      <a:fillRect/>
                    </a:stretch>
                  </pic:blipFill>
                  <pic:spPr>
                    <a:xfrm>
                      <a:off x="0" y="0"/>
                      <a:ext cx="4575" cy="4573"/>
                    </a:xfrm>
                    <a:prstGeom prst="rect">
                      <a:avLst/>
                    </a:prstGeom>
                  </pic:spPr>
                </pic:pic>
              </a:graphicData>
            </a:graphic>
          </wp:inline>
        </w:drawing>
      </w:r>
      <w:r w:rsidRPr="00AE0CAB">
        <w:rPr>
          <w:rFonts w:ascii="Times New Roman" w:eastAsiaTheme="minorEastAsia" w:hAnsi="Times New Roman" w:cs="Times New Roman"/>
          <w:sz w:val="24"/>
          <w:szCs w:val="24"/>
          <w:lang w:eastAsia="es-MX"/>
        </w:rPr>
        <w:t>tóxicos, que se transmiten de persona o animal infectado, a un huésped susceptible, de manera directa o indirecta;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Enfermedad no transmisible: A aquellos padecimientos que no son causados por agentes infecciosos, suelen ser agudos o de larga duración como resultado de una combinación de factores genéticos, fisiológicos, ambientales y/o de comporta miento;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Hemovigilancia: Al conjunto de procedimientos organizados para dar seguimiento a los efectos o reacciones adversas o inesperadas que se manifiestan en los donadores o en los receptores, con el fin de prevenir su aparición o recurrencia, genera un registro, evaluación y seguimiento;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IMSS - Bienestar: Al Organismo Público Descentralizado denominado Servicios de Salud del Instituto Mexicano del Seguro Social para el Bienestar;</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ISEM: Al Instituto de Salud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Ley: A la Ley de Salud del Estado de México;</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Ley General: A la Ley General de Salud;</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Niveles de atención: Al modelo de organización de los servicios de atención médica en función de la frecuencia y complejidad de las enfermedades, basada en la gradualidad e integralidad de acciones de medicina preventiva;</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Personal de salud: A las y los profesionales y técnicos encargados de la prestación de los servicios médicos y de salud;</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Prestación de servicios de salud: A las acciones dirigidas a proteger, promover y restaurar la salud de la población;</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Red Estatal de Salud Mental y Adicciones: Al conjunto de servicios interinstitucionales especializados en salud mental y adicciones, que abarcan los tres niveles de atención;</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Reglamento: Al Reglamento de la Ley de Salud del Estado de México;</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Reproducción asistida: A todas las intervenciones que incluyen la manipulación in vitro de ovocitos, esperma y embriones con un propósito reproductivo, incluyendo de manera enunciativa y no limitativa a la fertilización in vitro y a la transferencia de embriones, inyección intracitoplasmática, biopsia embrionaria, examen genético </w:t>
      </w:r>
      <w:proofErr w:type="spellStart"/>
      <w:r w:rsidRPr="00AE0CAB">
        <w:rPr>
          <w:rFonts w:ascii="Times New Roman" w:eastAsiaTheme="minorEastAsia" w:hAnsi="Times New Roman" w:cs="Times New Roman"/>
          <w:sz w:val="24"/>
          <w:szCs w:val="24"/>
          <w:lang w:eastAsia="es-MX"/>
        </w:rPr>
        <w:t>preimplantatorio</w:t>
      </w:r>
      <w:proofErr w:type="spellEnd"/>
      <w:r w:rsidRPr="00AE0CAB">
        <w:rPr>
          <w:rFonts w:ascii="Times New Roman" w:eastAsiaTheme="minorEastAsia" w:hAnsi="Times New Roman" w:cs="Times New Roman"/>
          <w:sz w:val="24"/>
          <w:szCs w:val="24"/>
          <w:lang w:eastAsia="es-MX"/>
        </w:rPr>
        <w:t xml:space="preserve">, </w:t>
      </w:r>
      <w:proofErr w:type="spellStart"/>
      <w:r w:rsidRPr="00AE0CAB">
        <w:rPr>
          <w:rFonts w:ascii="Times New Roman" w:eastAsiaTheme="minorEastAsia" w:hAnsi="Times New Roman" w:cs="Times New Roman"/>
          <w:i/>
          <w:sz w:val="24"/>
          <w:szCs w:val="24"/>
          <w:lang w:eastAsia="es-MX"/>
        </w:rPr>
        <w:t>hatching</w:t>
      </w:r>
      <w:proofErr w:type="spellEnd"/>
      <w:r w:rsidRPr="00AE0CAB">
        <w:rPr>
          <w:rFonts w:ascii="Times New Roman" w:eastAsiaTheme="minorEastAsia" w:hAnsi="Times New Roman" w:cs="Times New Roman"/>
          <w:sz w:val="24"/>
          <w:szCs w:val="24"/>
          <w:lang w:eastAsia="es-MX"/>
        </w:rPr>
        <w:t xml:space="preserve"> asistido, transferencia </w:t>
      </w:r>
      <w:proofErr w:type="spellStart"/>
      <w:r w:rsidRPr="00AE0CAB">
        <w:rPr>
          <w:rFonts w:ascii="Times New Roman" w:eastAsiaTheme="minorEastAsia" w:hAnsi="Times New Roman" w:cs="Times New Roman"/>
          <w:sz w:val="24"/>
          <w:szCs w:val="24"/>
          <w:lang w:eastAsia="es-MX"/>
        </w:rPr>
        <w:t>intratubárica</w:t>
      </w:r>
      <w:proofErr w:type="spellEnd"/>
      <w:r w:rsidRPr="00AE0CAB">
        <w:rPr>
          <w:rFonts w:ascii="Times New Roman" w:eastAsiaTheme="minorEastAsia" w:hAnsi="Times New Roman" w:cs="Times New Roman"/>
          <w:sz w:val="24"/>
          <w:szCs w:val="24"/>
          <w:lang w:eastAsia="es-MX"/>
        </w:rPr>
        <w:t xml:space="preserve"> de gametos, transferencia </w:t>
      </w:r>
      <w:proofErr w:type="spellStart"/>
      <w:r w:rsidRPr="00AE0CAB">
        <w:rPr>
          <w:rFonts w:ascii="Times New Roman" w:eastAsiaTheme="minorEastAsia" w:hAnsi="Times New Roman" w:cs="Times New Roman"/>
          <w:sz w:val="24"/>
          <w:szCs w:val="24"/>
          <w:lang w:eastAsia="es-MX"/>
        </w:rPr>
        <w:t>intratubárica</w:t>
      </w:r>
      <w:proofErr w:type="spellEnd"/>
      <w:r w:rsidRPr="00AE0CAB">
        <w:rPr>
          <w:rFonts w:ascii="Times New Roman" w:eastAsiaTheme="minorEastAsia" w:hAnsi="Times New Roman" w:cs="Times New Roman"/>
          <w:sz w:val="24"/>
          <w:szCs w:val="24"/>
          <w:lang w:eastAsia="es-MX"/>
        </w:rPr>
        <w:t xml:space="preserve"> de cigotos, </w:t>
      </w:r>
      <w:proofErr w:type="spellStart"/>
      <w:r w:rsidRPr="00AE0CAB">
        <w:rPr>
          <w:rFonts w:ascii="Times New Roman" w:eastAsiaTheme="minorEastAsia" w:hAnsi="Times New Roman" w:cs="Times New Roman"/>
          <w:sz w:val="24"/>
          <w:szCs w:val="24"/>
          <w:lang w:eastAsia="es-MX"/>
        </w:rPr>
        <w:t>criopreservación</w:t>
      </w:r>
      <w:proofErr w:type="spellEnd"/>
      <w:r w:rsidRPr="00AE0CAB">
        <w:rPr>
          <w:rFonts w:ascii="Times New Roman" w:eastAsiaTheme="minorEastAsia" w:hAnsi="Times New Roman" w:cs="Times New Roman"/>
          <w:sz w:val="24"/>
          <w:szCs w:val="24"/>
          <w:lang w:eastAsia="es-MX"/>
        </w:rPr>
        <w:t xml:space="preserve"> de embriones y gametos, semen, donación de ovocitos y embriones; con excepción de la gestación subrogada;</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Salud mental: Al estado de bienestar físico, emocional y social, determinado por la interacción de </w:t>
      </w:r>
      <w:r w:rsidRPr="00AE0CAB">
        <w:rPr>
          <w:rFonts w:ascii="Times New Roman" w:eastAsiaTheme="minorEastAsia" w:hAnsi="Times New Roman" w:cs="Times New Roman"/>
          <w:noProof/>
          <w:sz w:val="24"/>
          <w:szCs w:val="24"/>
          <w:lang w:eastAsia="es-MX"/>
        </w:rPr>
        <w:drawing>
          <wp:inline distT="0" distB="0" distL="0" distR="0" wp14:anchorId="352E21BF" wp14:editId="45D16644">
            <wp:extent cx="9150" cy="32004"/>
            <wp:effectExtent l="0" t="0" r="0" b="0"/>
            <wp:docPr id="562784" name="Picture 562784"/>
            <wp:cNvGraphicFramePr/>
            <a:graphic xmlns:a="http://schemas.openxmlformats.org/drawingml/2006/main">
              <a:graphicData uri="http://schemas.openxmlformats.org/drawingml/2006/picture">
                <pic:pic xmlns:pic="http://schemas.openxmlformats.org/drawingml/2006/picture">
                  <pic:nvPicPr>
                    <pic:cNvPr id="562784" name="Picture 562784"/>
                    <pic:cNvPicPr/>
                  </pic:nvPicPr>
                  <pic:blipFill>
                    <a:blip r:embed="rId34"/>
                    <a:stretch>
                      <a:fillRect/>
                    </a:stretch>
                  </pic:blipFill>
                  <pic:spPr>
                    <a:xfrm>
                      <a:off x="0" y="0"/>
                      <a:ext cx="9150" cy="32004"/>
                    </a:xfrm>
                    <a:prstGeom prst="rect">
                      <a:avLst/>
                    </a:prstGeom>
                  </pic:spPr>
                </pic:pic>
              </a:graphicData>
            </a:graphic>
          </wp:inline>
        </w:drawing>
      </w:r>
      <w:r w:rsidRPr="00AE0CAB">
        <w:rPr>
          <w:rFonts w:ascii="Times New Roman" w:eastAsiaTheme="minorEastAsia" w:hAnsi="Times New Roman" w:cs="Times New Roman"/>
          <w:sz w:val="24"/>
          <w:szCs w:val="24"/>
          <w:lang w:eastAsia="es-MX"/>
        </w:rPr>
        <w:t>las personas con la sociedad, para el despliegue óptimo de sus potencialidades individuales para la convivencia, el trabajo y la recreación;</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Salud pública: Al conjunto de políticas, programas y acciones que realiza el estado, a través de los prestadores de servicios públicos, privados y sociales, en coordinación con la sociedad, para garantizar el derecho a la protección de la salud en su dimensión colectiva social, con el objeto de promover, proteger,</w:t>
      </w:r>
      <w:r w:rsidRPr="00AE0CAB">
        <w:rPr>
          <w:rFonts w:ascii="Times New Roman" w:eastAsiaTheme="minorEastAsia" w:hAnsi="Times New Roman" w:cs="Times New Roman"/>
          <w:noProof/>
          <w:sz w:val="24"/>
          <w:szCs w:val="24"/>
          <w:lang w:eastAsia="es-MX"/>
        </w:rPr>
        <w:drawing>
          <wp:inline distT="0" distB="0" distL="0" distR="0" wp14:anchorId="0D4D1C4B" wp14:editId="624317B3">
            <wp:extent cx="4575" cy="4572"/>
            <wp:effectExtent l="0" t="0" r="0" b="0"/>
            <wp:docPr id="55397" name="Picture 55397"/>
            <wp:cNvGraphicFramePr/>
            <a:graphic xmlns:a="http://schemas.openxmlformats.org/drawingml/2006/main">
              <a:graphicData uri="http://schemas.openxmlformats.org/drawingml/2006/picture">
                <pic:pic xmlns:pic="http://schemas.openxmlformats.org/drawingml/2006/picture">
                  <pic:nvPicPr>
                    <pic:cNvPr id="55397" name="Picture 55397"/>
                    <pic:cNvPicPr/>
                  </pic:nvPicPr>
                  <pic:blipFill>
                    <a:blip r:embed="rId3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 conservar y mejorar hasta el más alto grado posible el bienestar físico, mental o social de la población en su conjunto;</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Secretaría: A la Secretaría de Salud del Estado de México;</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Secretaría Federal: A la Secretaría de Salud de la Administración Pública Federal;</w:t>
      </w:r>
    </w:p>
    <w:p w:rsidR="005F04F9" w:rsidRPr="00AE0CAB" w:rsidRDefault="005F04F9" w:rsidP="005E294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XL Sistema Estatal: Al Sistema Estatal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Suicidio: Al acto deliberado de acabar con la propia vida;</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Sustancia psicoactiva: A la sustancia que altera algunas funciones psicológicas y a veces físicas, que al ser consumida reiteradamente tiene la probabilidad de dar origen a una adicción. Estos productos incluyen las sustancias, estupefacientes y psicotrópicos clasificados en la Ley General, aquellos de uso médico, los de uso industrial, los derivados de elementos de origen natural, los de diseño, así como el tabaco y el alcohol;</w:t>
      </w:r>
    </w:p>
    <w:p w:rsidR="005F04F9" w:rsidRPr="00AE0CAB" w:rsidRDefault="005F04F9" w:rsidP="00183A68">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 Al conjunto de acciones para controlar enfermedades prevenibles, a través de vacunas autorizadas, destinadas a generar inmunidad contra una enfermedad, estimulando la producción de anticuerpos;</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Vigilancia epidemiológica: Al conjunto de acciones que consiste en la recolección sistemática, continúa, oportuna y confiable de información, como instrumento dinámico y permanente, para conocer la morbilidad y mortalidad para su análisis e interpretación para la toma de decisiones dirigidas a prevenir, contener o controlar los riesgos y daños a la salud;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Zoonosis: A las enfermedades que en condiciones naturales se transmiten de los animales vertebrados a las personas.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 SEGUNDO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PERSONAS USUARIAS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ÚNICO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personas usuarias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4. Son personas usuarias, protegidas por esta Ley, aquellas que requieran y obtengan algún tipo de servicio de salud, ya sea público, social o privado en 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6. Serán consideradas como personas usuarias sin derechohabiencia, aquellas sin ningún tipo de seguridad social que sean atendidas por los servicios públicos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7. Serán consideradas como personas usuarias del sector privado, aquellas que reciban atención médica por parte de los prestadores de servicios de salud privados.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8. Son derechos de las personas usuarias de los servicios de salud, los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Recibir un trato digno, respetuoso, profesional y con enfoque humanizado que asegure la calidad en la atención;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Ser atendidas en todo momento con respeto a sus derechos fundamentales, su dignidad, privacidad, cultura y valores personales;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Ser informadas de manera clara, suficiente y precisa sobre su padecimiento, los tratamientos indicados y las implicaciones de estos, tanto positivas como negativas;</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Obtener servicios médicos adecuados, oportunos, eficaces, de calidad y seguros basados en los </w:t>
      </w:r>
      <w:r w:rsidRPr="00AE0CAB">
        <w:rPr>
          <w:rFonts w:ascii="Times New Roman" w:eastAsiaTheme="minorEastAsia" w:hAnsi="Times New Roman" w:cs="Times New Roman"/>
          <w:noProof/>
          <w:sz w:val="24"/>
          <w:szCs w:val="24"/>
          <w:lang w:eastAsia="es-MX"/>
        </w:rPr>
        <w:drawing>
          <wp:inline distT="0" distB="0" distL="0" distR="0" wp14:anchorId="42F11F8B" wp14:editId="3753F874">
            <wp:extent cx="4573" cy="4572"/>
            <wp:effectExtent l="0" t="0" r="0" b="0"/>
            <wp:docPr id="58910" name="Picture 58910"/>
            <wp:cNvGraphicFramePr/>
            <a:graphic xmlns:a="http://schemas.openxmlformats.org/drawingml/2006/main">
              <a:graphicData uri="http://schemas.openxmlformats.org/drawingml/2006/picture">
                <pic:pic xmlns:pic="http://schemas.openxmlformats.org/drawingml/2006/picture">
                  <pic:nvPicPr>
                    <pic:cNvPr id="58910" name="Picture 58910"/>
                    <pic:cNvPicPr/>
                  </pic:nvPicPr>
                  <pic:blipFill>
                    <a:blip r:embed="rId18"/>
                    <a:stretch>
                      <a:fillRect/>
                    </a:stretch>
                  </pic:blipFill>
                  <pic:spPr>
                    <a:xfrm>
                      <a:off x="0" y="0"/>
                      <a:ext cx="4573"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estándares de práctica médica;</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No ser objeto de ningún tipo de discriminación en el acceso o prestación de los servicios de salud;</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Recibir tratamiento médico acorde con principios científicos reconocidos y aceptados;</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inline distT="0" distB="0" distL="0" distR="0" wp14:anchorId="2B6F55A1" wp14:editId="6934D302">
            <wp:extent cx="9149" cy="13716"/>
            <wp:effectExtent l="0" t="0" r="0" b="0"/>
            <wp:docPr id="562789" name="Picture 562789"/>
            <wp:cNvGraphicFramePr/>
            <a:graphic xmlns:a="http://schemas.openxmlformats.org/drawingml/2006/main">
              <a:graphicData uri="http://schemas.openxmlformats.org/drawingml/2006/picture">
                <pic:pic xmlns:pic="http://schemas.openxmlformats.org/drawingml/2006/picture">
                  <pic:nvPicPr>
                    <pic:cNvPr id="562789" name="Picture 562789"/>
                    <pic:cNvPicPr/>
                  </pic:nvPicPr>
                  <pic:blipFill>
                    <a:blip r:embed="rId36"/>
                    <a:stretch>
                      <a:fillRect/>
                    </a:stretch>
                  </pic:blipFill>
                  <pic:spPr>
                    <a:xfrm>
                      <a:off x="0" y="0"/>
                      <a:ext cx="9149" cy="13716"/>
                    </a:xfrm>
                    <a:prstGeom prst="rect">
                      <a:avLst/>
                    </a:prstGeom>
                  </pic:spPr>
                </pic:pic>
              </a:graphicData>
            </a:graphic>
          </wp:inline>
        </w:drawing>
      </w:r>
    </w:p>
    <w:p w:rsidR="005F04F9" w:rsidRPr="00AE0CAB" w:rsidRDefault="005F04F9" w:rsidP="00551BD2">
      <w:pPr>
        <w:numPr>
          <w:ilvl w:val="0"/>
          <w:numId w:val="1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Recibir la prescripción de tratamientos en términos comprensibles y legibles, identificando los medicamentos de forma genérica;</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Decidir libremente sobre su atención;</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Recibir atención médica en caso de urgencia;</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Contar con alternativas de tratamiento y expresar su consentimiento informado respecto a cualquier tratamiento o procedimiento médico propuesto;</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Que le sea garantizado una atención apegada a la confidencialidad y la protección de la información relacionada con su estado de salud;</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Presentar quejas, inconformidades o sugerencias respecto a la prestación de los servicios de salud, y recibir respuesta conforme a las disposiciones legales aplicables;</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Rehusarse a participar en actividades de investigación o enseñanza médica, sin que ello afecte la calidad de la atención recibida;</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Otorgar su consentimiento informado por escrito o de manera electrónica, mismo que será incorporado a su expediente clínico;</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anchor distT="0" distB="0" distL="114300" distR="114300" simplePos="0" relativeHeight="251667456" behindDoc="0" locked="0" layoutInCell="1" allowOverlap="0" wp14:anchorId="2A8FE58B" wp14:editId="6D65DBF6">
            <wp:simplePos x="0" y="0"/>
            <wp:positionH relativeFrom="page">
              <wp:posOffset>6875762</wp:posOffset>
            </wp:positionH>
            <wp:positionV relativeFrom="page">
              <wp:posOffset>2560320</wp:posOffset>
            </wp:positionV>
            <wp:extent cx="4573" cy="4572"/>
            <wp:effectExtent l="0" t="0" r="0" b="0"/>
            <wp:wrapSquare wrapText="bothSides"/>
            <wp:docPr id="62337" name="Picture 62337"/>
            <wp:cNvGraphicFramePr/>
            <a:graphic xmlns:a="http://schemas.openxmlformats.org/drawingml/2006/main">
              <a:graphicData uri="http://schemas.openxmlformats.org/drawingml/2006/picture">
                <pic:pic xmlns:pic="http://schemas.openxmlformats.org/drawingml/2006/picture">
                  <pic:nvPicPr>
                    <pic:cNvPr id="62337" name="Picture 62337"/>
                    <pic:cNvPicPr/>
                  </pic:nvPicPr>
                  <pic:blipFill>
                    <a:blip r:embed="rId28"/>
                    <a:stretch>
                      <a:fillRect/>
                    </a:stretch>
                  </pic:blipFill>
                  <pic:spPr>
                    <a:xfrm>
                      <a:off x="0" y="0"/>
                      <a:ext cx="4573" cy="4572"/>
                    </a:xfrm>
                    <a:prstGeom prst="rect">
                      <a:avLst/>
                    </a:prstGeom>
                  </pic:spPr>
                </pic:pic>
              </a:graphicData>
            </a:graphic>
          </wp:anchor>
        </w:drawing>
      </w:r>
      <w:r w:rsidRPr="00AE0CAB">
        <w:rPr>
          <w:rFonts w:ascii="Times New Roman" w:eastAsiaTheme="minorEastAsia" w:hAnsi="Times New Roman" w:cs="Times New Roman"/>
          <w:noProof/>
          <w:sz w:val="24"/>
          <w:szCs w:val="24"/>
          <w:lang w:eastAsia="es-MX"/>
        </w:rPr>
        <w:drawing>
          <wp:anchor distT="0" distB="0" distL="114300" distR="114300" simplePos="0" relativeHeight="251668480" behindDoc="0" locked="0" layoutInCell="1" allowOverlap="0" wp14:anchorId="77B45DBB" wp14:editId="5D7CC864">
            <wp:simplePos x="0" y="0"/>
            <wp:positionH relativeFrom="page">
              <wp:posOffset>3252605</wp:posOffset>
            </wp:positionH>
            <wp:positionV relativeFrom="page">
              <wp:posOffset>9784080</wp:posOffset>
            </wp:positionV>
            <wp:extent cx="347676" cy="73151"/>
            <wp:effectExtent l="0" t="0" r="0" b="0"/>
            <wp:wrapTopAndBottom/>
            <wp:docPr id="562793" name="Picture 562793"/>
            <wp:cNvGraphicFramePr/>
            <a:graphic xmlns:a="http://schemas.openxmlformats.org/drawingml/2006/main">
              <a:graphicData uri="http://schemas.openxmlformats.org/drawingml/2006/picture">
                <pic:pic xmlns:pic="http://schemas.openxmlformats.org/drawingml/2006/picture">
                  <pic:nvPicPr>
                    <pic:cNvPr id="562793" name="Picture 562793"/>
                    <pic:cNvPicPr/>
                  </pic:nvPicPr>
                  <pic:blipFill>
                    <a:blip r:embed="rId37"/>
                    <a:stretch>
                      <a:fillRect/>
                    </a:stretch>
                  </pic:blipFill>
                  <pic:spPr>
                    <a:xfrm>
                      <a:off x="0" y="0"/>
                      <a:ext cx="347676" cy="73151"/>
                    </a:xfrm>
                    <a:prstGeom prst="rect">
                      <a:avLst/>
                    </a:prstGeom>
                  </pic:spPr>
                </pic:pic>
              </a:graphicData>
            </a:graphic>
          </wp:anchor>
        </w:drawing>
      </w:r>
      <w:r w:rsidRPr="00AE0CAB">
        <w:rPr>
          <w:rFonts w:ascii="Times New Roman" w:eastAsiaTheme="minorEastAsia" w:hAnsi="Times New Roman" w:cs="Times New Roman"/>
          <w:sz w:val="24"/>
          <w:szCs w:val="24"/>
          <w:lang w:eastAsia="es-MX"/>
        </w:rPr>
        <w:t>Solicitar y recibir una segunda opinión médica sobre su diagnóstico o tratamiento;</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Contar con una historia clínica que cumpla con las disposiciones de las normas oficiales mexicanas;</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Recibir de manera alternativa la prestación de servicios médicos a distancia, que faciliten su atención sin necesidad de su desplazamiento, contemplados por la salud digital;</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Contar con un expediente clínico, preferentemente digital, al cual puedan acceder conforme a las </w:t>
      </w:r>
      <w:r w:rsidRPr="00AE0CAB">
        <w:rPr>
          <w:rFonts w:ascii="Times New Roman" w:eastAsiaTheme="minorEastAsia" w:hAnsi="Times New Roman" w:cs="Times New Roman"/>
          <w:noProof/>
          <w:sz w:val="24"/>
          <w:szCs w:val="24"/>
          <w:lang w:eastAsia="es-MX"/>
        </w:rPr>
        <w:drawing>
          <wp:inline distT="0" distB="0" distL="0" distR="0" wp14:anchorId="17208F1B" wp14:editId="571EAC10">
            <wp:extent cx="4575" cy="4572"/>
            <wp:effectExtent l="0" t="0" r="0" b="0"/>
            <wp:docPr id="62338" name="Picture 62338"/>
            <wp:cNvGraphicFramePr/>
            <a:graphic xmlns:a="http://schemas.openxmlformats.org/drawingml/2006/main">
              <a:graphicData uri="http://schemas.openxmlformats.org/drawingml/2006/picture">
                <pic:pic xmlns:pic="http://schemas.openxmlformats.org/drawingml/2006/picture">
                  <pic:nvPicPr>
                    <pic:cNvPr id="62338" name="Picture 62338"/>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disposiciones legales aplicables;</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Solicitar la emisión de certificados relacionados con su estado de salud;</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Obtener información clara y detallada sobre el diagnóstico, los tratamientos recibidos y las recomendaciones para su evolución, al finalizar su estancia en una institución de salud;</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inline distT="0" distB="0" distL="0" distR="0" wp14:anchorId="4EBBD6ED" wp14:editId="17311845">
            <wp:extent cx="4575" cy="4572"/>
            <wp:effectExtent l="0" t="0" r="0" b="0"/>
            <wp:docPr id="62339" name="Picture 62339"/>
            <wp:cNvGraphicFramePr/>
            <a:graphic xmlns:a="http://schemas.openxmlformats.org/drawingml/2006/main">
              <a:graphicData uri="http://schemas.openxmlformats.org/drawingml/2006/picture">
                <pic:pic xmlns:pic="http://schemas.openxmlformats.org/drawingml/2006/picture">
                  <pic:nvPicPr>
                    <pic:cNvPr id="62339" name="Picture 62339"/>
                    <pic:cNvPicPr/>
                  </pic:nvPicPr>
                  <pic:blipFill>
                    <a:blip r:embed="rId38"/>
                    <a:stretch>
                      <a:fillRect/>
                    </a:stretch>
                  </pic:blipFill>
                  <pic:spPr>
                    <a:xfrm>
                      <a:off x="0" y="0"/>
                      <a:ext cx="4575" cy="4572"/>
                    </a:xfrm>
                    <a:prstGeom prst="rect">
                      <a:avLst/>
                    </a:prstGeom>
                  </pic:spPr>
                </pic:pic>
              </a:graphicData>
            </a:graphic>
          </wp:inline>
        </w:drawing>
      </w: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En el caso de niñas, niños y adolescentes, ser llevados por sus madres, padres o representantes </w:t>
      </w:r>
      <w:r w:rsidRPr="00AE0CAB">
        <w:rPr>
          <w:rFonts w:ascii="Times New Roman" w:eastAsiaTheme="minorEastAsia" w:hAnsi="Times New Roman" w:cs="Times New Roman"/>
          <w:noProof/>
          <w:sz w:val="24"/>
          <w:szCs w:val="24"/>
          <w:lang w:eastAsia="es-MX"/>
        </w:rPr>
        <w:drawing>
          <wp:inline distT="0" distB="0" distL="0" distR="0" wp14:anchorId="517CBE32" wp14:editId="399967AB">
            <wp:extent cx="4575" cy="4573"/>
            <wp:effectExtent l="0" t="0" r="0" b="0"/>
            <wp:docPr id="62340" name="Picture 62340"/>
            <wp:cNvGraphicFramePr/>
            <a:graphic xmlns:a="http://schemas.openxmlformats.org/drawingml/2006/main">
              <a:graphicData uri="http://schemas.openxmlformats.org/drawingml/2006/picture">
                <pic:pic xmlns:pic="http://schemas.openxmlformats.org/drawingml/2006/picture">
                  <pic:nvPicPr>
                    <pic:cNvPr id="62340" name="Picture 62340"/>
                    <pic:cNvPicPr/>
                  </pic:nvPicPr>
                  <pic:blipFill>
                    <a:blip r:embed="rId28"/>
                    <a:stretch>
                      <a:fillRect/>
                    </a:stretch>
                  </pic:blipFill>
                  <pic:spPr>
                    <a:xfrm>
                      <a:off x="0" y="0"/>
                      <a:ext cx="4575" cy="4573"/>
                    </a:xfrm>
                    <a:prstGeom prst="rect">
                      <a:avLst/>
                    </a:prstGeom>
                  </pic:spPr>
                </pic:pic>
              </a:graphicData>
            </a:graphic>
          </wp:inline>
        </w:drawing>
      </w:r>
      <w:r w:rsidRPr="00AE0CAB">
        <w:rPr>
          <w:rFonts w:ascii="Times New Roman" w:eastAsiaTheme="minorEastAsia" w:hAnsi="Times New Roman" w:cs="Times New Roman"/>
          <w:sz w:val="24"/>
          <w:szCs w:val="24"/>
          <w:lang w:eastAsia="es-MX"/>
        </w:rPr>
        <w:t>legales a revisiones integrales para favorecer su sano crecimiento;</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Acceder a una muerte digna, con respeto a su voluntad respecto a tratamientos y acciones que </w:t>
      </w:r>
      <w:r w:rsidRPr="00AE0CAB">
        <w:rPr>
          <w:rFonts w:ascii="Times New Roman" w:eastAsiaTheme="minorEastAsia" w:hAnsi="Times New Roman" w:cs="Times New Roman"/>
          <w:noProof/>
          <w:sz w:val="24"/>
          <w:szCs w:val="24"/>
          <w:lang w:eastAsia="es-MX"/>
        </w:rPr>
        <w:drawing>
          <wp:inline distT="0" distB="0" distL="0" distR="0" wp14:anchorId="4D2AED5A" wp14:editId="02E0748F">
            <wp:extent cx="4575" cy="4573"/>
            <wp:effectExtent l="0" t="0" r="0" b="0"/>
            <wp:docPr id="62341" name="Picture 62341"/>
            <wp:cNvGraphicFramePr/>
            <a:graphic xmlns:a="http://schemas.openxmlformats.org/drawingml/2006/main">
              <a:graphicData uri="http://schemas.openxmlformats.org/drawingml/2006/picture">
                <pic:pic xmlns:pic="http://schemas.openxmlformats.org/drawingml/2006/picture">
                  <pic:nvPicPr>
                    <pic:cNvPr id="62341" name="Picture 62341"/>
                    <pic:cNvPicPr/>
                  </pic:nvPicPr>
                  <pic:blipFill>
                    <a:blip r:embed="rId39"/>
                    <a:stretch>
                      <a:fillRect/>
                    </a:stretch>
                  </pic:blipFill>
                  <pic:spPr>
                    <a:xfrm>
                      <a:off x="0" y="0"/>
                      <a:ext cx="4575" cy="4573"/>
                    </a:xfrm>
                    <a:prstGeom prst="rect">
                      <a:avLst/>
                    </a:prstGeom>
                  </pic:spPr>
                </pic:pic>
              </a:graphicData>
            </a:graphic>
          </wp:inline>
        </w:drawing>
      </w:r>
      <w:r w:rsidRPr="00AE0CAB">
        <w:rPr>
          <w:rFonts w:ascii="Times New Roman" w:eastAsiaTheme="minorEastAsia" w:hAnsi="Times New Roman" w:cs="Times New Roman"/>
          <w:sz w:val="24"/>
          <w:szCs w:val="24"/>
          <w:lang w:eastAsia="es-MX"/>
        </w:rPr>
        <w:t>deseen recibir o rechazar, preservando su dignidad humana;</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Obtener rehabilitación orientada a facilitar su reintegración en los ámbitos familiar, laboral y comunitario;</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Recibir los medicamentos necesarios, conforme al catálogo autorizado de medicamentos e </w:t>
      </w:r>
      <w:r w:rsidRPr="00AE0CAB">
        <w:rPr>
          <w:rFonts w:ascii="Times New Roman" w:eastAsiaTheme="minorEastAsia" w:hAnsi="Times New Roman" w:cs="Times New Roman"/>
          <w:noProof/>
          <w:sz w:val="24"/>
          <w:szCs w:val="24"/>
          <w:lang w:eastAsia="es-MX"/>
        </w:rPr>
        <w:drawing>
          <wp:inline distT="0" distB="0" distL="0" distR="0" wp14:anchorId="77E443C6" wp14:editId="0B08FB1F">
            <wp:extent cx="4575" cy="4572"/>
            <wp:effectExtent l="0" t="0" r="0" b="0"/>
            <wp:docPr id="62342" name="Picture 62342"/>
            <wp:cNvGraphicFramePr/>
            <a:graphic xmlns:a="http://schemas.openxmlformats.org/drawingml/2006/main">
              <a:graphicData uri="http://schemas.openxmlformats.org/drawingml/2006/picture">
                <pic:pic xmlns:pic="http://schemas.openxmlformats.org/drawingml/2006/picture">
                  <pic:nvPicPr>
                    <pic:cNvPr id="62342" name="Picture 62342"/>
                    <pic:cNvPicPr/>
                  </pic:nvPicPr>
                  <pic:blipFill>
                    <a:blip r:embed="rId2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insumos de los prestadores de servicios; y</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Gozar de los demás derechos que sean reconocidos en las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9. Las personas usuarias de los servicios de salud tendrán las siguientes obligaciones: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Participar activamente en programas y acciones de prevención, promoción y cuidado de la salud, adoptando hábitos y conductas saludables;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2"/>
        </w:numPr>
        <w:spacing w:after="0" w:line="240" w:lineRule="auto"/>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Cumplir de manera responsable con las recomendaciones, prescripciones, tratamientos y procedimientos proporcionadas por el personal médico respecto a su estado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Acatar las medidas de prevención y protección sanitaria establecidas durante emergencias sanitarias por las autoridades competentes;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Informarse acerca de los riesgos y alternativas de los procedimientos terapéuticos y quirúrgicos que se le indiquen o apliquen;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Dar trato respetuoso hacia el personal médico, auxiliar y administrativo, así como hacia otras personas usuarias y sus acompañantes;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Respetar las normas, reglamentos, y disposiciones aplicables a la prestación de los servicios de salud, incluidas aquellas específicas de cada unidad de atención;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Respetar, cuidar y preservar diligentemente las instalaciones, materiales y equipos puestos a su disposición.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10. Las personas usuarias del servicio público sin derechohabiencia, además de las obligaciones mencionadas en el artículo anterior, tendrán las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Empadronarse en el registro de personas beneficiarias del Sistema de Salud para el Bienestar, operado por el IMSS-Bienestar,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II. Proporcionar de manera fidedigna la información necesaria para documentar su incorporación a los servicios gratuitos de salud, medicamentos y demás insumos asociados para las personas sin seguridad </w:t>
      </w:r>
      <w:r w:rsidRPr="00AE0CAB">
        <w:rPr>
          <w:rFonts w:ascii="Times New Roman" w:eastAsiaTheme="minorEastAsia" w:hAnsi="Times New Roman" w:cs="Times New Roman"/>
          <w:noProof/>
          <w:sz w:val="24"/>
          <w:szCs w:val="24"/>
          <w:lang w:eastAsia="es-MX"/>
        </w:rPr>
        <w:drawing>
          <wp:inline distT="0" distB="0" distL="0" distR="0" wp14:anchorId="729685F0" wp14:editId="139D3270">
            <wp:extent cx="4575" cy="4572"/>
            <wp:effectExtent l="0" t="0" r="0" b="0"/>
            <wp:docPr id="65510" name="Picture 65510"/>
            <wp:cNvGraphicFramePr/>
            <a:graphic xmlns:a="http://schemas.openxmlformats.org/drawingml/2006/main">
              <a:graphicData uri="http://schemas.openxmlformats.org/drawingml/2006/picture">
                <pic:pic xmlns:pic="http://schemas.openxmlformats.org/drawingml/2006/picture">
                  <pic:nvPicPr>
                    <pic:cNvPr id="65510" name="Picture 65510"/>
                    <pic:cNvPicPr/>
                  </pic:nvPicPr>
                  <pic:blipFill>
                    <a:blip r:embed="rId4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social.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11. Serán considerados como grupos de atención prioritaria aquellos que enfrentan </w:t>
      </w:r>
      <w:r w:rsidRPr="00AE0CAB">
        <w:rPr>
          <w:rFonts w:ascii="Times New Roman" w:eastAsiaTheme="minorEastAsia" w:hAnsi="Times New Roman" w:cs="Times New Roman"/>
          <w:noProof/>
          <w:sz w:val="24"/>
          <w:szCs w:val="24"/>
          <w:lang w:eastAsia="es-MX"/>
        </w:rPr>
        <w:drawing>
          <wp:inline distT="0" distB="0" distL="0" distR="0" wp14:anchorId="10A4BC0C" wp14:editId="1ACEC52B">
            <wp:extent cx="4575" cy="4572"/>
            <wp:effectExtent l="0" t="0" r="0" b="0"/>
            <wp:docPr id="65511" name="Picture 65511"/>
            <wp:cNvGraphicFramePr/>
            <a:graphic xmlns:a="http://schemas.openxmlformats.org/drawingml/2006/main">
              <a:graphicData uri="http://schemas.openxmlformats.org/drawingml/2006/picture">
                <pic:pic xmlns:pic="http://schemas.openxmlformats.org/drawingml/2006/picture">
                  <pic:nvPicPr>
                    <pic:cNvPr id="65511" name="Picture 65511"/>
                    <pic:cNvPicPr/>
                  </pic:nvPicPr>
                  <pic:blipFill>
                    <a:blip r:embed="rId4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desigualdades asociadas a su edad, condición social o económica, orientación sexual o su identidad de género, origen étnico o violencia, teniendo mayores dificultades para el acceso a sus derechos; las cuales se enlistan a continuación sin que ello signifique prelación de uno sobre otro: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Personas adultas mayores;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Mujeres y personas gestantes;</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Niñas, niños y adolescentes;</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Personas con discapacidad;</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Personas en situación de calle;</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Personas de la comunidad LCBTTTIQ+;</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Personas migrantes;</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Pueblos y comunidades indígenas y afromexicanas; y</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Víctimas de delitos o de violaciones a derechos humanos.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 TERCERO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COMPETENCIAS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Autoridades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12. La autoridad rectora en materia sanitaria y de salud en el Estado de México, es la Secretaría, la cual se apoyará para el ejercicio de sus funciones del ISEM, los organismos auxiliares sectorizados, los Organismos Especializados en Salud, los Órganos Colegiados de la Secretaría y, en su caso, los municipios.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13. Son autoridades e instituciones competentes en la aplicación de esta Ley:</w:t>
      </w:r>
      <w:r w:rsidRPr="00AE0CAB">
        <w:rPr>
          <w:rFonts w:ascii="Times New Roman" w:eastAsiaTheme="minorEastAsia" w:hAnsi="Times New Roman" w:cs="Times New Roman"/>
          <w:noProof/>
          <w:sz w:val="24"/>
          <w:szCs w:val="24"/>
          <w:lang w:eastAsia="es-MX"/>
        </w:rPr>
        <w:drawing>
          <wp:inline distT="0" distB="0" distL="0" distR="0" wp14:anchorId="096ECDED" wp14:editId="7ADEC5A0">
            <wp:extent cx="4575" cy="4572"/>
            <wp:effectExtent l="0" t="0" r="0" b="0"/>
            <wp:docPr id="68125" name="Picture 68125"/>
            <wp:cNvGraphicFramePr/>
            <a:graphic xmlns:a="http://schemas.openxmlformats.org/drawingml/2006/main">
              <a:graphicData uri="http://schemas.openxmlformats.org/drawingml/2006/picture">
                <pic:pic xmlns:pic="http://schemas.openxmlformats.org/drawingml/2006/picture">
                  <pic:nvPicPr>
                    <pic:cNvPr id="68125" name="Picture 68125"/>
                    <pic:cNvPicPr/>
                  </pic:nvPicPr>
                  <pic:blipFill>
                    <a:blip r:embed="rId42"/>
                    <a:stretch>
                      <a:fillRect/>
                    </a:stretch>
                  </pic:blipFill>
                  <pic:spPr>
                    <a:xfrm>
                      <a:off x="0" y="0"/>
                      <a:ext cx="4575" cy="4572"/>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La persona titular del Poder Ejecutivo del Estado de México;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 Secretaría.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noProof/>
          <w:sz w:val="24"/>
          <w:szCs w:val="24"/>
          <w:lang w:eastAsia="es-MX"/>
        </w:rPr>
      </w:pPr>
      <w:r w:rsidRPr="00AE0CAB">
        <w:rPr>
          <w:rFonts w:ascii="Times New Roman" w:eastAsiaTheme="minorEastAsia" w:hAnsi="Times New Roman" w:cs="Times New Roman"/>
          <w:sz w:val="24"/>
          <w:szCs w:val="24"/>
          <w:lang w:eastAsia="es-MX"/>
        </w:rPr>
        <w:t>Artículo 14. Son autoridades e instituciones competentes en el trabajo transversal para la aplicación de esta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La Secretaría General de Gobierno;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 Secretaría de Seguridad;</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 Finanzas;</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del Trabajo;</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 Educación, Ciencia, Tecnología e Innovación;</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 Bienestar;</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del Campo;</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 Desarrollo Económico;</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 la Contraloría;</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del Medio Ambiente y Desarrollo Sostenible;</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del Agua;</w:t>
      </w:r>
    </w:p>
    <w:p w:rsidR="005F04F9" w:rsidRPr="00AE0CAB" w:rsidRDefault="005F04F9" w:rsidP="00183A68">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 las Mujeres;</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Consejería Jurídica;</w:t>
      </w:r>
    </w:p>
    <w:p w:rsidR="005F04F9" w:rsidRPr="00AE0CAB" w:rsidRDefault="005F04F9" w:rsidP="00183A68">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Oficialía Mayor;</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Sistema para el Desarrollo Integral de la Familia del Estado de México;</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Fiscalía General de Justicia del Estado México;</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Comisión de Derechos Humanos del Estado de México; y</w:t>
      </w:r>
    </w:p>
    <w:p w:rsidR="005F04F9" w:rsidRPr="00AE0CAB" w:rsidRDefault="005F04F9" w:rsidP="00183A6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XVIII. Los municipios.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su caso, los organismos auxiliares, sectorizados a las dependencias, previstas en este artículo, serán competentes en el trabajo transversal para la aplicación de esta Ley, en el ámbito de su competencia.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15. Son competencias generales de las instituciones y órganos en materia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Coadyuvar en consolidación del Sistema Estatal;</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Ejecutar programas y acciones en materia de salubridad local, con base en sus atribuciones;</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Proporcionar, en su caso, a la Secretaría, la información estadística que corresponda en el ámbito de su competencia;</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acciones para eliminar las barreras que impidan el acceso de la población a los servicios de salud;</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Impulsar acciones para preservar y mejorar la salud mental;</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Proponer y, en su caso, ejecutar acciones para el mejoramiento del medio ambiente como factor que incide en la salud; y</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le confieran esta Ley y otras disposiciones legales aplicables.</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16. La Secretaría General de Gobierno, en materia de salud, coadyuvará de forma transversal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Participar de manera coordinada con la Secretaría en la atención de desastres, siniestros ambientales o antropogénicos o de emergencias sanitarias a través de la gestión integral de riesgos y protección civil;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Las demás que le confieran esta Ley y otras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17. La Secretaría de Finanzas, en materia de salud, coadyuvará de forma transversal en las </w:t>
      </w:r>
      <w:r w:rsidRPr="00AE0CAB">
        <w:rPr>
          <w:rFonts w:ascii="Times New Roman" w:eastAsiaTheme="minorEastAsia" w:hAnsi="Times New Roman" w:cs="Times New Roman"/>
          <w:noProof/>
          <w:sz w:val="24"/>
          <w:szCs w:val="24"/>
          <w:lang w:eastAsia="es-MX"/>
        </w:rPr>
        <w:drawing>
          <wp:inline distT="0" distB="0" distL="0" distR="0" wp14:anchorId="4F5084BC" wp14:editId="5F00F2A4">
            <wp:extent cx="4575" cy="4572"/>
            <wp:effectExtent l="0" t="0" r="0" b="0"/>
            <wp:docPr id="71218" name="Picture 71218"/>
            <wp:cNvGraphicFramePr/>
            <a:graphic xmlns:a="http://schemas.openxmlformats.org/drawingml/2006/main">
              <a:graphicData uri="http://schemas.openxmlformats.org/drawingml/2006/picture">
                <pic:pic xmlns:pic="http://schemas.openxmlformats.org/drawingml/2006/picture">
                  <pic:nvPicPr>
                    <pic:cNvPr id="71218" name="Picture 71218"/>
                    <pic:cNvPicPr/>
                  </pic:nvPicPr>
                  <pic:blipFill>
                    <a:blip r:embed="rId1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Coordinar acciones tendientes a garantizar los recursos de ingresos propios o aquellos asignados a la Secretaría, para el cumplimiento de su objeto;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Las demás que le confieran la Ley y otras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 xml:space="preserve">Artículo 18. La Secretaría del Trabajo, en materia de salud, coadyuvará de forma transversal en las </w:t>
      </w:r>
      <w:r w:rsidRPr="00AE0CAB">
        <w:rPr>
          <w:rFonts w:ascii="Times New Roman" w:eastAsiaTheme="minorEastAsia" w:hAnsi="Times New Roman" w:cs="Times New Roman"/>
          <w:noProof/>
          <w:sz w:val="24"/>
          <w:szCs w:val="24"/>
          <w:lang w:eastAsia="es-MX"/>
        </w:rPr>
        <w:drawing>
          <wp:inline distT="0" distB="0" distL="0" distR="0" wp14:anchorId="42696F52" wp14:editId="61E06C49">
            <wp:extent cx="4575" cy="36576"/>
            <wp:effectExtent l="0" t="0" r="0" b="0"/>
            <wp:docPr id="562803" name="Picture 562803"/>
            <wp:cNvGraphicFramePr/>
            <a:graphic xmlns:a="http://schemas.openxmlformats.org/drawingml/2006/main">
              <a:graphicData uri="http://schemas.openxmlformats.org/drawingml/2006/picture">
                <pic:pic xmlns:pic="http://schemas.openxmlformats.org/drawingml/2006/picture">
                  <pic:nvPicPr>
                    <pic:cNvPr id="562803" name="Picture 562803"/>
                    <pic:cNvPicPr/>
                  </pic:nvPicPr>
                  <pic:blipFill>
                    <a:blip r:embed="rId43"/>
                    <a:stretch>
                      <a:fillRect/>
                    </a:stretch>
                  </pic:blipFill>
                  <pic:spPr>
                    <a:xfrm>
                      <a:off x="0" y="0"/>
                      <a:ext cx="4575" cy="36576"/>
                    </a:xfrm>
                    <a:prstGeom prst="rect">
                      <a:avLst/>
                    </a:prstGeom>
                  </pic:spPr>
                </pic:pic>
              </a:graphicData>
            </a:graphic>
          </wp:inline>
        </w:drawing>
      </w:r>
      <w:r w:rsidRPr="00AE0CAB">
        <w:rPr>
          <w:rFonts w:ascii="Times New Roman" w:eastAsiaTheme="minorEastAsia" w:hAnsi="Times New Roman" w:cs="Times New Roman"/>
          <w:sz w:val="24"/>
          <w:szCs w:val="24"/>
          <w:lang w:eastAsia="es-MX"/>
        </w:rPr>
        <w:t>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Promover y desarrollar investigación multidisciplinaria, que permita prevenir y controlar enfermedades y accidentes ocupacionales;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Aplicar y vigilar el cumplimiento de las normas de seguridad e higiene en los centros de trabajo;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Las demás que le confieran esta Ley y otras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19. La Secretaría de Seguridad, en materia de salud, coadyuvará de forma transversal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Organizar el sistema penitenciario con base en el derecho humano a la salud, reconocido por la Constitución Federal, proporcionando los servicios médicos fundamentales, con el propósito de garantizar la integridad física y psicológica de las personas privadas de la libertad en los Centros Penitenciarios y de Reinserción Social, así como de las personas adolescentes en prisión preventiva o internamiento;</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Coadyuvar en el fortalecimiento de programas de trabajo de salud y deporte, para la efectiva reinserción social;</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Garantizar mecanismos para la provisión y prestación de servicios de protección a la salud, a las personas privadas de la libertad, incluidos los de higiene para las personas menstruantes;</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Garantizar los derechos de la niñez relativos a la lactancia a través de la creación de salas de lactancia para personas privadas de la libertad;</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Coadyuvar con las autoridades competentes en los planes y operativos para la defensa y protección del medio ambiente, a fin de preservar y salvaguardar los recursos naturales de la Entidad, contribuyendo a </w:t>
      </w:r>
      <w:r w:rsidRPr="00AE0CAB">
        <w:rPr>
          <w:rFonts w:ascii="Times New Roman" w:eastAsiaTheme="minorEastAsia" w:hAnsi="Times New Roman" w:cs="Times New Roman"/>
          <w:noProof/>
          <w:sz w:val="24"/>
          <w:szCs w:val="24"/>
          <w:lang w:eastAsia="es-MX"/>
        </w:rPr>
        <w:drawing>
          <wp:inline distT="0" distB="0" distL="0" distR="0" wp14:anchorId="79A72201" wp14:editId="1BD07960">
            <wp:extent cx="4575" cy="4572"/>
            <wp:effectExtent l="0" t="0" r="0" b="0"/>
            <wp:docPr id="75129" name="Picture 75129"/>
            <wp:cNvGraphicFramePr/>
            <a:graphic xmlns:a="http://schemas.openxmlformats.org/drawingml/2006/main">
              <a:graphicData uri="http://schemas.openxmlformats.org/drawingml/2006/picture">
                <pic:pic xmlns:pic="http://schemas.openxmlformats.org/drawingml/2006/picture">
                  <pic:nvPicPr>
                    <pic:cNvPr id="75129" name="Picture 75129"/>
                    <pic:cNvPicPr/>
                  </pic:nvPicPr>
                  <pic:blipFill>
                    <a:blip r:embed="rId1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la salubridad local;</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Fomentar la corresponsabilidad entre habitantes y autoridades para conservar el medio ambiente y los servicios de salud; y</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le confieran esta Ley y otras disposiciones legales aplicables.</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20. La Secretaría de Educación, Ciencia, Tecnología e Innovación, en materia de salud, coadyuvará de forma transversal en las atribuciones siguientes:</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Promover, coordinar y fomentar los programas de educación para la salud y mejoramiento del ambiente aprobados para el Estado;</w:t>
      </w: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211B13">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Propiciar, en coordinación con las instituciones del sector salud y asistenciales, la orientación para la prevención y detección temprana de enfermedades; así como la integración de las niñas, niños y adolescentes en edad escolar, condición vulnerable e infortunio familiar a los servicios de educación básica;</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 xml:space="preserve">Fomentar, en su esfera de competencia la sana alimentación y activación física de la población escolar del sistema educativo del Estado de México, con especial énfasis en el cuidado de los alimentos que se </w:t>
      </w:r>
      <w:r w:rsidRPr="00AE0CAB">
        <w:rPr>
          <w:rFonts w:ascii="Times New Roman" w:eastAsiaTheme="minorEastAsia" w:hAnsi="Times New Roman" w:cs="Times New Roman"/>
          <w:noProof/>
          <w:sz w:val="24"/>
          <w:szCs w:val="24"/>
          <w:lang w:eastAsia="es-MX"/>
        </w:rPr>
        <w:drawing>
          <wp:inline distT="0" distB="0" distL="0" distR="0" wp14:anchorId="27CD18D7" wp14:editId="023EB618">
            <wp:extent cx="4574" cy="4572"/>
            <wp:effectExtent l="0" t="0" r="0" b="0"/>
            <wp:docPr id="75130" name="Picture 75130"/>
            <wp:cNvGraphicFramePr/>
            <a:graphic xmlns:a="http://schemas.openxmlformats.org/drawingml/2006/main">
              <a:graphicData uri="http://schemas.openxmlformats.org/drawingml/2006/picture">
                <pic:pic xmlns:pic="http://schemas.openxmlformats.org/drawingml/2006/picture">
                  <pic:nvPicPr>
                    <pic:cNvPr id="75130" name="Picture 75130"/>
                    <pic:cNvPicPr/>
                  </pic:nvPicPr>
                  <pic:blipFill>
                    <a:blip r:embed="rId9"/>
                    <a:stretch>
                      <a:fillRect/>
                    </a:stretch>
                  </pic:blipFill>
                  <pic:spPr>
                    <a:xfrm>
                      <a:off x="0" y="0"/>
                      <a:ext cx="4574"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expenden en las escuelas públicas y privadas de educación básica, aplicando la reglamentación conducente;</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Ofrecer material didáctico y capacitación adecuada en materia de salud y gestión menstrual al personal docente, con la finalidad de brindar herramientas que permitan orientar a la población estudiantil, de manera prioritaria a quienes se encuentran en zonas de alta marginación;</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acciones de capacitación y difusión, dirigidas a las madres, padres de familia o tutores, para que orienten adecuadamente sobre educación sexual integral y reproductiva, de salud y gestión menstrual, así como para fortalecer la integración familiar;</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y apoyar el avance científico y tecnológico, de conformidad con la política estatal en salud;</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VII. Las demás que le confieran esta Ley y otras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 La Secretaría de Bienestar, en materia de salud, coadyuvará de forma transversal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Promover programas y acciones orientados a elevar la calidad de vida de las personas beneficiarias y, consecuentemente, de su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Fortalecer programas destinados a la atención de los grupos o sectores que requieren especial atención, con los que se promuevan acciones de prevención;</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Promover y fomentar la participación de la sociedad en la ejecución y elaboración de las políticas, </w:t>
      </w:r>
      <w:r w:rsidRPr="00AE0CAB">
        <w:rPr>
          <w:rFonts w:ascii="Times New Roman" w:eastAsiaTheme="minorEastAsia" w:hAnsi="Times New Roman" w:cs="Times New Roman"/>
          <w:noProof/>
          <w:sz w:val="24"/>
          <w:szCs w:val="24"/>
          <w:lang w:eastAsia="es-MX"/>
        </w:rPr>
        <w:drawing>
          <wp:inline distT="0" distB="0" distL="0" distR="0" wp14:anchorId="3ADC5CDC" wp14:editId="32E328DC">
            <wp:extent cx="4575" cy="9144"/>
            <wp:effectExtent l="0" t="0" r="0" b="0"/>
            <wp:docPr id="78804" name="Picture 78804"/>
            <wp:cNvGraphicFramePr/>
            <a:graphic xmlns:a="http://schemas.openxmlformats.org/drawingml/2006/main">
              <a:graphicData uri="http://schemas.openxmlformats.org/drawingml/2006/picture">
                <pic:pic xmlns:pic="http://schemas.openxmlformats.org/drawingml/2006/picture">
                  <pic:nvPicPr>
                    <pic:cNvPr id="78804" name="Picture 78804"/>
                    <pic:cNvPicPr/>
                  </pic:nvPicPr>
                  <pic:blipFill>
                    <a:blip r:embed="rId44"/>
                    <a:stretch>
                      <a:fillRect/>
                    </a:stretch>
                  </pic:blipFill>
                  <pic:spPr>
                    <a:xfrm>
                      <a:off x="0" y="0"/>
                      <a:ext cx="4575" cy="9144"/>
                    </a:xfrm>
                    <a:prstGeom prst="rect">
                      <a:avLst/>
                    </a:prstGeom>
                  </pic:spPr>
                </pic:pic>
              </a:graphicData>
            </a:graphic>
          </wp:inline>
        </w:drawing>
      </w:r>
      <w:r w:rsidRPr="00AE0CAB">
        <w:rPr>
          <w:rFonts w:ascii="Times New Roman" w:eastAsiaTheme="minorEastAsia" w:hAnsi="Times New Roman" w:cs="Times New Roman"/>
          <w:sz w:val="24"/>
          <w:szCs w:val="24"/>
          <w:lang w:eastAsia="es-MX"/>
        </w:rPr>
        <w:t>programas y acciones de bienestar y desarrollo social que incluyan la prevención de enfermedades y el autocuidado, con énfasis en los grupos o sectores que requieren especial atención;</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Contribuir a mejorar la salud de la población a través de programas de desarrollo social;</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Concertar acciones en beneficio de los pueblos y comunidades indígenas, que promuevan el respeto, conocimiento y desarrollo de la medicina tradicional indígena y su práctica en condiciones dignas; y</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le confieran esta Ley y otras disposiciones legales aplicables.</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 La Secretaría del Campo, en materia de salud, coadyuvará de forma transversal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Coordinar, organizar y difundir los mecanismos y acciones de prevención, control y erradicación de plagas y enfermedades, que pongan en riesgo la salud pública;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Coordinar acciones emergentes en materia de prevención de riesgos asociados al uso de pesticidas y fertilizantes;</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Coadyuvar en la vigilancia epidemiológica, de prevención y de control de enfermedades por zoonosis;</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y supervisar acciones de sanidad e inocuidad, que permita prevenir riesgos sanitarios; y</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le confieran esta Ley y otras disposiciones legales aplicables.</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 La Secretaría de Desarrollo Económico, en materia de salud, coadyuvará de forma transversal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 Colaborar con la Secretaría en el ordenamiento de unidades económicas a fin de prevenir riesgos </w:t>
      </w:r>
      <w:r w:rsidRPr="00AE0CAB">
        <w:rPr>
          <w:rFonts w:ascii="Times New Roman" w:eastAsiaTheme="minorEastAsia" w:hAnsi="Times New Roman" w:cs="Times New Roman"/>
          <w:noProof/>
          <w:sz w:val="24"/>
          <w:szCs w:val="24"/>
          <w:lang w:eastAsia="es-MX"/>
        </w:rPr>
        <w:drawing>
          <wp:inline distT="0" distB="0" distL="0" distR="0" wp14:anchorId="4FA34E99" wp14:editId="470B12C8">
            <wp:extent cx="4575" cy="4572"/>
            <wp:effectExtent l="0" t="0" r="0" b="0"/>
            <wp:docPr id="78805" name="Picture 78805"/>
            <wp:cNvGraphicFramePr/>
            <a:graphic xmlns:a="http://schemas.openxmlformats.org/drawingml/2006/main">
              <a:graphicData uri="http://schemas.openxmlformats.org/drawingml/2006/picture">
                <pic:pic xmlns:pic="http://schemas.openxmlformats.org/drawingml/2006/picture">
                  <pic:nvPicPr>
                    <pic:cNvPr id="78805" name="Picture 78805"/>
                    <pic:cNvPicPr/>
                  </pic:nvPicPr>
                  <pic:blipFill>
                    <a:blip r:embed="rId1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sanitarios que afecten a la salud pública;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Las demás que le confieran esta Ley y otras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 La Secretaría de las Mujeres, en materia de salud, coadyuvará de forma transversal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Realizar acciones orientadas a promover, difundir y mejorar la salud integral de las mujeres, adolescentes y niñas, así como al ejercicio pleno de sus derechos sexuales y reproductivos;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Participar en la instrumentación de políticas públicas transversales para prevenir, atender, erradicar y sancionar la violencia obstétrica;</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Fomentar el acceso oportuno a servicios de atención médica y psicológica especializada, que resulten como consecuencia de la violencia familiar o de género, para mujeres, niñas, niños y adolescentes; y</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le confieran esta Ley y otras disposiciones legales aplicables.</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 La Consejería Jurídica, en materia de salud, coadyuvará de forma transversal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Coadyuvar en el desarrollo de un marco normativo apegado a la política pública nacional y estatal en materia de salud, que cumpla con las directrices de máxima protección y garantía de los derechos humanos;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Las demás que le confieran esta Ley y otras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 La Secretaría del Agua, en materia de salud y en el ámbito de su competencia, coadyuvará de forma transversal, con el apoyo de sus órganos auxiliares,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Coordinar los procesos asociados al consumo o uso de agua, cuando estos puedan implicar algún riesgo para la salud humana;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lastRenderedPageBreak/>
        <w:drawing>
          <wp:anchor distT="0" distB="0" distL="114300" distR="114300" simplePos="0" relativeHeight="251669504" behindDoc="0" locked="0" layoutInCell="1" allowOverlap="0" wp14:anchorId="0EDC5C46" wp14:editId="36CCA633">
            <wp:simplePos x="0" y="0"/>
            <wp:positionH relativeFrom="page">
              <wp:posOffset>333952</wp:posOffset>
            </wp:positionH>
            <wp:positionV relativeFrom="page">
              <wp:posOffset>9724644</wp:posOffset>
            </wp:positionV>
            <wp:extent cx="4575" cy="4573"/>
            <wp:effectExtent l="0" t="0" r="0" b="0"/>
            <wp:wrapTopAndBottom/>
            <wp:docPr id="82563" name="Picture 82563"/>
            <wp:cNvGraphicFramePr/>
            <a:graphic xmlns:a="http://schemas.openxmlformats.org/drawingml/2006/main">
              <a:graphicData uri="http://schemas.openxmlformats.org/drawingml/2006/picture">
                <pic:pic xmlns:pic="http://schemas.openxmlformats.org/drawingml/2006/picture">
                  <pic:nvPicPr>
                    <pic:cNvPr id="82563" name="Picture 82563"/>
                    <pic:cNvPicPr/>
                  </pic:nvPicPr>
                  <pic:blipFill>
                    <a:blip r:embed="rId35"/>
                    <a:stretch>
                      <a:fillRect/>
                    </a:stretch>
                  </pic:blipFill>
                  <pic:spPr>
                    <a:xfrm>
                      <a:off x="0" y="0"/>
                      <a:ext cx="4575" cy="4573"/>
                    </a:xfrm>
                    <a:prstGeom prst="rect">
                      <a:avLst/>
                    </a:prstGeom>
                  </pic:spPr>
                </pic:pic>
              </a:graphicData>
            </a:graphic>
          </wp:anchor>
        </w:drawing>
      </w:r>
      <w:r w:rsidRPr="00AE0CAB">
        <w:rPr>
          <w:rFonts w:ascii="Times New Roman" w:eastAsiaTheme="minorEastAsia" w:hAnsi="Times New Roman" w:cs="Times New Roman"/>
          <w:sz w:val="24"/>
          <w:szCs w:val="24"/>
          <w:lang w:eastAsia="es-MX"/>
        </w:rPr>
        <w:t>II. Identificar las afectaciones provocadas por fenómenos hidrometeorológicos en la entidad, con el objeto de definir obras y acciones preventivas, correctivas y emergentes necesarias para mejorar la operación de la infraestructura hidráulica de drenaje y reducir los daños a la población y la afectación de sus bienes, mismas que deberán realizar las distintas dependencias de los tres niveles de gobierno, según el ámbito de su competencia;</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en conjunto con la Secretaría, acciones para atender la salud de la población en casos de fenómenos hidrometeorológicos; y</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le confieran esta Ley y otras disposiciones legales aplicables.</w:t>
      </w:r>
    </w:p>
    <w:p w:rsidR="005F04F9" w:rsidRPr="00AE0CAB" w:rsidRDefault="005F04F9" w:rsidP="003416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27. La Secretaría del Medio Ambiente y Desarrollo Sostenible, en materia de salud, coadyuvará </w:t>
      </w:r>
      <w:r w:rsidRPr="00AE0CAB">
        <w:rPr>
          <w:rFonts w:ascii="Times New Roman" w:eastAsiaTheme="minorEastAsia" w:hAnsi="Times New Roman" w:cs="Times New Roman"/>
          <w:noProof/>
          <w:sz w:val="24"/>
          <w:szCs w:val="24"/>
          <w:lang w:eastAsia="es-MX"/>
        </w:rPr>
        <w:drawing>
          <wp:inline distT="0" distB="0" distL="0" distR="0" wp14:anchorId="6410B1EA" wp14:editId="6F865178">
            <wp:extent cx="4575" cy="4573"/>
            <wp:effectExtent l="0" t="0" r="0" b="0"/>
            <wp:docPr id="82561" name="Picture 82561"/>
            <wp:cNvGraphicFramePr/>
            <a:graphic xmlns:a="http://schemas.openxmlformats.org/drawingml/2006/main">
              <a:graphicData uri="http://schemas.openxmlformats.org/drawingml/2006/picture">
                <pic:pic xmlns:pic="http://schemas.openxmlformats.org/drawingml/2006/picture">
                  <pic:nvPicPr>
                    <pic:cNvPr id="82561" name="Picture 82561"/>
                    <pic:cNvPicPr/>
                  </pic:nvPicPr>
                  <pic:blipFill>
                    <a:blip r:embed="rId21"/>
                    <a:stretch>
                      <a:fillRect/>
                    </a:stretch>
                  </pic:blipFill>
                  <pic:spPr>
                    <a:xfrm>
                      <a:off x="0" y="0"/>
                      <a:ext cx="4575" cy="4573"/>
                    </a:xfrm>
                    <a:prstGeom prst="rect">
                      <a:avLst/>
                    </a:prstGeom>
                  </pic:spPr>
                </pic:pic>
              </a:graphicData>
            </a:graphic>
          </wp:inline>
        </w:drawing>
      </w:r>
      <w:r w:rsidRPr="00AE0CAB">
        <w:rPr>
          <w:rFonts w:ascii="Times New Roman" w:eastAsiaTheme="minorEastAsia" w:hAnsi="Times New Roman" w:cs="Times New Roman"/>
          <w:sz w:val="24"/>
          <w:szCs w:val="24"/>
          <w:lang w:eastAsia="es-MX"/>
        </w:rPr>
        <w:t>de forma transversal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Contribuir en la prevención y el control de los efectos nocivos de los factores ambientales en la salud de las personas;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II. Vigilar el cumplimiento de la legislación y normatividad ambiental para garantizar el derecho a toda </w:t>
      </w:r>
      <w:r w:rsidRPr="00AE0CAB">
        <w:rPr>
          <w:rFonts w:ascii="Times New Roman" w:eastAsiaTheme="minorEastAsia" w:hAnsi="Times New Roman" w:cs="Times New Roman"/>
          <w:noProof/>
          <w:sz w:val="24"/>
          <w:szCs w:val="24"/>
          <w:lang w:eastAsia="es-MX"/>
        </w:rPr>
        <w:drawing>
          <wp:inline distT="0" distB="0" distL="0" distR="0" wp14:anchorId="0EF06547" wp14:editId="376A11DC">
            <wp:extent cx="4573" cy="4572"/>
            <wp:effectExtent l="0" t="0" r="0" b="0"/>
            <wp:docPr id="82562" name="Picture 82562"/>
            <wp:cNvGraphicFramePr/>
            <a:graphic xmlns:a="http://schemas.openxmlformats.org/drawingml/2006/main">
              <a:graphicData uri="http://schemas.openxmlformats.org/drawingml/2006/picture">
                <pic:pic xmlns:pic="http://schemas.openxmlformats.org/drawingml/2006/picture">
                  <pic:nvPicPr>
                    <pic:cNvPr id="82562" name="Picture 82562"/>
                    <pic:cNvPicPr/>
                  </pic:nvPicPr>
                  <pic:blipFill>
                    <a:blip r:embed="rId42"/>
                    <a:stretch>
                      <a:fillRect/>
                    </a:stretch>
                  </pic:blipFill>
                  <pic:spPr>
                    <a:xfrm>
                      <a:off x="0" y="0"/>
                      <a:ext cx="4573"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persona a vivir en un ambiente adecuado para su desarrollo, salud y bienestar;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Las demás que le confieran esta Ley y otras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28. La Oficialía Mayor, en materia de salud, coadyuvará de forma transversal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Proporcionar el servicio aéreo destinado a las actividades sustantivas de protección civil, para la atención de contingencias de códigos médicos y emergencias médicas;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Participar en la regularización de inmuebles destinados a la atención médica; y</w:t>
      </w:r>
    </w:p>
    <w:p w:rsidR="00F723D1" w:rsidRPr="00AE0CAB" w:rsidRDefault="00F723D1"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F723D1"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III. </w:t>
      </w:r>
      <w:r w:rsidR="005F04F9" w:rsidRPr="00AE0CAB">
        <w:rPr>
          <w:rFonts w:ascii="Times New Roman" w:eastAsiaTheme="minorEastAsia" w:hAnsi="Times New Roman" w:cs="Times New Roman"/>
          <w:sz w:val="24"/>
          <w:szCs w:val="24"/>
          <w:lang w:eastAsia="es-MX"/>
        </w:rPr>
        <w:t>Las demás que le confieran esta Ley y otras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29. El Sistema para el Desarrollo Integral de la Familia del Estado de México, en materia de salud, coadyuvará de forma transversal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 Establecer, organizar, coordinar, fomentar y ejecutar programas y acciones de prevención y atención de las adicciones, brindando atención primaria a la salud de los miembros del grupo familiar, que propicien </w:t>
      </w:r>
      <w:r w:rsidRPr="00AE0CAB">
        <w:rPr>
          <w:rFonts w:ascii="Times New Roman" w:eastAsiaTheme="minorEastAsia" w:hAnsi="Times New Roman" w:cs="Times New Roman"/>
          <w:noProof/>
          <w:sz w:val="24"/>
          <w:szCs w:val="24"/>
          <w:lang w:eastAsia="es-MX"/>
        </w:rPr>
        <w:drawing>
          <wp:inline distT="0" distB="0" distL="0" distR="0" wp14:anchorId="74BC66F9" wp14:editId="7AC76121">
            <wp:extent cx="4575" cy="22860"/>
            <wp:effectExtent l="0" t="0" r="0" b="0"/>
            <wp:docPr id="562825" name="Picture 562825"/>
            <wp:cNvGraphicFramePr/>
            <a:graphic xmlns:a="http://schemas.openxmlformats.org/drawingml/2006/main">
              <a:graphicData uri="http://schemas.openxmlformats.org/drawingml/2006/picture">
                <pic:pic xmlns:pic="http://schemas.openxmlformats.org/drawingml/2006/picture">
                  <pic:nvPicPr>
                    <pic:cNvPr id="562825" name="Picture 562825"/>
                    <pic:cNvPicPr/>
                  </pic:nvPicPr>
                  <pic:blipFill>
                    <a:blip r:embed="rId45"/>
                    <a:stretch>
                      <a:fillRect/>
                    </a:stretch>
                  </pic:blipFill>
                  <pic:spPr>
                    <a:xfrm>
                      <a:off x="0" y="0"/>
                      <a:ext cx="4575" cy="22860"/>
                    </a:xfrm>
                    <a:prstGeom prst="rect">
                      <a:avLst/>
                    </a:prstGeom>
                  </pic:spPr>
                </pic:pic>
              </a:graphicData>
            </a:graphic>
          </wp:inline>
        </w:drawing>
      </w:r>
      <w:r w:rsidRPr="00AE0CAB">
        <w:rPr>
          <w:rFonts w:ascii="Times New Roman" w:eastAsiaTheme="minorEastAsia" w:hAnsi="Times New Roman" w:cs="Times New Roman"/>
          <w:sz w:val="24"/>
          <w:szCs w:val="24"/>
          <w:lang w:eastAsia="es-MX"/>
        </w:rPr>
        <w:t>una cultura de salud mental, vinculado en lo conducente con las atribuciones del Sistema Estatal;</w:t>
      </w:r>
      <w:r w:rsidRPr="00AE0CAB">
        <w:rPr>
          <w:rFonts w:ascii="Times New Roman" w:eastAsiaTheme="minorEastAsia" w:hAnsi="Times New Roman" w:cs="Times New Roman"/>
          <w:noProof/>
          <w:sz w:val="24"/>
          <w:szCs w:val="24"/>
          <w:lang w:eastAsia="es-MX"/>
        </w:rPr>
        <w:drawing>
          <wp:inline distT="0" distB="0" distL="0" distR="0" wp14:anchorId="4DE626CC" wp14:editId="116B4B09">
            <wp:extent cx="4575" cy="4572"/>
            <wp:effectExtent l="0" t="0" r="0" b="0"/>
            <wp:docPr id="86210" name="Picture 86210"/>
            <wp:cNvGraphicFramePr/>
            <a:graphic xmlns:a="http://schemas.openxmlformats.org/drawingml/2006/main">
              <a:graphicData uri="http://schemas.openxmlformats.org/drawingml/2006/picture">
                <pic:pic xmlns:pic="http://schemas.openxmlformats.org/drawingml/2006/picture">
                  <pic:nvPicPr>
                    <pic:cNvPr id="86210" name="Picture 86210"/>
                    <pic:cNvPicPr/>
                  </pic:nvPicPr>
                  <pic:blipFill>
                    <a:blip r:embed="rId10"/>
                    <a:stretch>
                      <a:fillRect/>
                    </a:stretch>
                  </pic:blipFill>
                  <pic:spPr>
                    <a:xfrm>
                      <a:off x="0" y="0"/>
                      <a:ext cx="4575" cy="4572"/>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Participar en el diseño de políticas públicas, estrategias y acciones coordinadas para asegurar la atención integral a niñas y niños y adolescentes;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Las demás que le confieran, esta Ley y otras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30. La Fiscalía General de Justicia del Estado de México, en materia de salud, coadyuvará de </w:t>
      </w:r>
      <w:r w:rsidRPr="00AE0CAB">
        <w:rPr>
          <w:rFonts w:ascii="Times New Roman" w:eastAsiaTheme="minorEastAsia" w:hAnsi="Times New Roman" w:cs="Times New Roman"/>
          <w:noProof/>
          <w:sz w:val="24"/>
          <w:szCs w:val="24"/>
          <w:lang w:eastAsia="es-MX"/>
        </w:rPr>
        <w:drawing>
          <wp:inline distT="0" distB="0" distL="0" distR="0" wp14:anchorId="5C2A5376" wp14:editId="5ED0C2BD">
            <wp:extent cx="4575" cy="4572"/>
            <wp:effectExtent l="0" t="0" r="0" b="0"/>
            <wp:docPr id="86211" name="Picture 86211"/>
            <wp:cNvGraphicFramePr/>
            <a:graphic xmlns:a="http://schemas.openxmlformats.org/drawingml/2006/main">
              <a:graphicData uri="http://schemas.openxmlformats.org/drawingml/2006/picture">
                <pic:pic xmlns:pic="http://schemas.openxmlformats.org/drawingml/2006/picture">
                  <pic:nvPicPr>
                    <pic:cNvPr id="86211" name="Picture 86211"/>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forma transversal 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I. Establecer mecanismos de canalización y atención en casos de personas víctimas de violencia sexual para la atención inmediata de su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F723D1">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Coadyuvar en la búsqueda, preservación y obtención de indicios, relacionados con la práctica médica;</w:t>
      </w:r>
    </w:p>
    <w:p w:rsidR="005F04F9" w:rsidRPr="00AE0CAB" w:rsidRDefault="005F04F9" w:rsidP="00F723D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Coadyuvar en la disposición de órganos, tejidos y células humanas de cadáveres de personas, involucradas en caso médico legal, priorizando la donación;</w:t>
      </w:r>
    </w:p>
    <w:p w:rsidR="005F04F9" w:rsidRPr="00AE0CAB" w:rsidRDefault="005F04F9" w:rsidP="00F723D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Participar en operativos colegiados, con motivo de visitas de verificación sanitaria; y</w:t>
      </w:r>
    </w:p>
    <w:p w:rsidR="005F04F9" w:rsidRPr="00AE0CAB" w:rsidRDefault="005F04F9" w:rsidP="00F723D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le confieran esta Ley y otras disposiciones legales aplicables.</w:t>
      </w:r>
    </w:p>
    <w:p w:rsidR="005F04F9" w:rsidRPr="00AE0CAB" w:rsidRDefault="005F04F9" w:rsidP="00F723D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F723D1">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31. Los Municipios en materia de salud, coadyuvarán de forma transversal en las atribuciones siguientes:</w:t>
      </w:r>
    </w:p>
    <w:p w:rsidR="005F04F9" w:rsidRPr="00AE0CAB" w:rsidRDefault="005F04F9" w:rsidP="00F723D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Coordinar con la Secretaría, el desarrollo e implementación de programas de atención a la salud de la población habitante de sus municipios;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Planear, organizar y operar los programas municipales de promoción de la salud, en observancia de los principios establecidos en esta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3"/>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Participar con la Secretaria en la promoción de información sobre salud reproductiva, control de la natalidad, enfermedades infectocontagiosas y enfermedades de la mujer, de manera que las personas pertenecientes a comunidades indígenas, puedan decidir informada y responsablemente, respetando en todo momento su cultura y tradiciones;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3"/>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la tenencia responsable de animales de compañía y mascotas, mediante campañas de esterilización y vacunación;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3"/>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Realizar acciones que tiendan a la prevención del consumo de sustancias psicoactivas, en congruencia con los programas nacional y estatal;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3"/>
        </w:numPr>
        <w:spacing w:after="0" w:line="240" w:lineRule="auto"/>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Contribuir en la aplicación de medidas de prevención para la protección de la salud individual y colectiva;</w:t>
      </w:r>
    </w:p>
    <w:p w:rsidR="005F04F9" w:rsidRPr="00AE0CAB" w:rsidRDefault="005F04F9" w:rsidP="0049506B">
      <w:pPr>
        <w:spacing w:after="0" w:line="240" w:lineRule="auto"/>
        <w:ind w:left="24"/>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4"/>
        </w:numPr>
        <w:spacing w:after="0" w:line="240" w:lineRule="auto"/>
        <w:ind w:left="24"/>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Facilitar información para la expedición de los permisos en materia de salubridad local; y</w:t>
      </w:r>
    </w:p>
    <w:p w:rsidR="005F04F9" w:rsidRPr="00AE0CAB" w:rsidRDefault="005F04F9" w:rsidP="0049506B">
      <w:pPr>
        <w:spacing w:after="0" w:line="240" w:lineRule="auto"/>
        <w:ind w:left="24"/>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4"/>
        </w:numPr>
        <w:spacing w:after="0" w:line="240" w:lineRule="auto"/>
        <w:ind w:left="24"/>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le confieran esta Ley y otras disposiciones legales aplicables.</w:t>
      </w:r>
    </w:p>
    <w:p w:rsidR="005F04F9" w:rsidRPr="00AE0CAB" w:rsidRDefault="005F04F9" w:rsidP="0049506B">
      <w:pPr>
        <w:spacing w:after="0" w:line="240" w:lineRule="auto"/>
        <w:ind w:left="24"/>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w:t>
      </w:r>
    </w:p>
    <w:p w:rsidR="005F04F9" w:rsidRPr="00AE0CAB" w:rsidRDefault="005F04F9" w:rsidP="005F04F9">
      <w:pPr>
        <w:keepNext/>
        <w:keepLines/>
        <w:widowControl w:val="0"/>
        <w:autoSpaceDE w:val="0"/>
        <w:autoSpaceDN w:val="0"/>
        <w:spacing w:after="0" w:line="240" w:lineRule="auto"/>
        <w:jc w:val="center"/>
        <w:outlineLvl w:val="0"/>
        <w:rPr>
          <w:rFonts w:ascii="Times New Roman" w:eastAsiaTheme="majorEastAsia" w:hAnsi="Times New Roman" w:cs="Times New Roman"/>
          <w:sz w:val="24"/>
          <w:szCs w:val="24"/>
        </w:rPr>
      </w:pPr>
      <w:r w:rsidRPr="00AE0CAB">
        <w:rPr>
          <w:rFonts w:ascii="Times New Roman" w:eastAsiaTheme="majorEastAsia" w:hAnsi="Times New Roman" w:cs="Times New Roman"/>
          <w:sz w:val="24"/>
          <w:szCs w:val="24"/>
        </w:rPr>
        <w:t>Del Sistema Estatal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32. El Sistema Estatal es la máxima autoridad materia de salud en el Estado de México y tiene por objeto facilitar el desarrollo de políticas públicas transversales, encaminadas a la consolidación y conservación de la salud pública, a través de la prestación de los servicios de salud e impulsar mecanismos de colaboración para dar cumplimiento al derecho a la protección de la salud y la salubridad local.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33. El Sistema Estatal tiene los objetivos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Coordinar acciones entre las dependencias y entidades competentes, que deriven de esta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Propiciar la celebración de convenios de coordinación y colaboración para el desarrollo de programas y acciones derivadas de la presente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5"/>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la participación de los sectores público, social y privado para la prevención y promoción de la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5"/>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el desarrollo de políticas públicas orientadas al cuidado de la salud, así como de la salubridad local;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5"/>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Establecer a las instituciones, acciones específicas en el ámbito de sus respectivas competencias, para </w:t>
      </w:r>
      <w:r w:rsidRPr="00AE0CAB">
        <w:rPr>
          <w:rFonts w:ascii="Times New Roman" w:eastAsiaTheme="minorEastAsia" w:hAnsi="Times New Roman" w:cs="Times New Roman"/>
          <w:noProof/>
          <w:sz w:val="24"/>
          <w:szCs w:val="24"/>
          <w:lang w:eastAsia="es-MX"/>
        </w:rPr>
        <w:drawing>
          <wp:inline distT="0" distB="0" distL="0" distR="0" wp14:anchorId="09CBA395" wp14:editId="644F3337">
            <wp:extent cx="4575" cy="4572"/>
            <wp:effectExtent l="0" t="0" r="0" b="0"/>
            <wp:docPr id="89679" name="Picture 89679"/>
            <wp:cNvGraphicFramePr/>
            <a:graphic xmlns:a="http://schemas.openxmlformats.org/drawingml/2006/main">
              <a:graphicData uri="http://schemas.openxmlformats.org/drawingml/2006/picture">
                <pic:pic xmlns:pic="http://schemas.openxmlformats.org/drawingml/2006/picture">
                  <pic:nvPicPr>
                    <pic:cNvPr id="89679" name="Picture 89679"/>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garantizar el derecho a la salud;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5"/>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Facilitar la adopción de mecanismos para la cooperación y los intercambios de información con organizaciones e instituciones de los distintos sectores.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34. El Sistema Estatal se integrará por las personas titulares o, en su caso, los representantes de:</w:t>
      </w:r>
      <w:r w:rsidRPr="00AE0CAB">
        <w:rPr>
          <w:rFonts w:ascii="Times New Roman" w:eastAsiaTheme="minorEastAsia" w:hAnsi="Times New Roman" w:cs="Times New Roman"/>
          <w:noProof/>
          <w:sz w:val="24"/>
          <w:szCs w:val="24"/>
          <w:lang w:eastAsia="es-MX"/>
        </w:rPr>
        <w:drawing>
          <wp:inline distT="0" distB="0" distL="0" distR="0" wp14:anchorId="4D6CA5A3" wp14:editId="5C1B4431">
            <wp:extent cx="4575" cy="4572"/>
            <wp:effectExtent l="0" t="0" r="0" b="0"/>
            <wp:docPr id="89680" name="Picture 89680"/>
            <wp:cNvGraphicFramePr/>
            <a:graphic xmlns:a="http://schemas.openxmlformats.org/drawingml/2006/main">
              <a:graphicData uri="http://schemas.openxmlformats.org/drawingml/2006/picture">
                <pic:pic xmlns:pic="http://schemas.openxmlformats.org/drawingml/2006/picture">
                  <pic:nvPicPr>
                    <pic:cNvPr id="89680" name="Picture 89680"/>
                    <pic:cNvPicPr/>
                  </pic:nvPicPr>
                  <pic:blipFill>
                    <a:blip r:embed="rId46"/>
                    <a:stretch>
                      <a:fillRect/>
                    </a:stretch>
                  </pic:blipFill>
                  <pic:spPr>
                    <a:xfrm>
                      <a:off x="0" y="0"/>
                      <a:ext cx="4575" cy="4572"/>
                    </a:xfrm>
                    <a:prstGeom prst="rect">
                      <a:avLst/>
                    </a:prstGeom>
                  </pic:spPr>
                </pic:pic>
              </a:graphicData>
            </a:graphic>
          </wp:inline>
        </w:drawing>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Poder Ejecutivo:</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Una Presidencia, que estará a cargo de la persona titular del Poder Ejecutivo del Estado de México;</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Una Secretaria Ejecutiva, que estará a cargo de la Secretaría;</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Prestadores de servicios de salud públicos:</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de Salud del Estado de México, ISEM;</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de Seguridad Social del Estado de México y Municipios, ISSEMYM;</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de Seguridad y Servicios Sociales de los Trabajadores del Estado, ISSSTE;</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Mexicano del Seguro Social, IMSS;</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de Seguridad Social para las Fuerzas Armadas Mexicanas, ISSFAM;</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Sistema Estatal para el Desarrollo Integral de la Familia del Estado de México, DIFEM;</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Materno Infantil del Estado de México, IMIEM;</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Hospital Regional de Alta Especializada de Zumpango, HRAEZ;</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Prestadores de servicios de salud privados en el Estado de México; y</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2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Coordinación Estatal del Servicio Nacional de Salud Pública, en la entidad.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35. El funcionamiento y operación del Sistema Estatal será establecido en el Reglamento de la presente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cargos de las o los representantes del Sistema Estatal serán honoríficos.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Secretaría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36. La Secretaria es la institución responsable de conducir la política estatal en materia de salud en la entidad, teniendo a su cargo la rectoría de este sector.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anchor distT="0" distB="0" distL="114300" distR="114300" simplePos="0" relativeHeight="251670528" behindDoc="0" locked="0" layoutInCell="1" allowOverlap="0" wp14:anchorId="1D13EDCF" wp14:editId="2096E828">
            <wp:simplePos x="0" y="0"/>
            <wp:positionH relativeFrom="page">
              <wp:posOffset>635882</wp:posOffset>
            </wp:positionH>
            <wp:positionV relativeFrom="page">
              <wp:posOffset>8115300</wp:posOffset>
            </wp:positionV>
            <wp:extent cx="18299" cy="9144"/>
            <wp:effectExtent l="0" t="0" r="0" b="0"/>
            <wp:wrapSquare wrapText="bothSides"/>
            <wp:docPr id="93140" name="Picture 93140"/>
            <wp:cNvGraphicFramePr/>
            <a:graphic xmlns:a="http://schemas.openxmlformats.org/drawingml/2006/main">
              <a:graphicData uri="http://schemas.openxmlformats.org/drawingml/2006/picture">
                <pic:pic xmlns:pic="http://schemas.openxmlformats.org/drawingml/2006/picture">
                  <pic:nvPicPr>
                    <pic:cNvPr id="93140" name="Picture 93140"/>
                    <pic:cNvPicPr/>
                  </pic:nvPicPr>
                  <pic:blipFill>
                    <a:blip r:embed="rId47"/>
                    <a:stretch>
                      <a:fillRect/>
                    </a:stretch>
                  </pic:blipFill>
                  <pic:spPr>
                    <a:xfrm>
                      <a:off x="0" y="0"/>
                      <a:ext cx="18299" cy="9144"/>
                    </a:xfrm>
                    <a:prstGeom prst="rect">
                      <a:avLst/>
                    </a:prstGeom>
                  </pic:spPr>
                </pic:pic>
              </a:graphicData>
            </a:graphic>
          </wp:anchor>
        </w:drawing>
      </w:r>
      <w:r w:rsidRPr="00AE0CAB">
        <w:rPr>
          <w:rFonts w:ascii="Times New Roman" w:eastAsiaTheme="minorEastAsia" w:hAnsi="Times New Roman" w:cs="Times New Roman"/>
          <w:sz w:val="24"/>
          <w:szCs w:val="24"/>
          <w:lang w:eastAsia="es-MX"/>
        </w:rPr>
        <w:t>La Secretaría coordinará e impulsará los trabajos de los prestadores de servicios de salud de los sectores público, social y privado que brinden sus servicios en el territorio estatal, de sus personas trabajadoras y de la población usuaria de los mismos.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37. Además de las señaladas en la Ley Orgánica de la Administración Pública del Estado de México, la Secretaría tendrá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Implementar políticas públicas, programas, proyectos, estrategias, acciones y lineamientos necesarios para la protección de la salud en la población del Estado de México;</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Impulsar políticas públicas con enfoque diferenciado para garantizar el acceso a la salud para los grupos de atención prioritaria;</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Elaborar y conducir políticas tendientes a garantizar acceso a los servicios de salud para las personas usuarias que no sean beneficiarias o derechohabientes;</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acciones a favor de la medicina tradicional indígena y su práctica en condiciones dignas, garantizando el reconocimiento de la misma; así como de la partería tradicional como parte esencial del respeto a las costumbres de los pueblos y comunidades indígenas del Estado de México;</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Impulsar el desarrollo de acciones que faciliten la prestación de servicios de salud digital, a fin de mejorar la atención médica, propiciando el acceso de la población a estos medios;</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la elaboración de programas de prevención, atención y erradicación de la violencia de género en la prestación de los servicios de salud;</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Difundir entre la población usuaria del Sistema Estatal el conocimiento de sus derechos y los mecanismos para su exigibilidad en la materia e impulsar acciones que aseguren la igualdad de acceso de las personas a la salud;</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y fomentar investigaciones con perspectiva de género en materia de salud, así como para prevenir, atender y erradicar la violencia contra las mujeres estableciendo mecanismos para la atención de las víctimas;</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Supervisar la instalación, operación y determinaciones de los órganos auxiliares, consejos y comités de los prestadores de servicios de salud públicos, sociales y privados;</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Desarrollar programas que fomenten la atención integral de la mujer durante el embarazo, el parto, el puerperio o en emergencia obstétrica, lactancia materna, así como, coordinar la implementación de políticas públicas transversales, y la elaboración de programas de promoción, orientación y prevención, encaminados a erradicar la violencia obstétrica;</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Implementar los mecanismos e instrumentos necesarios que permitan a la población indígena el acceso efectivo a los servicios de salud;</w:t>
      </w:r>
    </w:p>
    <w:p w:rsidR="005F04F9" w:rsidRPr="00AE0CAB" w:rsidRDefault="005F04F9" w:rsidP="0049506B">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Garantizar a las personas de la diversidad sexual y de género el acceso efectivo, igualitario y libre de discriminación a los servicios de salud pública, bajo un enfoque de derechos humanos, perspectiva de diversidad sexual y perspectiva de género, así como del pleno respeto a la identidad y expresión de género, </w:t>
      </w:r>
      <w:r w:rsidRPr="00AE0CAB">
        <w:rPr>
          <w:rFonts w:ascii="Times New Roman" w:eastAsiaTheme="minorEastAsia" w:hAnsi="Times New Roman" w:cs="Times New Roman"/>
          <w:noProof/>
          <w:sz w:val="24"/>
          <w:szCs w:val="24"/>
          <w:lang w:eastAsia="es-MX"/>
        </w:rPr>
        <w:drawing>
          <wp:inline distT="0" distB="0" distL="0" distR="0" wp14:anchorId="585504B8" wp14:editId="50A2FDE7">
            <wp:extent cx="4575" cy="4572"/>
            <wp:effectExtent l="0" t="0" r="0" b="0"/>
            <wp:docPr id="1" name="Picture 97131"/>
            <wp:cNvGraphicFramePr/>
            <a:graphic xmlns:a="http://schemas.openxmlformats.org/drawingml/2006/main">
              <a:graphicData uri="http://schemas.openxmlformats.org/drawingml/2006/picture">
                <pic:pic xmlns:pic="http://schemas.openxmlformats.org/drawingml/2006/picture">
                  <pic:nvPicPr>
                    <pic:cNvPr id="97131" name="Picture 97131"/>
                    <pic:cNvPicPr/>
                  </pic:nvPicPr>
                  <pic:blipFill>
                    <a:blip r:embed="rId4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y elaborar protocolos de atención médica específica basada en evidencia científica y estándares nacionales e internacionales, garantizando el consentimiento libre, previo e informado, y</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científica y estándares nacionales e internacionales, garantizando el consentimiento libre, previo e informado, y</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estén previstas por la normatividad aplicable en la materia.</w:t>
      </w:r>
    </w:p>
    <w:p w:rsidR="005F04F9" w:rsidRPr="00AE0CAB" w:rsidRDefault="005F04F9" w:rsidP="0049506B">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inline distT="0" distB="0" distL="0" distR="0" wp14:anchorId="17F378D0" wp14:editId="726E7AA2">
            <wp:extent cx="4575" cy="13716"/>
            <wp:effectExtent l="0" t="0" r="0" b="0"/>
            <wp:docPr id="562840" name="Picture 562840"/>
            <wp:cNvGraphicFramePr/>
            <a:graphic xmlns:a="http://schemas.openxmlformats.org/drawingml/2006/main">
              <a:graphicData uri="http://schemas.openxmlformats.org/drawingml/2006/picture">
                <pic:pic xmlns:pic="http://schemas.openxmlformats.org/drawingml/2006/picture">
                  <pic:nvPicPr>
                    <pic:cNvPr id="562840" name="Picture 562840"/>
                    <pic:cNvPicPr/>
                  </pic:nvPicPr>
                  <pic:blipFill>
                    <a:blip r:embed="rId48"/>
                    <a:stretch>
                      <a:fillRect/>
                    </a:stretch>
                  </pic:blipFill>
                  <pic:spPr>
                    <a:xfrm>
                      <a:off x="0" y="0"/>
                      <a:ext cx="4575" cy="13716"/>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38. Para el cumplimiento de su objeto, la Secreta ría se auxiliará del ISEM, cuya estructura tendrá funciones rectoras en el ámbito de sus respectivas competencias.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Asimismo, el establecimiento, regulación, coordinación y supervisión de las directrices, planes, programas, proyectos, acciones y demás políticas de salud, serán dictadas por la Secretaría a través del ISEM y de los Organismos Especializados en Salud, en sus respectivos ámbitos de competencia.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tendrá a su cargo a los Institutos Especializados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Primera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Instituto de Salud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39. El ISEM es un organismo público descentralizado, con personalidad jurídica y patrimonio propio, que funge como auxiliar de la Secretaría para ser la instancia normativa y de conducción de la política estatal. Asimismo, tendrá funciones de autoridad, en la planeación, ejecución y coordinación de los servicios de salud en la entidad y el ejercicio del control y fomento sanitarios.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40. La dirección y administración del ISEM estará a cargo de un Consejo Interno y una Dirección General.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Consejo Interno del ISEM estará integrado por:</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5"/>
        </w:numPr>
        <w:spacing w:after="0" w:line="240" w:lineRule="auto"/>
        <w:ind w:left="0" w:firstLine="0"/>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Una Presidencia, que estará a cargo de la persona Titular de la Secretaría de Salud;</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5"/>
        </w:numPr>
        <w:spacing w:after="0" w:line="240" w:lineRule="auto"/>
        <w:ind w:left="0" w:firstLine="0"/>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Una Presidencia, que estará a cargo de la persona Titular de la Secretaría de la Salud;</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Una Comisaría, que estará a cargo de la persona representante de la Secretaría de la Contraloría; y</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Vocales que serán las personas representantes de las secretarías de Finanzas, del Trabajo, de Educación, Ciencia, Tecnología e Innovación, de Desarrollo Urbano e Infraestructura, del Campo, del Medio Ambiente y Desarrollo Sostenible, así como un representante de la Secretaría Federal y otro de los </w:t>
      </w:r>
      <w:r w:rsidRPr="00AE0CAB">
        <w:rPr>
          <w:rFonts w:ascii="Times New Roman" w:eastAsiaTheme="minorEastAsia" w:hAnsi="Times New Roman" w:cs="Times New Roman"/>
          <w:noProof/>
          <w:sz w:val="24"/>
          <w:szCs w:val="24"/>
          <w:lang w:eastAsia="es-MX"/>
        </w:rPr>
        <w:drawing>
          <wp:inline distT="0" distB="0" distL="0" distR="0" wp14:anchorId="1363861A" wp14:editId="6C1C40A0">
            <wp:extent cx="4575" cy="13716"/>
            <wp:effectExtent l="0" t="0" r="0" b="0"/>
            <wp:docPr id="562845" name="Picture 562845"/>
            <wp:cNvGraphicFramePr/>
            <a:graphic xmlns:a="http://schemas.openxmlformats.org/drawingml/2006/main">
              <a:graphicData uri="http://schemas.openxmlformats.org/drawingml/2006/picture">
                <pic:pic xmlns:pic="http://schemas.openxmlformats.org/drawingml/2006/picture">
                  <pic:nvPicPr>
                    <pic:cNvPr id="562845" name="Picture 562845"/>
                    <pic:cNvPicPr/>
                  </pic:nvPicPr>
                  <pic:blipFill>
                    <a:blip r:embed="rId49"/>
                    <a:stretch>
                      <a:fillRect/>
                    </a:stretch>
                  </pic:blipFill>
                  <pic:spPr>
                    <a:xfrm>
                      <a:off x="0" y="0"/>
                      <a:ext cx="4575" cy="13716"/>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trabajadores designado por el Comité Ejecutivo Nacional del Sindicato Nacional de Trabajadores de la </w:t>
      </w:r>
      <w:r w:rsidRPr="00AE0CAB">
        <w:rPr>
          <w:rFonts w:ascii="Times New Roman" w:eastAsiaTheme="minorEastAsia" w:hAnsi="Times New Roman" w:cs="Times New Roman"/>
          <w:noProof/>
          <w:sz w:val="24"/>
          <w:szCs w:val="24"/>
          <w:lang w:eastAsia="es-MX"/>
        </w:rPr>
        <w:drawing>
          <wp:inline distT="0" distB="0" distL="0" distR="0" wp14:anchorId="12E82846" wp14:editId="6F5DB981">
            <wp:extent cx="4575" cy="9144"/>
            <wp:effectExtent l="0" t="0" r="0" b="0"/>
            <wp:docPr id="100965" name="Picture 100965"/>
            <wp:cNvGraphicFramePr/>
            <a:graphic xmlns:a="http://schemas.openxmlformats.org/drawingml/2006/main">
              <a:graphicData uri="http://schemas.openxmlformats.org/drawingml/2006/picture">
                <pic:pic xmlns:pic="http://schemas.openxmlformats.org/drawingml/2006/picture">
                  <pic:nvPicPr>
                    <pic:cNvPr id="100965" name="Picture 100965"/>
                    <pic:cNvPicPr/>
                  </pic:nvPicPr>
                  <pic:blipFill>
                    <a:blip r:embed="rId50"/>
                    <a:stretch>
                      <a:fillRect/>
                    </a:stretch>
                  </pic:blipFill>
                  <pic:spPr>
                    <a:xfrm>
                      <a:off x="0" y="0"/>
                      <a:ext cx="4575" cy="9144"/>
                    </a:xfrm>
                    <a:prstGeom prst="rect">
                      <a:avLst/>
                    </a:prstGeom>
                  </pic:spPr>
                </pic:pic>
              </a:graphicData>
            </a:graphic>
          </wp:inline>
        </w:drawing>
      </w:r>
      <w:r w:rsidRPr="00AE0CAB">
        <w:rPr>
          <w:rFonts w:ascii="Times New Roman" w:eastAsiaTheme="minorEastAsia" w:hAnsi="Times New Roman" w:cs="Times New Roman"/>
          <w:sz w:val="24"/>
          <w:szCs w:val="24"/>
          <w:lang w:eastAsia="es-MX"/>
        </w:rPr>
        <w:t>Secretaría Federal.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Será invitada permanente una persona representante de la Consejería Jurídica, con derecho de voz, sin voto.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Por cada una de las personas integrantes, el Consejo Interno aprobará el nombramiento de una persona </w:t>
      </w:r>
      <w:r w:rsidRPr="00AE0CAB">
        <w:rPr>
          <w:rFonts w:ascii="Times New Roman" w:eastAsiaTheme="minorEastAsia" w:hAnsi="Times New Roman" w:cs="Times New Roman"/>
          <w:noProof/>
          <w:sz w:val="24"/>
          <w:szCs w:val="24"/>
          <w:lang w:eastAsia="es-MX"/>
        </w:rPr>
        <w:drawing>
          <wp:inline distT="0" distB="0" distL="0" distR="0" wp14:anchorId="79A26CEA" wp14:editId="6739524E">
            <wp:extent cx="4575" cy="4572"/>
            <wp:effectExtent l="0" t="0" r="0" b="0"/>
            <wp:docPr id="100966" name="Picture 100966"/>
            <wp:cNvGraphicFramePr/>
            <a:graphic xmlns:a="http://schemas.openxmlformats.org/drawingml/2006/main">
              <a:graphicData uri="http://schemas.openxmlformats.org/drawingml/2006/picture">
                <pic:pic xmlns:pic="http://schemas.openxmlformats.org/drawingml/2006/picture">
                  <pic:nvPicPr>
                    <pic:cNvPr id="100966" name="Picture 100966"/>
                    <pic:cNvPicPr/>
                  </pic:nvPicPr>
                  <pic:blipFill>
                    <a:blip r:embed="rId1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suplente quien será propuesta por la persona propietaria.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personas integrantes del Consejo Interno tendrán derecho a voz y voto en las sesiones que celebren, con excepción de la Secretaría y Comisaría quienes sólo tendrán derecho de voz.</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desempeño de las personas integrantes del Consejo Interno será honorífico.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41. La persona titular de la Dirección General será nombrada por la persona titular del Poder Ejecutivo del Estado y deberá ser preferentemente, ciudadana o ciudadano mexiquense y con experiencia en materias de salud pública y administración de servicios de salud; médico cirujano; de reconocida calidad moral, buena conducta y honorabilidad manifiesta.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nombramiento de titular de la Dirección General podrá recaer en la o el Titular de la Secretaría de Salud, sin que exista doble remuneración.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42. La organización y funcionamiento del ISEM se regirá por el Reglamento Interno que apruebe el Consejo Interno y expida la persona titular del Poder Ejecutivo Estatal.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43. El patrimonio del ISEM se integra con: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Los bienes con los que actualmente cuenta;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2"/>
        </w:numPr>
        <w:spacing w:after="0" w:line="240" w:lineRule="auto"/>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aportaciones que los gobiernos federal, estatal y municipales le otorguen;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derechos que tenga sobre los bienes muebles e inmuebles que le transfieran;</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3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aportaciones, donaciones, legados y demás análogas que reciba de los sectores social y privado;</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3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cuotas de recuperación que reciba por los servicios que preste;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general, todos los bienes, derechos y obligaciones que entrañen utilidad económica o sean susceptibles de estimación pecuniaria y que se obtengan por cualquier título;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concesiones, permisos, licencias y autorizaciones que se le otorguen conforme a la Ley General y esta Ley;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ingresos del Instituto, así como los productos e instrumentos financieros autorizados serán destinados y aplicados a las actividades señaladas en los programas aprobados por el Consejo Interno.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44. El ISEM tiene entre sus atribuciones: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Fungir como Organismo Especializado en Salud sobre la prestación de servicios de salud en el Estado de México en los ámbitos, público, social y privado; coadyuvando a elevar las condiciones de salud de la población mexiquense;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II. Someter a la consideración de la Secretaría, las modificaciones a los programas y esquemas operativos </w:t>
      </w:r>
      <w:r w:rsidRPr="00AE0CAB">
        <w:rPr>
          <w:rFonts w:ascii="Times New Roman" w:eastAsiaTheme="minorEastAsia" w:hAnsi="Times New Roman" w:cs="Times New Roman"/>
          <w:noProof/>
          <w:sz w:val="24"/>
          <w:szCs w:val="24"/>
          <w:lang w:eastAsia="es-MX"/>
        </w:rPr>
        <w:drawing>
          <wp:inline distT="0" distB="0" distL="0" distR="0" wp14:anchorId="1D175992" wp14:editId="23D40AB6">
            <wp:extent cx="4575" cy="4572"/>
            <wp:effectExtent l="0" t="0" r="0" b="0"/>
            <wp:docPr id="104683" name="Picture 104683"/>
            <wp:cNvGraphicFramePr/>
            <a:graphic xmlns:a="http://schemas.openxmlformats.org/drawingml/2006/main">
              <a:graphicData uri="http://schemas.openxmlformats.org/drawingml/2006/picture">
                <pic:pic xmlns:pic="http://schemas.openxmlformats.org/drawingml/2006/picture">
                  <pic:nvPicPr>
                    <pic:cNvPr id="104683" name="Picture 104683"/>
                    <pic:cNvPicPr/>
                  </pic:nvPicPr>
                  <pic:blipFill>
                    <a:blip r:embed="rId1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de las unidades de salud, dirigidas a elevar la calidad y cobertura de la atención en salud;</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Proponer a la Secretaría, programas de salud que den respuesta inmediata a las necesidades derivadas </w:t>
      </w:r>
      <w:r w:rsidRPr="00AE0CAB">
        <w:rPr>
          <w:rFonts w:ascii="Times New Roman" w:eastAsiaTheme="minorEastAsia" w:hAnsi="Times New Roman" w:cs="Times New Roman"/>
          <w:noProof/>
          <w:sz w:val="24"/>
          <w:szCs w:val="24"/>
          <w:lang w:eastAsia="es-MX"/>
        </w:rPr>
        <w:drawing>
          <wp:inline distT="0" distB="0" distL="0" distR="0" wp14:anchorId="18ABA556" wp14:editId="0BF29715">
            <wp:extent cx="4575" cy="4572"/>
            <wp:effectExtent l="0" t="0" r="0" b="0"/>
            <wp:docPr id="104684" name="Picture 104684"/>
            <wp:cNvGraphicFramePr/>
            <a:graphic xmlns:a="http://schemas.openxmlformats.org/drawingml/2006/main">
              <a:graphicData uri="http://schemas.openxmlformats.org/drawingml/2006/picture">
                <pic:pic xmlns:pic="http://schemas.openxmlformats.org/drawingml/2006/picture">
                  <pic:nvPicPr>
                    <pic:cNvPr id="104684" name="Picture 104684"/>
                    <pic:cNvPicPr/>
                  </pic:nvPicPr>
                  <pic:blipFill>
                    <a:blip r:embed="rId42"/>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de riesgos y enfermedades nuevas y emergentes;</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Establecer las bases para la actualización y desarrollo del modelo de atención a la salud en la entidad;</w:t>
      </w:r>
    </w:p>
    <w:p w:rsidR="005F04F9" w:rsidRPr="00AE0CAB" w:rsidRDefault="005F04F9" w:rsidP="00BC644A">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Desarrollar acciones que coadyuven a mejorar la prestación de los servicios de salud públicos, sociales y privados;</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Planear y organizar acciones dirigidas a proteger, promover y restaurar la salud individual y de la comunidad;</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Integrar, adecuar y vigilar la aplicación de la normatividad federal en materia de salud pública;</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Coordinar la operación de las unidades de salud y vigilar la aplicación adecuada de los programas de </w:t>
      </w:r>
      <w:r w:rsidRPr="00AE0CAB">
        <w:rPr>
          <w:rFonts w:ascii="Times New Roman" w:eastAsiaTheme="minorEastAsia" w:hAnsi="Times New Roman" w:cs="Times New Roman"/>
          <w:noProof/>
          <w:sz w:val="24"/>
          <w:szCs w:val="24"/>
          <w:lang w:eastAsia="es-MX"/>
        </w:rPr>
        <w:drawing>
          <wp:inline distT="0" distB="0" distL="0" distR="0" wp14:anchorId="749AB500" wp14:editId="6E1EBFED">
            <wp:extent cx="4575" cy="4572"/>
            <wp:effectExtent l="0" t="0" r="0" b="0"/>
            <wp:docPr id="104685" name="Picture 104685"/>
            <wp:cNvGraphicFramePr/>
            <a:graphic xmlns:a="http://schemas.openxmlformats.org/drawingml/2006/main">
              <a:graphicData uri="http://schemas.openxmlformats.org/drawingml/2006/picture">
                <pic:pic xmlns:pic="http://schemas.openxmlformats.org/drawingml/2006/picture">
                  <pic:nvPicPr>
                    <pic:cNvPr id="104685" name="Picture 104685"/>
                    <pic:cNvPicPr/>
                  </pic:nvPicPr>
                  <pic:blipFill>
                    <a:blip r:embed="rId24"/>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salud en la entidad;</w:t>
      </w:r>
    </w:p>
    <w:p w:rsidR="005F04F9" w:rsidRPr="00AE0CAB" w:rsidRDefault="005F04F9" w:rsidP="00BC644A">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y coordinar el desarrollo de convenios de colaboración intersectorial para la integración de esfuerzos compartidos;</w:t>
      </w:r>
    </w:p>
    <w:p w:rsidR="005F04F9" w:rsidRPr="00AE0CAB" w:rsidRDefault="005F04F9" w:rsidP="00BC644A">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y consolidar el Sistema de Información en Salud;</w:t>
      </w:r>
    </w:p>
    <w:p w:rsidR="005F04F9" w:rsidRPr="00AE0CAB" w:rsidRDefault="005F04F9" w:rsidP="00BC644A">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Analizar y aprobar los programas prioritarios de epidemiología en torno a la prevención y control de enfermedades y atención médica;</w:t>
      </w:r>
    </w:p>
    <w:p w:rsidR="005F04F9" w:rsidRPr="00AE0CAB" w:rsidRDefault="005F04F9" w:rsidP="00BC644A">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Participar en el Consejo Estatal de Salud y en los Comités que así lo dispongan, contribuyendo a alcanzar los objetivos institucionales;</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Proponer a la Secretaría la creación de Comités especiales para atender problemáticas de salud en lo particular;</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Proponer a la Secretaría y, en su caso, firmar los convenios de coordinación que contribuyan al fortalecimiento de la prestación de los servicios de salud, la regulación, el fomento y control sanitario; y</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Desarrollar las demás funciones inherentes al área de su competencia y todas aquellas que le </w:t>
      </w:r>
      <w:r w:rsidRPr="00AE0CAB">
        <w:rPr>
          <w:rFonts w:ascii="Times New Roman" w:eastAsiaTheme="minorEastAsia" w:hAnsi="Times New Roman" w:cs="Times New Roman"/>
          <w:noProof/>
          <w:sz w:val="24"/>
          <w:szCs w:val="24"/>
          <w:lang w:eastAsia="es-MX"/>
        </w:rPr>
        <w:drawing>
          <wp:inline distT="0" distB="0" distL="0" distR="0" wp14:anchorId="2CB5DBEA" wp14:editId="57C25A60">
            <wp:extent cx="4575" cy="4572"/>
            <wp:effectExtent l="0" t="0" r="0" b="0"/>
            <wp:docPr id="104686" name="Picture 104686"/>
            <wp:cNvGraphicFramePr/>
            <a:graphic xmlns:a="http://schemas.openxmlformats.org/drawingml/2006/main">
              <a:graphicData uri="http://schemas.openxmlformats.org/drawingml/2006/picture">
                <pic:pic xmlns:pic="http://schemas.openxmlformats.org/drawingml/2006/picture">
                  <pic:nvPicPr>
                    <pic:cNvPr id="104686" name="Picture 104686"/>
                    <pic:cNvPicPr/>
                  </pic:nvPicPr>
                  <pic:blipFill>
                    <a:blip r:embed="rId3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confieran las distintas leyes aplicables en la materia y la persona titular de la Secretaría.</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45. El ISEM, para el cumplimiento de sus atribuciones en materia de salud, se auxiliará de las coordinaciones, órganos y demás unidades administrativas previstas en sus disposiciones reglamentarias y orgánicas.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Asimismo, para el ejercicio de sus funciones, se dividirá administrativa y territorialmente en Jurisdicciones Sanitarias y de Regulación Sanitaria.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Segunda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Coordinación de Hospitales de Alta Especialidad y los Institutos Especializados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46. La Coordinación de Hospitales de Alta Especialidad tiene por objeto impulsar el desarrollo de la infraestructura hospitalaria y mantener la existente en condiciones óptimas de operación, a través de esquemas que permitan elevar la cobertura y calidad de los servicios de salud que proporciona el sector público.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Coordinación de Hospitales de Alta Especialidad tiene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Planear, programar, organizar, dirigir y coordinar los proyectos que se realicen en los Hospitales e Institutos de Alta Especialidad de la Entidad;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Coordinar el diseño y ejecución de proyectos para construcción, rehabilitación y remodelación, estableciendo un modelo de gestión de seguimiento y cumplimiento de las obras concertadas;</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el diseño y ejecución de proyectos y mecanismos de planeación, control y evaluación para los procesos de investigación tecnológica, acreditación de la calidad, factibilidad económica para la operación y funcionamiento de la red hospitalaria de especialidad y alta especialidad en la Entidad;</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los Hospitales de Alta Especialidad de Salud del Estado de México;</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Coadyuvar en la adquisición y evaluación de equipamiento y/o mobiliario e instrumental en las distintas unidades médicas en la entidad, de aquellos proyectos impulsados dentro de la Coordinación de Hospitales de Alta Especialidad;</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Coadyuvar, en el ámbito de su competencia, para acercar los beneficios de la atención médica de alta especialidad a otros niveles de atención;</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Emitir dictámenes técnicos para la adquisición de equipo, instrumental y mobiliario médico y equipo </w:t>
      </w:r>
      <w:r w:rsidRPr="00AE0CAB">
        <w:rPr>
          <w:rFonts w:ascii="Times New Roman" w:eastAsiaTheme="minorEastAsia" w:hAnsi="Times New Roman" w:cs="Times New Roman"/>
          <w:noProof/>
          <w:sz w:val="24"/>
          <w:szCs w:val="24"/>
          <w:lang w:eastAsia="es-MX"/>
        </w:rPr>
        <w:drawing>
          <wp:inline distT="0" distB="0" distL="0" distR="0" wp14:anchorId="561201D2" wp14:editId="0BDCB32D">
            <wp:extent cx="4575" cy="4572"/>
            <wp:effectExtent l="0" t="0" r="0" b="0"/>
            <wp:docPr id="108431" name="Picture 108431"/>
            <wp:cNvGraphicFramePr/>
            <a:graphic xmlns:a="http://schemas.openxmlformats.org/drawingml/2006/main">
              <a:graphicData uri="http://schemas.openxmlformats.org/drawingml/2006/picture">
                <pic:pic xmlns:pic="http://schemas.openxmlformats.org/drawingml/2006/picture">
                  <pic:nvPicPr>
                    <pic:cNvPr id="108431" name="Picture 108431"/>
                    <pic:cNvPicPr/>
                  </pic:nvPicPr>
                  <pic:blipFill>
                    <a:blip r:embed="rId1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auxiliar de diagnóstico que requieran las Dependencias y Organismos Auxiliares del Poder Ejecutivo Estatal; y</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Las demás que le confieran esta Ley, otras disposiciones jurídicas aplicables y las que le encomiende la persona titular de la Secretaría.</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47. El Instituto Materno Infantil del Estado de México y el Hospital Regional de Alta Especialidad de Zumpango son Institutos Especializados en Salud, que cuentan con personalidad jurídica y patrimonio </w:t>
      </w:r>
      <w:r w:rsidRPr="00AE0CAB">
        <w:rPr>
          <w:rFonts w:ascii="Times New Roman" w:eastAsiaTheme="minorEastAsia" w:hAnsi="Times New Roman" w:cs="Times New Roman"/>
          <w:noProof/>
          <w:sz w:val="24"/>
          <w:szCs w:val="24"/>
          <w:lang w:eastAsia="es-MX"/>
        </w:rPr>
        <w:drawing>
          <wp:inline distT="0" distB="0" distL="0" distR="0" wp14:anchorId="2CD28FAE" wp14:editId="24DEC0E2">
            <wp:extent cx="4575" cy="59437"/>
            <wp:effectExtent l="0" t="0" r="0" b="0"/>
            <wp:docPr id="562858" name="Picture 562858"/>
            <wp:cNvGraphicFramePr/>
            <a:graphic xmlns:a="http://schemas.openxmlformats.org/drawingml/2006/main">
              <a:graphicData uri="http://schemas.openxmlformats.org/drawingml/2006/picture">
                <pic:pic xmlns:pic="http://schemas.openxmlformats.org/drawingml/2006/picture">
                  <pic:nvPicPr>
                    <pic:cNvPr id="562858" name="Picture 562858"/>
                    <pic:cNvPicPr/>
                  </pic:nvPicPr>
                  <pic:blipFill>
                    <a:blip r:embed="rId51"/>
                    <a:stretch>
                      <a:fillRect/>
                    </a:stretch>
                  </pic:blipFill>
                  <pic:spPr>
                    <a:xfrm>
                      <a:off x="0" y="0"/>
                      <a:ext cx="4575" cy="59437"/>
                    </a:xfrm>
                    <a:prstGeom prst="rect">
                      <a:avLst/>
                    </a:prstGeom>
                  </pic:spPr>
                </pic:pic>
              </a:graphicData>
            </a:graphic>
          </wp:inline>
        </w:drawing>
      </w:r>
      <w:r w:rsidRPr="00AE0CAB">
        <w:rPr>
          <w:rFonts w:ascii="Times New Roman" w:eastAsiaTheme="minorEastAsia" w:hAnsi="Times New Roman" w:cs="Times New Roman"/>
          <w:sz w:val="24"/>
          <w:szCs w:val="24"/>
          <w:lang w:eastAsia="es-MX"/>
        </w:rPr>
        <w:t>propio, con autonomía técnica y de gestión, que tienen por objeto, la investigación, enseñanza y prestación de servicios de alta especialidad.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48. Los Institutos de Salud Especializados tendrán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 Promover y desarrollar investigaciones científicas y tecnológicas en las áreas biomédicas, clínicas, </w:t>
      </w:r>
      <w:proofErr w:type="spellStart"/>
      <w:r w:rsidRPr="00AE0CAB">
        <w:rPr>
          <w:rFonts w:ascii="Times New Roman" w:eastAsiaTheme="minorEastAsia" w:hAnsi="Times New Roman" w:cs="Times New Roman"/>
          <w:sz w:val="24"/>
          <w:szCs w:val="24"/>
          <w:lang w:eastAsia="es-MX"/>
        </w:rPr>
        <w:t>sociomédicas</w:t>
      </w:r>
      <w:proofErr w:type="spellEnd"/>
      <w:r w:rsidRPr="00AE0CAB">
        <w:rPr>
          <w:rFonts w:ascii="Times New Roman" w:eastAsiaTheme="minorEastAsia" w:hAnsi="Times New Roman" w:cs="Times New Roman"/>
          <w:sz w:val="24"/>
          <w:szCs w:val="24"/>
          <w:lang w:eastAsia="es-MX"/>
        </w:rPr>
        <w:t xml:space="preserve"> y epidemiológicas;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Prestar servicios de salud en aspectos preventivos, curativos y de rehabilitación en sus áreas de especialización;</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Realizar estudios e investigaciones clínicas, epidemiológicas, experimentales, de desarrollo tecnológico y básicas, en las áreas biomédicas y </w:t>
      </w:r>
      <w:proofErr w:type="spellStart"/>
      <w:r w:rsidRPr="00AE0CAB">
        <w:rPr>
          <w:rFonts w:ascii="Times New Roman" w:eastAsiaTheme="minorEastAsia" w:hAnsi="Times New Roman" w:cs="Times New Roman"/>
          <w:sz w:val="24"/>
          <w:szCs w:val="24"/>
          <w:lang w:eastAsia="es-MX"/>
        </w:rPr>
        <w:t>sociomédicas</w:t>
      </w:r>
      <w:proofErr w:type="spellEnd"/>
      <w:r w:rsidRPr="00AE0CAB">
        <w:rPr>
          <w:rFonts w:ascii="Times New Roman" w:eastAsiaTheme="minorEastAsia" w:hAnsi="Times New Roman" w:cs="Times New Roman"/>
          <w:sz w:val="24"/>
          <w:szCs w:val="24"/>
          <w:lang w:eastAsia="es-MX"/>
        </w:rPr>
        <w:t>, para la comprensión, prevención, diagnóstico y tratamiento de las enfermedades y rehabilitación de los afectados, así como promover medidas de salud;</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Publicar los resultados de las investigaciones y trabajos que realice, así como difundir información técnica y científica sobre los avances que en materia de salud registre;</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y realizar reuniones de intercambio científico, de carácter nacional e internacional, y celebrar convenios de coordinación, intercambio y cooperación con instituciones afines;</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Formular y ejecutar programas de estudio y cursos de capacitación, enseñanza, especialización y actualización de personal profesional, técnico y auxiliar, en sus áreas de especialización y afines, así como evaluar y reconocer el aprendizaje;</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Otorgar constancias, diplomas, reconocimientos y certificados de estudios, grados y títulos, en su caso, de conformidad con las disposiciones aplicables;</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Proporcionar consulta externa, atención hospitalaria y servicios de urgencias a la población que requiera atención médica en sus áreas de especialización, hasta el límite de su capacidad instalada;</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Asesorar y formular opiniones a la Secretaría cuando sean requeridos para ello en materia sus </w:t>
      </w:r>
      <w:r w:rsidRPr="00AE0CAB">
        <w:rPr>
          <w:rFonts w:ascii="Times New Roman" w:eastAsiaTheme="minorEastAsia" w:hAnsi="Times New Roman" w:cs="Times New Roman"/>
          <w:noProof/>
          <w:sz w:val="24"/>
          <w:szCs w:val="24"/>
          <w:lang w:eastAsia="es-MX"/>
        </w:rPr>
        <w:drawing>
          <wp:inline distT="0" distB="0" distL="0" distR="0" wp14:anchorId="109A5A33" wp14:editId="0C82FD92">
            <wp:extent cx="4575" cy="4572"/>
            <wp:effectExtent l="0" t="0" r="0" b="0"/>
            <wp:docPr id="112303" name="Picture 112303"/>
            <wp:cNvGraphicFramePr/>
            <a:graphic xmlns:a="http://schemas.openxmlformats.org/drawingml/2006/main">
              <a:graphicData uri="http://schemas.openxmlformats.org/drawingml/2006/picture">
                <pic:pic xmlns:pic="http://schemas.openxmlformats.org/drawingml/2006/picture">
                  <pic:nvPicPr>
                    <pic:cNvPr id="112303" name="Picture 112303"/>
                    <pic:cNvPicPr/>
                  </pic:nvPicPr>
                  <pic:blipFill>
                    <a:blip r:embed="rId52"/>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respectivas áreas de especialización;</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Asesorar y opinar, cuando le sea solicitado por instituciones públicas de salud en el territorio del Estado;</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acciones para la prevención de la salud, y en lo relativo a padecimientos propios de sus especialidades;</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Regular los procedimientos de selección e ingresos de los interesados en estudios de posgrado y establecer las normas para su permanencia en el Instituto de acuerdo con las disposiciones aplicables;</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Estimular al personal directivo, docente, médico y de apoyo para su superación permanente, favoreciendo la formación profesional;</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Fortalecer el tercer nivel de atención en las áreas de su especialización;</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Contribuir en el abatimiento de los índices de morbilidad y mortalidad en sus áreas de especialización;</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Actuar como órgano de consulta técnica y normativa, de las dependencias y organismos auxiliares del Gobierno del Estado de México;</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Coadyuvar con la Secretaría en la actualización de las estadísticas sobre la situación sanitaria de la </w:t>
      </w:r>
      <w:r w:rsidRPr="00AE0CAB">
        <w:rPr>
          <w:rFonts w:ascii="Times New Roman" w:eastAsiaTheme="minorEastAsia" w:hAnsi="Times New Roman" w:cs="Times New Roman"/>
          <w:noProof/>
          <w:sz w:val="24"/>
          <w:szCs w:val="24"/>
          <w:lang w:eastAsia="es-MX"/>
        </w:rPr>
        <w:drawing>
          <wp:inline distT="0" distB="0" distL="0" distR="0" wp14:anchorId="18466F82" wp14:editId="61307ACF">
            <wp:extent cx="4575" cy="4573"/>
            <wp:effectExtent l="0" t="0" r="0" b="0"/>
            <wp:docPr id="112304" name="Picture 112304"/>
            <wp:cNvGraphicFramePr/>
            <a:graphic xmlns:a="http://schemas.openxmlformats.org/drawingml/2006/main">
              <a:graphicData uri="http://schemas.openxmlformats.org/drawingml/2006/picture">
                <pic:pic xmlns:pic="http://schemas.openxmlformats.org/drawingml/2006/picture">
                  <pic:nvPicPr>
                    <pic:cNvPr id="112304" name="Picture 112304"/>
                    <pic:cNvPicPr/>
                  </pic:nvPicPr>
                  <pic:blipFill>
                    <a:blip r:embed="rId35"/>
                    <a:stretch>
                      <a:fillRect/>
                    </a:stretch>
                  </pic:blipFill>
                  <pic:spPr>
                    <a:xfrm>
                      <a:off x="0" y="0"/>
                      <a:ext cx="4575" cy="4573"/>
                    </a:xfrm>
                    <a:prstGeom prst="rect">
                      <a:avLst/>
                    </a:prstGeom>
                  </pic:spPr>
                </pic:pic>
              </a:graphicData>
            </a:graphic>
          </wp:inline>
        </w:drawing>
      </w:r>
      <w:r w:rsidRPr="00AE0CAB">
        <w:rPr>
          <w:rFonts w:ascii="Times New Roman" w:eastAsiaTheme="minorEastAsia" w:hAnsi="Times New Roman" w:cs="Times New Roman"/>
          <w:sz w:val="24"/>
          <w:szCs w:val="24"/>
          <w:lang w:eastAsia="es-MX"/>
        </w:rPr>
        <w:t>entidad, respecto a la materia de su especialización; y</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Realizar las demás actividades que les correspondan para el cumplimiento de su objeto conforme al presente ordenamiento y otras disposiciones aplicables.</w:t>
      </w:r>
    </w:p>
    <w:p w:rsidR="005F04F9" w:rsidRPr="00AE0CAB" w:rsidRDefault="005F04F9" w:rsidP="00BC644A">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49. La dirección y cargo de un Consejo Interno y una Dirección General, para la Coordinación y Control de Organismos Auxiliares del Estado de México y demás disposiciones jurídicas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 la Dirección General de los Institutos será nombrada por la persona titular del Poder Ejecutivo del Estado, a propuesta de la Presidencia del Consejo Interno respectivo.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organización y funcionamiento de los Institutos se regirá por los reglamentos que expidan sus consejos internos.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50. El patrimonio de los Institutos se integrará con: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Los ingresos que obtengan por los servicios que presten en el ejercicio de sus atribuciones;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Las aportaciones, participaciones, subsidios y apoyos que les otorguen los gobiernos federal, estatal y municipal;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6"/>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legados, herencias, donaciones y demás bienes otorgados en su favor, y los productos de los fideicomisos en los que se les designe como fideicomisario;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6"/>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bienes muebles e inmuebles que adquieran por cualquier título legal para el cumplimiento de su objeto;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6"/>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utilidades, intereses, dividendos, rendimientos de sus bienes, derechos y demás ingresos que adquieran por cualquier título legal;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6"/>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 xml:space="preserve">Los ingresos de los Institutos, así como los productos e instrumentos financieros autorizados serán </w:t>
      </w:r>
      <w:r w:rsidRPr="00AE0CAB">
        <w:rPr>
          <w:rFonts w:ascii="Times New Roman" w:eastAsiaTheme="minorEastAsia" w:hAnsi="Times New Roman" w:cs="Times New Roman"/>
          <w:noProof/>
          <w:sz w:val="24"/>
          <w:szCs w:val="24"/>
          <w:lang w:eastAsia="es-MX"/>
        </w:rPr>
        <w:drawing>
          <wp:inline distT="0" distB="0" distL="0" distR="0" wp14:anchorId="1BE433F7" wp14:editId="1CAA3943">
            <wp:extent cx="4575" cy="4572"/>
            <wp:effectExtent l="0" t="0" r="0" b="0"/>
            <wp:docPr id="115570" name="Picture 115570"/>
            <wp:cNvGraphicFramePr/>
            <a:graphic xmlns:a="http://schemas.openxmlformats.org/drawingml/2006/main">
              <a:graphicData uri="http://schemas.openxmlformats.org/drawingml/2006/picture">
                <pic:pic xmlns:pic="http://schemas.openxmlformats.org/drawingml/2006/picture">
                  <pic:nvPicPr>
                    <pic:cNvPr id="115570" name="Picture 115570"/>
                    <pic:cNvPicPr/>
                  </pic:nvPicPr>
                  <pic:blipFill>
                    <a:blip r:embed="rId24"/>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destinados y aplicados a las actividades señaladas en los programas aprobados por sus consejos internos.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IV</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los Organismos Especializados en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51. Son Organismos Especializados en Salud de la Secretaría, que ejercerán funciones rectoras con relación a sus respectivos ámbitos de competencia, los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El Banco de Tejidos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El Instituto Mexiquense para la Discapacidad;</w:t>
      </w:r>
    </w:p>
    <w:p w:rsidR="005F04F9" w:rsidRPr="00AE0CAB" w:rsidRDefault="005F04F9" w:rsidP="00D55CE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Comisión de Conciliación y Arbitraje Médico del Estado de México;</w:t>
      </w:r>
    </w:p>
    <w:p w:rsidR="005F04F9" w:rsidRPr="00AE0CAB" w:rsidRDefault="005F04F9" w:rsidP="00D55CE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Centro Estatal de Trasplantes del Estado de México;</w:t>
      </w:r>
    </w:p>
    <w:p w:rsidR="005F04F9" w:rsidRPr="00AE0CAB" w:rsidRDefault="005F04F9" w:rsidP="00D55CE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Centro Estatal de Vigilancia Epidemiológica y Control de Enfermedades;</w:t>
      </w:r>
    </w:p>
    <w:p w:rsidR="005F04F9" w:rsidRPr="00AE0CAB" w:rsidRDefault="005F04F9" w:rsidP="00D55CE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Mexiquense de Salud Mental y Adicciones;</w:t>
      </w:r>
    </w:p>
    <w:p w:rsidR="005F04F9" w:rsidRPr="00AE0CAB" w:rsidRDefault="005F04F9" w:rsidP="00D55CE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Centro Estatal de Transfusión Sanguínea;</w:t>
      </w:r>
    </w:p>
    <w:p w:rsidR="005F04F9" w:rsidRPr="00AE0CAB" w:rsidRDefault="005F04F9" w:rsidP="00D55CE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Laboratorio Estatal de Salud Pública;</w:t>
      </w:r>
    </w:p>
    <w:p w:rsidR="005F04F9" w:rsidRPr="00AE0CAB" w:rsidRDefault="005F04F9" w:rsidP="00D55CE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Coordinación Estatal de Voluntades Anticipadas;</w:t>
      </w:r>
    </w:p>
    <w:p w:rsidR="005F04F9" w:rsidRPr="00AE0CAB" w:rsidRDefault="005F04F9" w:rsidP="00D55CE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Coordinación Estatal de Lactancia Materna y Bancos de Leche;</w:t>
      </w:r>
    </w:p>
    <w:p w:rsidR="005F04F9" w:rsidRPr="00AE0CAB" w:rsidRDefault="005F04F9" w:rsidP="00D55CE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Servicios de Urgencias del Estado de México; y</w:t>
      </w:r>
    </w:p>
    <w:p w:rsidR="005F04F9" w:rsidRPr="00AE0CAB" w:rsidRDefault="005F04F9" w:rsidP="00D55CE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Comisión para la Protección Contra Riesgos Sanitarios del Estado de México.</w:t>
      </w:r>
    </w:p>
    <w:p w:rsidR="005F04F9" w:rsidRPr="00AE0CAB" w:rsidRDefault="005F04F9" w:rsidP="00D55CE1">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La organización y funcionamiento de los Organismos Especializados en Salud será la que determine su instrumento jurídico de creación, el Reglamento Interior de la Secretaría y demás disposiciones jurídicas </w:t>
      </w:r>
      <w:r w:rsidRPr="00AE0CAB">
        <w:rPr>
          <w:rFonts w:ascii="Times New Roman" w:eastAsiaTheme="minorEastAsia" w:hAnsi="Times New Roman" w:cs="Times New Roman"/>
          <w:noProof/>
          <w:sz w:val="24"/>
          <w:szCs w:val="24"/>
          <w:lang w:eastAsia="es-MX"/>
        </w:rPr>
        <w:drawing>
          <wp:inline distT="0" distB="0" distL="0" distR="0" wp14:anchorId="49639176" wp14:editId="0BD038B5">
            <wp:extent cx="4575" cy="4572"/>
            <wp:effectExtent l="0" t="0" r="0" b="0"/>
            <wp:docPr id="119081" name="Picture 119081"/>
            <wp:cNvGraphicFramePr/>
            <a:graphic xmlns:a="http://schemas.openxmlformats.org/drawingml/2006/main">
              <a:graphicData uri="http://schemas.openxmlformats.org/drawingml/2006/picture">
                <pic:pic xmlns:pic="http://schemas.openxmlformats.org/drawingml/2006/picture">
                  <pic:nvPicPr>
                    <pic:cNvPr id="119081" name="Picture 119081"/>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Primera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Centro Estatal de Trasplantes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52. El Centro Estatal de Trasplantes del Estado de México es un organismo desconcentrado de la Secretaría de Salud, con autonomía técnica para el ejercicio de sus atribuciones, que tiene por objeto regular, coordinar y supervisar las actividades de donación, procuración, distribución, trasplante y seguimiento de órganos y tejidos en la entidad.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El Centro Estatal de Trasplantes del Estado de México será la instancia normativa y de conducción de la </w:t>
      </w:r>
      <w:r w:rsidRPr="00AE0CAB">
        <w:rPr>
          <w:rFonts w:ascii="Times New Roman" w:eastAsiaTheme="minorEastAsia" w:hAnsi="Times New Roman" w:cs="Times New Roman"/>
          <w:noProof/>
          <w:sz w:val="24"/>
          <w:szCs w:val="24"/>
          <w:lang w:eastAsia="es-MX"/>
        </w:rPr>
        <w:drawing>
          <wp:inline distT="0" distB="0" distL="0" distR="0" wp14:anchorId="4E1C2D41" wp14:editId="2A00E49E">
            <wp:extent cx="4575" cy="4572"/>
            <wp:effectExtent l="0" t="0" r="0" b="0"/>
            <wp:docPr id="119082" name="Picture 119082"/>
            <wp:cNvGraphicFramePr/>
            <a:graphic xmlns:a="http://schemas.openxmlformats.org/drawingml/2006/main">
              <a:graphicData uri="http://schemas.openxmlformats.org/drawingml/2006/picture">
                <pic:pic xmlns:pic="http://schemas.openxmlformats.org/drawingml/2006/picture">
                  <pic:nvPicPr>
                    <pic:cNvPr id="119082" name="Picture 119082"/>
                    <pic:cNvPicPr/>
                  </pic:nvPicPr>
                  <pic:blipFill>
                    <a:blip r:embed="rId2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política estatal en materia de donación y trasplante de órganos y tejidos, en apego a la legislación vigente </w:t>
      </w:r>
      <w:r w:rsidRPr="00AE0CAB">
        <w:rPr>
          <w:rFonts w:ascii="Times New Roman" w:eastAsiaTheme="minorEastAsia" w:hAnsi="Times New Roman" w:cs="Times New Roman"/>
          <w:noProof/>
          <w:sz w:val="24"/>
          <w:szCs w:val="24"/>
          <w:lang w:eastAsia="es-MX"/>
        </w:rPr>
        <w:drawing>
          <wp:inline distT="0" distB="0" distL="0" distR="0" wp14:anchorId="7F4F383E" wp14:editId="1D2DA13B">
            <wp:extent cx="9150" cy="18288"/>
            <wp:effectExtent l="0" t="0" r="0" b="0"/>
            <wp:docPr id="562878" name="Picture 562878"/>
            <wp:cNvGraphicFramePr/>
            <a:graphic xmlns:a="http://schemas.openxmlformats.org/drawingml/2006/main">
              <a:graphicData uri="http://schemas.openxmlformats.org/drawingml/2006/picture">
                <pic:pic xmlns:pic="http://schemas.openxmlformats.org/drawingml/2006/picture">
                  <pic:nvPicPr>
                    <pic:cNvPr id="562878" name="Picture 562878"/>
                    <pic:cNvPicPr/>
                  </pic:nvPicPr>
                  <pic:blipFill>
                    <a:blip r:embed="rId53"/>
                    <a:stretch>
                      <a:fillRect/>
                    </a:stretch>
                  </pic:blipFill>
                  <pic:spPr>
                    <a:xfrm>
                      <a:off x="0" y="0"/>
                      <a:ext cx="9150" cy="18288"/>
                    </a:xfrm>
                    <a:prstGeom prst="rect">
                      <a:avLst/>
                    </a:prstGeom>
                  </pic:spPr>
                </pic:pic>
              </a:graphicData>
            </a:graphic>
          </wp:inline>
        </w:drawing>
      </w:r>
      <w:r w:rsidRPr="00AE0CAB">
        <w:rPr>
          <w:rFonts w:ascii="Times New Roman" w:eastAsiaTheme="minorEastAsia" w:hAnsi="Times New Roman" w:cs="Times New Roman"/>
          <w:sz w:val="24"/>
          <w:szCs w:val="24"/>
          <w:lang w:eastAsia="es-MX"/>
        </w:rPr>
        <w:t>y a los principios de equidad, bioética y transparencia.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53. El Centro Estatal de Trasplantes del Estado de México tendrá las siguientes atribuciones para </w:t>
      </w:r>
      <w:r w:rsidRPr="00AE0CAB">
        <w:rPr>
          <w:rFonts w:ascii="Times New Roman" w:eastAsiaTheme="minorEastAsia" w:hAnsi="Times New Roman" w:cs="Times New Roman"/>
          <w:noProof/>
          <w:sz w:val="24"/>
          <w:szCs w:val="24"/>
          <w:lang w:eastAsia="es-MX"/>
        </w:rPr>
        <w:drawing>
          <wp:inline distT="0" distB="0" distL="0" distR="0" wp14:anchorId="7A8F0DE6" wp14:editId="5D153CF8">
            <wp:extent cx="4575" cy="4572"/>
            <wp:effectExtent l="0" t="0" r="0" b="0"/>
            <wp:docPr id="119085" name="Picture 119085"/>
            <wp:cNvGraphicFramePr/>
            <a:graphic xmlns:a="http://schemas.openxmlformats.org/drawingml/2006/main">
              <a:graphicData uri="http://schemas.openxmlformats.org/drawingml/2006/picture">
                <pic:pic xmlns:pic="http://schemas.openxmlformats.org/drawingml/2006/picture">
                  <pic:nvPicPr>
                    <pic:cNvPr id="119085" name="Picture 119085"/>
                    <pic:cNvPicPr/>
                  </pic:nvPicPr>
                  <pic:blipFill>
                    <a:blip r:embed="rId54"/>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fortalecer la cultura de donación de órganos y mejorar la infraestructura de los trasplantes en 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Establecer lineamientos y estrategias para la promoción de la donación altruista de órganos y tejidos en la población;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Coordinar la ejecución de programas de capacitación para el personal de salud de las instituciones públicas, sociales y privadas, en materia de detección oportuna de donadores potenciales;</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Impulsar convenios de colaboración con el objeto brindar apoyo psicosocial a familiares de donadores y receptores;</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Implementar mecanismos de seguridad y trazabilidad en la donación y trasplante de órganos;</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políticas públicas que faciliten el acceso a trasplantes y tratamientos postoperatorios a personas trasplantadas;</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Promover la integración de una red estatal de hospitales y centros de salud con capacidad para la </w:t>
      </w:r>
      <w:r w:rsidRPr="00AE0CAB">
        <w:rPr>
          <w:rFonts w:ascii="Times New Roman" w:eastAsiaTheme="minorEastAsia" w:hAnsi="Times New Roman" w:cs="Times New Roman"/>
          <w:noProof/>
          <w:sz w:val="24"/>
          <w:szCs w:val="24"/>
          <w:lang w:eastAsia="es-MX"/>
        </w:rPr>
        <w:drawing>
          <wp:inline distT="0" distB="0" distL="0" distR="0" wp14:anchorId="12D0DF39" wp14:editId="72103B1C">
            <wp:extent cx="4575" cy="4572"/>
            <wp:effectExtent l="0" t="0" r="0" b="0"/>
            <wp:docPr id="119086" name="Picture 119086"/>
            <wp:cNvGraphicFramePr/>
            <a:graphic xmlns:a="http://schemas.openxmlformats.org/drawingml/2006/main">
              <a:graphicData uri="http://schemas.openxmlformats.org/drawingml/2006/picture">
                <pic:pic xmlns:pic="http://schemas.openxmlformats.org/drawingml/2006/picture">
                  <pic:nvPicPr>
                    <pic:cNvPr id="119086" name="Picture 119086"/>
                    <pic:cNvPicPr/>
                  </pic:nvPicPr>
                  <pic:blipFill>
                    <a:blip r:embed="rId2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procuración y trasplante de órganos, en colaboración con los prestadores de servicios públicos, sociales y privados y la Coordinación Estatal del Servicio Nacional de Salud Pública;</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los trabajos del Sistema Estatal de Donación y Trasplante de Órganos y Tejidos; y</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3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determinen otras disposiciones legales.</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La organización y funcionamiento del Centro Estatal de Trasplantes se establecerá en su Reglamento </w:t>
      </w:r>
      <w:r w:rsidRPr="00AE0CAB">
        <w:rPr>
          <w:rFonts w:ascii="Times New Roman" w:eastAsiaTheme="minorEastAsia" w:hAnsi="Times New Roman" w:cs="Times New Roman"/>
          <w:noProof/>
          <w:sz w:val="24"/>
          <w:szCs w:val="24"/>
          <w:lang w:eastAsia="es-MX"/>
        </w:rPr>
        <w:drawing>
          <wp:inline distT="0" distB="0" distL="0" distR="0" wp14:anchorId="73B8A438" wp14:editId="0D80ECB6">
            <wp:extent cx="4575" cy="4572"/>
            <wp:effectExtent l="0" t="0" r="0" b="0"/>
            <wp:docPr id="119087" name="Picture 119087"/>
            <wp:cNvGraphicFramePr/>
            <a:graphic xmlns:a="http://schemas.openxmlformats.org/drawingml/2006/main">
              <a:graphicData uri="http://schemas.openxmlformats.org/drawingml/2006/picture">
                <pic:pic xmlns:pic="http://schemas.openxmlformats.org/drawingml/2006/picture">
                  <pic:nvPicPr>
                    <pic:cNvPr id="119087" name="Picture 119087"/>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Interior.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Sección  Segunda</w:t>
      </w:r>
    </w:p>
    <w:p w:rsidR="005F04F9" w:rsidRPr="00AE0CAB" w:rsidRDefault="005F04F9" w:rsidP="005F04F9">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Del Centro Estatal de la Transfusión Sanguínea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54. El Centro Estatal de la Transfusión Sanguínea tiene por objeto coordinar y vigilar el cumplimiento de la normatividad en la obtención, recolección, análisis, fraccionamiento, conservación, aplicación y provisión de sangre humana y sus hemocomponentes, con enfoque universal.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Centro Estatal de la Transfusión Sanguínea conducirá política en materia estatal del manejo de sangre, diagnóstico y referencia.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Tercera</w:t>
      </w:r>
    </w:p>
    <w:p w:rsidR="005F04F9" w:rsidRPr="00AE0CAB" w:rsidRDefault="005F04F9" w:rsidP="005F04F9">
      <w:pPr>
        <w:keepNext/>
        <w:keepLines/>
        <w:widowControl w:val="0"/>
        <w:autoSpaceDE w:val="0"/>
        <w:autoSpaceDN w:val="0"/>
        <w:spacing w:after="0" w:line="240" w:lineRule="auto"/>
        <w:jc w:val="center"/>
        <w:outlineLvl w:val="0"/>
        <w:rPr>
          <w:rFonts w:ascii="Times New Roman" w:eastAsiaTheme="majorEastAsia" w:hAnsi="Times New Roman" w:cs="Times New Roman"/>
          <w:sz w:val="24"/>
          <w:szCs w:val="24"/>
        </w:rPr>
      </w:pPr>
      <w:r w:rsidRPr="00AE0CAB">
        <w:rPr>
          <w:rFonts w:ascii="Times New Roman" w:eastAsiaTheme="majorEastAsia" w:hAnsi="Times New Roman" w:cs="Times New Roman"/>
          <w:sz w:val="24"/>
          <w:szCs w:val="24"/>
        </w:rPr>
        <w:t>Del Laboratorio Estatal de Salud Pública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55. El Laboratorio Estatal de Salud Pública del Estado de México tiene por objeto la vigilancia epidemiológica en materia de salubridad en la entidad, así como observar y vigilar el </w:t>
      </w:r>
      <w:r w:rsidRPr="00AE0CAB">
        <w:rPr>
          <w:rFonts w:ascii="Times New Roman" w:eastAsiaTheme="minorEastAsia" w:hAnsi="Times New Roman" w:cs="Times New Roman"/>
          <w:sz w:val="24"/>
          <w:szCs w:val="24"/>
          <w:lang w:eastAsia="es-MX"/>
        </w:rPr>
        <w:lastRenderedPageBreak/>
        <w:t>cumplimiento de la normatividad vigente en materia de diagnóstico de laboratorio clínica, epidemiológica, especializado y de referencia.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Cuarta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Unidad de Enseñanza, Investigación y Calidad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56. La Unidad de Enseñanza, Investigación y Calidad tiene por objeto diseñar y establecer procesos de enseñanza, capacitación y desarrollo del personal, de formación y profesionalización de recursos humanos para la salud, promoviendo la mejora en la calidad en los servicios de salud, fomentando la investigación y difusión del conocimiento en la materia.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Tiene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Establecer las directrices para la implementación del modelo de enseñanza, investigación y calidad;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Validar y supervisar los planes de enseñanza, en las instituciones del sector;</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el diagnóstico de necesidades de capacitación, así como la planeación a través del Plan Específico de Capacitación (PEC) y su implementación en las instituciones del sector;</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Vigilar el cumplimiento de la normatividad en materia de formación profesional;</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la realización de convenios interinstitucionales para campos clínicos, internado, servicio social y residencias médicas;</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Evaluar periódicamente los programas de enseñanza y capacitación de las instituciones del sector;</w:t>
      </w:r>
      <w:r w:rsidRPr="00AE0CAB">
        <w:rPr>
          <w:rFonts w:ascii="Times New Roman" w:eastAsiaTheme="minorEastAsia" w:hAnsi="Times New Roman" w:cs="Times New Roman"/>
          <w:noProof/>
          <w:sz w:val="24"/>
          <w:szCs w:val="24"/>
          <w:lang w:eastAsia="es-MX"/>
        </w:rPr>
        <w:drawing>
          <wp:inline distT="0" distB="0" distL="0" distR="0" wp14:anchorId="2605B90B" wp14:editId="449893F1">
            <wp:extent cx="4575" cy="4572"/>
            <wp:effectExtent l="0" t="0" r="0" b="0"/>
            <wp:docPr id="122663" name="Picture 122663"/>
            <wp:cNvGraphicFramePr/>
            <a:graphic xmlns:a="http://schemas.openxmlformats.org/drawingml/2006/main">
              <a:graphicData uri="http://schemas.openxmlformats.org/drawingml/2006/picture">
                <pic:pic xmlns:pic="http://schemas.openxmlformats.org/drawingml/2006/picture">
                  <pic:nvPicPr>
                    <pic:cNvPr id="122663" name="Picture 122663"/>
                    <pic:cNvPicPr/>
                  </pic:nvPicPr>
                  <pic:blipFill>
                    <a:blip r:embed="rId9"/>
                    <a:stretch>
                      <a:fillRect/>
                    </a:stretch>
                  </pic:blipFill>
                  <pic:spPr>
                    <a:xfrm>
                      <a:off x="0" y="0"/>
                      <a:ext cx="4575" cy="4572"/>
                    </a:xfrm>
                    <a:prstGeom prst="rect">
                      <a:avLst/>
                    </a:prstGeom>
                  </pic:spPr>
                </pic:pic>
              </a:graphicData>
            </a:graphic>
          </wp:inline>
        </w:drawing>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Fomentar líneas de investigación prioritarias orientadas a la atención primaria;</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Impulsar la instalación, registro, funcionamiento y evaluación de Comités Hospitalarios de Bioética, Investigación y Ética en Investigación;</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la implementación del Modelo Único de Evaluación de la Calidad (MUEC);</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el establecimiento de Comités de Calidad en instituciones de salud públicas y privadas;</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Consolidar y enviar la información sectorial a la Dirección General de Calidad y Educación en Salud de la Federación;</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0"/>
        </w:numPr>
        <w:spacing w:after="0" w:line="240" w:lineRule="auto"/>
        <w:ind w:left="0"/>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inherentes al área de su competencia.</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Quinta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los Servicios de Urgencias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57. Los Servicios de Urgencias del Estado de México tienen como objetivo coordinar y brindar atención prehospitalaria de urgencias médicas en el territorio mexiquense, así como del rescate urbano, de montaña y vertical, acuático y mediante unidades con binomios caninos.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Servicios de Urgencias del Estado de México son la instancia normativa encargada de definir, organizar y supervisar las políticas públicas estatales y municipales de los servicios de atención prehospitalaria del Estado de México y tienen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Establecer las directrices para la implementación de los modelos de atención y prevención de la atención médica prehospitalaria, de la atención en emergencias y desastres, así como en el rescate de personas;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Realizar acciones preventivas de capacitación en materia de primeros auxilios y emergencias;</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Desarrollar y coordinar de manera intersectorial y permanente actividades de capacitación, prevención y atención médica prehospitalaria;</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modelos de prevención comunitaria en materias de primeros auxilios, de formación de personal paramédico y especialidades de rescate fortaleciendo la atención prehospitalaria;</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anchor distT="0" distB="0" distL="114300" distR="114300" simplePos="0" relativeHeight="251671552" behindDoc="0" locked="0" layoutInCell="1" allowOverlap="0" wp14:anchorId="2C706031" wp14:editId="6E26F0E5">
            <wp:simplePos x="0" y="0"/>
            <wp:positionH relativeFrom="page">
              <wp:posOffset>7017577</wp:posOffset>
            </wp:positionH>
            <wp:positionV relativeFrom="page">
              <wp:posOffset>1860804</wp:posOffset>
            </wp:positionV>
            <wp:extent cx="4575" cy="4572"/>
            <wp:effectExtent l="0" t="0" r="0" b="0"/>
            <wp:wrapTopAndBottom/>
            <wp:docPr id="126193" name="Picture 126193"/>
            <wp:cNvGraphicFramePr/>
            <a:graphic xmlns:a="http://schemas.openxmlformats.org/drawingml/2006/main">
              <a:graphicData uri="http://schemas.openxmlformats.org/drawingml/2006/picture">
                <pic:pic xmlns:pic="http://schemas.openxmlformats.org/drawingml/2006/picture">
                  <pic:nvPicPr>
                    <pic:cNvPr id="126193" name="Picture 126193"/>
                    <pic:cNvPicPr/>
                  </pic:nvPicPr>
                  <pic:blipFill>
                    <a:blip r:embed="rId10"/>
                    <a:stretch>
                      <a:fillRect/>
                    </a:stretch>
                  </pic:blipFill>
                  <pic:spPr>
                    <a:xfrm>
                      <a:off x="0" y="0"/>
                      <a:ext cx="4575" cy="4572"/>
                    </a:xfrm>
                    <a:prstGeom prst="rect">
                      <a:avLst/>
                    </a:prstGeom>
                  </pic:spPr>
                </pic:pic>
              </a:graphicData>
            </a:graphic>
          </wp:anchor>
        </w:drawing>
      </w:r>
      <w:r w:rsidRPr="00AE0CAB">
        <w:rPr>
          <w:rFonts w:ascii="Times New Roman" w:eastAsiaTheme="minorEastAsia" w:hAnsi="Times New Roman" w:cs="Times New Roman"/>
          <w:sz w:val="24"/>
          <w:szCs w:val="24"/>
          <w:lang w:eastAsia="es-MX"/>
        </w:rPr>
        <w:t>Coordinar de manera intersectorial con todas las instituciones de atención prehospitalaria legalmente establecidas en el territorio mexiquense para eficientar los tiempos de respuesta y atención ante una urgencia médica;</w:t>
      </w:r>
    </w:p>
    <w:p w:rsidR="005F04F9" w:rsidRPr="00AE0CAB" w:rsidRDefault="005F04F9" w:rsidP="002E6F6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Implementar programas de Evaluación de Daños y Análisis de Necesidades, EDAN para la población;</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Impulsar acciones para aumentar la trazabilidad y estadística promoviendo la generación de </w:t>
      </w:r>
      <w:r w:rsidRPr="00AE0CAB">
        <w:rPr>
          <w:rFonts w:ascii="Times New Roman" w:eastAsiaTheme="minorEastAsia" w:hAnsi="Times New Roman" w:cs="Times New Roman"/>
          <w:noProof/>
          <w:sz w:val="24"/>
          <w:szCs w:val="24"/>
          <w:lang w:eastAsia="es-MX"/>
        </w:rPr>
        <w:drawing>
          <wp:inline distT="0" distB="0" distL="0" distR="0" wp14:anchorId="66F46AC3" wp14:editId="49B0B87F">
            <wp:extent cx="4575" cy="4572"/>
            <wp:effectExtent l="0" t="0" r="0" b="0"/>
            <wp:docPr id="126194" name="Picture 126194"/>
            <wp:cNvGraphicFramePr/>
            <a:graphic xmlns:a="http://schemas.openxmlformats.org/drawingml/2006/main">
              <a:graphicData uri="http://schemas.openxmlformats.org/drawingml/2006/picture">
                <pic:pic xmlns:pic="http://schemas.openxmlformats.org/drawingml/2006/picture">
                  <pic:nvPicPr>
                    <pic:cNvPr id="126194" name="Picture 126194"/>
                    <pic:cNvPicPr/>
                  </pic:nvPicPr>
                  <pic:blipFill>
                    <a:blip r:embed="rId5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investigación en el campo de la atención prehospitalaria para generar mayor conocimiento tecnológico </w:t>
      </w:r>
      <w:r w:rsidRPr="00AE0CAB">
        <w:rPr>
          <w:rFonts w:ascii="Times New Roman" w:eastAsiaTheme="minorEastAsia" w:hAnsi="Times New Roman" w:cs="Times New Roman"/>
          <w:noProof/>
          <w:sz w:val="24"/>
          <w:szCs w:val="24"/>
          <w:lang w:eastAsia="es-MX"/>
        </w:rPr>
        <w:drawing>
          <wp:inline distT="0" distB="0" distL="0" distR="0" wp14:anchorId="1BA2AB11" wp14:editId="4A89773A">
            <wp:extent cx="4575" cy="4572"/>
            <wp:effectExtent l="0" t="0" r="0" b="0"/>
            <wp:docPr id="126195" name="Picture 126195"/>
            <wp:cNvGraphicFramePr/>
            <a:graphic xmlns:a="http://schemas.openxmlformats.org/drawingml/2006/main">
              <a:graphicData uri="http://schemas.openxmlformats.org/drawingml/2006/picture">
                <pic:pic xmlns:pic="http://schemas.openxmlformats.org/drawingml/2006/picture">
                  <pic:nvPicPr>
                    <pic:cNvPr id="126195" name="Picture 126195"/>
                    <pic:cNvPicPr/>
                  </pic:nvPicPr>
                  <pic:blipFill>
                    <a:blip r:embed="rId16"/>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noProof/>
          <w:sz w:val="24"/>
          <w:szCs w:val="24"/>
          <w:lang w:eastAsia="es-MX"/>
        </w:rPr>
        <w:drawing>
          <wp:inline distT="0" distB="0" distL="0" distR="0" wp14:anchorId="16AFD3EC" wp14:editId="7261D521">
            <wp:extent cx="4575" cy="4572"/>
            <wp:effectExtent l="0" t="0" r="0" b="0"/>
            <wp:docPr id="126196" name="Picture 126196"/>
            <wp:cNvGraphicFramePr/>
            <a:graphic xmlns:a="http://schemas.openxmlformats.org/drawingml/2006/main">
              <a:graphicData uri="http://schemas.openxmlformats.org/drawingml/2006/picture">
                <pic:pic xmlns:pic="http://schemas.openxmlformats.org/drawingml/2006/picture">
                  <pic:nvPicPr>
                    <pic:cNvPr id="126196" name="Picture 126196"/>
                    <pic:cNvPicPr/>
                  </pic:nvPicPr>
                  <pic:blipFill>
                    <a:blip r:embed="rId3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y científico;</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inline distT="0" distB="0" distL="0" distR="0" wp14:anchorId="2E3A4F5F" wp14:editId="0E03B712">
            <wp:extent cx="4575" cy="4572"/>
            <wp:effectExtent l="0" t="0" r="0" b="0"/>
            <wp:docPr id="126197" name="Picture 126197"/>
            <wp:cNvGraphicFramePr/>
            <a:graphic xmlns:a="http://schemas.openxmlformats.org/drawingml/2006/main">
              <a:graphicData uri="http://schemas.openxmlformats.org/drawingml/2006/picture">
                <pic:pic xmlns:pic="http://schemas.openxmlformats.org/drawingml/2006/picture">
                  <pic:nvPicPr>
                    <pic:cNvPr id="126197" name="Picture 126197"/>
                    <pic:cNvPicPr/>
                  </pic:nvPicPr>
                  <pic:blipFill>
                    <a:blip r:embed="rId21"/>
                    <a:stretch>
                      <a:fillRect/>
                    </a:stretch>
                  </pic:blipFill>
                  <pic:spPr>
                    <a:xfrm>
                      <a:off x="0" y="0"/>
                      <a:ext cx="4575" cy="4572"/>
                    </a:xfrm>
                    <a:prstGeom prst="rect">
                      <a:avLst/>
                    </a:prstGeom>
                  </pic:spPr>
                </pic:pic>
              </a:graphicData>
            </a:graphic>
          </wp:inline>
        </w:drawing>
      </w:r>
    </w:p>
    <w:p w:rsidR="005F04F9" w:rsidRPr="00AE0CAB" w:rsidRDefault="005F04F9" w:rsidP="00551BD2">
      <w:pPr>
        <w:numPr>
          <w:ilvl w:val="0"/>
          <w:numId w:val="4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Desarrollar e implementar centros formadores y certificadores de la atención prehospitalaria y </w:t>
      </w:r>
      <w:r w:rsidRPr="00AE0CAB">
        <w:rPr>
          <w:rFonts w:ascii="Times New Roman" w:eastAsiaTheme="minorEastAsia" w:hAnsi="Times New Roman" w:cs="Times New Roman"/>
          <w:noProof/>
          <w:sz w:val="24"/>
          <w:szCs w:val="24"/>
          <w:lang w:eastAsia="es-MX"/>
        </w:rPr>
        <w:drawing>
          <wp:inline distT="0" distB="0" distL="0" distR="0" wp14:anchorId="3F92F2EC" wp14:editId="037E2938">
            <wp:extent cx="4575" cy="4572"/>
            <wp:effectExtent l="0" t="0" r="0" b="0"/>
            <wp:docPr id="126198" name="Picture 126198"/>
            <wp:cNvGraphicFramePr/>
            <a:graphic xmlns:a="http://schemas.openxmlformats.org/drawingml/2006/main">
              <a:graphicData uri="http://schemas.openxmlformats.org/drawingml/2006/picture">
                <pic:pic xmlns:pic="http://schemas.openxmlformats.org/drawingml/2006/picture">
                  <pic:nvPicPr>
                    <pic:cNvPr id="126198" name="Picture 126198"/>
                    <pic:cNvPicPr/>
                  </pic:nvPicPr>
                  <pic:blipFill>
                    <a:blip r:embed="rId3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equipos de rescate fomentando el autocrecimiento;</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de manera sectorial a todas las instituciones del área prehospitalaria a través del Centro Regulador de Urgencias Médicas, CRUM para eficientar y garantizar que todo paciente que requiera de una atención médica en un centro hospitalario sea canalizado al nivel hospitalario correcto en el menor tiempo posible;</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de manera sectorial e interinstitucional traslados seguros a pacientes y se garantice la continuidad de servicios médicos acorde a sus necesidades;</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y operar el Sistema de Red Interinstitucional Prehospitalario; y</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inherentes al área de su competencia.</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Arial" w:hAnsi="Times New Roman" w:cs="Times New Roman"/>
          <w:sz w:val="24"/>
          <w:szCs w:val="24"/>
          <w:lang w:eastAsia="es-MX"/>
        </w:rPr>
      </w:pPr>
      <w:r w:rsidRPr="00AE0CAB">
        <w:rPr>
          <w:rFonts w:ascii="Times New Roman" w:eastAsia="Arial" w:hAnsi="Times New Roman" w:cs="Times New Roman"/>
          <w:sz w:val="24"/>
          <w:szCs w:val="24"/>
          <w:lang w:eastAsia="es-MX"/>
        </w:rPr>
        <w:t>Sección Sexta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De la Comisión para la Protección contra Riesgos Sanitarios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58. La COPRISEMEX tiene por objeto la regulación, control y fomento sanitario, ante la posible exposición a riesgos y emergencias sanitarias.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COPRISEMEX será la instancia normativa y de conducción de la política estatal en materia de vigilancia, prevención y atención de exposiciones a riesgos y emergencias sanitarias y así proteger en todo momento la salud y seguridad de la población mexiquense.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Para el ejercicio de sus funciones, se dividirá administrativa y territorialmente en Jurisdicciones de Regulación Sanitaria.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59. Para el cumplimiento de su objeto la COPRISEMEX tendrá las atribuciones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Desarrollar, en coordinación con las autoridades competentes, investigaciones permanentes y sistemáticas sobre los riesgos y daños para la salud de la población, originados por toda fuente de emisión contaminante al medio ambiente;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Prever, desarrollar y promover programas en materia de regulación, control y fomento sanitarios, con base en las políticas que establezcan las autoridades sanitarias federales;</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Implementar acciones de orientación, educación, muestreo y verificación sanitaria, a fin de regular el funcionamiento de los establecimientos que ofrecen productos y servicios;</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Expedir certificados de condiciones y prácticas sanitarias, de acuerdo con la normatividad vigente;</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Participar, en la instrumentación de las acciones de prevención, control de enfermedades y de vigilancia epidemiológica, cuando estas se relacionen con los riesgos sanitarios; </w:t>
      </w:r>
      <w:r w:rsidRPr="00AE0CAB">
        <w:rPr>
          <w:rFonts w:ascii="Times New Roman" w:eastAsiaTheme="minorEastAsia" w:hAnsi="Times New Roman" w:cs="Times New Roman"/>
          <w:noProof/>
          <w:sz w:val="24"/>
          <w:szCs w:val="24"/>
          <w:lang w:eastAsia="es-MX"/>
        </w:rPr>
        <w:drawing>
          <wp:inline distT="0" distB="0" distL="0" distR="0" wp14:anchorId="1A0008E3" wp14:editId="0E61A125">
            <wp:extent cx="9149" cy="9144"/>
            <wp:effectExtent l="0" t="0" r="0" b="0"/>
            <wp:docPr id="129984" name="Picture 129984"/>
            <wp:cNvGraphicFramePr/>
            <a:graphic xmlns:a="http://schemas.openxmlformats.org/drawingml/2006/main">
              <a:graphicData uri="http://schemas.openxmlformats.org/drawingml/2006/picture">
                <pic:pic xmlns:pic="http://schemas.openxmlformats.org/drawingml/2006/picture">
                  <pic:nvPicPr>
                    <pic:cNvPr id="129984" name="Picture 129984"/>
                    <pic:cNvPicPr/>
                  </pic:nvPicPr>
                  <pic:blipFill>
                    <a:blip r:embed="rId56"/>
                    <a:stretch>
                      <a:fillRect/>
                    </a:stretch>
                  </pic:blipFill>
                  <pic:spPr>
                    <a:xfrm>
                      <a:off x="0" y="0"/>
                      <a:ext cx="9149" cy="9144"/>
                    </a:xfrm>
                    <a:prstGeom prst="rect">
                      <a:avLst/>
                    </a:prstGeom>
                  </pic:spPr>
                </pic:pic>
              </a:graphicData>
            </a:graphic>
          </wp:inline>
        </w:drawing>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la participación de los sectores público, social y privado para el desarrollo de las acciones no regulatorias y de fomento sanitario;</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la investigación en materia de protección contra riesgos sanitarios con la participación de los sectores público, social y privado;</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Vigilar y establecer medidas para controlar la contaminación originada por ruido, vibraciones, energía </w:t>
      </w:r>
      <w:r w:rsidRPr="00AE0CAB">
        <w:rPr>
          <w:rFonts w:ascii="Times New Roman" w:eastAsiaTheme="minorEastAsia" w:hAnsi="Times New Roman" w:cs="Times New Roman"/>
          <w:noProof/>
          <w:sz w:val="24"/>
          <w:szCs w:val="24"/>
          <w:lang w:eastAsia="es-MX"/>
        </w:rPr>
        <w:drawing>
          <wp:inline distT="0" distB="0" distL="0" distR="0" wp14:anchorId="526FB027" wp14:editId="21C5AC59">
            <wp:extent cx="4575" cy="4572"/>
            <wp:effectExtent l="0" t="0" r="0" b="0"/>
            <wp:docPr id="129903" name="Picture 129903"/>
            <wp:cNvGraphicFramePr/>
            <a:graphic xmlns:a="http://schemas.openxmlformats.org/drawingml/2006/main">
              <a:graphicData uri="http://schemas.openxmlformats.org/drawingml/2006/picture">
                <pic:pic xmlns:pic="http://schemas.openxmlformats.org/drawingml/2006/picture">
                  <pic:nvPicPr>
                    <pic:cNvPr id="129903" name="Picture 129903"/>
                    <pic:cNvPicPr/>
                  </pic:nvPicPr>
                  <pic:blipFill>
                    <a:blip r:embed="rId1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térmica, lumínica, olores, vapores o cualquier otro tipo de actividad que pueda ocasionar daños a la salud de las personas expuestas al ambiente o a los elementos naturales;</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2"/>
        </w:numPr>
        <w:spacing w:after="0" w:line="240" w:lineRule="auto"/>
        <w:ind w:left="0"/>
        <w:jc w:val="both"/>
        <w:rPr>
          <w:rFonts w:ascii="Times New Roman" w:eastAsiaTheme="minorEastAsia" w:hAnsi="Times New Roman" w:cs="Times New Roman"/>
          <w:sz w:val="24"/>
          <w:szCs w:val="24"/>
          <w:lang w:eastAsia="es-MX"/>
        </w:rPr>
      </w:pPr>
      <w:proofErr w:type="spellStart"/>
      <w:r w:rsidRPr="00AE0CAB">
        <w:rPr>
          <w:rFonts w:ascii="Times New Roman" w:eastAsiaTheme="minorEastAsia" w:hAnsi="Times New Roman" w:cs="Times New Roman"/>
          <w:sz w:val="24"/>
          <w:szCs w:val="24"/>
          <w:lang w:eastAsia="es-MX"/>
        </w:rPr>
        <w:t>Recepcionar</w:t>
      </w:r>
      <w:proofErr w:type="spellEnd"/>
      <w:r w:rsidRPr="00AE0CAB">
        <w:rPr>
          <w:rFonts w:ascii="Times New Roman" w:eastAsiaTheme="minorEastAsia" w:hAnsi="Times New Roman" w:cs="Times New Roman"/>
          <w:sz w:val="24"/>
          <w:szCs w:val="24"/>
          <w:lang w:eastAsia="es-MX"/>
        </w:rPr>
        <w:t xml:space="preserve"> trámites de fomento sanitario, a través de las Jurisdicciones de Regulación Sanitaria;</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Atención de emergencias en los municipios de la Entidad, a través de las Jurisdicciones de Regulación Sanitaria;</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 xml:space="preserve">Elaborar y proponer a la Secretaría las normas técnicas relativas a las actividades, servicios y </w:t>
      </w:r>
      <w:r w:rsidRPr="00AE0CAB">
        <w:rPr>
          <w:rFonts w:ascii="Times New Roman" w:eastAsiaTheme="minorEastAsia" w:hAnsi="Times New Roman" w:cs="Times New Roman"/>
          <w:noProof/>
          <w:sz w:val="24"/>
          <w:szCs w:val="24"/>
          <w:lang w:eastAsia="es-MX"/>
        </w:rPr>
        <w:drawing>
          <wp:inline distT="0" distB="0" distL="0" distR="0" wp14:anchorId="3771A68D" wp14:editId="1E0F4F5C">
            <wp:extent cx="4575" cy="4572"/>
            <wp:effectExtent l="0" t="0" r="0" b="0"/>
            <wp:docPr id="129904" name="Picture 129904"/>
            <wp:cNvGraphicFramePr/>
            <a:graphic xmlns:a="http://schemas.openxmlformats.org/drawingml/2006/main">
              <a:graphicData uri="http://schemas.openxmlformats.org/drawingml/2006/picture">
                <pic:pic xmlns:pic="http://schemas.openxmlformats.org/drawingml/2006/picture">
                  <pic:nvPicPr>
                    <pic:cNvPr id="129904" name="Picture 129904"/>
                    <pic:cNvPicPr/>
                  </pic:nvPicPr>
                  <pic:blipFill>
                    <a:blip r:embed="rId1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establecimientos materia de su competencia;</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Evaluar, expedir o revocar, las autorizaciones que en materia de su competencia se requieran, para garantizar el legal funcionamiento de los establecimientos que ofrecen productos y servicios; </w:t>
      </w:r>
    </w:p>
    <w:p w:rsidR="005F04F9" w:rsidRPr="00AE0CAB" w:rsidRDefault="005F04F9" w:rsidP="00B21E47">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4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 </w:t>
      </w:r>
      <w:r w:rsidRPr="00AE0CAB">
        <w:rPr>
          <w:rFonts w:ascii="Times New Roman" w:eastAsia="Arial" w:hAnsi="Times New Roman" w:cs="Times New Roman"/>
          <w:sz w:val="24"/>
          <w:szCs w:val="24"/>
          <w:lang w:eastAsia="es-MX"/>
        </w:rPr>
        <w:t xml:space="preserve">Imponer  las  medidas de  seguridad  </w:t>
      </w:r>
      <w:r w:rsidRPr="00AE0CAB">
        <w:rPr>
          <w:rFonts w:ascii="Times New Roman" w:eastAsiaTheme="minorEastAsia" w:hAnsi="Times New Roman" w:cs="Times New Roman"/>
          <w:sz w:val="24"/>
          <w:szCs w:val="24"/>
          <w:lang w:eastAsia="es-MX"/>
        </w:rPr>
        <w:t xml:space="preserve">y  </w:t>
      </w:r>
      <w:r w:rsidRPr="00AE0CAB">
        <w:rPr>
          <w:rFonts w:ascii="Times New Roman" w:eastAsia="Arial" w:hAnsi="Times New Roman" w:cs="Times New Roman"/>
          <w:sz w:val="24"/>
          <w:szCs w:val="24"/>
          <w:lang w:eastAsia="es-MX"/>
        </w:rPr>
        <w:t>sanciones  que   de  acuerdo  con   la   irregularidad  sanitaria cometida señale  la  normatividad aplicable</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Elaborar el diagnóstico de la situación en materia del funcionamiento de las unidades económicas con venta o suministro de bebidas alcohólicas en la Entidad y su impacto sanitario en la comunidad, debiéndose allegar para ello de la información correspondiente;</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Proponer programas y acciones tendientes a combatir el alcoholismo, su adicción y la violencia que su consumo genera, principalmente entre jóvenes y menores de edad, y apoyar su ejecución;</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Solicitar la colaboración de las dependencias del Ejecutivo del Estado, organismos auxiliares de carácter estatal y municipal y de los sectores social y privado, para el fomento de una nueva cultura para combatir al alcoholismo y sus efectos sociales;</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Solicitar la colaboración de las dependencias del Ejecutivo del Estado, organismos auxiliares de carácter estatal y municipal, para comprobar el cumplimiento de los requisitos establecidos en las autorizaciones; y</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le señalen otros ordenamientos jurídicos y las inherentes a su área de competencia.</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V</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los Órganos Colegiados de la Secretaría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60. La Secretaría se auxiliará de órganos colegiados integrados por expertos en temas generales y específicos, regulados y supervisados por la misma, con el objetivo de coordinar, planear, ejecutar </w:t>
      </w:r>
      <w:r w:rsidRPr="00AE0CAB">
        <w:rPr>
          <w:rFonts w:ascii="Times New Roman" w:eastAsiaTheme="minorEastAsia" w:hAnsi="Times New Roman" w:cs="Times New Roman"/>
          <w:noProof/>
          <w:sz w:val="24"/>
          <w:szCs w:val="24"/>
          <w:lang w:eastAsia="es-MX"/>
        </w:rPr>
        <w:drawing>
          <wp:inline distT="0" distB="0" distL="0" distR="0" wp14:anchorId="4C64319F" wp14:editId="3AD07941">
            <wp:extent cx="4575" cy="4572"/>
            <wp:effectExtent l="0" t="0" r="0" b="0"/>
            <wp:docPr id="133616" name="Picture 133616"/>
            <wp:cNvGraphicFramePr/>
            <a:graphic xmlns:a="http://schemas.openxmlformats.org/drawingml/2006/main">
              <a:graphicData uri="http://schemas.openxmlformats.org/drawingml/2006/picture">
                <pic:pic xmlns:pic="http://schemas.openxmlformats.org/drawingml/2006/picture">
                  <pic:nvPicPr>
                    <pic:cNvPr id="133616" name="Picture 133616"/>
                    <pic:cNvPicPr/>
                  </pic:nvPicPr>
                  <pic:blipFill>
                    <a:blip r:embed="rId57"/>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políticas y aplicar acciones en materia de salud en 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inline distT="0" distB="0" distL="0" distR="0" wp14:anchorId="6AC879F1" wp14:editId="27FB0FC2">
            <wp:extent cx="9149" cy="18288"/>
            <wp:effectExtent l="0" t="0" r="0" b="0"/>
            <wp:docPr id="562904" name="Picture 562904"/>
            <wp:cNvGraphicFramePr/>
            <a:graphic xmlns:a="http://schemas.openxmlformats.org/drawingml/2006/main">
              <a:graphicData uri="http://schemas.openxmlformats.org/drawingml/2006/picture">
                <pic:pic xmlns:pic="http://schemas.openxmlformats.org/drawingml/2006/picture">
                  <pic:nvPicPr>
                    <pic:cNvPr id="562904" name="Picture 562904"/>
                    <pic:cNvPicPr/>
                  </pic:nvPicPr>
                  <pic:blipFill>
                    <a:blip r:embed="rId58"/>
                    <a:stretch>
                      <a:fillRect/>
                    </a:stretch>
                  </pic:blipFill>
                  <pic:spPr>
                    <a:xfrm>
                      <a:off x="0" y="0"/>
                      <a:ext cx="9149" cy="18288"/>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Son órganos colegiados para la coordinación, planeación y ejecución de las políticas en materia de salud en 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El Consejo de Salud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El Comando Estatal Interinstitucional del Sector Salud; y</w:t>
      </w:r>
      <w:r w:rsidRPr="00AE0CAB">
        <w:rPr>
          <w:rFonts w:ascii="Times New Roman" w:eastAsiaTheme="minorEastAsia" w:hAnsi="Times New Roman" w:cs="Times New Roman"/>
          <w:noProof/>
          <w:sz w:val="24"/>
          <w:szCs w:val="24"/>
          <w:lang w:eastAsia="es-MX"/>
        </w:rPr>
        <w:drawing>
          <wp:inline distT="0" distB="0" distL="0" distR="0" wp14:anchorId="65984D08" wp14:editId="1ED017A8">
            <wp:extent cx="9149" cy="18288"/>
            <wp:effectExtent l="0" t="0" r="0" b="0"/>
            <wp:docPr id="562906" name="Picture 562906"/>
            <wp:cNvGraphicFramePr/>
            <a:graphic xmlns:a="http://schemas.openxmlformats.org/drawingml/2006/main">
              <a:graphicData uri="http://schemas.openxmlformats.org/drawingml/2006/picture">
                <pic:pic xmlns:pic="http://schemas.openxmlformats.org/drawingml/2006/picture">
                  <pic:nvPicPr>
                    <pic:cNvPr id="562906" name="Picture 562906"/>
                    <pic:cNvPicPr/>
                  </pic:nvPicPr>
                  <pic:blipFill>
                    <a:blip r:embed="rId59"/>
                    <a:stretch>
                      <a:fillRect/>
                    </a:stretch>
                  </pic:blipFill>
                  <pic:spPr>
                    <a:xfrm>
                      <a:off x="0" y="0"/>
                      <a:ext cx="9149" cy="18288"/>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5"/>
        </w:numPr>
        <w:spacing w:after="0" w:line="240" w:lineRule="auto"/>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Sistema Estatal de Donación y Trasplante de Órganos y Tejidos.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Primera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Consejo de Salud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61. El Consejo de Salud del Estado de México es una instancia permanente de coordinación entre las dependencias, los organismos auxiliares y las instituciones públicas y privadas que conforman el Sistema Estatal, que tiene por objeto la planeación, programación y evaluación de los servicios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funcionamiento y operación del Consejo de Salud será establecido en el reglamento de la presente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cargos de las personas integrantes del Consejo de Salud serán honoríficos.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62. El Consejo de Salud se integra por.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La persona titular del Poder Ejecutivo del Estado de México, que fungirá como Presidencia Honoraria;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 persona titular de la Secretaría, quien fungirá como Presidenta;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Las personas titulares de:</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 Educación, Ciencia, Tecnología e Innovación;</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del Medio Ambiente y Desarrollo Sostenible;</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Técnica del Consejo Estatal de Población;</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Dirección General del Instituto de Salud del Estado de México;</w:t>
      </w:r>
      <w:r w:rsidRPr="00AE0CAB">
        <w:rPr>
          <w:rFonts w:ascii="Times New Roman" w:eastAsiaTheme="minorEastAsia" w:hAnsi="Times New Roman" w:cs="Times New Roman"/>
          <w:noProof/>
          <w:sz w:val="24"/>
          <w:szCs w:val="24"/>
          <w:lang w:eastAsia="es-MX"/>
        </w:rPr>
        <w:drawing>
          <wp:inline distT="0" distB="0" distL="0" distR="0" wp14:anchorId="30284327" wp14:editId="13A4EEB6">
            <wp:extent cx="4575" cy="4572"/>
            <wp:effectExtent l="0" t="0" r="0" b="0"/>
            <wp:docPr id="136439" name="Picture 136439"/>
            <wp:cNvGraphicFramePr/>
            <a:graphic xmlns:a="http://schemas.openxmlformats.org/drawingml/2006/main">
              <a:graphicData uri="http://schemas.openxmlformats.org/drawingml/2006/picture">
                <pic:pic xmlns:pic="http://schemas.openxmlformats.org/drawingml/2006/picture">
                  <pic:nvPicPr>
                    <pic:cNvPr id="136439" name="Picture 136439"/>
                    <pic:cNvPicPr/>
                  </pic:nvPicPr>
                  <pic:blipFill>
                    <a:blip r:embed="rId35"/>
                    <a:stretch>
                      <a:fillRect/>
                    </a:stretch>
                  </pic:blipFill>
                  <pic:spPr>
                    <a:xfrm>
                      <a:off x="0" y="0"/>
                      <a:ext cx="4575" cy="4572"/>
                    </a:xfrm>
                    <a:prstGeom prst="rect">
                      <a:avLst/>
                    </a:prstGeom>
                  </pic:spPr>
                </pic:pic>
              </a:graphicData>
            </a:graphic>
          </wp:inline>
        </w:drawing>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Dirección General del Instituto de Seguridad Social del Estado de México y Municipios;</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Dirección General del Sistema para el Desarrollo Integral de la Familia del Estado de México;</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Facultad de Medicina de la Universidad Autónoma del Estado de México;</w:t>
      </w:r>
      <w:r w:rsidRPr="00AE0CAB">
        <w:rPr>
          <w:rFonts w:ascii="Times New Roman" w:eastAsiaTheme="minorEastAsia" w:hAnsi="Times New Roman" w:cs="Times New Roman"/>
          <w:noProof/>
          <w:sz w:val="24"/>
          <w:szCs w:val="24"/>
          <w:lang w:eastAsia="es-MX"/>
        </w:rPr>
        <w:drawing>
          <wp:inline distT="0" distB="0" distL="0" distR="0" wp14:anchorId="396670CB" wp14:editId="2A01E9D3">
            <wp:extent cx="4575" cy="4572"/>
            <wp:effectExtent l="0" t="0" r="0" b="0"/>
            <wp:docPr id="136440" name="Picture 136440"/>
            <wp:cNvGraphicFramePr/>
            <a:graphic xmlns:a="http://schemas.openxmlformats.org/drawingml/2006/main">
              <a:graphicData uri="http://schemas.openxmlformats.org/drawingml/2006/picture">
                <pic:pic xmlns:pic="http://schemas.openxmlformats.org/drawingml/2006/picture">
                  <pic:nvPicPr>
                    <pic:cNvPr id="136440" name="Picture 136440"/>
                    <pic:cNvPicPr/>
                  </pic:nvPicPr>
                  <pic:blipFill>
                    <a:blip r:embed="rId40"/>
                    <a:stretch>
                      <a:fillRect/>
                    </a:stretch>
                  </pic:blipFill>
                  <pic:spPr>
                    <a:xfrm>
                      <a:off x="0" y="0"/>
                      <a:ext cx="4575" cy="4572"/>
                    </a:xfrm>
                    <a:prstGeom prst="rect">
                      <a:avLst/>
                    </a:prstGeom>
                  </pic:spPr>
                </pic:pic>
              </a:graphicData>
            </a:graphic>
          </wp:inline>
        </w:drawing>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Coordinación General de Protección Civil y Gestión Integral del Riesgo;</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de Seguridad y Servicios Sociales de los Trabajadores del Estado;</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Representación del Órgano de Operación Administrativa Desconcentrada Regional del Estado de México Oriente del IMSS;</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Representación del Órgano de Operación Administrativa Desconcentrada Regional del Estado de México Poniente del IMSS;</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Representación Estatal del IMSS-BIENESTAR;</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Instituto Materno Infantil del Estado de México;</w:t>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Mexicano del Seguro Social;</w:t>
      </w:r>
      <w:r w:rsidRPr="00AE0CAB">
        <w:rPr>
          <w:rFonts w:ascii="Times New Roman" w:eastAsiaTheme="minorEastAsia" w:hAnsi="Times New Roman" w:cs="Times New Roman"/>
          <w:noProof/>
          <w:sz w:val="24"/>
          <w:szCs w:val="24"/>
          <w:lang w:eastAsia="es-MX"/>
        </w:rPr>
        <w:drawing>
          <wp:inline distT="0" distB="0" distL="0" distR="0" wp14:anchorId="26740178" wp14:editId="4B692CD0">
            <wp:extent cx="4575" cy="4572"/>
            <wp:effectExtent l="0" t="0" r="0" b="0"/>
            <wp:docPr id="136441" name="Picture 136441"/>
            <wp:cNvGraphicFramePr/>
            <a:graphic xmlns:a="http://schemas.openxmlformats.org/drawingml/2006/main">
              <a:graphicData uri="http://schemas.openxmlformats.org/drawingml/2006/picture">
                <pic:pic xmlns:pic="http://schemas.openxmlformats.org/drawingml/2006/picture">
                  <pic:nvPicPr>
                    <pic:cNvPr id="136441" name="Picture 136441"/>
                    <pic:cNvPicPr/>
                  </pic:nvPicPr>
                  <pic:blipFill>
                    <a:blip r:embed="rId60"/>
                    <a:stretch>
                      <a:fillRect/>
                    </a:stretch>
                  </pic:blipFill>
                  <pic:spPr>
                    <a:xfrm>
                      <a:off x="0" y="0"/>
                      <a:ext cx="4575" cy="4572"/>
                    </a:xfrm>
                    <a:prstGeom prst="rect">
                      <a:avLst/>
                    </a:prstGeom>
                  </pic:spPr>
                </pic:pic>
              </a:graphicData>
            </a:graphic>
          </wp:inline>
        </w:drawing>
      </w:r>
    </w:p>
    <w:p w:rsidR="005F04F9" w:rsidRPr="00AE0CAB" w:rsidRDefault="005F04F9" w:rsidP="00B21E4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5"/>
        </w:numPr>
        <w:spacing w:after="0" w:line="240" w:lineRule="auto"/>
        <w:ind w:left="0" w:firstLine="0"/>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Como invitados permanentes:</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Secretaría de Bienestar;</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Secretaría de las Mujeres;</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Comisión Estatal de Parques Naturales y de la Fauna;</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Hospital Regional de Alta Especialidad de Zumpango, y</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Hospital Regional de Alta Especialidad de Ixtapaluca.</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5"/>
        </w:numPr>
        <w:spacing w:after="0" w:line="240" w:lineRule="auto"/>
        <w:ind w:left="0" w:firstLine="0"/>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 invitación de la persona titular de la Presidencia:</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Una persona representante de los municipios de la entidad; y</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Tres personas representantes de los sectores social y privado.</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El Consejo de Salud contará con una Secretaría Técnica, nombrada por la persona titular de la </w:t>
      </w:r>
      <w:r w:rsidRPr="00AE0CAB">
        <w:rPr>
          <w:rFonts w:ascii="Times New Roman" w:eastAsiaTheme="minorEastAsia" w:hAnsi="Times New Roman" w:cs="Times New Roman"/>
          <w:noProof/>
          <w:sz w:val="24"/>
          <w:szCs w:val="24"/>
          <w:lang w:eastAsia="es-MX"/>
        </w:rPr>
        <w:drawing>
          <wp:inline distT="0" distB="0" distL="0" distR="0" wp14:anchorId="1CE907B3" wp14:editId="32D9133A">
            <wp:extent cx="4573" cy="4572"/>
            <wp:effectExtent l="0" t="0" r="0" b="0"/>
            <wp:docPr id="139994" name="Picture 139994"/>
            <wp:cNvGraphicFramePr/>
            <a:graphic xmlns:a="http://schemas.openxmlformats.org/drawingml/2006/main">
              <a:graphicData uri="http://schemas.openxmlformats.org/drawingml/2006/picture">
                <pic:pic xmlns:pic="http://schemas.openxmlformats.org/drawingml/2006/picture">
                  <pic:nvPicPr>
                    <pic:cNvPr id="139994" name="Picture 139994"/>
                    <pic:cNvPicPr/>
                  </pic:nvPicPr>
                  <pic:blipFill>
                    <a:blip r:embed="rId15"/>
                    <a:stretch>
                      <a:fillRect/>
                    </a:stretch>
                  </pic:blipFill>
                  <pic:spPr>
                    <a:xfrm>
                      <a:off x="0" y="0"/>
                      <a:ext cx="4573"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presidencia. Asimismo, podrá integrar los comités, comisiones y grupos de trabajo necesarios para el cumplimiento de su objeto.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63. El Consejo de Salud tendrá las funciones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Contribuir a consolidar el Sistema de Salud en la entidad;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Apoyar a los comités municipales de salud y coordinar éstos con los sistemas nacional y estatal de salud;</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Coordinar grupos de trabajo, consejos, comités y comisiones específicos de salud en el Estado;</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Unificar criterios para el correcto cumplimiento de los programas de salud;</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Apoyar la evaluación de los programas estatales y municipales de salud;</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Fomentar la cooperación técnica y logística del Sistema de Salud en la entidad;</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Estudiar y proponer esquemas de financiamiento complementario para la atención de la salud pública;</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la investigación en materia de salud en el Estado;</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Colaborar con los municipios, para realizar acciones de monitoreo y de evaluación de sus programas de salud, de acuerdo con las disposiciones jurídicas aplicables; y</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Las demás que sean necesarias para el cumplimiento de su objeto, las que le confiera el Consejo Nacional de Salud para el Bienestar, las que prevea el Reglamento Interno del Consejo de Salud y demás normatividad aplicable.</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Segunda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Comando Estatal Interinstitucional del Sector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64. El Comando Estatal Interinstitucional del Sector Salud es un órgano de consulta y asesoría especializada que tiene por objeto generar estrategias de mejora a los procesos de atención médica, y </w:t>
      </w:r>
      <w:r w:rsidRPr="00AE0CAB">
        <w:rPr>
          <w:rFonts w:ascii="Times New Roman" w:eastAsiaTheme="minorEastAsia" w:hAnsi="Times New Roman" w:cs="Times New Roman"/>
          <w:noProof/>
          <w:sz w:val="24"/>
          <w:szCs w:val="24"/>
          <w:lang w:eastAsia="es-MX"/>
        </w:rPr>
        <w:drawing>
          <wp:inline distT="0" distB="0" distL="0" distR="0" wp14:anchorId="4CC3708F" wp14:editId="00C20BA6">
            <wp:extent cx="4575" cy="4572"/>
            <wp:effectExtent l="0" t="0" r="0" b="0"/>
            <wp:docPr id="139995" name="Picture 139995"/>
            <wp:cNvGraphicFramePr/>
            <a:graphic xmlns:a="http://schemas.openxmlformats.org/drawingml/2006/main">
              <a:graphicData uri="http://schemas.openxmlformats.org/drawingml/2006/picture">
                <pic:pic xmlns:pic="http://schemas.openxmlformats.org/drawingml/2006/picture">
                  <pic:nvPicPr>
                    <pic:cNvPr id="139995" name="Picture 139995"/>
                    <pic:cNvPicPr/>
                  </pic:nvPicPr>
                  <pic:blipFill>
                    <a:blip r:embed="rId1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así otorgar calidad y seguridad a las personas usuarias de las instituciones del Sector Salud del Estado de </w:t>
      </w:r>
      <w:r w:rsidRPr="00AE0CAB">
        <w:rPr>
          <w:rFonts w:ascii="Times New Roman" w:eastAsiaTheme="minorEastAsia" w:hAnsi="Times New Roman" w:cs="Times New Roman"/>
          <w:noProof/>
          <w:sz w:val="24"/>
          <w:szCs w:val="24"/>
          <w:lang w:eastAsia="es-MX"/>
        </w:rPr>
        <w:drawing>
          <wp:inline distT="0" distB="0" distL="0" distR="0" wp14:anchorId="2F458FC9" wp14:editId="1AA9D981">
            <wp:extent cx="4575" cy="4572"/>
            <wp:effectExtent l="0" t="0" r="0" b="0"/>
            <wp:docPr id="139996" name="Picture 139996"/>
            <wp:cNvGraphicFramePr/>
            <a:graphic xmlns:a="http://schemas.openxmlformats.org/drawingml/2006/main">
              <a:graphicData uri="http://schemas.openxmlformats.org/drawingml/2006/picture">
                <pic:pic xmlns:pic="http://schemas.openxmlformats.org/drawingml/2006/picture">
                  <pic:nvPicPr>
                    <pic:cNvPr id="139996" name="Picture 139996"/>
                    <pic:cNvPicPr/>
                  </pic:nvPicPr>
                  <pic:blipFill>
                    <a:blip r:embed="rId6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65. Son atribuciones del Comando Estatal Interinstitucional del Sector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Fungir como órgano de consulta y asesoría especializada en asuntos relacionados con la observación y aplicación de esta Ley, así como realizar propuestas para su actualización;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II. Diseñar estrategias costo - efectivas para la mejora de los procesos clínicos y/o administrativos </w:t>
      </w:r>
      <w:r w:rsidRPr="00AE0CAB">
        <w:rPr>
          <w:rFonts w:ascii="Times New Roman" w:eastAsiaTheme="minorEastAsia" w:hAnsi="Times New Roman" w:cs="Times New Roman"/>
          <w:noProof/>
          <w:sz w:val="24"/>
          <w:szCs w:val="24"/>
          <w:lang w:eastAsia="es-MX"/>
        </w:rPr>
        <w:drawing>
          <wp:inline distT="0" distB="0" distL="0" distR="0" wp14:anchorId="0109F3C9" wp14:editId="75DA0D8B">
            <wp:extent cx="4575" cy="4572"/>
            <wp:effectExtent l="0" t="0" r="0" b="0"/>
            <wp:docPr id="139997" name="Picture 139997"/>
            <wp:cNvGraphicFramePr/>
            <a:graphic xmlns:a="http://schemas.openxmlformats.org/drawingml/2006/main">
              <a:graphicData uri="http://schemas.openxmlformats.org/drawingml/2006/picture">
                <pic:pic xmlns:pic="http://schemas.openxmlformats.org/drawingml/2006/picture">
                  <pic:nvPicPr>
                    <pic:cNvPr id="139997" name="Picture 139997"/>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relacionados con los riesgos evaluados en las unidades de atención médica, las cuales contemplen entre otras, el rediseño de los procesos, la gestión de recursos o intervenciones educativas y de mejora de la calidad y oportunidad de la atención;</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Gestionar la integración de los informes que solicite el Consejo Nacional de Salud para el Bienestar </w:t>
      </w:r>
      <w:r w:rsidRPr="00AE0CAB">
        <w:rPr>
          <w:rFonts w:ascii="Times New Roman" w:eastAsiaTheme="minorEastAsia" w:hAnsi="Times New Roman" w:cs="Times New Roman"/>
          <w:noProof/>
          <w:sz w:val="24"/>
          <w:szCs w:val="24"/>
          <w:lang w:eastAsia="es-MX"/>
        </w:rPr>
        <w:drawing>
          <wp:inline distT="0" distB="0" distL="0" distR="0" wp14:anchorId="49467370" wp14:editId="2EC76688">
            <wp:extent cx="18298" cy="9144"/>
            <wp:effectExtent l="0" t="0" r="0" b="0"/>
            <wp:docPr id="562920" name="Picture 562920"/>
            <wp:cNvGraphicFramePr/>
            <a:graphic xmlns:a="http://schemas.openxmlformats.org/drawingml/2006/main">
              <a:graphicData uri="http://schemas.openxmlformats.org/drawingml/2006/picture">
                <pic:pic xmlns:pic="http://schemas.openxmlformats.org/drawingml/2006/picture">
                  <pic:nvPicPr>
                    <pic:cNvPr id="562920" name="Picture 562920"/>
                    <pic:cNvPicPr/>
                  </pic:nvPicPr>
                  <pic:blipFill>
                    <a:blip r:embed="rId62"/>
                    <a:stretch>
                      <a:fillRect/>
                    </a:stretch>
                  </pic:blipFill>
                  <pic:spPr>
                    <a:xfrm>
                      <a:off x="0" y="0"/>
                      <a:ext cx="18298" cy="9144"/>
                    </a:xfrm>
                    <a:prstGeom prst="rect">
                      <a:avLst/>
                    </a:prstGeom>
                  </pic:spPr>
                </pic:pic>
              </a:graphicData>
            </a:graphic>
          </wp:inline>
        </w:drawing>
      </w:r>
      <w:r w:rsidRPr="00AE0CAB">
        <w:rPr>
          <w:rFonts w:ascii="Times New Roman" w:eastAsiaTheme="minorEastAsia" w:hAnsi="Times New Roman" w:cs="Times New Roman"/>
          <w:sz w:val="24"/>
          <w:szCs w:val="24"/>
          <w:lang w:eastAsia="es-MX"/>
        </w:rPr>
        <w:t>emanados de los acuerdos generados en sus reuniones y el envío validado a los enlaces federales designados por el Consejo Nacional de Salud para el Bienestar y el Consejo de Salubridad General;</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Avalar los acuerdos establecidos, así como los anexos para su debida supervisión y seguimiento;</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Girar instrucciones a los responsables para la mejora de la infraestructura, recursos humanos y materiales;</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Verificar que se realicen evaluaciones de los planes y programas a fin de promover estrategias de mejora orientadas al desarrollo de una cultura de calidad, seguridad y calidez, equidad de género y el buen trato, que promueva mejores servicios de salud y la seguridad del paciente; y</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inherentes a su área de competencia.</w:t>
      </w:r>
    </w:p>
    <w:p w:rsidR="005F04F9" w:rsidRPr="00AE0CAB" w:rsidRDefault="005F04F9" w:rsidP="00D15B8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66. Son integrantes del Comando Estatal Interinstitucional del Sector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La Persona Titular de la Secretaría;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 Persona Secretaria Técnica del Consejo de Salud;</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del Órgano de Operación Administrativa Desconcentrada Regional Estado de México Poniente;</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La Persona Titular del Órgano de Operación Administrativa Desconcentrada Regional Estado de México Oriente;</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 la Subdelegación Médica del ISSSTE;</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 la COPRISEMEX;</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 la Coordinación Estatal del IMSS-BIENESTAR;</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del ISSEMVM;</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 la Coordinación General de Protección Civil y Gestión Integral del Riesgo;</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 los Servicios de Salud de PEMEX;</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Persona Titular Estatal del Dirección General Adjunta de Sanidad Naval;</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Estatal del ISSFAM;</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Comandancia de la XXXVII Zona Militar (SEDENA);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Comandancia de la XXII Zona Militar (SEDENA);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Comandancia de la Región Naval Militar (MARINA);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representante del Sistema Estatal para el Desarrollo Integral de la Familia;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del IMIEM;</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del Centro Estatal de Vigilancia Epidemiológica y Control de Enfermedades;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49"/>
        </w:numPr>
        <w:spacing w:after="0" w:line="240" w:lineRule="auto"/>
        <w:ind w:left="0"/>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 La Persona Titular del Instituto Mexiquense de Salud Mental y Adicciones;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 la Coordinación Estatal del Servicio Nacional de Salud Pública; y</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representante de la Cruz Roja Mexicana estatal.</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 consideración de la persona titular de la Secretaría, se podrá invitar a personas especialistas, instituciones educativas e instituciones de salud privadas.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Tercera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Sistema Estatal de Donación y Trasplante de Órganos y Tejidos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67. El Sistema Estatal de Donación y Trasplante de Órganos y Tejidos es un órgano colegiado y de apoyo técnico de la Secretaria, que tiene por objeto mejorar la calidad de la atención médica de los pacientes con enfermedades crónicas trasplantables del Estado de México y fortalecer la aplicación de las estrategias federales en torno a la donación y trasplante de órganos.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funcionamiento y operación del Sistema Estatal de Donación y Trasplante de Órganos y Tejidos, será establecido en el Reglamento Interior y Manual General de Organización de la Secretaría.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cargos de las o los integrantes del Sistema Estatal de Donación y Trasplante de Órganos y Tejidos serán honoríficos.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68. El Sistema Estatal de Donación y Trasplante de Órganos y Tejidos tiene las siguientes atribuciones: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Dictar las directrices para la procuración, transporte y trasplante de órganos y tejidos en el Estado;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Supervisar las actividades de las unidades locales responsables de la donación y trasplante en el Estado;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Proponer auditorías y monitoreos para garantizar calidad, transparencia y seguridad en todos los procesos;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campañas permanentes para incrementar la conciencia social sobre la importancia de la donación de órganos y tejidos;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Impulsar la cultura de altruismo y solidaridad, orientada a disminuir la brecha entre la demanda y la disponibilidad de órganos;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Monitorear las tasas de éxito de los procedimientos de trasplante y recopilan datos para retroalimentar y optimizar el sistema;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Fungir como enlace entre hospitales trasplantadores, bancos de tejidos y el Sistema Nacional de Trasplantes;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Mantener actualizados los registros de las personas donantes y receptoras en listas de espera estatales;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que la asignación de órganos se realice conforme a los criterios médicos, éticos y legales establecidos a nivel nacional, privilegiando la equidad y la urgencia médica;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Establecer mecanismos para vigilar que los hospitales y las unidades de trasplante cumplan estrictamente con el Reglamento de la Ley General de Salud en Materia de Trasplantes;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Impulsar programas de formación continua dirigidos a médicos, coordinadores de trasplantes, personal de enfermería y demás profesionales involucrados;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Proporcionar asesoría técnica y apoyo logístico a hospitales y bancos de tejidos en el desarrollo de sus funciones;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Participar en la mediación de controversias relacionadas con la asignación de órganos o con el cumplimiento de las disposiciones legales aplicables;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Presentar informes periódicos al Centro Nacional de Trasplantes sobre las actividades estatales; y</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inherentes al área de su competencia.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69. Son integrantes del Sistema Estatal de Donación y Trasplante de Órganos y Tejidos: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La Persona titular de la Secretaría, quien ocupará el cargo de la Presidencia;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 Persona titular del Centro Estatal de Trasplantes del Estado de México, quien ocupará el cargo de la Secretaría Técnica;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Serán vocales las personas titulares de:</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del Banco de Tejidos del Estado de México;</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 la Coordinación de Salud del Instituto de Salud del Estado de México;</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Secretaría Técnica del Consejo de Salud del Estado de México;</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 la Coordinación Estatal del IMSS-Bienestar;</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del Órgano de Operación Administrativa Desconcentrada Regional Estado de México Poniente;</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del Órgano de Operación Administrativa Desconcentrada Regional Estado de México Poniente;</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del Instituto de Seguridad Social del Estado de México y Municipios;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representante de la SEDENA en el Estado de México;</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Subdelegación Médica del Instituto de Seguridad y Servicios Sociales de los Trabajadores del Estado, Estado de México;</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 la Universidad Autónoma del Estado de México;</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Titular de la Fiscalía General de Justicia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IV. A invitación de la persona titular de la Presidencia:</w:t>
      </w:r>
    </w:p>
    <w:p w:rsidR="005F04F9" w:rsidRPr="00AE0CAB" w:rsidRDefault="005F04F9" w:rsidP="005F04F9">
      <w:pPr>
        <w:spacing w:after="0" w:line="240" w:lineRule="auto"/>
        <w:contextualSpacing/>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r w:rsidRPr="00AE0CAB">
        <w:rPr>
          <w:rFonts w:ascii="Times New Roman" w:eastAsia="Arial" w:hAnsi="Times New Roman" w:cs="Times New Roman"/>
          <w:sz w:val="24"/>
          <w:szCs w:val="24"/>
          <w:lang w:eastAsia="es-MX"/>
        </w:rPr>
        <w:t>a) Las personas titulares  de  las tres  unidades médicas del  sector  privado,  con  mayor número anual  de trasplante en la entidad; vocales;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b) Tres organizaciones de la sociedad civil especializadas, cuyo objeto social sea, la academia, investigación o la salud, en torno a los trasplantes.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VI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los Comités Estatales y Hospitalarios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70. La Secretaría podrá implementar los Comités Estatales y hospitalarios que considere necesarios para atender problemáticas específicas. Los Comités Estatales serán órganos colegiados de consulta, que tienen por objeto implementar, vigilar y evaluar las acciones en torno a una problemática de salud específica.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Comités Estatales podrán dar vista a las autoridades sanitarias correspondientes a fin de coordinar acciones en favor de la salud pública.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cargos de las personas integrantes de los Comités son de carácter honorífico.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Son Comités Estatales, de manera enunciativa y no limitativa: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Comisión Interinstitucional de Cuidados paliativos y del dolor,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Comité de Lactancia Materna;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Interinstitucional de Medicina Transfusional;</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Farmacovigilancia;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Comisión de Bioética;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Seguridad en Salud;</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Información, Estadística y Sectorial;</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Referencia y Contrarreferencia;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Comisión Interinstitucional de Enfermería;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Salud Mental y Adicciones;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Estatal Interinstitucional de Cáncer de la Mujer;</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Promoción a la Salud;</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Salud Bucal;</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Salud Reproductiva;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Estatal para la Prevención, Estudio y Seguimiento de la Morbilidad y Mortalidad Materna perinatal;</w:t>
      </w:r>
    </w:p>
    <w:p w:rsidR="005F04F9" w:rsidRPr="00AE0CAB" w:rsidRDefault="005F04F9" w:rsidP="00691E40">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5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Arial" w:hAnsi="Times New Roman" w:cs="Times New Roman"/>
          <w:b/>
          <w:sz w:val="24"/>
          <w:szCs w:val="24"/>
          <w:lang w:eastAsia="es-MX"/>
        </w:rPr>
        <w:t xml:space="preserve"> </w:t>
      </w:r>
      <w:r w:rsidRPr="00AE0CAB">
        <w:rPr>
          <w:rFonts w:ascii="Times New Roman" w:eastAsia="Arial" w:hAnsi="Times New Roman" w:cs="Times New Roman"/>
          <w:sz w:val="24"/>
          <w:szCs w:val="24"/>
          <w:lang w:eastAsia="es-MX"/>
        </w:rPr>
        <w:t>Comité de Prevención y Control de las Enfermedades Crónicas No Transmisibles;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Estatal de Atención al Envejecimiento;</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Interinstitucional de Enfermedades Transmitidas por Vectores;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Nutrición;</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Certificación de Áreas Libres de Transmisión de la Rabia Canina;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para la Prevención de accidentes y observatorio de Lesiones;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Vigilancia Epidemiológica;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Sarampión y Rubeola Congénita;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Farmacorresistencia del Programa de Prevención y Control de la Tuberculosis;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para la Prevención y Control del VIH/SIDA;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Mortalidad por Enfermedades Respiratorias Agudas;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Prevención y Tratamiento del Cáncer en la Infancia y Adolescencia;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Estrategias para la Reducción de la Mortalidad en la Infancia;</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Adolescentes;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Estatal de Calidad en Salud (CECAS);</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Interinstitucional para la formación, capacitación de recursos humanos, investigación en salud; y</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Vacunación.</w:t>
      </w:r>
    </w:p>
    <w:p w:rsidR="005F04F9" w:rsidRPr="00AE0CAB" w:rsidRDefault="005F04F9" w:rsidP="00691E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Comités Estatales podrán ser permanentes o temporales de acuerdo con las necesidades específicas de cada materia.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71. Los Comités Hospitalarios son equipos de trabajo interdisciplinarios de profesionales, orientados a vigilar y evaluar el desarrollo de acciones en la prestación de los servicios de atención médica, así como el desempeño del personal de salud en las unidades médicas, y mediante el consenso, establecer acciones correctivas que permitan mejorar la eficiencia y eficacia de los servicios.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Su integración no es limitativa y estarán sujetos a creación de acuerdo con las demandas y necesidades específicas de cada unidad hospitalaria.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72. Son Comités Hospitalarios de instauración obligatoria en las unidades médicas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Comité de Calidad y Seguridad del Paciente (COCASEP), dependiente de la dirección de las unidades médicas;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Comité para la Detección y Control de Infecciones Asociadas a la Atención a la Salud (CODECIAAS);</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Farmacia y Terapéutica (COFAT);</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para la Prevención, Estudio y Seguimiento de la Morbilidad y Mortalidad Materna y Perinatal;</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Atención Médica para Casos de Desastres;</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Insumos;</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Enseñanza y Capacitación;</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Ética en Investigación;</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Bioética;</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Investigación;</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Antimicrobianos;</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farmacovigilancia; y</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Prevención Estudio y Seguimiento de la morbilidad y mortalidad hospitalaria.</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73. Además de los anteriores, los hospitales que cuenten con atención materno perinatal e infantil, deberán contar los Comités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Comité de Prevención Estudio y Seguimiento de la morbilidad y mortalidad materna y perinatal;</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Mortalidad Infantil; y</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Comité de Lactancia Materna.</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 CUARTO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PRESTACIÓN DE SERVICIOS DE SALUD</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ÚNICO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Prestación de los Servicios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74. Son acciones que contribuyen a la salud pública: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Promover el desarrollo de políticas públicas, su evaluación y monitoreo;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Identificar, prevenir, atender y recuperar los problemas que afectan la salud de la población;</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Impulsar la promoción de la salud;</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Privilegiar la atención primaria y el acceso a servicios de salud;</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Fortalecer la vigilancia e inteligencia epidemiológica y la respuesta ante emergencias;</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Impulsar el desarrollo y actualización de marcos normativos en favor de la salud;</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la salud digital a través del uso de tecnologías de la información y la comunicación en los servicios de salud, a fin de mejorar la atención médica, propiciando el acceso de la población a estos medios; y</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Fomentar la investigación, que contribuya al mejoramiento de la salud pública.</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75. Para la ejecución de las acciones en el marco de la salud pública, la Secretaría coordinará a los prestadores de los servicios público, social y privados en la entidad.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76. La atención médica podrá ser: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Preventiva, que incluyen las de promoción general y las de protección específica;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Curativas, que tienen como fin, efectuar un diagnóstico temprano y proporcionar tratamiento oportuno;</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rehabilitación, que incluyen acciones tendientes a optimizar las capacidades y funciones de las personas con discapacidad;</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Paliativas, que incluyen el cuidado integral para preservar la calidad de vida del paciente, a través de la prevención, tratamiento y control del dolor; y</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Prehospitalarias, atenciones médicas brindadas fuera de un centro hospitalario.</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77. Son considerados prestadores de servicios de salud, las personas o instituciones que brindan atención enfocada al cuidado de la salud, ya sean de naturaleza pública, social o privada.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78. Los prestadores de servicios públicos son aquellas instituciones que prestan servicios en establecimientos públicos a las personas que se encuentren en la entidad que así lo requieran, regidos por criterios de universalidad, igualdad e inclusión, así como de gratuidad al momento de requerir los servicios de salud, medicamentos y demás insumos.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Están contenidos en el presente artículo, los servicios por derechohabiencia otorgados como contraprestación laboral.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79. Para el caso del Estado de México, son prestadores de servicios públicos: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El Instituto de Salud del Estado de México, ISEM;</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El Instituto de Seguridad Social del Estado de México y Municipios, ISSEMYM;</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de Seguridad y Servicios Sociales de los Trabajadores del Estado, ISSSTE;</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Mexicano del Seguro Social, IMSS;</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Servicios de Salud del Instituto Mexicano del Seguro Social para el Bienestar, IMSS - Bienestar;</w:t>
      </w:r>
    </w:p>
    <w:p w:rsidR="005F04F9" w:rsidRPr="00AE0CAB" w:rsidRDefault="005F04F9" w:rsidP="00C50C82">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6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Instituto de Seguridad Social para las Fuerzas Armadas Mexicanas, ISSFAM,</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Sistema para el Desarrollo Integral de la Familia del Estado de México, DIFEM;</w:t>
      </w:r>
    </w:p>
    <w:p w:rsidR="005F04F9" w:rsidRPr="00AE0CAB" w:rsidRDefault="005F04F9" w:rsidP="00C50C82">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6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 El Instituto Materno Infantil del Estado de México. IMIEM; y</w:t>
      </w:r>
    </w:p>
    <w:p w:rsidR="005F04F9" w:rsidRPr="00AE0CAB" w:rsidRDefault="005F04F9" w:rsidP="00C50C8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IX. El Hospital Regional de Alta Especialidad de Zumpango, HRAEZ.</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80. Los prestadores de servicio de salud social son las personas jurídicas-colectivas con fines de interés público que, con bienes de propiedad particular, otorgan servicios de salud sin designar individualmente a los beneficiarios y sin propósito de lucro, tales como asociaciones de asistencia privada, fundaciones y otras similares.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81. Son prestadores de servicios privados las personas físicas o jurídicas-colectivas, que ofrecen servicios de salud y orientación médica, en las condiciones que convengan con los usuarios, y sujetas a los ordenamientos legales, civiles y mercantiles. Estos servicios pueden ser contratados directamente por los usuarios o a través de sistemas de seguros, individuales o colectivos.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regulación estatal de los prestadores de servicios de salud públicos, sociales y privado, estará a cargo de la Secretaría, teniendo como articuladores al ISEM, los Órganos Coordinadores Sectoriales y los Órganos Colegiados, quienes podrán convocar a cualquiera los prestadores en el marco de los Consejos y Comités actuales, así como aquellos que la Secretaría considere necesario crear a fin de proteger la salud de las y los mexiquenses.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82. Son considerados servicios de salud, todas las acciones realizadas en beneficio de las personas, dirigidas a proteger, promover y restaurar su salud y la de la colectividad.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 QUINTO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VIGILANCIA E INTELIGENCIA EPIDEMIOLÓGICA Y EMERGENCIAS EN SALUD</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1</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Vigilancia Epidemiológica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83. La Secretaría realizará la vigilancia epidemiológica en la entidad, con el objetivo de identificar, analizar, interpretar y difundir la información generada por los prestadores de servicios de salud en el estado, siendo los responsables de notificar la información sujeta a vigilancia epidemiológica.</w:t>
      </w:r>
      <w:r w:rsidRPr="00AE0CAB">
        <w:rPr>
          <w:rFonts w:ascii="Times New Roman" w:eastAsiaTheme="minorEastAsia" w:hAnsi="Times New Roman" w:cs="Times New Roman"/>
          <w:noProof/>
          <w:sz w:val="24"/>
          <w:szCs w:val="24"/>
          <w:lang w:eastAsia="es-MX"/>
        </w:rPr>
        <w:drawing>
          <wp:inline distT="0" distB="0" distL="0" distR="0" wp14:anchorId="32B536E4" wp14:editId="6D07873E">
            <wp:extent cx="4575" cy="4572"/>
            <wp:effectExtent l="0" t="0" r="0" b="0"/>
            <wp:docPr id="164732" name="Picture 164732"/>
            <wp:cNvGraphicFramePr/>
            <a:graphic xmlns:a="http://schemas.openxmlformats.org/drawingml/2006/main">
              <a:graphicData uri="http://schemas.openxmlformats.org/drawingml/2006/picture">
                <pic:pic xmlns:pic="http://schemas.openxmlformats.org/drawingml/2006/picture">
                  <pic:nvPicPr>
                    <pic:cNvPr id="164732" name="Picture 164732"/>
                    <pic:cNvPicPr/>
                  </pic:nvPicPr>
                  <pic:blipFill>
                    <a:blip r:embed="rId40"/>
                    <a:stretch>
                      <a:fillRect/>
                    </a:stretch>
                  </pic:blipFill>
                  <pic:spPr>
                    <a:xfrm>
                      <a:off x="0" y="0"/>
                      <a:ext cx="4575" cy="4572"/>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84. La Secretaría coordinará los trabajos del Secretariado Técnico del Comité Estatal de Vigilancia Epidemiológica, cuya organización se establecerá en el Reglamento de la presente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85. La vigilancia epidemiológica en la entidad, se realizará de conformidad con lo establecido por la normatividad vigente y los procedimientos dictados por el Comité Estatal de Vigilancia Epidemiológica.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86. Son objeto de vigilancia epidemiológica las enfermedades transmisibles, no transmisibles, emergentes, reemergentes y las que determine el Comité Estatal de Vigilancia Epidemiológica y apruebe el Consejo de Salud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Inteligencia Epidemiológica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87. Para efectos de esta Ley, se entiende por Inteligencia Epidemiológica, al ejercicio integral consistente en la detección, evaluación y monitoreo de eventos y señales de salud pública que podrían constituirse en riesgos para la población, para su análisis, basado en evidencia científica, indicadores y considerando fuentes de información complementaria, que faciliten la emisión de comunicados para el blindaje de las actividades y generar la respuesta oportuna articulada por las instancias de salud y las inherentes.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88. La Secretaría, a través del Centro Estatal de Vigilancia Epidemiológica y Control de Enfermedades, es el órgano rector de las acciones de inteligencia epidemiológica que operan en la Entidad y la instancia responsable de generar comunicados y, en su caso, emitir alertas tempranas.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89. La vigilancia por laboratorio será el soporte técnico científico que genere información de calidad para la confirmación de los casos de enfermedades transmisibles, sujetas a vigilancia.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90. Para la correcta vigilancia epidemiológica, la Secretaría podrá solicitar cualquier tipo de </w:t>
      </w:r>
      <w:r w:rsidRPr="00AE0CAB">
        <w:rPr>
          <w:rFonts w:ascii="Times New Roman" w:eastAsiaTheme="minorEastAsia" w:hAnsi="Times New Roman" w:cs="Times New Roman"/>
          <w:noProof/>
          <w:sz w:val="24"/>
          <w:szCs w:val="24"/>
          <w:lang w:eastAsia="es-MX"/>
        </w:rPr>
        <w:drawing>
          <wp:inline distT="0" distB="0" distL="0" distR="0" wp14:anchorId="54DC3B20" wp14:editId="1FD52028">
            <wp:extent cx="4575" cy="4572"/>
            <wp:effectExtent l="0" t="0" r="0" b="0"/>
            <wp:docPr id="168429" name="Picture 168429"/>
            <wp:cNvGraphicFramePr/>
            <a:graphic xmlns:a="http://schemas.openxmlformats.org/drawingml/2006/main">
              <a:graphicData uri="http://schemas.openxmlformats.org/drawingml/2006/picture">
                <pic:pic xmlns:pic="http://schemas.openxmlformats.org/drawingml/2006/picture">
                  <pic:nvPicPr>
                    <pic:cNvPr id="168429" name="Picture 168429"/>
                    <pic:cNvPicPr/>
                  </pic:nvPicPr>
                  <pic:blipFill>
                    <a:blip r:embed="rId4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información que resulte necesaria a los prestadores de servicios de salud públicos, sociales o privados, con el objeto de proteger la salud de la población mexiquense.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91. La Secretaría es la autoridad encargada de operar el Sistema de Alerta Temprana, que integra la Vigilancia Basada en Indicadores y la Vigilancia Basada en Eventos, como fuentes complementarias de información.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Emergencias Epidemiológicas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92. La Secretaría operará el Comité Estatal de Seguridad en Salud, que tiene por objeto promover acciones de coordinación ante emergencias en salud en la entidad, a fin de proponer las acciones para mitigar, controlar y atender los riesgos y los daños a la salud, así como coordinar a las instancias que tengan participación.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93. Derivado de la ocurrencia de eventos, la ejecución de la respuesta ante las emergencias en</w:t>
      </w:r>
      <w:r w:rsidRPr="00AE0CAB">
        <w:rPr>
          <w:rFonts w:ascii="Times New Roman" w:eastAsiaTheme="minorEastAsia" w:hAnsi="Times New Roman" w:cs="Times New Roman"/>
          <w:noProof/>
          <w:sz w:val="24"/>
          <w:szCs w:val="24"/>
          <w:lang w:eastAsia="es-MX"/>
        </w:rPr>
        <w:drawing>
          <wp:inline distT="0" distB="0" distL="0" distR="0" wp14:anchorId="4E3F56BA" wp14:editId="6EEF0040">
            <wp:extent cx="4575" cy="4572"/>
            <wp:effectExtent l="0" t="0" r="0" b="0"/>
            <wp:docPr id="168430" name="Picture 168430"/>
            <wp:cNvGraphicFramePr/>
            <a:graphic xmlns:a="http://schemas.openxmlformats.org/drawingml/2006/main">
              <a:graphicData uri="http://schemas.openxmlformats.org/drawingml/2006/picture">
                <pic:pic xmlns:pic="http://schemas.openxmlformats.org/drawingml/2006/picture">
                  <pic:nvPicPr>
                    <pic:cNvPr id="168430" name="Picture 168430"/>
                    <pic:cNvPicPr/>
                  </pic:nvPicPr>
                  <pic:blipFill>
                    <a:blip r:embed="rId26"/>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 salud se lleva a cabo bajo la coordinación de la Secretaría, previo monitoreo, análisis y reporte; lo cual se realizará a través de: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Detección oportuna de eventos mediante los sistemas de información, tales como:</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Sistema de vigilancia epidemiológica;</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Movimientos migratorios, desplazamiento poblacional;</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Movimientos socio organizativos;</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Salud ambiental;</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Zoonosis;</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Monitoreo sismológico; y</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Riesgo químico, biológico o radioactivo.</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Categorización del evento: definición del problema, conformación del comando de incidentes en salud, con el equipo de respuesta inmediata,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III. Atención inmediata a la población afectada, con personal, equipos e insumos necesarios para la </w:t>
      </w:r>
      <w:r w:rsidRPr="00AE0CAB">
        <w:rPr>
          <w:rFonts w:ascii="Times New Roman" w:eastAsiaTheme="minorEastAsia" w:hAnsi="Times New Roman" w:cs="Times New Roman"/>
          <w:noProof/>
          <w:sz w:val="24"/>
          <w:szCs w:val="24"/>
          <w:lang w:eastAsia="es-MX"/>
        </w:rPr>
        <w:drawing>
          <wp:inline distT="0" distB="0" distL="0" distR="0" wp14:anchorId="61E9798E" wp14:editId="54E9226A">
            <wp:extent cx="4575" cy="4572"/>
            <wp:effectExtent l="0" t="0" r="0" b="0"/>
            <wp:docPr id="168432" name="Picture 168432"/>
            <wp:cNvGraphicFramePr/>
            <a:graphic xmlns:a="http://schemas.openxmlformats.org/drawingml/2006/main">
              <a:graphicData uri="http://schemas.openxmlformats.org/drawingml/2006/picture">
                <pic:pic xmlns:pic="http://schemas.openxmlformats.org/drawingml/2006/picture">
                  <pic:nvPicPr>
                    <pic:cNvPr id="168432" name="Picture 168432"/>
                    <pic:cNvPicPr/>
                  </pic:nvPicPr>
                  <pic:blipFill>
                    <a:blip r:embed="rId2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prevención y control de los daños y riesgos de salud identificados, con eficacia mitigando los daños y riesgos a la salud originados por la emergencia en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94. Para la atención de las acciones previstas en este Capítulo, la Secretaría podrá convocar de manera inmediata a los prestadores de servicios públicos, sociales o privados, cuya intervención sea necesaria para que, en el ámbito de sus respectivas competencias, participen en las acciones que se </w:t>
      </w:r>
      <w:r w:rsidRPr="00AE0CAB">
        <w:rPr>
          <w:rFonts w:ascii="Times New Roman" w:eastAsiaTheme="minorEastAsia" w:hAnsi="Times New Roman" w:cs="Times New Roman"/>
          <w:noProof/>
          <w:sz w:val="24"/>
          <w:szCs w:val="24"/>
          <w:lang w:eastAsia="es-MX"/>
        </w:rPr>
        <w:drawing>
          <wp:inline distT="0" distB="0" distL="0" distR="0" wp14:anchorId="0EDA1095" wp14:editId="5EBACFF6">
            <wp:extent cx="4575" cy="4572"/>
            <wp:effectExtent l="0" t="0" r="0" b="0"/>
            <wp:docPr id="172485" name="Picture 172485"/>
            <wp:cNvGraphicFramePr/>
            <a:graphic xmlns:a="http://schemas.openxmlformats.org/drawingml/2006/main">
              <a:graphicData uri="http://schemas.openxmlformats.org/drawingml/2006/picture">
                <pic:pic xmlns:pic="http://schemas.openxmlformats.org/drawingml/2006/picture">
                  <pic:nvPicPr>
                    <pic:cNvPr id="172485" name="Picture 172485"/>
                    <pic:cNvPicPr/>
                  </pic:nvPicPr>
                  <pic:blipFill>
                    <a:blip r:embed="rId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implementen para la salvaguarda de las y los mexiquenses.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IV</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Servicios de Sanidad Internacional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95. La Secretaría en materia de los servicios de sanidad internacional, se regirá por las disposiciones establecidas por ley, sus reglamentos y normas oficiales, operando, tanto en las de carácter migratorio cómo los relacionados con los aeropuertos y los demás lugares legalmente autorizados para el tránsito internacional de personas.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96. La Secretaría tendrá la función de coordinar, sus actividades con el centro nacional de enlace del reglamento sanitario internacional y realizar la vigilancia epidemiológica internacional, así como aquellas enfermedades establecidas por la Organización Mundial de la Salud y los eventos de salud pública de importancia internacional.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97. La Secretaría, de conformidad con lo establecido en la Ley General, coordinará y llevará acabo sus actividades acordes a su nivel técnico administrativo del sistema nacional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98. Compete a la Secretaría conforme a lo dispuesto en reglamentos, manuales y lineamientos en materia de sanidad internacional, coadyuvar al cumplimiento de las normas de sanidad internacional cómo lo son implementar las medidas que procedan para la vigilancia epidemiológica, de las personas que ingresan al territorio y que constituyan un riesgo para la salud de la población, sin perjuicio de la intervención que corresponda a otras autoridades competentes.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99. La Secretaría es la responsable de vigilar los puntos de entrada internacional en la entidad identificados para la operación de los servicios de sanidad internacional.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100. La información epidemiológica internacional que dé a conocer la Secretaría, tendrá como base la información que proporcione el Centro Nacional de Enlace del Reglamento Sanitario Internacional, así como la organización mundial de la salud y demás organismos internacionales.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información a que se refiere el párrafo anterior, se obtendrá y difundirá a través de los sistemas que determine la secretaria.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101. La Secretaría notificará, de manera inmediata, al Centro Nacional de Enlace del Reglamento Sanitario Internacional en el país, las medidas adoptadas, sean temporales o permanentes, especialmente las restricciones que se impongan, por motivos sanitarios, al tránsito de personas.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102. En casos especiales y cuando las circunstancias lo exijan, se establecerán estaciones de aislamiento y de vigilancia sanitaria en los lugares que determine la Secretaria y, en caso de emergencia sanitaria, podrá habilitar cualquier edificio como estación para este objetivo.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103. El control sanitario de animales, objetos y substancias, así como de su importación y exportación, se sujetará a las disposiciones relativas contenidas en la Ley General y sus reglamentos.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 mismo se observará en el caso de control sanitario internacional de la disposición de órganos, tejidos, productos y cadáveres de seres humanos.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 SEXTO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PROMOCIÓN, PREVENCIÓN Y CONTROL DE ENFERMEDADES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Disposiciones Generales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104. La Secretaría ejecutará proyectos estratégicos, programas, campañas permanentes y planes de contingencia necesarios para la promoción de la salud, la prevención, control y eliminación de enfermedades transmisibles y no transmisibles que representen un riesgo real o potencial para la salud pública en 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105. La promoción, prevención y control de enfermedades comprende las siguientes acciones: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Promoción, difusión y desarrollo de estilos de vida saludables, para la prevención de enfermedades transmisibles y no transmisibles;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Preventivas, que contemplen las acciones encaminadas al proceso de salud y enfermedad con enfoque a la no aparición o eliminación de las enfermedades;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Vigilancia epidemiológica, inteligencia sanitaria, así como de prevención y control de enfermedades transmisibles y no transmisibles;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Fortalecimiento de las Redes de Servicios de Salud Integradas, con enfoque multinivel, interinstitucional e intersectorial para instrumentar acciones dirigidas a la prevención de enfermedades transmisibles y no transmisibles;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Dirigir los servicios de salud hacia un enfoque universal y de atención primaria, organizados en redes </w:t>
      </w:r>
      <w:r w:rsidRPr="00AE0CAB">
        <w:rPr>
          <w:rFonts w:ascii="Times New Roman" w:eastAsiaTheme="minorEastAsia" w:hAnsi="Times New Roman" w:cs="Times New Roman"/>
          <w:noProof/>
          <w:sz w:val="24"/>
          <w:szCs w:val="24"/>
          <w:lang w:eastAsia="es-MX"/>
        </w:rPr>
        <w:drawing>
          <wp:inline distT="0" distB="0" distL="0" distR="0" wp14:anchorId="3FC8F42C" wp14:editId="1B4C13BA">
            <wp:extent cx="4575" cy="4572"/>
            <wp:effectExtent l="0" t="0" r="0" b="0"/>
            <wp:docPr id="175900" name="Picture 175900"/>
            <wp:cNvGraphicFramePr/>
            <a:graphic xmlns:a="http://schemas.openxmlformats.org/drawingml/2006/main">
              <a:graphicData uri="http://schemas.openxmlformats.org/drawingml/2006/picture">
                <pic:pic xmlns:pic="http://schemas.openxmlformats.org/drawingml/2006/picture">
                  <pic:nvPicPr>
                    <pic:cNvPr id="175900" name="Picture 175900"/>
                    <pic:cNvPicPr/>
                  </pic:nvPicPr>
                  <pic:blipFill>
                    <a:blip r:embed="rId52"/>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integrales e integradas.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Promoción y Prevención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106. La promoción de la salud tiene por objeto fomentar, conservar y mejorar las condiciones deseables de salud, modificando los determinantes individuales y sociales de salud positivos y propiciar actitudes, valores y conductas adecuadas.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107. La prevención es el conjunto de acciones dirigidas a evitar la aparición, progresión o complicaciones de enfermedades y otros daños a la salud, a través del control de factores de riesgo, comunitarios o ambientales.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108. La Secretaría impulsará acciones enfocadas a la promoción y la prevención en salud, tales como: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Implementación de programas de educación en salud, promoción del bienestar y la prevención de enfermedades;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Diseño de políticas públicas destinadas a modificar los determinantes sociales de salud que contribuyen al desarrollo de enfermedades en diversos entornos;</w:t>
      </w:r>
      <w:r w:rsidRPr="00AE0CAB">
        <w:rPr>
          <w:rFonts w:ascii="Times New Roman" w:eastAsiaTheme="minorEastAsia" w:hAnsi="Times New Roman" w:cs="Times New Roman"/>
          <w:noProof/>
          <w:sz w:val="24"/>
          <w:szCs w:val="24"/>
          <w:lang w:eastAsia="es-MX"/>
        </w:rPr>
        <w:drawing>
          <wp:inline distT="0" distB="0" distL="0" distR="0" wp14:anchorId="509D94F2" wp14:editId="4867E19A">
            <wp:extent cx="4575" cy="4573"/>
            <wp:effectExtent l="0" t="0" r="0" b="0"/>
            <wp:docPr id="175903" name="Picture 175903"/>
            <wp:cNvGraphicFramePr/>
            <a:graphic xmlns:a="http://schemas.openxmlformats.org/drawingml/2006/main">
              <a:graphicData uri="http://schemas.openxmlformats.org/drawingml/2006/picture">
                <pic:pic xmlns:pic="http://schemas.openxmlformats.org/drawingml/2006/picture">
                  <pic:nvPicPr>
                    <pic:cNvPr id="175903" name="Picture 175903"/>
                    <pic:cNvPicPr/>
                  </pic:nvPicPr>
                  <pic:blipFill>
                    <a:blip r:embed="rId28"/>
                    <a:stretch>
                      <a:fillRect/>
                    </a:stretch>
                  </pic:blipFill>
                  <pic:spPr>
                    <a:xfrm>
                      <a:off x="0" y="0"/>
                      <a:ext cx="4575" cy="4573"/>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Fomento de entornos saludables en comunidades, hogares, centros educativos, espacios laborales y recreativos;</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Colaboración en la promoción de los lineamientos generales en la preparación, distribución y expendio </w:t>
      </w:r>
      <w:r w:rsidRPr="00AE0CAB">
        <w:rPr>
          <w:rFonts w:ascii="Times New Roman" w:eastAsiaTheme="minorEastAsia" w:hAnsi="Times New Roman" w:cs="Times New Roman"/>
          <w:noProof/>
          <w:sz w:val="24"/>
          <w:szCs w:val="24"/>
          <w:lang w:eastAsia="es-MX"/>
        </w:rPr>
        <w:drawing>
          <wp:inline distT="0" distB="0" distL="0" distR="0" wp14:anchorId="5446BB0B" wp14:editId="388276A1">
            <wp:extent cx="4575" cy="4572"/>
            <wp:effectExtent l="0" t="0" r="0" b="0"/>
            <wp:docPr id="175904" name="Picture 175904"/>
            <wp:cNvGraphicFramePr/>
            <a:graphic xmlns:a="http://schemas.openxmlformats.org/drawingml/2006/main">
              <a:graphicData uri="http://schemas.openxmlformats.org/drawingml/2006/picture">
                <pic:pic xmlns:pic="http://schemas.openxmlformats.org/drawingml/2006/picture">
                  <pic:nvPicPr>
                    <pic:cNvPr id="175904" name="Picture 175904"/>
                    <pic:cNvPicPr/>
                  </pic:nvPicPr>
                  <pic:blipFill>
                    <a:blip r:embed="rId1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de alimentos y bebidas preparadas y procesadas a granel, así como el fomento de estilos de vida saludables en alimentación al interior de los centros </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Incorporar estrategias de mercadotecnia social, permanentes y emergentes, así como materiales educativos para motivar la adopción de hábitos, actitudes, comportamientos, conductas y prácticas saludables;</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Promoción de la participación activa de la comunidad y la sociedad en favor de la salud;</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Análisis y seguimiento al diagnóstico de salud de las comunidades de la entidad, considerando los niveles nutricionales y el contexto social;</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Colaboración con autoridades municipales, líderes comunitarios y sociales, en la sensibilización e importancia de la promoción de la salud, propiciando la participación comunitaria que contribuya al manejo de los determinantes positivos en salud;</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Fomento de políticas que promuevan la igualdad de género, la no discriminación y la inclusión de grupos de atención prioritaria;</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 xml:space="preserve">Coordinación de las políticas de interculturalidad, atención a la salud a pueblos y comunidades </w:t>
      </w:r>
      <w:r w:rsidRPr="00AE0CAB">
        <w:rPr>
          <w:rFonts w:ascii="Times New Roman" w:eastAsiaTheme="minorEastAsia" w:hAnsi="Times New Roman" w:cs="Times New Roman"/>
          <w:noProof/>
          <w:sz w:val="24"/>
          <w:szCs w:val="24"/>
          <w:lang w:eastAsia="es-MX"/>
        </w:rPr>
        <w:drawing>
          <wp:inline distT="0" distB="0" distL="0" distR="0" wp14:anchorId="000DCBF8" wp14:editId="2C569587">
            <wp:extent cx="4575" cy="4572"/>
            <wp:effectExtent l="0" t="0" r="0" b="0"/>
            <wp:docPr id="179564" name="Picture 179564"/>
            <wp:cNvGraphicFramePr/>
            <a:graphic xmlns:a="http://schemas.openxmlformats.org/drawingml/2006/main">
              <a:graphicData uri="http://schemas.openxmlformats.org/drawingml/2006/picture">
                <pic:pic xmlns:pic="http://schemas.openxmlformats.org/drawingml/2006/picture">
                  <pic:nvPicPr>
                    <pic:cNvPr id="179564" name="Picture 179564"/>
                    <pic:cNvPicPr/>
                  </pic:nvPicPr>
                  <pic:blipFill>
                    <a:blip r:embed="rId2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indígenas y afromexicanas, medicina tradicional y complementarias, en el marco de los derechos humanos, perspectiva de género y la diversidad cultural de la población en general y grupos de atención prioritaria;</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Diseño de modelos de atención a la salud innovadores, estableciendo lineamientos normativos y operativos para su implantación en el sistema universal de salud;</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Generar entornos favorables para la salud mental, priorizando la prevención de trastornos mentales, del suicidio, de violencia y de consumo de sustancias adictivas; y</w:t>
      </w:r>
    </w:p>
    <w:p w:rsidR="005F04F9" w:rsidRPr="00AE0CAB" w:rsidRDefault="005F04F9" w:rsidP="00A2208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Establecimiento y evaluación de las estrategias y procedimientos para la promoción de la salud e identificación temprana de personas fumadoras y consumidoras de bebidas alcohólicas.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Atención al Síndrome de Inmunodeficiencia Adquirida, Infecciones de Transmisión Sexual y Tuberculosis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109. El síndrome de inmunodeficiencia adquirida y la tuberculosis son enfermedades que requieren tratamiento controlado, porque interactúan de forma que pueden agravarse mutuamente.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110. Para la promoción, prevención, detección, atención y control del VIH y otras infecciones de </w:t>
      </w:r>
      <w:r w:rsidRPr="00AE0CAB">
        <w:rPr>
          <w:rFonts w:ascii="Times New Roman" w:eastAsiaTheme="minorEastAsia" w:hAnsi="Times New Roman" w:cs="Times New Roman"/>
          <w:noProof/>
          <w:sz w:val="24"/>
          <w:szCs w:val="24"/>
          <w:lang w:eastAsia="es-MX"/>
        </w:rPr>
        <w:drawing>
          <wp:anchor distT="0" distB="0" distL="114300" distR="114300" simplePos="0" relativeHeight="251675648" behindDoc="0" locked="0" layoutInCell="1" allowOverlap="1" wp14:anchorId="10B32ADF" wp14:editId="4480716C">
            <wp:simplePos x="0" y="0"/>
            <wp:positionH relativeFrom="column">
              <wp:posOffset>915035</wp:posOffset>
            </wp:positionH>
            <wp:positionV relativeFrom="paragraph">
              <wp:posOffset>310515</wp:posOffset>
            </wp:positionV>
            <wp:extent cx="4445" cy="4445"/>
            <wp:effectExtent l="0" t="0" r="0" b="0"/>
            <wp:wrapTopAndBottom/>
            <wp:docPr id="179565" name="Picture 179565"/>
            <wp:cNvGraphicFramePr/>
            <a:graphic xmlns:a="http://schemas.openxmlformats.org/drawingml/2006/main">
              <a:graphicData uri="http://schemas.openxmlformats.org/drawingml/2006/picture">
                <pic:pic xmlns:pic="http://schemas.openxmlformats.org/drawingml/2006/picture">
                  <pic:nvPicPr>
                    <pic:cNvPr id="179565" name="Picture 179565"/>
                    <pic:cNvPicPr/>
                  </pic:nvPicPr>
                  <pic:blipFill>
                    <a:blip r:embed="rId24"/>
                    <a:stretch>
                      <a:fillRect/>
                    </a:stretch>
                  </pic:blipFill>
                  <pic:spPr>
                    <a:xfrm>
                      <a:off x="0" y="0"/>
                      <a:ext cx="4445" cy="4445"/>
                    </a:xfrm>
                    <a:prstGeom prst="rect">
                      <a:avLst/>
                    </a:prstGeom>
                  </pic:spPr>
                </pic:pic>
              </a:graphicData>
            </a:graphic>
          </wp:anchor>
        </w:drawing>
      </w:r>
      <w:r w:rsidRPr="00AE0CAB">
        <w:rPr>
          <w:rFonts w:ascii="Times New Roman" w:eastAsiaTheme="minorEastAsia" w:hAnsi="Times New Roman" w:cs="Times New Roman"/>
          <w:sz w:val="24"/>
          <w:szCs w:val="24"/>
          <w:lang w:eastAsia="es-MX"/>
        </w:rPr>
        <w:t xml:space="preserve"> transmisión sexual, en la entidad, la Secretaría realizará, entre otras acciones: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La detección del VIH se deberá ofertar y, en su caso, realizar a la población en riesgo;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Fomento a la investigación en materia de VIH e infecciones de transmisión sexual;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Fortalecimiento de acceso al tratamiento específico con enfoque en la persona y basado en derechos humanos.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111. La Secretaría realizará la promoción, prevención, detección, atención y control de la tuberculosis </w:t>
      </w:r>
      <w:r w:rsidRPr="00AE0CAB">
        <w:rPr>
          <w:rFonts w:ascii="Times New Roman" w:eastAsiaTheme="minorEastAsia" w:hAnsi="Times New Roman" w:cs="Times New Roman"/>
          <w:noProof/>
          <w:sz w:val="24"/>
          <w:szCs w:val="24"/>
          <w:lang w:eastAsia="es-MX"/>
        </w:rPr>
        <w:drawing>
          <wp:inline distT="0" distB="0" distL="0" distR="0" wp14:anchorId="0E8C0FDC" wp14:editId="2E49134F">
            <wp:extent cx="4575" cy="4572"/>
            <wp:effectExtent l="0" t="0" r="0" b="0"/>
            <wp:docPr id="179566" name="Picture 179566"/>
            <wp:cNvGraphicFramePr/>
            <a:graphic xmlns:a="http://schemas.openxmlformats.org/drawingml/2006/main">
              <a:graphicData uri="http://schemas.openxmlformats.org/drawingml/2006/picture">
                <pic:pic xmlns:pic="http://schemas.openxmlformats.org/drawingml/2006/picture">
                  <pic:nvPicPr>
                    <pic:cNvPr id="179566" name="Picture 179566"/>
                    <pic:cNvPicPr/>
                  </pic:nvPicPr>
                  <pic:blipFill>
                    <a:blip r:embed="rId2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en la entidad.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Arial" w:hAnsi="Times New Roman" w:cs="Times New Roman"/>
          <w:sz w:val="24"/>
          <w:szCs w:val="24"/>
          <w:lang w:eastAsia="es-MX"/>
        </w:rPr>
        <w:t>Artículo 112.</w:t>
      </w:r>
      <w:r w:rsidRPr="00AE0CAB">
        <w:rPr>
          <w:rFonts w:ascii="Times New Roman" w:eastAsia="Arial" w:hAnsi="Times New Roman" w:cs="Times New Roman"/>
          <w:b/>
          <w:sz w:val="24"/>
          <w:szCs w:val="24"/>
          <w:lang w:eastAsia="es-MX"/>
        </w:rPr>
        <w:t xml:space="preserve"> </w:t>
      </w:r>
      <w:r w:rsidRPr="00AE0CAB">
        <w:rPr>
          <w:rFonts w:ascii="Times New Roman" w:eastAsia="Arial" w:hAnsi="Times New Roman" w:cs="Times New Roman"/>
          <w:sz w:val="24"/>
          <w:szCs w:val="24"/>
          <w:lang w:eastAsia="es-MX"/>
        </w:rPr>
        <w:t xml:space="preserve">Los prestadores de servicios  de salud  públicos, sociales y privados están obligados a  realizar </w:t>
      </w:r>
      <w:r w:rsidRPr="00AE0CAB">
        <w:rPr>
          <w:rFonts w:ascii="Times New Roman" w:eastAsiaTheme="minorEastAsia" w:hAnsi="Times New Roman" w:cs="Times New Roman"/>
          <w:sz w:val="24"/>
          <w:szCs w:val="24"/>
          <w:lang w:eastAsia="es-MX"/>
        </w:rPr>
        <w:t>la detección oportuna de la tuberculosis a toda persona identificada con factores de riesgo, como son: contacto con pacientes con tuberculosis, diabetes mellitus, VIH y personas privadas de la libertad.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113. La Secretaría, a través del Comité Estatal de Farmacorresistencia, establecerá los mecanismos de coordinación, seguimiento y monitoreo de la tuberculosis, para dictaminar, controlar, vigilar y dar seguimiento clínico y bacteriológico.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114. La Secretaría garantizará el acceso al tratamiento específico en pacientes con resistencia a fármacos.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IV</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Vacunación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115. Toda persona residente en el Estado tiene derecho a recibir, de manera universal y gratuita, en cualquiera de las instituciones de salud públicas, las vacunas contenidas en el Programa de Vacunación Universal, de conformidad con la Ley General.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116. La Secretaría establecerá los mecanismos de coordinación, seguimiento, monitoreo de la vacunación, así como el análisis y la evaluación de coberturas de vacunación.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Para el auxilio de estas acciones, la Secretaría contará con el Comité de Vacunación.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117. La Secretaría, en coordinación con las dependencias, órganos y organismos auxiliares, los municipios, los sectores públicos, sociales y privados, promoverá acciones encaminadas a garantizar la vacunación universal en la población menor a 5 años.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V</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Atención Materno Perinatal y Emergencias Obstétricas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118. Las acciones integrales de promoción de la salud pregestacional, en el embarazo, parto y puerperio, incluyen alimentación saludable, salud bucal, salud mental, actividad física, control médico, detección de violencia y de consumo de sustancias psicoactivas, además de la salud comunitaria.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casos de emergencias, las mujeres y personas gestantes recibirán atención enfocada al cero rechazo o en su defecto, a que se garantice el traslado seguro.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119 Son derechos de las mujeres, personas gestantes y puérperas: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Recibir atención integral, programada, efectiva y oportuna, desde el periodo pre gestacional, prenatal y post natal;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Recibir orientación y consejería en metodología anticonceptiva durante el embarazo, el parto y el puerperio, incluyendo la anticoncepción posterior a eventos obstétricos;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Recibir orientación desde el embarazo hasta el puerperio para garantizar una lactancia exitosa.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120. Las acciones preventivas en salud durante la gestación, comprenden: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Fortalecimiento de la atención oportuna, el cero rechazo y el traslado seguro, en las distintas etapas obstétricas;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w:t>
      </w:r>
      <w:r w:rsidRPr="00AE0CAB">
        <w:rPr>
          <w:rFonts w:ascii="Times New Roman" w:eastAsiaTheme="minorEastAsia" w:hAnsi="Times New Roman" w:cs="Times New Roman"/>
          <w:b/>
          <w:sz w:val="24"/>
          <w:szCs w:val="24"/>
          <w:lang w:eastAsia="es-MX"/>
        </w:rPr>
        <w:t xml:space="preserve">. </w:t>
      </w:r>
      <w:r w:rsidRPr="00AE0CAB">
        <w:rPr>
          <w:rFonts w:ascii="Times New Roman" w:eastAsia="Arial" w:hAnsi="Times New Roman" w:cs="Times New Roman"/>
          <w:sz w:val="24"/>
          <w:szCs w:val="24"/>
          <w:lang w:eastAsia="es-MX"/>
        </w:rPr>
        <w:t xml:space="preserve">Identificar a las mujeres y personas gestantes, afectadas por violencia familiar, sexual o no sexual, en la </w:t>
      </w:r>
      <w:r w:rsidRPr="00AE0CAB">
        <w:rPr>
          <w:rFonts w:ascii="Times New Roman" w:eastAsiaTheme="minorEastAsia" w:hAnsi="Times New Roman" w:cs="Times New Roman"/>
          <w:sz w:val="24"/>
          <w:szCs w:val="24"/>
          <w:lang w:eastAsia="es-MX"/>
        </w:rPr>
        <w:t>consulta de pacientes ambulatorios u hospitalarios, y/o en la comunidad;</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Búsqueda intencionada de los factores de riesgo que condicionen el parto prematuro;</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Realización de estudios clínicos y de gabinete, necesarios para prevenir, diagnosticar y tratar defectos congénitos, evitando complicaciones al nacimiento;</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Promoción de alimentación adecuada, complementada con micronutrientes esenciales que favorezcan la salud materno-fetal;</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Realizar tamizaje para la detección del VIH/SIDA, sífilis y otras enfermedades de transmisión sexual, a fin de evitar la transmisión vertical, con énfasis en etapa expulsiva;</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la implementación de mecanismos que permitan a las mujeres embarazadas el acompañamiento durante el trabajo de parto, puerperio o procedimientos quirúrgicos, cuando las condiciones de infraestructura y educación perinatal así lo permitan;</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Reanimación neonatal acorde con los protocolos internacionales, nacionales y estatales establecidos;</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Monitoreo del crecimiento neonatal y difusión de información a la población sobre signos de alarma </w:t>
      </w:r>
      <w:r w:rsidRPr="00AE0CAB">
        <w:rPr>
          <w:rFonts w:ascii="Times New Roman" w:eastAsiaTheme="minorEastAsia" w:hAnsi="Times New Roman" w:cs="Times New Roman"/>
          <w:noProof/>
          <w:sz w:val="24"/>
          <w:szCs w:val="24"/>
          <w:lang w:eastAsia="es-MX"/>
        </w:rPr>
        <w:drawing>
          <wp:inline distT="0" distB="0" distL="0" distR="0" wp14:anchorId="447693DE" wp14:editId="14138125">
            <wp:extent cx="4575" cy="4572"/>
            <wp:effectExtent l="0" t="0" r="0" b="0"/>
            <wp:docPr id="186306" name="Picture 186306"/>
            <wp:cNvGraphicFramePr/>
            <a:graphic xmlns:a="http://schemas.openxmlformats.org/drawingml/2006/main">
              <a:graphicData uri="http://schemas.openxmlformats.org/drawingml/2006/picture">
                <pic:pic xmlns:pic="http://schemas.openxmlformats.org/drawingml/2006/picture">
                  <pic:nvPicPr>
                    <pic:cNvPr id="186306" name="Picture 186306"/>
                    <pic:cNvPicPr/>
                  </pic:nvPicPr>
                  <pic:blipFill>
                    <a:blip r:embed="rId2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en el período neonatal;</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Detección oportuna de padecimientos en el periodo neonatal mediante la aplicación del tamiz </w:t>
      </w:r>
      <w:r w:rsidRPr="00AE0CAB">
        <w:rPr>
          <w:rFonts w:ascii="Times New Roman" w:eastAsiaTheme="minorEastAsia" w:hAnsi="Times New Roman" w:cs="Times New Roman"/>
          <w:noProof/>
          <w:sz w:val="24"/>
          <w:szCs w:val="24"/>
          <w:lang w:eastAsia="es-MX"/>
        </w:rPr>
        <w:drawing>
          <wp:inline distT="0" distB="0" distL="0" distR="0" wp14:anchorId="4B4E2595" wp14:editId="1004A75D">
            <wp:extent cx="9150" cy="9144"/>
            <wp:effectExtent l="0" t="0" r="0" b="0"/>
            <wp:docPr id="186380" name="Picture 186380"/>
            <wp:cNvGraphicFramePr/>
            <a:graphic xmlns:a="http://schemas.openxmlformats.org/drawingml/2006/main">
              <a:graphicData uri="http://schemas.openxmlformats.org/drawingml/2006/picture">
                <pic:pic xmlns:pic="http://schemas.openxmlformats.org/drawingml/2006/picture">
                  <pic:nvPicPr>
                    <pic:cNvPr id="186380" name="Picture 186380"/>
                    <pic:cNvPicPr/>
                  </pic:nvPicPr>
                  <pic:blipFill>
                    <a:blip r:embed="rId63"/>
                    <a:stretch>
                      <a:fillRect/>
                    </a:stretch>
                  </pic:blipFill>
                  <pic:spPr>
                    <a:xfrm>
                      <a:off x="0" y="0"/>
                      <a:ext cx="9150" cy="9144"/>
                    </a:xfrm>
                    <a:prstGeom prst="rect">
                      <a:avLst/>
                    </a:prstGeom>
                  </pic:spPr>
                </pic:pic>
              </a:graphicData>
            </a:graphic>
          </wp:inline>
        </w:drawing>
      </w:r>
      <w:r w:rsidRPr="00AE0CAB">
        <w:rPr>
          <w:rFonts w:ascii="Times New Roman" w:eastAsiaTheme="minorEastAsia" w:hAnsi="Times New Roman" w:cs="Times New Roman"/>
          <w:sz w:val="24"/>
          <w:szCs w:val="24"/>
          <w:lang w:eastAsia="es-MX"/>
        </w:rPr>
        <w:t>neonatal ampliado, auditivo, cardiaco, oftálmico y ortopédico; y</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Orientación y consejería en lactancia materna inmediata al nacimiento de la persona recién nacida, siempre y cuando las condiciones de la diada lo permitan, asimismo favorecer la alimentación exclusiva </w:t>
      </w:r>
      <w:r w:rsidRPr="00AE0CAB">
        <w:rPr>
          <w:rFonts w:ascii="Times New Roman" w:eastAsiaTheme="minorEastAsia" w:hAnsi="Times New Roman" w:cs="Times New Roman"/>
          <w:noProof/>
          <w:sz w:val="24"/>
          <w:szCs w:val="24"/>
          <w:lang w:eastAsia="es-MX"/>
        </w:rPr>
        <w:drawing>
          <wp:inline distT="0" distB="0" distL="0" distR="0" wp14:anchorId="1D955349" wp14:editId="04A8C95A">
            <wp:extent cx="4573" cy="4572"/>
            <wp:effectExtent l="0" t="0" r="0" b="0"/>
            <wp:docPr id="186308" name="Picture 186308"/>
            <wp:cNvGraphicFramePr/>
            <a:graphic xmlns:a="http://schemas.openxmlformats.org/drawingml/2006/main">
              <a:graphicData uri="http://schemas.openxmlformats.org/drawingml/2006/picture">
                <pic:pic xmlns:pic="http://schemas.openxmlformats.org/drawingml/2006/picture">
                  <pic:nvPicPr>
                    <pic:cNvPr id="186308" name="Picture 186308"/>
                    <pic:cNvPicPr/>
                  </pic:nvPicPr>
                  <pic:blipFill>
                    <a:blip r:embed="rId64"/>
                    <a:stretch>
                      <a:fillRect/>
                    </a:stretch>
                  </pic:blipFill>
                  <pic:spPr>
                    <a:xfrm>
                      <a:off x="0" y="0"/>
                      <a:ext cx="4573"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al seno materno de la persona recién nacida los primeros 6 meses de vida y de manera complementaria hasta los 24 meses.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121. Se entiende por emergencia obstétrica a toda situación que pone en peligro la vida de la madre y/o del producto y requiere atención médica y/o quirúrgica inmediata.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122. Serán consideradas como emergencias obstétricas de manera enunciativa, más no limitativa: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Preeclampsia y eclampsia;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Hemorragia en el embarazo, en el parto o en el puerperio;</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Detección oportuna del embarazo ectópico;</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Parto prematuro;</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Sufrimiento fetal;</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Prolapso de cordón umbilical;</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Diabetes e hipertensión;</w:t>
      </w:r>
    </w:p>
    <w:p w:rsidR="005F04F9" w:rsidRPr="00AE0CAB" w:rsidRDefault="005F04F9" w:rsidP="00234C4C">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6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 Ruptura uterina:</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Embolia amniótica;</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Aborto; y</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Cardiopatías congénitas.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123. La Secretaria promoverá, apoyará y protegerá la práctica de la lactancia materna, durante el embarazo, parto y puerperio.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todo momento, se garantizará la no discriminación en la práctica de la lactancia materna en los espacios públicos.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Asimismo, se promoverá la creación y el funcionamiento de lactarios y salas de lactancia en espacios de salud, centros de trabajo, unidades económicas y centros penitenciarios.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manera prioritaria, se fomentará la creación de lactarios hospitalarios y salas de lactancia en unidades médicas con Unidades de Cuidados Intensivos Neonatales, así como en Unidades de Terapia Intensiva Neonatal.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VI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Atención a la Infancia y la Adolescencia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124. La Secretaría será responsable de establecer y ejecutar acciones específicas orientadas a proteger la salud de las niñas, niños y adolescentes.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125. Las acciones preventivas en salud durante la infancia y adolescencia comprenden: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Vigilancia del crecimiento y desarrollo;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Cobertura de vacunas en niñas y niños;</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Detección y tratamiento oportuno de cáncer en la infancia y adolescencia;</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detección, tratamiento y seguimiento de infecciones respiratorias y diarreicas agudas como causa de mortalidad en niñas y niños, y</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Prevención de accidentes por sumersión, asfixia, intoxicación, quemaduras, atropello y accidentes viales en sus distintas modalidades en niñas, niños y adolescentes.</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VII</w:t>
      </w:r>
    </w:p>
    <w:p w:rsidR="005F04F9" w:rsidRPr="00AE0CAB" w:rsidRDefault="005F04F9" w:rsidP="005F04F9">
      <w:pPr>
        <w:keepNext/>
        <w:keepLines/>
        <w:spacing w:after="0" w:line="240" w:lineRule="auto"/>
        <w:jc w:val="center"/>
        <w:outlineLvl w:val="1"/>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De la Planificación Familiar y Salud Sexual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126. Los servicios de planificación familiar son el conjunto de acciones, que permiten a las personas tomar decisiones informadas, sobre su salud sexual y reproductiva integral en cumplimiento de </w:t>
      </w:r>
      <w:r w:rsidRPr="00AE0CAB">
        <w:rPr>
          <w:rFonts w:ascii="Times New Roman" w:eastAsiaTheme="minorEastAsia" w:hAnsi="Times New Roman" w:cs="Times New Roman"/>
          <w:noProof/>
          <w:sz w:val="24"/>
          <w:szCs w:val="24"/>
          <w:lang w:eastAsia="es-MX"/>
        </w:rPr>
        <w:drawing>
          <wp:inline distT="0" distB="0" distL="0" distR="0" wp14:anchorId="5A412D27" wp14:editId="116E187F">
            <wp:extent cx="4575" cy="4572"/>
            <wp:effectExtent l="0" t="0" r="0" b="0"/>
            <wp:docPr id="189529" name="Picture 189529"/>
            <wp:cNvGraphicFramePr/>
            <a:graphic xmlns:a="http://schemas.openxmlformats.org/drawingml/2006/main">
              <a:graphicData uri="http://schemas.openxmlformats.org/drawingml/2006/picture">
                <pic:pic xmlns:pic="http://schemas.openxmlformats.org/drawingml/2006/picture">
                  <pic:nvPicPr>
                    <pic:cNvPr id="189529" name="Picture 189529"/>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los derechos sexuales y reproductivos, incluyendo la gestión menstrual, la disponibilidad de métodos </w:t>
      </w:r>
      <w:r w:rsidRPr="00AE0CAB">
        <w:rPr>
          <w:rFonts w:ascii="Times New Roman" w:eastAsiaTheme="minorEastAsia" w:hAnsi="Times New Roman" w:cs="Times New Roman"/>
          <w:noProof/>
          <w:sz w:val="24"/>
          <w:szCs w:val="24"/>
          <w:lang w:eastAsia="es-MX"/>
        </w:rPr>
        <w:drawing>
          <wp:inline distT="0" distB="0" distL="0" distR="0" wp14:anchorId="47AE861F" wp14:editId="0D5C1FC4">
            <wp:extent cx="4575" cy="4572"/>
            <wp:effectExtent l="0" t="0" r="0" b="0"/>
            <wp:docPr id="189530" name="Picture 189530"/>
            <wp:cNvGraphicFramePr/>
            <a:graphic xmlns:a="http://schemas.openxmlformats.org/drawingml/2006/main">
              <a:graphicData uri="http://schemas.openxmlformats.org/drawingml/2006/picture">
                <pic:pic xmlns:pic="http://schemas.openxmlformats.org/drawingml/2006/picture">
                  <pic:nvPicPr>
                    <pic:cNvPr id="189530" name="Picture 189530"/>
                    <pic:cNvPicPr/>
                  </pic:nvPicPr>
                  <pic:blipFill>
                    <a:blip r:embed="rId1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anticonceptivos, la anticoncepción de emergencia y la prevención de embarazos no deseados y no planeados así como las decisiones sobre el número y espaciamiento de sus hijos, respetando plenamente </w:t>
      </w:r>
      <w:r w:rsidRPr="00AE0CAB">
        <w:rPr>
          <w:rFonts w:ascii="Times New Roman" w:eastAsiaTheme="minorEastAsia" w:hAnsi="Times New Roman" w:cs="Times New Roman"/>
          <w:noProof/>
          <w:sz w:val="24"/>
          <w:szCs w:val="24"/>
          <w:lang w:eastAsia="es-MX"/>
        </w:rPr>
        <w:drawing>
          <wp:inline distT="0" distB="0" distL="0" distR="0" wp14:anchorId="223B6724" wp14:editId="5BF087C0">
            <wp:extent cx="4575" cy="4573"/>
            <wp:effectExtent l="0" t="0" r="0" b="0"/>
            <wp:docPr id="189532" name="Picture 189532"/>
            <wp:cNvGraphicFramePr/>
            <a:graphic xmlns:a="http://schemas.openxmlformats.org/drawingml/2006/main">
              <a:graphicData uri="http://schemas.openxmlformats.org/drawingml/2006/picture">
                <pic:pic xmlns:pic="http://schemas.openxmlformats.org/drawingml/2006/picture">
                  <pic:nvPicPr>
                    <pic:cNvPr id="189532" name="Picture 189532"/>
                    <pic:cNvPicPr/>
                  </pic:nvPicPr>
                  <pic:blipFill>
                    <a:blip r:embed="rId16"/>
                    <a:stretch>
                      <a:fillRect/>
                    </a:stretch>
                  </pic:blipFill>
                  <pic:spPr>
                    <a:xfrm>
                      <a:off x="0" y="0"/>
                      <a:ext cx="4575" cy="4573"/>
                    </a:xfrm>
                    <a:prstGeom prst="rect">
                      <a:avLst/>
                    </a:prstGeom>
                  </pic:spPr>
                </pic:pic>
              </a:graphicData>
            </a:graphic>
          </wp:inline>
        </w:drawing>
      </w:r>
      <w:r w:rsidRPr="00AE0CAB">
        <w:rPr>
          <w:rFonts w:ascii="Times New Roman" w:eastAsiaTheme="minorEastAsia" w:hAnsi="Times New Roman" w:cs="Times New Roman"/>
          <w:sz w:val="24"/>
          <w:szCs w:val="24"/>
          <w:lang w:eastAsia="es-MX"/>
        </w:rPr>
        <w:t>su dignidad.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ejercicio de este derecho es independiente del género, la preferencia sexual, la edad y el estado social o legal de las personas.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127. Los servicios de planificación serán gratuitos en las instituciones de salud pública.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128. Se ofrecerán servicios de orientación tendientes a minimizar riesgos reproductivos y prevenir embarazos de riesgo, antes de los 18 años o después de los 35 años, además de promover intervalos óptimos entre embarazos, prevenir infecciones de transmisión sexual y coadyuvar al pleno ejercicio de los derechos reproductivos con perspectiva de género, respeto a la dignidad humana, a la diversidad sexual y de conformidad con las características particulares de los diversos grupos poblacionales, especialmente para niñas, niños, adolescentes y jóvenes.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129. La Secretaría, en materia de salud sexual y reproductiva, implementará las siguientes acciones: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Información sobre infecciones de transmisión sexual, sus consecuencias y complicaciones, garantizando la difusión de información veraz y oportuna;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Fomento de medidas preventivas que limiten la propagación de las infecciones de transmisión sexual;</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Asesoría y supervisión de la prestación de servicios de planificación familiar en sectores públicos, sociales y privados;</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Promoción de exámenes clínicos y paraclínicos de manera periódica, para detectar condiciones de la salud sexual;</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Difusión de los derechos sexuales y reproductivos; y</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Orientación educativa, individual y grupal en salud sexual y reproductiva.</w:t>
      </w:r>
    </w:p>
    <w:p w:rsidR="005F04F9" w:rsidRPr="00AE0CAB" w:rsidRDefault="005F04F9" w:rsidP="00234C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130. Las instituciones de salud, educativas y los ayuntamientos promoverán la impartición de pláticas de educación integral en sexualidad en pueblos y comunidades indígenas y afromexicanas, urbanas y rurales.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131. La práctica de métodos anticonceptivos permanentes sin el consentimiento de la o del paciente, o bajo coacción, será sancionada conforme a las disposiciones vigentes aplicables en la materia.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132. Los servicios de planificación familiar en los sectores público, privado y social incluirán actividades de promoción, difusión, educación, prescripción y aplicación de métodos anticonceptivos y diagnóstico de casos de infertilidad y esterilidad.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133. La Secretaría vigilará los procesos de la reproducción asistida, así como los espacios en los que se lleve a cabo, a las y los profesionales que lo realicen, las estadísticas, así como las implicaciones médico-legales que correspondan.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134. La práctica de la reproducción asistida será vigilada por la Secretaría, conforme a las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Los establecimientos que realicen procesos de reproducción humana asistida deberán estar previamente acreditados y autorizados, debiendo contar con la licencia sanitaria correspondiente.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135. Para la práctica de la reproducción asistida, el personal interviniente en las diferentes etapas del proceso deberá ser especializado en la materia, debidamente avalado y certificado por el consejo correspondiente.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136. Los procesos de estimulación folicular, extracción, preparación endometrial e implantación, </w:t>
      </w:r>
      <w:r w:rsidRPr="00AE0CAB">
        <w:rPr>
          <w:rFonts w:ascii="Times New Roman" w:eastAsiaTheme="minorEastAsia" w:hAnsi="Times New Roman" w:cs="Times New Roman"/>
          <w:noProof/>
          <w:sz w:val="24"/>
          <w:szCs w:val="24"/>
          <w:lang w:eastAsia="es-MX"/>
        </w:rPr>
        <w:drawing>
          <wp:inline distT="0" distB="0" distL="0" distR="0" wp14:anchorId="3594A904" wp14:editId="2324D73F">
            <wp:extent cx="4575" cy="4572"/>
            <wp:effectExtent l="0" t="0" r="0" b="0"/>
            <wp:docPr id="196753" name="Picture 196753"/>
            <wp:cNvGraphicFramePr/>
            <a:graphic xmlns:a="http://schemas.openxmlformats.org/drawingml/2006/main">
              <a:graphicData uri="http://schemas.openxmlformats.org/drawingml/2006/picture">
                <pic:pic xmlns:pic="http://schemas.openxmlformats.org/drawingml/2006/picture">
                  <pic:nvPicPr>
                    <pic:cNvPr id="196753" name="Picture 196753"/>
                    <pic:cNvPicPr/>
                  </pic:nvPicPr>
                  <pic:blipFill>
                    <a:blip r:embed="rId2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deberá ser realizado por personal médico especialista en biología de la reproducción debidamente avalado y certificado por el Consejo de Especialidad Médica en Ginecología y Obstetricia facultado en términos de la Ley General.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137. Los establecimientos que provean los servicios de disposición, trasplante y banco de células germinales deberán realizar el registro y actualización correspondiente ante el Centro Nacional de Trasplantes.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138. Para la realización de los procesos de reproducción asistida los criterios de selección o modalidades, se estará a lo dispuesto del Reglamento de la presente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VIII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Atención del Cáncer de Mama y Cérvico Uterino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139. El cáncer de mama y cérvico uterino son enfermedades oncológicas de alta prevalencia y letalidad, que afectan prioritariamente a las mujeres, los cuales deberán ser atendidos por las instituciones de salud de manera coordinada, integral, equitativa y con perspectiva de género.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w:t>
      </w:r>
      <w:r w:rsidR="00692CE8" w:rsidRPr="00AE0CAB">
        <w:rPr>
          <w:rFonts w:ascii="Times New Roman" w:eastAsiaTheme="minorEastAsia" w:hAnsi="Times New Roman" w:cs="Times New Roman"/>
          <w:sz w:val="24"/>
          <w:szCs w:val="24"/>
          <w:lang w:eastAsia="es-MX"/>
        </w:rPr>
        <w:t xml:space="preserve">lo </w:t>
      </w:r>
      <w:r w:rsidRPr="00AE0CAB">
        <w:rPr>
          <w:rFonts w:ascii="Times New Roman" w:eastAsiaTheme="minorEastAsia" w:hAnsi="Times New Roman" w:cs="Times New Roman"/>
          <w:sz w:val="24"/>
          <w:szCs w:val="24"/>
          <w:lang w:eastAsia="es-MX"/>
        </w:rPr>
        <w:t>140. La Secretaría es la responsable de conducir, regular, coordinar, supervisar y evaluar las políticas, estrategias y acciones en materia de promoción, prevención, detección, diagnóstico, tratamiento oportuno, rehabilitación y control del cáncer de mama y cérvico uterino en 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141. La Secretaría coordinará los esfuerzos interinstitucionales entre los sectores público, social y privado para asegurar la evaluación sistemática de resultados e impacto en la salud poblacional; así como favorecer el acceso gratuito, oportuno y continuo a servicios esenciales, sin distinción de condición social, etnia, edad, religión o afiliación.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142. Para la atención oportuna de cáncer de mama y cérvico uterino, se realizarán las siguientes acciones de promoción, prevención y tratamiento: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Sensibilización comunitaria sobre factores de riesgo y signos de alarma;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Difusión de la autoexploración mamaria y la exploración clínica periódica, realización de mastografías y citologías, así como la prueba de identificación y vacunación del Virus del Papiloma Humano;</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Fomento de la lactancia materna como factor protector,</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Promoción del uso del condón y prevención de infecciones de transmisión sexual;</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Acceso a colposcopia, biopsia y estudios complementarios en caso de sospecha;</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Tratamiento oportuno e integral en unidades de segundo y tercer nivel: cirugía, radioterapia, quimioterapia y cuidados paliativos;</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Rehabilitación y acompañamiento psicosocial de sobrevivientes de cáncer;</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Registro y seguimiento de casos mediante el sistema de información correspondiente; y</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6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Apoyo en la continuidad en la atención, sin discriminación ni barreras de acceso.</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Arial" w:hAnsi="Times New Roman" w:cs="Times New Roman"/>
          <w:sz w:val="24"/>
          <w:szCs w:val="24"/>
          <w:lang w:eastAsia="es-MX"/>
        </w:rPr>
      </w:pPr>
      <w:r w:rsidRPr="00AE0CAB">
        <w:rPr>
          <w:rFonts w:ascii="Times New Roman" w:eastAsia="Arial" w:hAnsi="Times New Roman" w:cs="Times New Roman"/>
          <w:sz w:val="24"/>
          <w:szCs w:val="24"/>
          <w:lang w:eastAsia="es-MX"/>
        </w:rPr>
        <w:t>CAPÍTULO IX</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Prestación de Servicios de Interrupción del Embarazo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143. Las mujeres y personas gestantes en el Estado de México tienen el derecho a decidir sobre su propio cuerpo y sobre la interrupción legal del embarazo en los casos permitidos por el Código Penal del Estado de México y las Normas Oficiales Mexicanas.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inline distT="0" distB="0" distL="0" distR="0" wp14:anchorId="576248BA" wp14:editId="708CF44A">
            <wp:extent cx="4575" cy="18288"/>
            <wp:effectExtent l="0" t="0" r="0" b="0"/>
            <wp:docPr id="563011" name="Picture 563011"/>
            <wp:cNvGraphicFramePr/>
            <a:graphic xmlns:a="http://schemas.openxmlformats.org/drawingml/2006/main">
              <a:graphicData uri="http://schemas.openxmlformats.org/drawingml/2006/picture">
                <pic:pic xmlns:pic="http://schemas.openxmlformats.org/drawingml/2006/picture">
                  <pic:nvPicPr>
                    <pic:cNvPr id="563011" name="Picture 563011"/>
                    <pic:cNvPicPr/>
                  </pic:nvPicPr>
                  <pic:blipFill>
                    <a:blip r:embed="rId65"/>
                    <a:stretch>
                      <a:fillRect/>
                    </a:stretch>
                  </pic:blipFill>
                  <pic:spPr>
                    <a:xfrm>
                      <a:off x="0" y="0"/>
                      <a:ext cx="4575" cy="18288"/>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Para efectos de esta Ley, se entiende por Interrupción Legal del Embarazo, al procedimiento médico, </w:t>
      </w:r>
      <w:r w:rsidRPr="00AE0CAB">
        <w:rPr>
          <w:rFonts w:ascii="Times New Roman" w:eastAsiaTheme="minorEastAsia" w:hAnsi="Times New Roman" w:cs="Times New Roman"/>
          <w:noProof/>
          <w:sz w:val="24"/>
          <w:szCs w:val="24"/>
          <w:lang w:eastAsia="es-MX"/>
        </w:rPr>
        <w:drawing>
          <wp:anchor distT="0" distB="0" distL="114300" distR="114300" simplePos="0" relativeHeight="251676672" behindDoc="0" locked="0" layoutInCell="1" allowOverlap="1" wp14:anchorId="6A84AA39" wp14:editId="7E8349E9">
            <wp:simplePos x="0" y="0"/>
            <wp:positionH relativeFrom="column">
              <wp:posOffset>525780</wp:posOffset>
            </wp:positionH>
            <wp:positionV relativeFrom="paragraph">
              <wp:posOffset>313690</wp:posOffset>
            </wp:positionV>
            <wp:extent cx="4445" cy="4445"/>
            <wp:effectExtent l="0" t="0" r="0" b="0"/>
            <wp:wrapTopAndBottom/>
            <wp:docPr id="200304" name="Picture 200304"/>
            <wp:cNvGraphicFramePr/>
            <a:graphic xmlns:a="http://schemas.openxmlformats.org/drawingml/2006/main">
              <a:graphicData uri="http://schemas.openxmlformats.org/drawingml/2006/picture">
                <pic:pic xmlns:pic="http://schemas.openxmlformats.org/drawingml/2006/picture">
                  <pic:nvPicPr>
                    <pic:cNvPr id="200304" name="Picture 200304"/>
                    <pic:cNvPicPr/>
                  </pic:nvPicPr>
                  <pic:blipFill>
                    <a:blip r:embed="rId15"/>
                    <a:stretch>
                      <a:fillRect/>
                    </a:stretch>
                  </pic:blipFill>
                  <pic:spPr>
                    <a:xfrm>
                      <a:off x="0" y="0"/>
                      <a:ext cx="4445" cy="4445"/>
                    </a:xfrm>
                    <a:prstGeom prst="rect">
                      <a:avLst/>
                    </a:prstGeom>
                  </pic:spPr>
                </pic:pic>
              </a:graphicData>
            </a:graphic>
          </wp:anchor>
        </w:drawing>
      </w:r>
      <w:r w:rsidRPr="00AE0CAB">
        <w:rPr>
          <w:rFonts w:ascii="Times New Roman" w:eastAsiaTheme="minorEastAsia" w:hAnsi="Times New Roman" w:cs="Times New Roman"/>
          <w:sz w:val="24"/>
          <w:szCs w:val="24"/>
          <w:lang w:eastAsia="es-MX"/>
        </w:rPr>
        <w:t>farmacológico o quirúrgico, para la interrupción del embarazo, realizado por personal de salud capacitado, en condiciones higiénicas que reduzcan los riesgos a la salud y la vida de la mujer o persona gestante.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144. La Secretaría debe garantizar que se proporcione a las mujeres y personas gestantes: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El acompañamiento;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Consejería;</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Atención médica y psicológica;</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Información imparcial, científica, clara y suficiente sobre los procedimientos, riesgos, consecuencias y efectos de cada uno, con la finalidad de que ejerzan su derecho a decidir de manera libre, responsable e informada; y</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Información sobre los lugares e instituciones de salud en el territorio mexiquense en donde puede ser llevado a cabo de manera segura.</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Las instituciones públicas estatales de salud deberán otorgar servicios de salud sexual, reproductiva y de planificación familiar a las mujeres y personas gestantes que hayan interrumpido su embarazo, en </w:t>
      </w:r>
      <w:r w:rsidRPr="00AE0CAB">
        <w:rPr>
          <w:rFonts w:ascii="Times New Roman" w:eastAsiaTheme="minorEastAsia" w:hAnsi="Times New Roman" w:cs="Times New Roman"/>
          <w:noProof/>
          <w:sz w:val="24"/>
          <w:szCs w:val="24"/>
          <w:lang w:eastAsia="es-MX"/>
        </w:rPr>
        <w:drawing>
          <wp:inline distT="0" distB="0" distL="0" distR="0" wp14:anchorId="0DB75D7E" wp14:editId="4E8A6957">
            <wp:extent cx="9150" cy="22860"/>
            <wp:effectExtent l="0" t="0" r="0" b="0"/>
            <wp:docPr id="563013" name="Picture 563013"/>
            <wp:cNvGraphicFramePr/>
            <a:graphic xmlns:a="http://schemas.openxmlformats.org/drawingml/2006/main">
              <a:graphicData uri="http://schemas.openxmlformats.org/drawingml/2006/picture">
                <pic:pic xmlns:pic="http://schemas.openxmlformats.org/drawingml/2006/picture">
                  <pic:nvPicPr>
                    <pic:cNvPr id="563013" name="Picture 563013"/>
                    <pic:cNvPicPr/>
                  </pic:nvPicPr>
                  <pic:blipFill>
                    <a:blip r:embed="rId66"/>
                    <a:stretch>
                      <a:fillRect/>
                    </a:stretch>
                  </pic:blipFill>
                  <pic:spPr>
                    <a:xfrm>
                      <a:off x="0" y="0"/>
                      <a:ext cx="9150" cy="22860"/>
                    </a:xfrm>
                    <a:prstGeom prst="rect">
                      <a:avLst/>
                    </a:prstGeom>
                  </pic:spPr>
                </pic:pic>
              </a:graphicData>
            </a:graphic>
          </wp:inline>
        </w:drawing>
      </w:r>
      <w:r w:rsidRPr="00AE0CAB">
        <w:rPr>
          <w:rFonts w:ascii="Times New Roman" w:eastAsiaTheme="minorEastAsia" w:hAnsi="Times New Roman" w:cs="Times New Roman"/>
          <w:sz w:val="24"/>
          <w:szCs w:val="24"/>
          <w:lang w:eastAsia="es-MX"/>
        </w:rPr>
        <w:t>términos de las disposiciones jurídicas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Además, deberán ofrecer y promocionar de manera activa los métodos de planificación temporales o </w:t>
      </w:r>
      <w:r w:rsidRPr="00AE0CAB">
        <w:rPr>
          <w:rFonts w:ascii="Times New Roman" w:eastAsiaTheme="minorEastAsia" w:hAnsi="Times New Roman" w:cs="Times New Roman"/>
          <w:noProof/>
          <w:sz w:val="24"/>
          <w:szCs w:val="24"/>
          <w:lang w:eastAsia="es-MX"/>
        </w:rPr>
        <w:drawing>
          <wp:inline distT="0" distB="0" distL="0" distR="0" wp14:anchorId="2EF7FBC8" wp14:editId="7A8304F0">
            <wp:extent cx="4575" cy="4572"/>
            <wp:effectExtent l="0" t="0" r="0" b="0"/>
            <wp:docPr id="200307" name="Picture 200307"/>
            <wp:cNvGraphicFramePr/>
            <a:graphic xmlns:a="http://schemas.openxmlformats.org/drawingml/2006/main">
              <a:graphicData uri="http://schemas.openxmlformats.org/drawingml/2006/picture">
                <pic:pic xmlns:pic="http://schemas.openxmlformats.org/drawingml/2006/picture">
                  <pic:nvPicPr>
                    <pic:cNvPr id="200307" name="Picture 200307"/>
                    <pic:cNvPicPr/>
                  </pic:nvPicPr>
                  <pic:blipFill>
                    <a:blip r:embed="rId67"/>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permanentes dirigidos a los hombres con la finalidad de promover la corresponsabilidad masculina en la </w:t>
      </w:r>
      <w:r w:rsidRPr="00AE0CAB">
        <w:rPr>
          <w:rFonts w:ascii="Times New Roman" w:eastAsiaTheme="minorEastAsia" w:hAnsi="Times New Roman" w:cs="Times New Roman"/>
          <w:noProof/>
          <w:sz w:val="24"/>
          <w:szCs w:val="24"/>
          <w:lang w:eastAsia="es-MX"/>
        </w:rPr>
        <w:drawing>
          <wp:inline distT="0" distB="0" distL="0" distR="0" wp14:anchorId="0F6170DD" wp14:editId="28338390">
            <wp:extent cx="4575" cy="4572"/>
            <wp:effectExtent l="0" t="0" r="0" b="0"/>
            <wp:docPr id="200308" name="Picture 200308"/>
            <wp:cNvGraphicFramePr/>
            <a:graphic xmlns:a="http://schemas.openxmlformats.org/drawingml/2006/main">
              <a:graphicData uri="http://schemas.openxmlformats.org/drawingml/2006/picture">
                <pic:pic xmlns:pic="http://schemas.openxmlformats.org/drawingml/2006/picture">
                  <pic:nvPicPr>
                    <pic:cNvPr id="200308" name="Picture 200308"/>
                    <pic:cNvPicPr/>
                  </pic:nvPicPr>
                  <pic:blipFill>
                    <a:blip r:embed="rId67"/>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anticoncepción.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145. El servicio deberá ser brindado sin demoras, respetando la voluntad de la persona solicitante, su derecho a la confidencialidad y a recibir consejería médica e información veraz.</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ningún caso podrá negarse el servicio alegando la existencia de algún régimen de seguridad social o de algún servicio público o privado de salud del cual sea beneficiaria la persona.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146. Las instituciones públicas deberán: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Brindar servicios de atención médica gratuita, universal y de calidad, sin condicionamiento, imparcial, libre de violencia, estigma o discriminación a las mujeres y personas gestantes que, de forma informada y voluntaria, soliciten la interrupción legal del embarazo;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Garantizar la disponibilidad de personal para la prestación de servicios;</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Contar con infraestructura, insumos y medicamentos necesarios para la atención segura, conforme a </w:t>
      </w:r>
      <w:r w:rsidRPr="00AE0CAB">
        <w:rPr>
          <w:rFonts w:ascii="Times New Roman" w:eastAsiaTheme="minorEastAsia" w:hAnsi="Times New Roman" w:cs="Times New Roman"/>
          <w:noProof/>
          <w:sz w:val="24"/>
          <w:szCs w:val="24"/>
          <w:lang w:eastAsia="es-MX"/>
        </w:rPr>
        <w:drawing>
          <wp:inline distT="0" distB="0" distL="0" distR="0" wp14:anchorId="5B4AE468" wp14:editId="6329535A">
            <wp:extent cx="4575" cy="4573"/>
            <wp:effectExtent l="0" t="0" r="0" b="0"/>
            <wp:docPr id="200309" name="Picture 200309"/>
            <wp:cNvGraphicFramePr/>
            <a:graphic xmlns:a="http://schemas.openxmlformats.org/drawingml/2006/main">
              <a:graphicData uri="http://schemas.openxmlformats.org/drawingml/2006/picture">
                <pic:pic xmlns:pic="http://schemas.openxmlformats.org/drawingml/2006/picture">
                  <pic:nvPicPr>
                    <pic:cNvPr id="200309" name="Picture 200309"/>
                    <pic:cNvPicPr/>
                  </pic:nvPicPr>
                  <pic:blipFill>
                    <a:blip r:embed="rId31"/>
                    <a:stretch>
                      <a:fillRect/>
                    </a:stretch>
                  </pic:blipFill>
                  <pic:spPr>
                    <a:xfrm>
                      <a:off x="0" y="0"/>
                      <a:ext cx="4575" cy="4573"/>
                    </a:xfrm>
                    <a:prstGeom prst="rect">
                      <a:avLst/>
                    </a:prstGeom>
                  </pic:spPr>
                </pic:pic>
              </a:graphicData>
            </a:graphic>
          </wp:inline>
        </w:drawing>
      </w:r>
      <w:r w:rsidRPr="00AE0CAB">
        <w:rPr>
          <w:rFonts w:ascii="Times New Roman" w:eastAsiaTheme="minorEastAsia" w:hAnsi="Times New Roman" w:cs="Times New Roman"/>
          <w:sz w:val="24"/>
          <w:szCs w:val="24"/>
          <w:lang w:eastAsia="es-MX"/>
        </w:rPr>
        <w:t>la capacidad resolutiva, así como con personal médico y de enfermería disponible sin conflicto ético, ideológico o religioso para que presten los servicios;</w:t>
      </w:r>
    </w:p>
    <w:p w:rsidR="005F04F9" w:rsidRPr="00AE0CAB" w:rsidRDefault="005F04F9" w:rsidP="00692CE8">
      <w:pPr>
        <w:spacing w:after="0" w:line="240" w:lineRule="auto"/>
        <w:jc w:val="both"/>
        <w:rPr>
          <w:rFonts w:ascii="Times New Roman" w:eastAsiaTheme="minorEastAsia" w:hAnsi="Times New Roman" w:cs="Times New Roman"/>
          <w:noProof/>
          <w:sz w:val="24"/>
          <w:szCs w:val="24"/>
          <w:lang w:eastAsia="es-MX"/>
        </w:rPr>
      </w:pPr>
    </w:p>
    <w:p w:rsidR="005F04F9" w:rsidRPr="00AE0CAB" w:rsidRDefault="005F04F9" w:rsidP="00551BD2">
      <w:pPr>
        <w:numPr>
          <w:ilvl w:val="0"/>
          <w:numId w:val="7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Ofrecer consejería antes y después del procedimiento, incluyendo opciones anticonceptivas, asimismo, informar correcta y oportunamente a la mujer o persona gestante su derecho a interrumpir el embarazo de manera segura durante las primeras doce semanas completas de gestación y/o en los supuestos establecidos en el Código Penal del Estado de México, además de brindar la atención médica y realizar la interrupción legal del embarazo sin retrasos injustificados o dilación del servicio;</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Capacitar continuamente al personal de salud en derechos sexuales y reproductivos; y</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campañas de sensibilización comunitaria y educación sexual integral.</w:t>
      </w:r>
    </w:p>
    <w:p w:rsidR="005F04F9" w:rsidRPr="00AE0CAB" w:rsidRDefault="005F04F9" w:rsidP="00692CE8">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147. El personal médico y de enfermería del Sistema Estatal que presten los servicios a que hace referencia este Capítulo, lo realizarán apegados a los principios de esta Ley, de manera que se garantice la prestación de los servicios sanitarios otorgados por el Estado. Asimismo, la postura individual del personal médico y de enfermería, basada en sus principios éticos, ideológicos, religiosos y otros que afecten la prestación de este servicio, no podrán invocarse de manera indiscriminada y sin justificación alguna.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En los casos de no estar en posibilidad de ofertar el servicio con motivo de los casos del párrafo anterior, se deberá dar aviso a la persona titular del centro, institución o unidad médica o a la persona superior jerárquica, en caso de que la primera no se encuentre en el lugar, en un plazo breve no mayor a 30 minutos a partir de que tenga conocimiento de la solicitud del procedimiento. </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persona a la que se informe deberá resolver sobre la procedencia en un plazo no mayor a dos horas a partir de la presentación del aviso, y en su caso, deberá canalizar a la persona con el personal médico y de enfermería sin conflicto en la misma institución para que le realicen el procedimiento.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instituciones de salud del Estado de México deberán trazar los protocolos y lineamientos internos a seguir, en caso de no poder prestar este servicio.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negativa del servicio de interrupción del embarazo no será procedente en los siguientes casos: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Cuando la negatividad o postergación del servicio implique riesgo para la vida de la mujer o persona gestante, o se agrave ese riesgo;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Cuando la negativa o postergación del servicio pueda producir daño, agravación del daño, la producción de secuelas y/o discapacidades de la mujer o persona gestante;</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la negatividad del servicio resulte en prolongar el sufrimiento de la mujer o persona gestante o implique una carga desproporcionada;</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no haya alternativa viable y accesible para brindar el servicio de salud requerido a la mujer o persona gestante en condiciones de calidad y oportunidad, por razones de distancia, falta de disponibilidad de personal no objetor o algún otro inconveniente;</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Por motivos discriminatorios o de odio, y</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la gestación sea producto de una violencia sexual.</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ningún caso se podrán invocar los supuestos previstos en este artículo, especialmente cuando se ponga en riesgo la vida de la paciente, cuando se trate de una urgencia médica o cuando su ejercicio implique una carga desproporcionada para las personas pacientes, asimismo, no se podrán realizar actos de odio o discriminación ni entorpecer o retrasar la prestación de los servicios sanitarios.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personal médico y de enfermería deberá abstenerse de emitir juicios valorativos que puedan discriminar o vulnerar la dignidad humana de quienes solicitan el servicio de salud, o de persuadir a las personas beneficiarias de realizar el procedimiento que ha solicitado.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El personal médico y de enfermería será responsable del incumplimiento de las obligaciones previstas en </w:t>
      </w:r>
      <w:r w:rsidRPr="00AE0CAB">
        <w:rPr>
          <w:rFonts w:ascii="Times New Roman" w:eastAsiaTheme="minorEastAsia" w:hAnsi="Times New Roman" w:cs="Times New Roman"/>
          <w:noProof/>
          <w:sz w:val="24"/>
          <w:szCs w:val="24"/>
          <w:lang w:eastAsia="es-MX"/>
        </w:rPr>
        <w:drawing>
          <wp:inline distT="0" distB="0" distL="0" distR="0" wp14:anchorId="436FA146" wp14:editId="2C8AE4C1">
            <wp:extent cx="4575" cy="4572"/>
            <wp:effectExtent l="0" t="0" r="0" b="0"/>
            <wp:docPr id="208419" name="Picture 208419"/>
            <wp:cNvGraphicFramePr/>
            <a:graphic xmlns:a="http://schemas.openxmlformats.org/drawingml/2006/main">
              <a:graphicData uri="http://schemas.openxmlformats.org/drawingml/2006/picture">
                <pic:pic xmlns:pic="http://schemas.openxmlformats.org/drawingml/2006/picture">
                  <pic:nvPicPr>
                    <pic:cNvPr id="208419" name="Picture 208419"/>
                    <pic:cNvPicPr/>
                  </pic:nvPicPr>
                  <pic:blipFill>
                    <a:blip r:embed="rId3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el presente Capítulo de conformidad con la legislación civil, de responsabilidades administrativas, laboral, penal o cualquier otra a la que haya lugar.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148. En caso de referir a la persona a otra unidad médica, no deberá implicar una carga desproporcionada para la mujer o persona gestante. Siendo de forma inmediata y a través de los medios de la propia institución, a la unidad médica más cercana en que exista el personal y recursos suficientes para la realización del procedimiento.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incumplimiento a lo previsto en el presente capítulo será sancionado de conformidad con la normatividad aplicable.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149. Las instituciones deberán llevar un registro confidencial y estadístico de los procedimientos realizados.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150. La Secretaría deberá implementar acciones permanentes de promoción de la salud sexual y reproductiva, así como de prevención del aborto inseguro y de la violencia obstétrica, incluyendo las siguientes acciones: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Campañas informativas sobre el derecho a la interrupción legal del embarazo;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Difusión de los servicios disponibles y rutas de acceso;</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Educación sexual integral, en coordinación con el sector educativo;</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Información sobre métodos anticonceptivos y planificación familiar, e</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Intervenciones comunitarias con enfoque de género y basadas en derechos humanos.</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X</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Violencia de Género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151. La Secretaría enfocará acciones para la prevención, detección, atención médica integral y </w:t>
      </w:r>
      <w:r w:rsidRPr="00AE0CAB">
        <w:rPr>
          <w:rFonts w:ascii="Times New Roman" w:eastAsiaTheme="minorEastAsia" w:hAnsi="Times New Roman" w:cs="Times New Roman"/>
          <w:noProof/>
          <w:sz w:val="24"/>
          <w:szCs w:val="24"/>
          <w:lang w:eastAsia="es-MX"/>
        </w:rPr>
        <w:drawing>
          <wp:inline distT="0" distB="0" distL="0" distR="0" wp14:anchorId="67769049" wp14:editId="4A8A27FF">
            <wp:extent cx="4575" cy="4572"/>
            <wp:effectExtent l="0" t="0" r="0" b="0"/>
            <wp:docPr id="208421" name="Picture 208421"/>
            <wp:cNvGraphicFramePr/>
            <a:graphic xmlns:a="http://schemas.openxmlformats.org/drawingml/2006/main">
              <a:graphicData uri="http://schemas.openxmlformats.org/drawingml/2006/picture">
                <pic:pic xmlns:pic="http://schemas.openxmlformats.org/drawingml/2006/picture">
                  <pic:nvPicPr>
                    <pic:cNvPr id="208421" name="Picture 208421"/>
                    <pic:cNvPicPr/>
                  </pic:nvPicPr>
                  <pic:blipFill>
                    <a:blip r:embed="rId1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psicológica, así como la canalización y seguimiento de los casos de violencia sexual y de género, en los servicios de salud público, sociales y privados de la entidad, de forma gratuita, bajo los principios de igualdad, dignidad humana, no discriminación, confidencialidad y perspectiva de género.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152. Toda persona que acuda a los servicios de salud y que haya sido víctima de violencia sexual, con la finalidad de evitar la revictimización, tendrá derecho a recibir atención médica, psicológica y preventiva de forma inmediata, sin condicionamiento alguno y sin necesidad de presentar denuncia penal.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Dicha atención deberá incluir, de manera enunciativa, más no limitativa: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Anticoncepción de emergencia dentro de las primeras 72 horas y hasta las 120 horas;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Profilaxis para infecciones de transmisión sexual;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Profilaxis Antirretroviral para la prevención de VIH dentro de las primeras 72 horas;</w:t>
      </w:r>
    </w:p>
    <w:p w:rsidR="005F04F9" w:rsidRPr="00AE0CAB" w:rsidRDefault="005F04F9" w:rsidP="005F04F9">
      <w:pPr>
        <w:spacing w:after="0" w:line="240" w:lineRule="auto"/>
        <w:jc w:val="both"/>
        <w:rPr>
          <w:rFonts w:ascii="Times New Roman" w:eastAsiaTheme="minorEastAsia" w:hAnsi="Times New Roman" w:cs="Times New Roman"/>
          <w:noProof/>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IV. Primeros auxilios psicológicos;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 Información clara sobre su derecho a interrumpir el embarazo en caso de violación;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VI. Valoración médica integral conforme a los protocolos establecidos en las Normas Oficiales Mexicanas;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VII. Notificar a la autoridad correspondiente.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153. La Secretaría establecerá mecanismos permanentes de atención integral en salud a mujeres, adolescentes y niñas, así como personas víctimas de violencia de género.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Dichos servicios deberán estar coordinados con las instancias responsables de la procuración de justicia, protección y apoyo social y operar de conformidad con los protocolos establecidos.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154. La Secretaría, en coordinación con otras instancias competentes, establecerá estrategias de reeducación para víctimas de violencia y personas generadoras de violencia, con el fin de promover la concientización y erradicación de patrones violentos de conducta.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Dichos programas deberán contar con personal especializado y basarse en metodologías validadas, con enfoque de género y derechos humanos.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155. El personal de salud deberá recibir capacitación obligatoria y periódica sobre: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Detección y atención de casos de violencia de género;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Derechos sexuales y reproductivos;</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Interrupción voluntaria del embarazo y legal del embarazo y las Normas Oficiales Mexicanas que lo regulan;</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Perspectiva de género, diversidad sexual, interculturalidad, identidad y expresión de género;</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Atención integral de la violencia sexual; y</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Prevención de la violencia obstétrica y promoción de la salud materna durante el embarazo, parto, interrupción legal del embarazo y puerperio, para no generar un entorno de vulnerabilidad para la mujer.</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156. La Secretaría establecerá mecanismos de coordinación permanente con instituciones públicas y sociales dedicadas a la atención de la violencia de género, a fin de garantizar la referencia, contrarreferencia y seguimiento de los casos, en un marco de atención integral y protección efectiva de los derechos de las víctimas.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157. Los prestadores de servicios de salud públicos, sociales y privados deberán suministrar al Banco Nacional de Datos e Información Sobre Casos de Violencia Contra las Mujeres, la información sobre </w:t>
      </w:r>
      <w:r w:rsidRPr="00AE0CAB">
        <w:rPr>
          <w:rFonts w:ascii="Times New Roman" w:eastAsiaTheme="minorEastAsia" w:hAnsi="Times New Roman" w:cs="Times New Roman"/>
          <w:noProof/>
          <w:sz w:val="24"/>
          <w:szCs w:val="24"/>
          <w:lang w:eastAsia="es-MX"/>
        </w:rPr>
        <w:drawing>
          <wp:inline distT="0" distB="0" distL="0" distR="0" wp14:anchorId="312D358F" wp14:editId="2E6C7336">
            <wp:extent cx="4575" cy="4573"/>
            <wp:effectExtent l="0" t="0" r="0" b="0"/>
            <wp:docPr id="212082" name="Picture 212082"/>
            <wp:cNvGraphicFramePr/>
            <a:graphic xmlns:a="http://schemas.openxmlformats.org/drawingml/2006/main">
              <a:graphicData uri="http://schemas.openxmlformats.org/drawingml/2006/picture">
                <pic:pic xmlns:pic="http://schemas.openxmlformats.org/drawingml/2006/picture">
                  <pic:nvPicPr>
                    <pic:cNvPr id="212082" name="Picture 212082"/>
                    <pic:cNvPicPr/>
                  </pic:nvPicPr>
                  <pic:blipFill>
                    <a:blip r:embed="rId42"/>
                    <a:stretch>
                      <a:fillRect/>
                    </a:stretch>
                  </pic:blipFill>
                  <pic:spPr>
                    <a:xfrm>
                      <a:off x="0" y="0"/>
                      <a:ext cx="4575" cy="4573"/>
                    </a:xfrm>
                    <a:prstGeom prst="rect">
                      <a:avLst/>
                    </a:prstGeom>
                  </pic:spPr>
                </pic:pic>
              </a:graphicData>
            </a:graphic>
          </wp:inline>
        </w:drawing>
      </w:r>
      <w:r w:rsidRPr="00AE0CAB">
        <w:rPr>
          <w:rFonts w:ascii="Times New Roman" w:eastAsiaTheme="minorEastAsia" w:hAnsi="Times New Roman" w:cs="Times New Roman"/>
          <w:sz w:val="24"/>
          <w:szCs w:val="24"/>
          <w:lang w:eastAsia="es-MX"/>
        </w:rPr>
        <w:t>los casos de violencia, respetando la confidencialidad y privacidad de las víctimas.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información generada será utilizada para el diseño de políticas públicas, evaluación de impacto y mejora continua de los servicios.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XI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Arial" w:hAnsi="Times New Roman" w:cs="Times New Roman"/>
          <w:sz w:val="24"/>
          <w:szCs w:val="24"/>
          <w:lang w:eastAsia="es-MX"/>
        </w:rPr>
        <w:t>De la Atención a las Personas Adultas Mayores y del  Envejecimiento Saludable</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158. La Secretaría promoverá acciones para el envejecimiento saludable que implica el desarrollo y mantenimiento de la capacidad funcional que permite el bienestar en edades avanzadas.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159. La Secretaría coordinará la prestación de servicios especializados en geriatría, gerontología, tanatología y especialidades médicas vinculadas con las enfermedades y padecimientos de las personas adultas mayores.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160. La Secretaría promoverá las siguientes acciones para garantizar el envejecimiento saludable: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Promoción para que las instituciones educativas y de seguridad social establezcan las disciplinas para la formación en geriatría y gerontología con el fin de garantizar la cobertura de los servicios de salud requeridos para la población adulta mayor;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Fortalecimiento de áreas especializadas para la atención en gerontología, geriatría y tanatología;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Capacitación y sensibilización del personal de salud, en materia de gerontología, geriatría y tanatología;</w:t>
      </w:r>
    </w:p>
    <w:p w:rsidR="005F04F9" w:rsidRPr="00AE0CAB" w:rsidRDefault="005F04F9" w:rsidP="000D5DE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Establecimiento e implementación de protocolos para la detección e identificación de posibles casos de violencia, abuso o abandono hacia la persona adulta mayor, con la prestación de apoyo psicológico o en su defecto, la canalización a la autoridad competente, según sea el tipo de violencia detectada.</w:t>
      </w:r>
    </w:p>
    <w:p w:rsidR="005F3A12" w:rsidRPr="00AE0CAB" w:rsidRDefault="005F3A12" w:rsidP="005F04F9">
      <w:pPr>
        <w:spacing w:after="0" w:line="240" w:lineRule="auto"/>
        <w:jc w:val="both"/>
        <w:rPr>
          <w:rFonts w:ascii="Times New Roman" w:eastAsiaTheme="minorEastAsia" w:hAnsi="Times New Roman" w:cs="Times New Roman"/>
          <w:sz w:val="24"/>
          <w:szCs w:val="24"/>
          <w:lang w:eastAsia="es-MX"/>
        </w:rPr>
      </w:pPr>
      <w:bookmarkStart w:id="7" w:name="_Hlk222929882"/>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161. La Secretaría garantizará la atención oportuna en las personas adultas mayores </w:t>
      </w:r>
      <w:r w:rsidR="00657C31" w:rsidRPr="00AE0CAB">
        <w:rPr>
          <w:rFonts w:ascii="Times New Roman" w:eastAsiaTheme="minorEastAsia" w:hAnsi="Times New Roman" w:cs="Times New Roman"/>
          <w:sz w:val="24"/>
          <w:szCs w:val="24"/>
          <w:lang w:eastAsia="es-MX"/>
        </w:rPr>
        <w:t xml:space="preserve">con </w:t>
      </w:r>
      <w:r w:rsidRPr="00AE0CAB">
        <w:rPr>
          <w:rFonts w:ascii="Times New Roman" w:eastAsiaTheme="minorEastAsia" w:hAnsi="Times New Roman" w:cs="Times New Roman"/>
          <w:sz w:val="24"/>
          <w:szCs w:val="24"/>
          <w:lang w:eastAsia="es-MX"/>
        </w:rPr>
        <w:t>enfermedades crónico-degenerativas como diabetes mellitus e hipertensión arterial sistémica, prioritariamente.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bookmarkEnd w:id="7"/>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XII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Nutrición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162. La Secretaría en coordinación con los sectores público, social y privado, diseñará, ejecutará y </w:t>
      </w:r>
      <w:r w:rsidRPr="00AE0CAB">
        <w:rPr>
          <w:rFonts w:ascii="Times New Roman" w:eastAsiaTheme="minorEastAsia" w:hAnsi="Times New Roman" w:cs="Times New Roman"/>
          <w:noProof/>
          <w:sz w:val="24"/>
          <w:szCs w:val="24"/>
          <w:lang w:eastAsia="es-MX"/>
        </w:rPr>
        <w:drawing>
          <wp:inline distT="0" distB="0" distL="0" distR="0" wp14:anchorId="09CD7D27" wp14:editId="2B46F758">
            <wp:extent cx="4575" cy="4572"/>
            <wp:effectExtent l="0" t="0" r="0" b="0"/>
            <wp:docPr id="215605" name="Picture 215605"/>
            <wp:cNvGraphicFramePr/>
            <a:graphic xmlns:a="http://schemas.openxmlformats.org/drawingml/2006/main">
              <a:graphicData uri="http://schemas.openxmlformats.org/drawingml/2006/picture">
                <pic:pic xmlns:pic="http://schemas.openxmlformats.org/drawingml/2006/picture">
                  <pic:nvPicPr>
                    <pic:cNvPr id="215605" name="Picture 215605"/>
                    <pic:cNvPicPr/>
                  </pic:nvPicPr>
                  <pic:blipFill>
                    <a:blip r:embed="rId6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evaluará los programas para la prevención y combate de la desnutrición, sobrepeso, obesidad y trastornos alimenticios, a través de las siguientes acciones: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Prevención y control del sobrepeso, obesidad y otros trastornos de la conducta alimentaria, en coordinación con la Secretaría de Educación, Ciencia, Tecnología e Innovación; la detección y seguimiento de peso, talla e índice de masa corporal en los centros escolares de educación básica;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Difusión en entornos familiares, escolares, laborales y comunitarios, la alimentación nutritiva, suficiente y de calidad; y</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57"/>
        </w:numPr>
        <w:spacing w:after="0" w:line="240" w:lineRule="auto"/>
        <w:ind w:left="0"/>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Vigilancia del derecho a la alimentación de las personas, particularmente de las niñas, niños y adolescentes, estableciendo medidas y mecanismos para coadyuvar a que reciban una alimentación </w:t>
      </w:r>
      <w:r w:rsidRPr="00AE0CAB">
        <w:rPr>
          <w:rFonts w:ascii="Times New Roman" w:eastAsiaTheme="minorEastAsia" w:hAnsi="Times New Roman" w:cs="Times New Roman"/>
          <w:noProof/>
          <w:sz w:val="24"/>
          <w:szCs w:val="24"/>
          <w:lang w:eastAsia="es-MX"/>
        </w:rPr>
        <w:drawing>
          <wp:inline distT="0" distB="0" distL="0" distR="0" wp14:anchorId="5C8BAAF5" wp14:editId="752A577C">
            <wp:extent cx="4575" cy="4572"/>
            <wp:effectExtent l="0" t="0" r="0" b="0"/>
            <wp:docPr id="215607" name="Picture 215607"/>
            <wp:cNvGraphicFramePr/>
            <a:graphic xmlns:a="http://schemas.openxmlformats.org/drawingml/2006/main">
              <a:graphicData uri="http://schemas.openxmlformats.org/drawingml/2006/picture">
                <pic:pic xmlns:pic="http://schemas.openxmlformats.org/drawingml/2006/picture">
                  <pic:nvPicPr>
                    <pic:cNvPr id="215607" name="Picture 215607"/>
                    <pic:cNvPicPr/>
                  </pic:nvPicPr>
                  <pic:blipFill>
                    <a:blip r:embed="rId2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nutritiva para su desarrollo integral.</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XIII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Zoonosis y Enfermedades Trasmitidas por Vectores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163. Son enfermedades transmitidas por vector, los padecimientos en los que el agente causal es un artrópodo.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164. La Secretaría es responsable de vigilar, controlar y atender, de manera enunciativa, mas no limitativa, las siguientes zoonosis: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Rabia;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Brucelosis;</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Complejo teniasis cisticercosis;</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Leptospirosis; y</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Rickettsiosis.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165. La Secretaría es responsable de vigilar, controlar y atender, de manera enunciativa, mas no limitativa las siguientes enfermedades transmitidas por vector: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 Dengue y otras </w:t>
      </w:r>
      <w:proofErr w:type="spellStart"/>
      <w:r w:rsidRPr="00AE0CAB">
        <w:rPr>
          <w:rFonts w:ascii="Times New Roman" w:eastAsiaTheme="minorEastAsia" w:hAnsi="Times New Roman" w:cs="Times New Roman"/>
          <w:sz w:val="24"/>
          <w:szCs w:val="24"/>
          <w:lang w:eastAsia="es-MX"/>
        </w:rPr>
        <w:t>arbovirosis</w:t>
      </w:r>
      <w:proofErr w:type="spellEnd"/>
      <w:r w:rsidRPr="00AE0CAB">
        <w:rPr>
          <w:rFonts w:ascii="Times New Roman" w:eastAsiaTheme="minorEastAsia" w:hAnsi="Times New Roman" w:cs="Times New Roman"/>
          <w:sz w:val="24"/>
          <w:szCs w:val="24"/>
          <w:lang w:eastAsia="es-MX"/>
        </w:rPr>
        <w:t>;</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Paludismo;</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Enfermedad de </w:t>
      </w:r>
      <w:proofErr w:type="spellStart"/>
      <w:r w:rsidRPr="00AE0CAB">
        <w:rPr>
          <w:rFonts w:ascii="Times New Roman" w:eastAsiaTheme="minorEastAsia" w:hAnsi="Times New Roman" w:cs="Times New Roman"/>
          <w:sz w:val="24"/>
          <w:szCs w:val="24"/>
          <w:lang w:eastAsia="es-MX"/>
        </w:rPr>
        <w:t>chagas</w:t>
      </w:r>
      <w:proofErr w:type="spellEnd"/>
      <w:r w:rsidRPr="00AE0CAB">
        <w:rPr>
          <w:rFonts w:ascii="Times New Roman" w:eastAsiaTheme="minorEastAsia" w:hAnsi="Times New Roman" w:cs="Times New Roman"/>
          <w:sz w:val="24"/>
          <w:szCs w:val="24"/>
          <w:lang w:eastAsia="es-MX"/>
        </w:rPr>
        <w:t>; e</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Intoxicación por ponzoña de animales.</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166. La Secretaría fortalecerá los programas de prevención y control de las principales zoonosis y enfermedades transmitidas por vector, que impactan a la salud humana, con la intervención de los sectores públicos, sociales y privados, sanidad animal y medio ambiente, así como una colaboración intersectorial a nivel local y regional, considerando: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La difusión de acciones para prevenir, controlar y atender las zoonosis y el control epidemiológico de enfermedades transmitidas por vector;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 identificación clínica y diagnóstico confirmatorio por laboratorio, de pacientes infectados por vector o alguna enfermedad zoonótica, para otorgar el tratamiento específico, confiable y oportuno;</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ejecución de acciones de vacunación antirrábica y esterilización quirúrgica de perros y gatos, para la prevención de la rabia;</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implementación de acciones para el control de poblaciones de artrópodos y animales ponzoñosos, mediante el saneamiento básico y la aplicación de agentes físicos, biológicos y químicos; y</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participación en la educación médica continua y de enseñanza en materia de zoonosis y vectores.</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XIV</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Prevención y Control de Enfermedades Bucodentales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167. La Secretaría impulsará acciones de prevención, promoción, atención curativa, rehabilitación y protección de la salud bucal en todas las etapas de la vida.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168. La Secretaría implementará programas de prevención y control de enfermedades bucodentales, procurando un trabajo multidisciplinario y una colaboración intersectorial a nivel </w:t>
      </w:r>
      <w:r w:rsidRPr="00AE0CAB">
        <w:rPr>
          <w:rFonts w:ascii="Times New Roman" w:eastAsiaTheme="minorEastAsia" w:hAnsi="Times New Roman" w:cs="Times New Roman"/>
          <w:sz w:val="24"/>
          <w:szCs w:val="24"/>
          <w:lang w:eastAsia="es-MX"/>
        </w:rPr>
        <w:lastRenderedPageBreak/>
        <w:t>local y regional, con la finalidad de generar en la población una cultura de prevención y atención de las enfermedades bucodentales.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169. La prevención y control de enfermedades bucodentales comprende las siguientes acciones: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Atención de la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Promoción de medidas de prevención y control;</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Elaboración y ejecución de programas de prevención y control;</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7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Promoción del autocuidado y adiestramiento para el autoexamen bucal rutinario; y</w:t>
      </w:r>
    </w:p>
    <w:p w:rsidR="005F04F9" w:rsidRPr="00AE0CAB" w:rsidRDefault="005F04F9" w:rsidP="00186B1F">
      <w:pPr>
        <w:spacing w:after="0" w:line="240" w:lineRule="auto"/>
        <w:contextualSpacing/>
        <w:rPr>
          <w:rFonts w:ascii="Times New Roman" w:eastAsiaTheme="minorEastAsia" w:hAnsi="Times New Roman" w:cs="Times New Roman"/>
          <w:sz w:val="24"/>
          <w:szCs w:val="24"/>
          <w:lang w:eastAsia="es-MX"/>
        </w:rPr>
      </w:pPr>
    </w:p>
    <w:p w:rsidR="005F04F9" w:rsidRPr="00AE0CAB" w:rsidRDefault="005F04F9" w:rsidP="00551BD2">
      <w:pPr>
        <w:numPr>
          <w:ilvl w:val="0"/>
          <w:numId w:val="7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Promoción de medidas preventivas en espacios escolares y capacitación a la comunidad escolar, madres y padres de familia, tutores y cuidadores para mejorar la salud bucal de las niñas, niños y adolescentes.</w:t>
      </w:r>
    </w:p>
    <w:p w:rsidR="005F04F9" w:rsidRPr="00AE0CAB" w:rsidRDefault="005F04F9" w:rsidP="00186B1F">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170. La Secretaría coordinará con instituciones de los sectores públicos, sociales y privados, acciones con el objeto de alcanzar una amplia cobertura en la prevención y control de enfermedades bucodentales.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XV</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Salud Mental y Adicciones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anchor distT="0" distB="0" distL="114300" distR="114300" simplePos="0" relativeHeight="251672576" behindDoc="0" locked="0" layoutInCell="1" allowOverlap="0" wp14:anchorId="746B321F" wp14:editId="4F6EB5B0">
            <wp:simplePos x="0" y="0"/>
            <wp:positionH relativeFrom="page">
              <wp:posOffset>6898633</wp:posOffset>
            </wp:positionH>
            <wp:positionV relativeFrom="page">
              <wp:posOffset>3922776</wp:posOffset>
            </wp:positionV>
            <wp:extent cx="4575" cy="4572"/>
            <wp:effectExtent l="0" t="0" r="0" b="0"/>
            <wp:wrapSquare wrapText="bothSides"/>
            <wp:docPr id="222440" name="Picture 222440"/>
            <wp:cNvGraphicFramePr/>
            <a:graphic xmlns:a="http://schemas.openxmlformats.org/drawingml/2006/main">
              <a:graphicData uri="http://schemas.openxmlformats.org/drawingml/2006/picture">
                <pic:pic xmlns:pic="http://schemas.openxmlformats.org/drawingml/2006/picture">
                  <pic:nvPicPr>
                    <pic:cNvPr id="222440" name="Picture 222440"/>
                    <pic:cNvPicPr/>
                  </pic:nvPicPr>
                  <pic:blipFill>
                    <a:blip r:embed="rId35"/>
                    <a:stretch>
                      <a:fillRect/>
                    </a:stretch>
                  </pic:blipFill>
                  <pic:spPr>
                    <a:xfrm>
                      <a:off x="0" y="0"/>
                      <a:ext cx="4575" cy="4572"/>
                    </a:xfrm>
                    <a:prstGeom prst="rect">
                      <a:avLst/>
                    </a:prstGeom>
                  </pic:spPr>
                </pic:pic>
              </a:graphicData>
            </a:graphic>
          </wp:anchor>
        </w:drawing>
      </w:r>
      <w:r w:rsidRPr="00AE0CAB">
        <w:rPr>
          <w:rFonts w:ascii="Times New Roman" w:eastAsiaTheme="minorEastAsia" w:hAnsi="Times New Roman" w:cs="Times New Roman"/>
          <w:sz w:val="24"/>
          <w:szCs w:val="24"/>
          <w:lang w:eastAsia="es-MX"/>
        </w:rPr>
        <w:t>Artículo 171. La prevención y la atención a la salud mental y a las adicciones tienen carácter de prioritario dentro de las políticas de salud y están fundamentadas en los factores de riesgo biológico, psicológico y social, así como en la evidencia científica y en los estándares nacionales que avalan los métodos, procedimientos y demás aspectos relacionados, con especial enfoque en los grupos atención prioritaria.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172. Los servicios y programas en materia de salud mental y adicciones, consideran la estrecha relación que existe entre los trastornos de salud mental y las adicciones, por lo que todas las actividades de carácter preventivo, de atención a la salud y demás relacionadas deberán estar integradas en el mismo sistema coordinado.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servicios y programas en materia de salud mental y adicciones deberán privilegiar la atención personal, comunitaria, integral, interdisciplinaria, intercultural, con perspectiva de género y participativa de las personas en todos los niveles de atención, con pleno respeto a los derechos humanos.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173. La Secretaría vigila la atención integral de la salud mental y adicciones, con enfoque comunitario, coordina el acceso y el fortalecimiento de los servicios de tratamiento, con las dependencias de la administración pública estatal y municipios, mediante las siguientes acciones: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Servicios de atención a la salud mental y adicciones;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II. Desarrollo y ejecución de programas de atención para los diversos trastornos de salud mental y adicciones, con base en la evidencia científica y en las mejores prácticas, con un enfoque comunitario y social;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Homologación de los programas de atención en salud mental y adicciones en los tres niveles de atención del sector salud, teniendo como objetivo final la reinserción social y el desarrollo integral de las personas atendidas;</w:t>
      </w:r>
    </w:p>
    <w:p w:rsidR="005F04F9" w:rsidRPr="00AE0CAB" w:rsidRDefault="005F04F9" w:rsidP="00D741D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Acceso a la atención integral, continua e interdisciplinaria en todos los servicios de salud mental y adicciones, asegurando la articulación con los demás servicios de salud;</w:t>
      </w:r>
    </w:p>
    <w:p w:rsidR="005F04F9" w:rsidRPr="00AE0CAB" w:rsidRDefault="005F04F9" w:rsidP="00D741D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Vigilancia de los centros públicos, sociales o privados que atienden trastornos de salud mental y adicciones, con apego a la normatividad vigente y fortaleciendo la Red Estatal de Servicios de Salud Mental y Adicciones;</w:t>
      </w:r>
    </w:p>
    <w:p w:rsidR="005F04F9" w:rsidRPr="00AE0CAB" w:rsidRDefault="005F04F9" w:rsidP="00D741D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Atención de personas cuyo conflicto con la Ley esté relacionado con algún trastorno de salud mental o adicciones, priorizando el acceso universal a la atención;</w:t>
      </w:r>
    </w:p>
    <w:p w:rsidR="005F04F9" w:rsidRPr="00AE0CAB" w:rsidRDefault="005F04F9" w:rsidP="00D741D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Vigilancia de la prestación de los servicios de salud mental y adicciones, que cuenten con capacitación y especialización progresiva en conocimientos clínicos y psicoterapéuticos para garantizar una atención de calidad;</w:t>
      </w:r>
    </w:p>
    <w:p w:rsidR="005F04F9" w:rsidRPr="00AE0CAB" w:rsidRDefault="005F04F9" w:rsidP="00D741D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Desarrollo de protocolos de atención en urgencias de salud mental y adicciones, incluyendo primeros auxilios psicológicos en todo el sistema de atención prehospitalaria y hospitalaria;</w:t>
      </w:r>
    </w:p>
    <w:p w:rsidR="005F04F9" w:rsidRPr="00AE0CAB" w:rsidRDefault="005F04F9" w:rsidP="00D741D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Desarrollo e implementación de herramientas tecnológicas para garantizar la cobertura en áreas de difícil acceso o que no cuenten con personal especializado;</w:t>
      </w:r>
    </w:p>
    <w:p w:rsidR="005F04F9" w:rsidRPr="00AE0CAB" w:rsidRDefault="005F04F9" w:rsidP="00D741D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Generar campañas de concientización para la prevención de adicciones; y</w:t>
      </w:r>
    </w:p>
    <w:p w:rsidR="005F04F9" w:rsidRPr="00AE0CAB" w:rsidRDefault="005F04F9" w:rsidP="00D741D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Promoción de la perspectiva de género y de diversidad sexual en los establecimientos residenciales para garantizar un trato digno y adecuado a todas las personas usuarias.</w:t>
      </w:r>
    </w:p>
    <w:p w:rsidR="005F04F9" w:rsidRPr="00AE0CAB" w:rsidRDefault="005F04F9" w:rsidP="00D741D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w:t>
      </w:r>
      <w:r w:rsidR="00D741D4" w:rsidRPr="00AE0CAB">
        <w:rPr>
          <w:rFonts w:ascii="Times New Roman" w:eastAsiaTheme="minorEastAsia" w:hAnsi="Times New Roman" w:cs="Times New Roman"/>
          <w:sz w:val="24"/>
          <w:szCs w:val="24"/>
          <w:lang w:eastAsia="es-MX"/>
        </w:rPr>
        <w:t xml:space="preserve">lo </w:t>
      </w:r>
      <w:r w:rsidRPr="00AE0CAB">
        <w:rPr>
          <w:rFonts w:ascii="Times New Roman" w:eastAsiaTheme="minorEastAsia" w:hAnsi="Times New Roman" w:cs="Times New Roman"/>
          <w:sz w:val="24"/>
          <w:szCs w:val="24"/>
          <w:lang w:eastAsia="es-MX"/>
        </w:rPr>
        <w:t>174. La Secretaría coordinará los trabajos del Comité de Salud Mental y Adicciones, cuya organización y funcionamiento se establecerá en el Reglamento de la presente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175. Los prestadores de servicios de salud mental y adicciones, tanto públicos, sociales y privados, proporcionarán información que permita contar con datos actualizados sobre prevalencias, tendencias y estadísticas en materia de salud mental y adicciones, con el propósito de fortalecer sus capacidades operativas.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176. La Secretaría, a través del Instituto Mexiquense de Salud Mental y Adicciones, implementará de manera permanente políticas públicas, programas y acciones integrales de prevención, información, orientación, atención y seguimiento, dirigidas a evitar el inicio, reducir el consumo y prevenir los riesgos y daños asociados al uso de los cigarros electrónicos, vapeadores y demás sistemas o dispositivos análogos.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177. La Secretaría, a través de la COPRISEMEX y el Instituto Mexiquense de Salud Mental y Adicciones, dentro del ámbito de sus competencias, en materia de cigarros electrónicos, vapeadores y demás sistemas o dispositivos análogos, deberá:</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Establecer y fortalecer entornos libres del uso, promoción y consumo de estos dispositivos en espacios educativos, deportivos, culturales, recreativos y de atención a la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Reforzar la vigilancia sanitaria y el control de su disponibilidad, conforme a la normatividad aplicable;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Implementar mecanismos de detección temprana, orientación, acompañamiento y canalización a servicios especializados;</w:t>
      </w:r>
    </w:p>
    <w:p w:rsidR="005F04F9" w:rsidRPr="00AE0CAB" w:rsidRDefault="005F04F9" w:rsidP="007A52F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la corresponsabilidad familiar, comunitaria y social en la prevención del consumo; y</w:t>
      </w:r>
    </w:p>
    <w:p w:rsidR="005F04F9" w:rsidRPr="00AE0CAB" w:rsidRDefault="005F04F9" w:rsidP="007A52F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1"/>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Desarrollar campañas permanentes de sensibilización y educación sobre los riesgos asociados.</w:t>
      </w:r>
    </w:p>
    <w:p w:rsidR="005F04F9" w:rsidRPr="00AE0CAB" w:rsidRDefault="005F04F9" w:rsidP="007A52F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XVI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los Establecimientos Residenciales Especializados en la Atención de Adicciones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178. El tratamiento, rehabilitación y reinserción social de la población con adicciones se llevará a cabo mediante el establecimiento de Centros Especializados, ya sean, públicos, sociales o privados, los cuales deberán apegarse a las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179. La Secretaría, a través del Instituto Mexiquense de Salud Mental y Adicciones, en materia de tratamiento y atención de los establecimientos residenciales, tendrá las siguientes atribuciones: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Vigilar que los centros especializados en tratamiento, atención, y rehabilitación, cuenten con sistemas de tratamiento y rehabilitación, fundamentados en el respeto a la integridad ya la libre decisión de la persona usuaria que padece alguna enfermedad por el uso y abuso de alguna sustancia psicoactiva, de conformidad con las disposiciones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2"/>
        </w:numPr>
        <w:spacing w:after="0" w:line="240" w:lineRule="auto"/>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Desarrollar campañas, programas y acciones encaminadas a la prevención y atención del consumo de sustancias psicoactivas de las personas usuarias;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Elaborar y actualizar permanentemente el padrón de instituciones y organismos públicos, sociales y privados, que realicen actividades de prevención, atención y reinserción social en materia de salud mental y adicciones;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la formación y capacitación de recursos humanos de las instituciones y organismos públicos, sociales y privados, especializados en la prevención y atención de la salud mental y adicciones;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Realizar periódicamente las visitas de inspección en coordinación, con el Comité de Supervisión de Establecimientos Residenciales, que permitan vigilar el cumplimiento de las disposiciones jurídicas en materia de su competencia;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2"/>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Atender las solicitudes de las autoridades competentes para promover la correspondiente orientación médica, de prevención; o bien, brindar el tratamiento a la persona usuaria, en términos de lo establecido en las disposiciones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180. Con la finalidad de promover el cumplimiento de la legislación sanitaria vigente, derivado del fomento sanitario y atención médica para el cuidado de personas con problemas de salud mental y adicciones, los establecimientos residenciales especializados en adicciones deberán contar con modelos de: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Atención de Ayuda Mutua;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Mixtos; y/o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Profesionales.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181. Los establecimientos residenciales deberán: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Aplicar modelos integrales en salud, que atienda no solo la adicción, sino también la salud física y mental, y el bienestar emocional de la persona;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Ofrecer actividades significativas y terapéuticas, adaptadas a las capacidades individuales, respetando su ritmo y brindando apoyo cuando sea necesario;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la reinserción social y familiar de la persona, a través de programas de apoyo y seguimiento;</w:t>
      </w:r>
    </w:p>
    <w:p w:rsidR="005F04F9" w:rsidRPr="00AE0CAB" w:rsidRDefault="005F04F9" w:rsidP="007A52F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Crear una comunidad de apoyo donde los residentes se sientan seguros, comprendidos y motivados para lograr sus objetivos de recuperación; y</w:t>
      </w:r>
    </w:p>
    <w:p w:rsidR="005F04F9" w:rsidRPr="00AE0CAB" w:rsidRDefault="005F04F9" w:rsidP="007A52F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Promover la participación los usuarios participan activamente en la gestión del centro y en la ayuda a otros residentes, promoviendo un sentido de responsabilidad y pertenencia.</w:t>
      </w:r>
    </w:p>
    <w:p w:rsidR="005F04F9" w:rsidRPr="00AE0CAB" w:rsidRDefault="005F04F9" w:rsidP="007A52F4">
      <w:pPr>
        <w:spacing w:after="0" w:line="240" w:lineRule="auto"/>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establecimientos residenciales con modelo profesional brindarán sus servicios a través de profesionales de la salud, el otorgamiento de consulta externa, consulta de urgencias y, en su caso, hospitalización de las personas usuarias de sustancias psicoactivas.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182. La Secretaría coordinará los trabajos del Comité de Establecimientos Residenciales Especializados en Atención Adicciones, cuya organización y funcionamiento se establecerá en el Reglamento de la presente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XVII</w:t>
      </w:r>
    </w:p>
    <w:p w:rsidR="005F04F9" w:rsidRPr="00AE0CAB" w:rsidRDefault="005F04F9" w:rsidP="005F04F9">
      <w:pPr>
        <w:keepNext/>
        <w:keepLines/>
        <w:spacing w:after="0" w:line="240" w:lineRule="auto"/>
        <w:jc w:val="center"/>
        <w:outlineLvl w:val="1"/>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Del Suicidio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183. La Secretaría coordinará la integración, implementación y evaluación del Programa Estatal de Prevención del Suicidio, el cual tendrá un enfoque de concientización, eliminación del estigma, no discriminación, incluyendo su red de apoyo.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184.El Programa Estatal de Prevención del Suicidio comprenderá las siguientes acciones: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Actividades educativas, socioculturales y recreativas, como factor de protección contra el suicidio;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4"/>
        </w:numPr>
        <w:spacing w:after="0" w:line="240" w:lineRule="auto"/>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Fortalecimiento de estrategias para garantizar el bienestar emocional;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4"/>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Promoción de la Red Estatal de Salud Mental y Adicciones, a través de campañas educativas y actividades de sensibilización, para la detección y canalización de personas con comportamientos suicidas;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4"/>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Servicios multidisciplinarios para la detección oportuna, diagnóstico, tratamiento y seguimiento del trastorno emocional;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4"/>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Coordinación con las instituciones que integran el Sistema Estatal, en materia de prevención del suicidio.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 SÉPTIMO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LOS SERVICIOS DE ATENCIÓN PREHOSPITALARIA Y SERVICIOS DE URGENCIAS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Atención Prehospitalaria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185. Se entiende por atención prehospitalaria a toda aquella atención médica fuera de un centro hospitalario que requiere de atención de un profesional entrenado, material y equipo especializado.</w:t>
      </w:r>
    </w:p>
    <w:p w:rsidR="005F04F9" w:rsidRPr="00AE0CAB" w:rsidRDefault="005F04F9" w:rsidP="005F04F9">
      <w:pPr>
        <w:spacing w:after="0" w:line="240" w:lineRule="auto"/>
        <w:jc w:val="both"/>
        <w:rPr>
          <w:rFonts w:ascii="Times New Roman" w:eastAsiaTheme="minorEastAsia" w:hAnsi="Times New Roman" w:cs="Times New Roman"/>
          <w:noProof/>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noProof/>
          <w:sz w:val="24"/>
          <w:szCs w:val="24"/>
          <w:lang w:eastAsia="es-MX"/>
        </w:rPr>
      </w:pPr>
      <w:r w:rsidRPr="00AE0CAB">
        <w:rPr>
          <w:rFonts w:ascii="Times New Roman" w:eastAsiaTheme="minorEastAsia" w:hAnsi="Times New Roman" w:cs="Times New Roman"/>
          <w:noProof/>
          <w:sz w:val="24"/>
          <w:szCs w:val="24"/>
          <w:lang w:eastAsia="es-MX"/>
        </w:rPr>
        <w:t>Artículo 186. La atención prehospitalaria se divide en:</w:t>
      </w:r>
    </w:p>
    <w:p w:rsidR="005F04F9" w:rsidRPr="00AE0CAB" w:rsidRDefault="005F04F9" w:rsidP="005F04F9">
      <w:pPr>
        <w:spacing w:after="0" w:line="240" w:lineRule="auto"/>
        <w:jc w:val="both"/>
        <w:rPr>
          <w:rFonts w:ascii="Times New Roman" w:eastAsiaTheme="minorEastAsia" w:hAnsi="Times New Roman" w:cs="Times New Roman"/>
          <w:noProof/>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No Urgente: que contempla medidas preventivas como capacitación, preparación, planificación, prevención y acciones posteriores a una emergencia como rehabilitación y seguimiento,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Urgencias: toda aquella condición que pone en riesgo la vida o la función de un órgano y que requiere atención de manera prioritaria por personal capacitado.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187. La Secretaría, a través de los Servicios de Urgencias del Estado de México, será la encargada de coordinar, supervisar y, en su caso, brindar la atención prehospitalaria de urgencias médicas y rescate en el territorio mexiquense, para ello se auxiliará del Centro Regulador de Urgencias Médicas.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188. El Centro Regulador de Urgencias Médicas tiene por objeto, establecer las directrices, identificar, asignar y regular interinstitucionalmente los servicios de urgencias prehospitalarias en el territorio estatal, coordinando los trabajos de los prestadores de servicios públicos, sociales y privados, con la finalidad de atender la urgencia y trasladar a la persona usuaria, al establecimiento de salud más cercano y adecuado que por la naturaleza de la urgencia, requiera.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189. El Centro Regulador de Urgencias Médicas estará a cargo de los Servicios de Urgencias del Estado de México y se integra por los prestadores de servicios prehospitalarios públicos, sociales y privados.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190. El Centro Regulador de Urgencias Médicas coordinará acciones de vinculación con los Centros de Comando, Control, Cómputo, Comunicaciones y Contacto Ciudadano, dependientes de la Secretaría de Seguridad, así como con las Líneas de Emergencias 911, para la atención de las emergencias médicas.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191. Se crea el Sistema Interinstitucional de Respuesta Inmediata Prehospitalaria como un mecanismo de coordinación operativa entre las instituciones que prestan servicios de atención prehospitalaria en la entidad, con el objeto de optimizar la gestión de recursos prehospitalarios, agilizar la atención y reducir tiempos de respuesta ante una emergencia y evitar la duplicidad de intervenciones interinstitucionales.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Sistema Interinstitucional de Respuesta Inmediata Prehospitalaria, concentrará en tiempo real la información relativa al estado de fuerza y capacidades instaladas de las instituciones que participen en dicho sistema.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192. Es obligación de toda institución pública, social y privada que preste servicios de atención prehospitalaria, solicitar al Centro Regulador de Urgencias Médicas, el usuario y contraseña para operar el Sistema Interinstitucional de Respuesta Inmediata Prehospitalaria.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193. Las y los prestadores de servicios de atención prehospitalaria públicos, sociales o privados, solicitarán al Centro Regulador de Urgencias Médicas, a través del Sistema Interinstitucional de Respuesta Inmediata, la asignación de un hospital público para la atención de pacientes que no cuenten con derechohabiencia.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194. La Secretaría podrá requerir a las o los prestadores de servicios de salud públicos, sociales o privados, brindar atención prehospitalaria de manera preventiva y de rehabilitación en casos catalogados como no urgentes.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ind w:right="49"/>
        <w:jc w:val="both"/>
        <w:rPr>
          <w:rFonts w:ascii="Times New Roman" w:eastAsiaTheme="minorEastAsia" w:hAnsi="Times New Roman" w:cs="Times New Roman"/>
          <w:sz w:val="24"/>
          <w:szCs w:val="24"/>
          <w:lang w:eastAsia="es-MX"/>
        </w:rPr>
      </w:pPr>
      <w:r w:rsidRPr="00AE0CAB">
        <w:rPr>
          <w:rFonts w:ascii="Times New Roman" w:eastAsia="Arial" w:hAnsi="Times New Roman" w:cs="Times New Roman"/>
          <w:sz w:val="24"/>
          <w:szCs w:val="24"/>
        </w:rPr>
        <w:t xml:space="preserve">Artículo 195. La Secretaría, a  través de  los Servicios  de  Urgencias del  Estado de  México, coordinará las acciones necesarias  para  que  en  caso de  una  emergencia mayor  y/o desastre,  se instale  el  Sistema  de </w:t>
      </w:r>
      <w:r w:rsidRPr="00AE0CAB">
        <w:rPr>
          <w:rFonts w:ascii="Times New Roman" w:eastAsiaTheme="minorEastAsia" w:hAnsi="Times New Roman" w:cs="Times New Roman"/>
          <w:sz w:val="24"/>
          <w:szCs w:val="24"/>
          <w:lang w:eastAsia="es-MX"/>
        </w:rPr>
        <w:t>Comando de Incidentes, para llevar a cabo y supervisar las acciones prehospitalarias para garantizar de manera eficiente y oportuna el acceso a servicios de salud de la población que así lo requiera.</w:t>
      </w:r>
    </w:p>
    <w:p w:rsidR="005F04F9" w:rsidRPr="00AE0CAB" w:rsidRDefault="005F04F9" w:rsidP="005F04F9">
      <w:pPr>
        <w:spacing w:after="0" w:line="240" w:lineRule="auto"/>
        <w:ind w:right="49"/>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196. Todo traslado derivado de una urgencia médica, realizado por una institución pública, social o privada deberá ser gratuito y bajo ninguna situación se puede solicitar pago alguno, monetario o en especie.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197. La Secretaría y las instituciones de la entidad federativa, en sus respectivos ámbitos de competencia, se coordinarán con las dependencias y entidades municipales del sector público, social y privado para la prestación de los servicios a que se refiere esta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los Códigos de Emergencia en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198. En situaciones de emergencia que pongan en riesgo la vida de un paciente, se observará </w:t>
      </w:r>
      <w:r w:rsidRPr="00AE0CAB">
        <w:rPr>
          <w:rFonts w:ascii="Times New Roman" w:eastAsiaTheme="minorEastAsia" w:hAnsi="Times New Roman" w:cs="Times New Roman"/>
          <w:noProof/>
          <w:sz w:val="24"/>
          <w:szCs w:val="24"/>
          <w:lang w:eastAsia="es-MX"/>
        </w:rPr>
        <w:drawing>
          <wp:inline distT="0" distB="0" distL="0" distR="0" wp14:anchorId="653D0677" wp14:editId="712DE1CA">
            <wp:extent cx="4575" cy="4572"/>
            <wp:effectExtent l="0" t="0" r="0" b="0"/>
            <wp:docPr id="240115" name="Picture 240115"/>
            <wp:cNvGraphicFramePr/>
            <a:graphic xmlns:a="http://schemas.openxmlformats.org/drawingml/2006/main">
              <a:graphicData uri="http://schemas.openxmlformats.org/drawingml/2006/picture">
                <pic:pic xmlns:pic="http://schemas.openxmlformats.org/drawingml/2006/picture">
                  <pic:nvPicPr>
                    <pic:cNvPr id="240115" name="Picture 240115"/>
                    <pic:cNvPicPr/>
                  </pic:nvPicPr>
                  <pic:blipFill>
                    <a:blip r:embed="rId9"/>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lo establecido en los Códigos de Emergencia en Salud, que correspondan según la situación presentada.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 xml:space="preserve">La Secretaría podrá implementar aquellos Códigos que considere necesarios para atender emergencias </w:t>
      </w:r>
      <w:r w:rsidRPr="00AE0CAB">
        <w:rPr>
          <w:rFonts w:ascii="Times New Roman" w:eastAsiaTheme="minorEastAsia" w:hAnsi="Times New Roman" w:cs="Times New Roman"/>
          <w:noProof/>
          <w:sz w:val="24"/>
          <w:szCs w:val="24"/>
          <w:lang w:eastAsia="es-MX"/>
        </w:rPr>
        <w:drawing>
          <wp:inline distT="0" distB="0" distL="0" distR="0" wp14:anchorId="083BE511" wp14:editId="7CCF7931">
            <wp:extent cx="4575" cy="4572"/>
            <wp:effectExtent l="0" t="0" r="0" b="0"/>
            <wp:docPr id="240116" name="Picture 240116"/>
            <wp:cNvGraphicFramePr/>
            <a:graphic xmlns:a="http://schemas.openxmlformats.org/drawingml/2006/main">
              <a:graphicData uri="http://schemas.openxmlformats.org/drawingml/2006/picture">
                <pic:pic xmlns:pic="http://schemas.openxmlformats.org/drawingml/2006/picture">
                  <pic:nvPicPr>
                    <pic:cNvPr id="240116" name="Picture 240116"/>
                    <pic:cNvPicPr/>
                  </pic:nvPicPr>
                  <pic:blipFill>
                    <a:blip r:embed="rId2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médicas.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Para efectos de la presente Ley, la Secretaría cuenta con: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Código Asfixia; para la atención de hipoxia neonatal;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Código Cerebro; para la atención de infarto cerebral;</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Código Infarto, para atención de infarto agudo al miocardio;</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Código Mariposa, para atención integral en casos de muerte neonatal;</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Código Mater-Oro, para emergencias obstétricas;</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Código Morado; para la atención de pacientes con agitación psicomotriz que ponen en riesgo su vida o la vida de los demás;</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Código Naranja; para la atención integral de la violencia sexual en niñas y niños menores de 15 años;</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Código Tejiendo Vidas, para el suministro de tejidos a pacientes; y</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Código Vida; para la donación, procuración y trasplante de órganos.</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199. Estos Códigos son de observancia general y obligatoria para los prestadores de servicios de salud públicos, sociales y privados.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los Medios de Transporte Prehospitalario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200. Se entiende como unidad de emergencia, a los medios de transporte utilizados para atender una urgencia o realizar un rescate, siendo de tipo:</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2F684C" w:rsidP="005F04F9">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sz w:val="24"/>
          <w:szCs w:val="24"/>
        </w:rPr>
        <w:t>I</w:t>
      </w:r>
      <w:r w:rsidR="005F04F9" w:rsidRPr="00AE0CAB">
        <w:rPr>
          <w:rFonts w:ascii="Times New Roman" w:eastAsia="Arial" w:hAnsi="Times New Roman" w:cs="Times New Roman"/>
          <w:sz w:val="24"/>
          <w:szCs w:val="24"/>
        </w:rPr>
        <w:t>. Acuático: lancha, barco o vehículo anfibio;</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Aéreo: avión, helicóptero, avioneta o dron;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Terrestre: ambulancia, motocicleta, camión de rescate o vehículo anfibio.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201. Toda unidad de emergencia debe ajustarse a los lineamientos de normatividad y reglamentación vigentes para este fin.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202. La Secretaría supervisará que toda unidad de emergencia que opere en el territorio cumpla con los lineamientos establecidos.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203. Los responsables de las unidades de emergencia, están obligados a cumplir con las disposiciones vigentes para tener las acreditaciones: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I. Mecánicas y eléctricas, conforme al manual del fabricante;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Mecánicas y eléctricas, conforme al manual de la conversión por un centro autorizado legalmente para este fin;</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Condiciones físicas óptimas, de conformidad con los reglamentos de tránsito vehicular, aeroespacial o marítimo, según sea el caso;</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Tarjeta de Control Sanitario, de conformidad a las disposiciones de la instancia reguladora correspondiente;</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Rotulación, de conformidad con manual interno de acuerdo con la institución que pertenezca;</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Número económico y </w:t>
      </w:r>
      <w:proofErr w:type="spellStart"/>
      <w:r w:rsidRPr="00AE0CAB">
        <w:rPr>
          <w:rFonts w:ascii="Times New Roman" w:eastAsiaTheme="minorEastAsia" w:hAnsi="Times New Roman" w:cs="Times New Roman"/>
          <w:sz w:val="24"/>
          <w:szCs w:val="24"/>
          <w:lang w:eastAsia="es-MX"/>
        </w:rPr>
        <w:t>emplacamiento</w:t>
      </w:r>
      <w:proofErr w:type="spellEnd"/>
      <w:r w:rsidRPr="00AE0CAB">
        <w:rPr>
          <w:rFonts w:ascii="Times New Roman" w:eastAsiaTheme="minorEastAsia" w:hAnsi="Times New Roman" w:cs="Times New Roman"/>
          <w:sz w:val="24"/>
          <w:szCs w:val="24"/>
          <w:lang w:eastAsia="es-MX"/>
        </w:rPr>
        <w:t xml:space="preserve"> ante la autoridad correspondiente; y</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Cumplir con las verificaciones y pago de derechos de impuestos, de conformidad a las disposiciones de la instancia correspondiente.</w:t>
      </w:r>
    </w:p>
    <w:p w:rsidR="005F04F9" w:rsidRPr="00AE0CAB" w:rsidRDefault="005F04F9" w:rsidP="002F684C">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 OCTAVO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DONACIÓN Y TRASPLANTES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Disposiciones Generales de la Donación de Órganos y Tejidos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204. La donación de órganos y tejidos debe realizarse de manera voluntaria, por lo que su obtención a través de la coacción física, psicológica o moral, privación de la libertad, engaño, abuso de poder, entrega de pagos o beneficios, será sancionado conforme a lo previsto en lo previsto en la normatividad aplicable.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205. Los pacientes con insuficiencia irreversible y terminal de un órgano o tejido, deben ser referidos a un programa de trasplante del órgano afectado, para su valoración y en su caso, para el registro correspondiente en Registro Estatal de Enfermedades Crónicas Trasplantables.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206. La donación y el trasplante de órganos y tejidos procedentes de donadores vivos o fallecidos, se regirán por los principios de gratuidad, altruismo, ausencia de ánimo de lucro, confidencialidad y factibilidad, establecidos en las disposiciones reglamentarias aplicables.</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r w:rsidRPr="00AE0CAB">
        <w:rPr>
          <w:rFonts w:ascii="Times New Roman" w:eastAsia="Arial" w:hAnsi="Times New Roman" w:cs="Times New Roman"/>
          <w:sz w:val="24"/>
          <w:szCs w:val="24"/>
          <w:lang w:eastAsia="es-MX"/>
        </w:rPr>
        <w:t>Artículo 207.</w:t>
      </w:r>
      <w:r w:rsidRPr="00AE0CAB">
        <w:rPr>
          <w:rFonts w:ascii="Times New Roman" w:eastAsia="Arial" w:hAnsi="Times New Roman" w:cs="Times New Roman"/>
          <w:b/>
          <w:sz w:val="24"/>
          <w:szCs w:val="24"/>
          <w:lang w:eastAsia="es-MX"/>
        </w:rPr>
        <w:t xml:space="preserve"> </w:t>
      </w:r>
      <w:r w:rsidRPr="00AE0CAB">
        <w:rPr>
          <w:rFonts w:ascii="Times New Roman" w:eastAsia="Arial" w:hAnsi="Times New Roman" w:cs="Times New Roman"/>
          <w:sz w:val="24"/>
          <w:szCs w:val="24"/>
          <w:lang w:eastAsia="es-MX"/>
        </w:rPr>
        <w:t>Respecto  a  la  donación de  órganos y  tejidos,  para  el  Estado  de  México,  se estará estipulado en la  Ley General.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208. Si una persona donante, expresa o tácita con muerte encefálica, se encuentra en un </w:t>
      </w:r>
      <w:r w:rsidRPr="00AE0CAB">
        <w:rPr>
          <w:rFonts w:ascii="Times New Roman" w:eastAsiaTheme="minorEastAsia" w:hAnsi="Times New Roman" w:cs="Times New Roman"/>
          <w:noProof/>
          <w:sz w:val="24"/>
          <w:szCs w:val="24"/>
          <w:lang w:eastAsia="es-MX"/>
        </w:rPr>
        <w:drawing>
          <wp:inline distT="0" distB="0" distL="0" distR="0" wp14:anchorId="3E693999" wp14:editId="65D37287">
            <wp:extent cx="4575" cy="4572"/>
            <wp:effectExtent l="0" t="0" r="0" b="0"/>
            <wp:docPr id="247340" name="Picture 247340"/>
            <wp:cNvGraphicFramePr/>
            <a:graphic xmlns:a="http://schemas.openxmlformats.org/drawingml/2006/main">
              <a:graphicData uri="http://schemas.openxmlformats.org/drawingml/2006/picture">
                <pic:pic xmlns:pic="http://schemas.openxmlformats.org/drawingml/2006/picture">
                  <pic:nvPicPr>
                    <pic:cNvPr id="247340" name="Picture 247340"/>
                    <pic:cNvPicPr/>
                  </pic:nvPicPr>
                  <pic:blipFill>
                    <a:blip r:embed="rId16"/>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establecimiento de salud sin licencia sanitaria para procuración de órganos y tejidos, la institución deberá realizar las gestiones necesarias para trasladarla a una unidad con licencia sanitaria, siguiendo las directrices del Código Vida.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209. Los tejidos procurados dentro del Estado de México que requieran procesamiento, almacenamiento y disposición en formato especial se remitirán al Banco de Tejidos del Estado de México, quien decidirá el destino final de los mismos.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210. Los bancos de tejidos públicos o privados, deberán contar con área de resguardo, procesamiento y almacenamiento; asimismo podrán apoyarse con un establecimiento de salud de acuerdo con el sector que pertenece público o privado, a falta de estos se podrá apoyar de establecimientos de salud a nivel federal.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211. El control sanitario de los productos y de la disposición del embrión y de las células germinales se regulará conforme a lo dispuesto en la presente Ley y lo establecido en la Ley General.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Promoción y Difusión de la Donación y Trasplante de Órganos y Tejidos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212. Compete a la Secretaría, coordinar acciones de promoción y difusión de la donación y trasplante de órganos y tejidos con los distintos sectores sociales.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213. La promoción y difusión, debe ser permanente y se adaptará a la modernización de los medios de comunicación, asimismo, se tendrá un registro y análisis del impacto de las campañas.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de Salud establecerá convenios de colaboración con los medios de comunicación, los sectores educativos y las asociaciones civiles para garantizar la difusión de la cultura de donación y trasplante.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los Trasplantes de Órganos y Tejidos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214- Para los procesos de trasplantes, se atenderá a lo previsto en la Ley General. Asimismo, para el Estado de México se observarán los protocolos establecidos por el Código Vida.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inline distT="0" distB="0" distL="0" distR="0" wp14:anchorId="7BDD9DF9" wp14:editId="0002601B">
            <wp:extent cx="4575" cy="9144"/>
            <wp:effectExtent l="0" t="0" r="0" b="0"/>
            <wp:docPr id="247341" name="Picture 247341"/>
            <wp:cNvGraphicFramePr/>
            <a:graphic xmlns:a="http://schemas.openxmlformats.org/drawingml/2006/main">
              <a:graphicData uri="http://schemas.openxmlformats.org/drawingml/2006/picture">
                <pic:pic xmlns:pic="http://schemas.openxmlformats.org/drawingml/2006/picture">
                  <pic:nvPicPr>
                    <pic:cNvPr id="247341" name="Picture 247341"/>
                    <pic:cNvPicPr/>
                  </pic:nvPicPr>
                  <pic:blipFill>
                    <a:blip r:embed="rId69"/>
                    <a:stretch>
                      <a:fillRect/>
                    </a:stretch>
                  </pic:blipFill>
                  <pic:spPr>
                    <a:xfrm>
                      <a:off x="0" y="0"/>
                      <a:ext cx="4575" cy="9144"/>
                    </a:xfrm>
                    <a:prstGeom prst="rect">
                      <a:avLst/>
                    </a:prstGeom>
                  </pic:spPr>
                </pic:pic>
              </a:graphicData>
            </a:graphic>
          </wp:inline>
        </w:drawing>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IV</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Enfermedades Crónicas Trasplantables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215. Las enfermedades crónicas trasplantables, son aquellas enfermedades derivadas de la insuficiencia en fase terminal de un órgano, para las cuales el trasplante de dicho órgano es el tratamiento definitivo.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216. El Registro Estatal de Enfermedades Crónicas Trasplantables se alimentará de la información de los prestadores de servicios de salud públicos, sociales y privados, que atienden pacientes con insuficiencia orgánica terminal. Las estadísticas que produzca este registro serán la base para emprender políticas en la entidad a favor de la donación.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217. Todos los prestadores de servicios de salud con licencia tienen la responsabilidad de mantener actualizado el Registro Estatal de Enfermedades Crónicas Trasplantables con los datos de pacientes con enfermedades crónicas en fase terminal que se atiendan en sus instalaciones.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prestadores de servicios de salud públicos, sociales y privados que no cumplan con la responsabilidad del registro, serán señalados y sancionados conforme a normativa aplicable.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218. La Secretaría a través del Sistema Estatal de Órganos y Tejidos, dictará las políticas poblacionales e intervenciones en salud para las personas con enfermedades crónicas trasplantables, con base en los datos derivados del Registro Estatal de Enfermedades Crónicas Trasplantables.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219. Los participantes del Registro Estatal de Enfermedades Crónicas Trasplantables pueden acceder a su información en todo momento e igualmente a las estadísticas anónimas que la plataforma brinda.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220. El Sistema Estatal de Órganos y Tejidos presentará a la Secretaría, su propuesta de inversión en salud, basada en datos Registro Estatal de Enfermedades Crónicas Trasplantables, para las personas con enfermedades crónicas trasplantables, con el objeto de que pueda ser considerada en los presupuestos correspondientes.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V</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Procuración de Tejidos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221. Compete a la Secretaría, en materia de procuración de tejidos: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 Realizar la vigilancia y el control sanitario de la procuración, preservación, procesamiento, suministro e </w:t>
      </w:r>
      <w:r w:rsidRPr="00AE0CAB">
        <w:rPr>
          <w:rFonts w:ascii="Times New Roman" w:eastAsiaTheme="minorEastAsia" w:hAnsi="Times New Roman" w:cs="Times New Roman"/>
          <w:noProof/>
          <w:sz w:val="24"/>
          <w:szCs w:val="24"/>
          <w:lang w:eastAsia="es-MX"/>
        </w:rPr>
        <w:drawing>
          <wp:inline distT="0" distB="0" distL="0" distR="0" wp14:anchorId="762DAF04" wp14:editId="51A02A09">
            <wp:extent cx="4575" cy="4572"/>
            <wp:effectExtent l="0" t="0" r="0" b="0"/>
            <wp:docPr id="251107" name="Picture 251107"/>
            <wp:cNvGraphicFramePr/>
            <a:graphic xmlns:a="http://schemas.openxmlformats.org/drawingml/2006/main">
              <a:graphicData uri="http://schemas.openxmlformats.org/drawingml/2006/picture">
                <pic:pic xmlns:pic="http://schemas.openxmlformats.org/drawingml/2006/picture">
                  <pic:nvPicPr>
                    <pic:cNvPr id="251107" name="Picture 251107"/>
                    <pic:cNvPicPr/>
                  </pic:nvPicPr>
                  <pic:blipFill>
                    <a:blip r:embed="rId7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implantación de tejidos humanos, dentro de la entidad en términos de lo establecido por la Ley General y demás disposiciones jurídicas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Establecer y dirigir las políticas en salud, en materia de procuración de tejidos: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Realizar campañas permanentes de concientización sobre la importancia de la donación de tejidos para fines de implantación.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VI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Donación y Transfusión Sanguínea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222. La Secretaría, a través del Comité Interinstitucional de Medicina Transfusional coordinará y dará seguimiento al cumplimiento de acciones en materia de donación de sangre y productos sanguíneos y todo lo que derive de su disposición.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Su integración y funcionamiento estará dispuesto en el Reglamento de esta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223. La Secretaría impulsará acciones para la </w:t>
      </w:r>
      <w:proofErr w:type="spellStart"/>
      <w:r w:rsidRPr="00AE0CAB">
        <w:rPr>
          <w:rFonts w:ascii="Times New Roman" w:eastAsiaTheme="minorEastAsia" w:hAnsi="Times New Roman" w:cs="Times New Roman"/>
          <w:sz w:val="24"/>
          <w:szCs w:val="24"/>
          <w:lang w:eastAsia="es-MX"/>
        </w:rPr>
        <w:t>hemovigilancia</w:t>
      </w:r>
      <w:proofErr w:type="spellEnd"/>
      <w:r w:rsidRPr="00AE0CAB">
        <w:rPr>
          <w:rFonts w:ascii="Times New Roman" w:eastAsiaTheme="minorEastAsia" w:hAnsi="Times New Roman" w:cs="Times New Roman"/>
          <w:sz w:val="24"/>
          <w:szCs w:val="24"/>
          <w:lang w:eastAsia="es-MX"/>
        </w:rPr>
        <w:t xml:space="preserve"> en conjunto con la capacitación </w:t>
      </w:r>
      <w:r w:rsidRPr="00AE0CAB">
        <w:rPr>
          <w:rFonts w:ascii="Times New Roman" w:eastAsiaTheme="minorEastAsia" w:hAnsi="Times New Roman" w:cs="Times New Roman"/>
          <w:noProof/>
          <w:sz w:val="24"/>
          <w:szCs w:val="24"/>
          <w:lang w:eastAsia="es-MX"/>
        </w:rPr>
        <w:drawing>
          <wp:inline distT="0" distB="0" distL="0" distR="0" wp14:anchorId="08796D2B" wp14:editId="355DD28E">
            <wp:extent cx="4575" cy="4572"/>
            <wp:effectExtent l="0" t="0" r="0" b="0"/>
            <wp:docPr id="251108" name="Picture 251108"/>
            <wp:cNvGraphicFramePr/>
            <a:graphic xmlns:a="http://schemas.openxmlformats.org/drawingml/2006/main">
              <a:graphicData uri="http://schemas.openxmlformats.org/drawingml/2006/picture">
                <pic:pic xmlns:pic="http://schemas.openxmlformats.org/drawingml/2006/picture">
                  <pic:nvPicPr>
                    <pic:cNvPr id="251108" name="Picture 251108"/>
                    <pic:cNvPicPr/>
                  </pic:nvPicPr>
                  <pic:blipFill>
                    <a:blip r:embed="rId18"/>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continua, la gestión de la calidad, las buenas prácticas de manufactura, enmarcados por los principios legales y bioéticos, siendo la base de la seguridad transfusional.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224. La donación de sangre en ningún momento podrá ser sustituida por otro tipo de donaciones, condicionamiento o causante de remuneración alguna, estando prohibido el comercio de la sangre y productos sanguíneos.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No se considerarán actos de comercio la recuperación de los costos derivados de la obtención o extracción, análisis, conservación, preparación, distribución, transportación y suministro de sangre.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DE LA REGULACIÓN Y VIGILANCIA EN MATERIA DE SALUD</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Salubridad Local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225. Corresponde al ISEM, a través de la COPRISEMEX, ejercer la regulación, control y fomento sanitarios de las actividades, condiciones, sitios, servicios, productos, establecimientos y personas a que se refiere el presente Capítulo, así como en: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Mercados y centros de abasto en donde exista consumo de alimentos y bebidas no alcohólicas;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Construcciones, edificios y fraccionamientos, excepto aquellos destinados a la vivienda unifamiliar y los establecimientos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Cementerios, funerarias y crematorios;</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Limpieza pública;</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Rastros;</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Agua potable y alcantarillado;</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Granjas avícolas, porcícolas, apiarios, ganado bovino, ovino y otros similares para el consumo humano;</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Centros penitenciarios;</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Instalaciones acuáticas y baños públicos;</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Centros de reunión y espectáculos públicos;</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Establecimientos dedicados a la prestación de servicios como peluquerías, salones de belleza, estéticas y similares; incluidas las clínicas de belleza y antienvejecimiento con procedimientos no invasivos como faciales, masajes, aparatología, depilación láser, radiofrecuencia y similares, con finalidades de mejora estética y embellecimiento físico;</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Tintorerías, lavanderías y similares;</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Establecimientos de hospedaje;</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Transporte de pasajeros;</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Gasolineras;</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Comercio de alimentos y bebidas no alcohólicas en la vía pública;</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Veterinarias y similares;</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el desarrollo de la investigación científica y tecnológica que pueda afectar la salud pública; y</w:t>
      </w:r>
    </w:p>
    <w:p w:rsidR="005F04F9" w:rsidRPr="00AE0CAB" w:rsidRDefault="005F04F9" w:rsidP="00AB0DA4">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materias que determine esta Ley, otras disposiciones generales aplicables y las que le sean delegadas mediante los Acuerdos de Coordinación que se celebre con la Secretaría Federal.</w:t>
      </w:r>
    </w:p>
    <w:p w:rsidR="005F04F9" w:rsidRPr="00AE0CAB" w:rsidRDefault="005F04F9" w:rsidP="00AB0DA4">
      <w:pPr>
        <w:spacing w:after="0" w:line="240" w:lineRule="auto"/>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226. Los proyectos de abastecimiento de agua potable deben ser sometidos a la consideración de la COPRISEMEX, para la aprobación del sistema adoptado.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proyectos para la implantación de sistemas de alcantarillado deben ser estudiados y aprobados por la COPRISEMEX, cuando ameriten un estudio previo especializado, que pueda generar un riesgo sanitario.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227. Cuando las construcciones, terrenos, edificios o locales representen un peligro para la población por su insalubridad, la COPRISEMEX podrá ordenar a la persona propietaria o poseedora, la realización de las obras que estime necesarias para evitar el peligro o, en su defecto, ordenar la ejecución de las obras con cargo al omiso, previa garantía de audiencia.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resolución que determine la realización o ejecución de las obras será proporcional a la necesidad de su implementación y a las posibilidades del propietario o poseedor.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228. La COPRISEMEX colaborará indirectamente en acciones tendientes a combatir el maltrato y sufrimiento animal, en auxilio de las dependencias del Ejecutivo del Estado, organismos auxiliares de carácter estatal y municipal, de los sectores social y privado que tengan esa encomienda, o de la ciudadanía.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Para lo cual realizará visitas de verificación para constatar las condiciones sanitarias de los establecimientos o casas habitación en que se encuentren y que puedan afectar la salud pública.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229. Los residuos sólidos municipales deben tratarse conforme a lo previsto en la Ley General para la Prevención y Gestión Integral de los Residuos, el Código para la Biodiversidad del Estado de México, las normas oficiales mexicanas y las normas técnicas estatales, de tal manera que no signifiquen un peligro para la salud y por ningún motivo se manipularán antes de su tratamiento o disposición final.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COPRISEMEX realizará visitas de verificación a los sitios de disposición final de los residuos sólidos municipales autorizados, para constatar las condiciones sanitarias de los establecimientos que puedan afectar la salud del personal ocupacionalmente expuesto.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detecte predios o zonas no autorizadas para el depósito de residuos sólidos, se lo comunicará a las autoridades municipales o ambientales, para que implementen las acciones necesarias.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Autorizaciones Sanitarias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230. La autorización sanitaria es el acto administrativo mediante el cual, el ISEM, a través de la COPRISEMEX permite a una persona física o jurídica colectiva, pública o privada, la realización de actividades relacionadas con la salud humana, en los casos y con los requisitos y modalidades que determine esta Ley y su Reglamento.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231. Las autorizaciones sanitarias tendrán el carácter de: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Licencias;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Permisos;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Registros o tarjetas de control sanitario.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autorizaciones se expedirán cuando las o los solicitantes hubieren satisfecho los requisitos que señalen el Reglamento de la Ley y cubierto, en su caso, el costo por la prestación de servicios que establezca la Secretaría.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ingresos por prestación de servicios previstos en este artículo podrán ser utilizados para el cumplimiento del objeto de la COPRISEMEX, previa autorización del Consejo Interno del ISEM.</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232. La licencia sanitaria se otorgará a los establecimientos que requieren infraestructura, equipamiento, documentación o procesos de alto impacto en la salud de la población y que ameritan una dictaminación especializada.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'3.3 Requieren licencia sanitaria: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Los rastros;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Los cementerios;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crematorios;</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funerarias; y</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instalaciones acuáticas, destinadas a la recreación, relajación, terapia, enseñanza, deporte, baño o inmersión.</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Estas licencias se colocarán en un lugar visible del establecimiento y se otorgarán por tiempo indeterminado.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234. El permiso sanitario se otorga a los establecimientos o actividades que pueden generar una afectación en la salud de la población y que, en algunos casos, ameritan una dictaminación especializada, se requiere permiso sanitario previo para: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El inicio y ocupación de las obras de construcción, reconstrucción, modificación o acondicionamiento de establecimientos, excepto aquellos de salud, obras públicas y las viviendas unifamiliares;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El comercio de alimentos y bebidas no alcohólicas en la vía pública;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El traslado de cadáveres de seres humanos a distancias mayores a cien kilómetros dentro del Estado, así como cadáveres de animales de compañía.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En el caso de las fracciones I y II el permiso sanitario tendrá vigencia de un año, será de carácter personal e intransferible.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el caso de la fracción III el permiso se otorgará por el tiempo estrictamente necesario para el traslado.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235. El registro de libros es la autorización que se otorga a los establecimientos de servicios e </w:t>
      </w:r>
      <w:r w:rsidRPr="00AE0CAB">
        <w:rPr>
          <w:rFonts w:ascii="Times New Roman" w:eastAsiaTheme="minorEastAsia" w:hAnsi="Times New Roman" w:cs="Times New Roman"/>
          <w:noProof/>
          <w:sz w:val="24"/>
          <w:szCs w:val="24"/>
          <w:lang w:eastAsia="es-MX"/>
        </w:rPr>
        <w:drawing>
          <wp:inline distT="0" distB="0" distL="0" distR="0" wp14:anchorId="6B635372" wp14:editId="5C852FA7">
            <wp:extent cx="4575" cy="4572"/>
            <wp:effectExtent l="0" t="0" r="0" b="0"/>
            <wp:docPr id="261024" name="Picture 261024"/>
            <wp:cNvGraphicFramePr/>
            <a:graphic xmlns:a="http://schemas.openxmlformats.org/drawingml/2006/main">
              <a:graphicData uri="http://schemas.openxmlformats.org/drawingml/2006/picture">
                <pic:pic xmlns:pic="http://schemas.openxmlformats.org/drawingml/2006/picture">
                  <pic:nvPicPr>
                    <pic:cNvPr id="261024" name="Picture 261024"/>
                    <pic:cNvPicPr/>
                  </pic:nvPicPr>
                  <pic:blipFill>
                    <a:blip r:embed="rId7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insumos para la salud, para facilitar la captura, producción y procesamiento de información necesaria, para la planeación, programación, presupuestación y control del Sistema Nacional de Salud, así como sobre el estado y evolución de la salud pública; se requiere registro previo para: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El libro del registro diario de pacientes;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El libro del registro de defunciones;</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libro de enfermedades infectocontagiosas;</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libro de registro de nacimientos;</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libro de registro de intervenciones quirúrgicas;</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libro de registro de amputaciones;</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libro de atención gratuita;</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libro de registro del banco de sangre y servicio de transfusión sanguínea; y</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8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libro de control de estupefacientes y psicotrópicos.</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Estas autorizaciones son otorgadas por tiempo indeterminado hasta que se renueve el registro en libro diverso.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236. La tarjeta de control es la autorización que se otorga a los servicios de transporte generadores de riesgos sanitarios, que requieren equipamiento y dictaminación especializada, la cual se requiere previamente por cada unidad vehicular para: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El uso de carrozas funerarias;</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uso de ambulancias y afines;</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servicio de agua potable en pipa o aguas tratadas; y</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traslado de cárnicos.</w:t>
      </w:r>
    </w:p>
    <w:p w:rsidR="005F04F9" w:rsidRPr="00AE0CAB" w:rsidRDefault="005F04F9" w:rsidP="00C8606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Estas autorizaciones tendrán vigencia de cinco años, serán de carácter personal e intransferible.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237. El ISEM a través de la COPRISEMEX revocará las autorizaciones que haya otorgado en los casos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Por incumplimiento de las disposiciones de esta Ley, las disposiciones generales, normas oficiales mexicanas, normas técnicas locales o reglamentación aplicable;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1"/>
        </w:numPr>
        <w:spacing w:after="0" w:line="240" w:lineRule="auto"/>
        <w:contextualSpacing/>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por causas supervenientes, se compruebe que los productos o el ejercicio de las actividades que se hubieren autorizado constituyan un riesgo o daño para la salud humana;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Por reiterada renuencia de los titulares de la autorización, a acatar las determinaciones que dicte la Secretaría en los términos de esta Ley y demás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resulten falsos los datos o documentos proporcionados por la parte interesada, que hubieren servido de base a la autoridad sanitaria, para otorgar la autorización;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los productos ya no posean los atributos o características conforme a los cuales fueron autorizados o pierdan sus propiedades preventivas, terapéuticas o rehabilitadoras;</w:t>
      </w:r>
    </w:p>
    <w:p w:rsidR="005F04F9" w:rsidRPr="00AE0CAB" w:rsidRDefault="005F04F9" w:rsidP="005F04F9">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9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le parte interesada no se ajuste a los términos, condiciones y requisitos establecidos en la autorización o haga uso indebido o distinto de ésta;</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se advierta que las autorizaciones hayan sido alteradas o modificadas, lo cual se hará del conocimiento de la autoridad competente para la falsificación o alteración; y</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lo solicite la parte interesada.</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revocación surtirá efectos de clausura, prohibición de uso y de suspensión del ejercicio de las actividades que hubiesen sido autorizadas.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procedimiento de revocación se hará conforme al procedimiento administrativo común, previsto en el Código de Procedimientos Administrativos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También seguirá el mismo procedimiento en la revocación de las autorizaciones sanitarias que se hayan otorgado para realizar investigaciones para la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Aviso de Funcionamiento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238. Las personas que realicen actividades o presten servicios de salubridad local sujetos al control sanitario del ISEM a través de la COPRISEMEX, que no requieran autorización sanitaria, deben darle aviso del inicio de sus operaciones por escrito en el formato autorizado o en el portal de internet establecido para tal efecto, con firma autógrafa o electrónica avanzada, por lo menos treinta días anteriores al que se pretenda empezar actividades.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239. Todo cambio de propietario de un establecimiento o unidad económica, de razón social, denominación o giro comercial, así como la suspensión de actividades, trabajos o servicios; debe ser </w:t>
      </w:r>
      <w:r w:rsidRPr="00AE0CAB">
        <w:rPr>
          <w:rFonts w:ascii="Times New Roman" w:eastAsiaTheme="minorEastAsia" w:hAnsi="Times New Roman" w:cs="Times New Roman"/>
          <w:noProof/>
          <w:sz w:val="24"/>
          <w:szCs w:val="24"/>
          <w:lang w:eastAsia="es-MX"/>
        </w:rPr>
        <w:drawing>
          <wp:inline distT="0" distB="0" distL="0" distR="0" wp14:anchorId="7C820197" wp14:editId="2283FB96">
            <wp:extent cx="4574" cy="4572"/>
            <wp:effectExtent l="0" t="0" r="0" b="0"/>
            <wp:docPr id="267984" name="Picture 267984"/>
            <wp:cNvGraphicFramePr/>
            <a:graphic xmlns:a="http://schemas.openxmlformats.org/drawingml/2006/main">
              <a:graphicData uri="http://schemas.openxmlformats.org/drawingml/2006/picture">
                <pic:pic xmlns:pic="http://schemas.openxmlformats.org/drawingml/2006/picture">
                  <pic:nvPicPr>
                    <pic:cNvPr id="267984" name="Picture 267984"/>
                    <pic:cNvPicPr/>
                  </pic:nvPicPr>
                  <pic:blipFill>
                    <a:blip r:embed="rId72"/>
                    <a:stretch>
                      <a:fillRect/>
                    </a:stretch>
                  </pic:blipFill>
                  <pic:spPr>
                    <a:xfrm>
                      <a:off x="0" y="0"/>
                      <a:ext cx="4574"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comunicado al ISEM a través de la COPRISEMEX, cuando haya requerido aviso de funcionamiento para su instalación inicial, a través de sus respectivas oficinas o en el portal de internet establecido para tal efecto, de conformidad a las disposiciones jurídicas aplicables, en un plazo no mayor a treinta días hábiles </w:t>
      </w:r>
      <w:r w:rsidRPr="00AE0CAB">
        <w:rPr>
          <w:rFonts w:ascii="Times New Roman" w:eastAsiaTheme="minorEastAsia" w:hAnsi="Times New Roman" w:cs="Times New Roman"/>
          <w:noProof/>
          <w:sz w:val="24"/>
          <w:szCs w:val="24"/>
          <w:lang w:eastAsia="es-MX"/>
        </w:rPr>
        <w:drawing>
          <wp:inline distT="0" distB="0" distL="0" distR="0" wp14:anchorId="3C577B8A" wp14:editId="032B3301">
            <wp:extent cx="4574" cy="4572"/>
            <wp:effectExtent l="0" t="0" r="0" b="0"/>
            <wp:docPr id="267985" name="Picture 267985"/>
            <wp:cNvGraphicFramePr/>
            <a:graphic xmlns:a="http://schemas.openxmlformats.org/drawingml/2006/main">
              <a:graphicData uri="http://schemas.openxmlformats.org/drawingml/2006/picture">
                <pic:pic xmlns:pic="http://schemas.openxmlformats.org/drawingml/2006/picture">
                  <pic:nvPicPr>
                    <pic:cNvPr id="267985" name="Picture 267985"/>
                    <pic:cNvPicPr/>
                  </pic:nvPicPr>
                  <pic:blipFill>
                    <a:blip r:embed="rId24"/>
                    <a:stretch>
                      <a:fillRect/>
                    </a:stretch>
                  </pic:blipFill>
                  <pic:spPr>
                    <a:xfrm>
                      <a:off x="0" y="0"/>
                      <a:ext cx="4574"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 xml:space="preserve">posteriores a partir de la fecha en que se hubiera realizado, sujetándose al cumplimiento de las </w:t>
      </w:r>
      <w:r w:rsidRPr="00AE0CAB">
        <w:rPr>
          <w:rFonts w:ascii="Times New Roman" w:eastAsiaTheme="minorEastAsia" w:hAnsi="Times New Roman" w:cs="Times New Roman"/>
          <w:noProof/>
          <w:sz w:val="24"/>
          <w:szCs w:val="24"/>
          <w:lang w:eastAsia="es-MX"/>
        </w:rPr>
        <w:drawing>
          <wp:inline distT="0" distB="0" distL="0" distR="0" wp14:anchorId="2B5066FC" wp14:editId="468B9F2D">
            <wp:extent cx="4575" cy="4572"/>
            <wp:effectExtent l="0" t="0" r="0" b="0"/>
            <wp:docPr id="267986" name="Picture 267986"/>
            <wp:cNvGraphicFramePr/>
            <a:graphic xmlns:a="http://schemas.openxmlformats.org/drawingml/2006/main">
              <a:graphicData uri="http://schemas.openxmlformats.org/drawingml/2006/picture">
                <pic:pic xmlns:pic="http://schemas.openxmlformats.org/drawingml/2006/picture">
                  <pic:nvPicPr>
                    <pic:cNvPr id="267986" name="Picture 267986"/>
                    <pic:cNvPicPr/>
                  </pic:nvPicPr>
                  <pic:blipFill>
                    <a:blip r:embed="rId73"/>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disposiciones que al efecto se emitan.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IV</w:t>
      </w:r>
    </w:p>
    <w:p w:rsidR="005F04F9" w:rsidRPr="00AE0CAB" w:rsidRDefault="005F04F9" w:rsidP="005F04F9">
      <w:pPr>
        <w:keepNext/>
        <w:keepLines/>
        <w:spacing w:after="0" w:line="240" w:lineRule="auto"/>
        <w:jc w:val="center"/>
        <w:outlineLvl w:val="1"/>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De la Vigilancia Sanitaria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240. Corresponde a la Secretaria la vigilancia del cumplimiento de esta Ley y demás disposiciones aplicables en esta materia. La cual ejercerá el ISEM a través de la COPRISEMEX, al igual que aquellas previstas en la Ley General cuando haga referencia a las atribuciones competencia de la Federación delegadas a favor de autoridades sanitarias locales.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241. Las dependencias, órganos e instituciones del Gobierno del Estado, así como los ayuntamientos conforme al marco de sus atribuciones, tienen la obligación de coadyuvar en la vigilancia del cumplimiento de las normas sanitarias, por tanto, cuando se tenga sospecha de alguna irregularidad o falta que constituya violaciones a las disposiciones establecidas en la presente Ley y las demás relativas, </w:t>
      </w:r>
      <w:r w:rsidRPr="00AE0CAB">
        <w:rPr>
          <w:rFonts w:ascii="Times New Roman" w:eastAsiaTheme="minorEastAsia" w:hAnsi="Times New Roman" w:cs="Times New Roman"/>
          <w:noProof/>
          <w:sz w:val="24"/>
          <w:szCs w:val="24"/>
          <w:lang w:eastAsia="es-MX"/>
        </w:rPr>
        <w:drawing>
          <wp:inline distT="0" distB="0" distL="0" distR="0" wp14:anchorId="756652B8" wp14:editId="718040B8">
            <wp:extent cx="4575" cy="4572"/>
            <wp:effectExtent l="0" t="0" r="0" b="0"/>
            <wp:docPr id="267987" name="Picture 267987"/>
            <wp:cNvGraphicFramePr/>
            <a:graphic xmlns:a="http://schemas.openxmlformats.org/drawingml/2006/main">
              <a:graphicData uri="http://schemas.openxmlformats.org/drawingml/2006/picture">
                <pic:pic xmlns:pic="http://schemas.openxmlformats.org/drawingml/2006/picture">
                  <pic:nvPicPr>
                    <pic:cNvPr id="267987" name="Picture 267987"/>
                    <pic:cNvPicPr/>
                  </pic:nvPicPr>
                  <pic:blipFill>
                    <a:blip r:embed="rId21"/>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se hará del conocimiento al ISEM a través de la COPRISEMEX para que, conforme a los procedimientos establecidos, realice las verificaciones o emita las determinaciones correspondientes.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242. El acto u omisión contrario a los preceptos establecidos en esta Ley y demás disposiciones aplicables deberá ser objeto de orientación y educación de los infractores con independencia de que se apliquen, según el caso concreto, las medidas de seguridad y/o las sanciones correspondientes, las cuales se establecerá en el Reglamento.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243. La vigilancia sanitaria se llevará a cabo a través de visitas de verificación a cargo del personal expresamente autorizado por la autoridad sanitaria competente para llevar a cabo la verificación física, documental o por cualquier medio electrónico, del cumplimiento de la ley y demás disposiciones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Asimismo, podrá llevarse a cabo en trabajo de gabinete, con motivo de las recomendaciones, exhortos y opiniones técnicas que emitan los comités o consejos especializados de la Secretaría cuyo objeto sea preservar la salud pública.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244. El personal verificador deberá contar con gafete institucional que lo identifique como verificador o verificadora.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245. Las diligencias de verificación sanitaria se realizarán conforme a lo previsto en el Código de Procedimientos Administrativos del Estado de México. No obstante, se sujetarán a las siguientes reglas: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Cuando se realicen visitas de verificación en coordinación con las instancias persecutoras de delitos, no existirá obligación del personal verificador de exhibir su credencial al momento de la diligencia, pero sí deberá registrar su participación en el acta;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En caso de un riesgo inminente de salud pública, no haya personas que puedan fungir como testigos y esté de acuerdo el visitado, se podrá practicar sin su presencia, lo cual se hará constar en el acta;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Para dar certeza de la legalidad de la diligencia, con fines de transparencia, se solicitará a la parte interesada su consentimiento para videograbarla. En caso de negarse, sólo se asentará esta circunstancia en el acta sin que afecte su validez.</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 la misma finalidad, para dar seguimiento al resultado de la visita de verificación sanitaria, trámites o autorizaciones, se instalarán y pondrán en funcionamiento salas multidisciplinarias que cuenten con cámaras de videograbación para brindar atención al sector regulado. En caso de negarse a la videograbación, se asentará esta circunstancia en la cédula de atención.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246. Si del contenido de la visita de verificación sanitaria o de las recomendaciones, exhortos y opiniones técnicas que emitan los comités o consejos especializados, cuyo objeto sea preservar la salud pública, se desprenden y detectan irregularidades sanitarias e infracciones a esta Ley o los demás ordenamientos legales aplicables; el ISEM a través de la COPRISEMEX emitirá un ordenamiento sanitario a plazo o citará al interesado, personalmente o por correo certificado con acuse de recibo o por vía electrónica previa solicitud que realice la parte interesada en los términos que precisa la Ley de Gobierno Digital del Estado de México y Municipios; para que dentro de un plazo no menor de cinco días hábiles, ni mayor de veinte, comparezca por escrito a manifestar lo que a su derecho convenga y ofrezca las pruebas que estime procedentes, en relación con los hechos asentados en el acta levantada con motivo de la misma.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en el procedimiento sea necesario el desahogo de las pruebas ofrecidas, la autoridad administrativa fijará el día y hora para tal efecto, dentro de un plazo no mayor de diez días siguientes a la presentación de la promoción inicial. Las pruebas supervenientes podrán presentarse hasta antes del dictado de la resolución, mientras no haya sido notificada.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Una vez cerrada la instrucción se procederá dentro de los quince días hábiles siguientes a dictar por escrito la resolución que proceda, la cual será notificada al interesado o a su representante legal en forma personal o correo certificado con acuse de recibo conforme a lo establecido en el Código de Procedimientos Administrativos del Estado de México y la Ley de Gobierno Digital del Estado de México Municipios.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V</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Medidas de seguridad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247. La COPRISEMEX ordenará y ejecutará las medidas de seguridad sanitaria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La suspensión de trabajos o de servicios, cuando de continuar éstos, se ponga en peligro la salud de las personas.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suspensión de trabajos o servicios será temporal, parcial o total. Durante la suspensión se podrá permitir el acceso de las personas que estén obligadas a corregir las irregularidades que la motivaron;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El aseguramiento de objetos, productos o sustancias, cuanto exista sospecha fundada de que pueden ser nocivos para la salud de las personas o carezcan de los requisitos esenciales que se establezcan en las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La COPRISEMEX podrá retenerlos o dejarlos en depósito hasta en tanto se determine, previo dictamen, su destino; si el dictamen reportara que el bien asegurado no es nocivo para la salud y cumple con las disposiciones de esta Ley, se procederá a su inmediata devolución, a solicitud del </w:t>
      </w:r>
      <w:r w:rsidRPr="00AE0CAB">
        <w:rPr>
          <w:rFonts w:ascii="Times New Roman" w:eastAsiaTheme="minorEastAsia" w:hAnsi="Times New Roman" w:cs="Times New Roman"/>
          <w:sz w:val="24"/>
          <w:szCs w:val="24"/>
          <w:lang w:eastAsia="es-MX"/>
        </w:rPr>
        <w:lastRenderedPageBreak/>
        <w:t>interesado dentro de un plazo de quince días hábiles. En su defecto, se entenderá que el bien causa abandono y quedará a disposición del Gobierno del Estado para su aprovechamiento lícito.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Si en el dictamen resulta que el bien asegurado es nocivo, la COPRISEMEX podrá determinar, previa observancia de la garantía de audiencia, que el mismo sea sometido a un tratamiento que haga posible su legal aprovechamiento por el interesado o será destruido a su costa si no pudiere tener un uso lícito por parte de la autoridad;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3"/>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prohibición de actos de uso, que es la determinación mediante la cual se ordena a los poseedores, encargados u ocupantes la utilización de los aparatos, equipos, sustancias, productos terminados, recipientes o cualquier otro implemento empleado en procesos de producción de bienes y servicios o para la prestación de servicios;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3"/>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suspensión temporal hasta que cese la causa por la cual fue decretada a establecimientos con venta o suministro de bebidas alcohólicas, que no cuenten con el permiso correspondiente, o hasta por noventa días cuando incumplan con el horario autorizado, contraten, vendan o suministren bebidas alcohólicas a menores de edad. Una vez aplicada esta medida de seguridad, se podrá iniciar con el procedimiento jurídico administrativo, a fin de que en caso de que se mantenga el incumplimiento, se sancione con la clausura temporal o definitiva, parcial o total, según corresponda. Además, se procederá penalmente conforme a la ley de la materia;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3"/>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colocación de sello de aviso para requerir que se acredite el cumplimiento de disposiciones sanitarias consistentes en el permiso o autorización correspondiente, aviso de funcionamiento, de la Ley General de Salud, la Ley General para el Control del Tabaco y su Reglamento, así como la Ley de Prevención del Tabaquismo y de Protección ante la Exposición al Humo de Tabaco en el Estado de México y su Reglamento;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3"/>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previstas en la Ley General, en su ámbito de competencia, o las que determinen las autoridades sanitarias que tiendan a evitar riesgos o daños a la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Estas medidas serán de inmediata ejecución, durarán el tiempo estrictamente necesario para que desaparezca el peligro y se aplicarán sin perjuicio de las sanciones correspondientes.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248. La colocación del aviso de requerimiento deberá tener las siguientes características:</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Tendrá una medida máxima de 1.0 metro de largo por 80 cm de ancho;</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 ajustará al diseño de imagen institucional y contendrá, además el número de folio correspondiente;</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Será de papel plastificado de difícil destrucción;</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Deberá contener el escudo del Gobierno del Estado de México y los logotipos del ISEM y de la COPRISEMEX;</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Nombre y firma de los verificadores sanitarios, así como fecha de la verificación y el folio correspondiente;</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Deberá contener el modo, lugar y plazo para acreditar el cumplimiento del permiso correspondiente, así como del aviso de funcionamiento, además del cumplimiento de la Ley la Ley General para el Control del Tabaco y su Reglamento, así como la Ley de Prevención del Tabaquismo y de Protección ante la Exposición al Humo de Tabaco en el Estado de México y su Reglamento.</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VI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Sanciones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249. Las sanciones administrativas que el ISEM, a través de la COPRISEMEX, podrá aplica por el incumplimiento de las disposiciones de esta Ley y las disposiciones legales aplicables, serán las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Amonestación con apercibimiento;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Multa;</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Arresto inconmutable hasta por treinta y seis horas,</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Clausura temporal o definitiva, que podrá ser parcial total o parcial, y</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5"/>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demás que señale la normativa e instrumentos jurídicos aplicables.</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250. Al imponer una sanción, la COPRISEMEX fundará y motivará la resolución, tomando en consideración los siguientes elementos: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Los daños que se hayan producido o puedan producirse en la salud de las personas; ll. La gravedad de la infracción;</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condiciones socio-económicas del infractor;</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calidad de reincidente del infractor; y</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6"/>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El beneficio obtenido por el infractor como resultado de la infracción.</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251. Las infracciones conforme a lo previsto en esta Ley serán sancionadas por la COPRISEMEX en los términos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Con multa equivalente de cuarenta a sesenta veces el valor diario de la Unidad de Medida y Actualización vigente al momento de cometer la infracción por la violación de lo dispuesto en los artículos 233, 234 fracciones ll y III, 235, 236 y 238,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Con multa equivalente de cincuenta a quinientas veces el valor diario de la Unidad de Medida y Actualización vigente al momento de cometer la infracción por la violación a lo dispuesto en el artículo 234 fracción I.</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252. Las infracciones no previstas en esta Ley serán sancionadas con multa equivalente de una hasta diez mil veces el valor diario de la Unidad de Medida y Actualización vigente al momento de cometer la infracción.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253. En caso de reincidencia se duplicará el monto de la multa que corresponda. Se entiende por reincidencia que el infractor cometa la misma violación a las disposiciones de este Título dos o más veces dentro del periodo de un año, contado a partir de la fecha en que se le hubiera notificado la sanción inmediata anterior.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254 Procederá la clausura temporal o definitiva, parcial o total, según la gravedad de la infracción y las características de la actividad o establecimiento, en los casos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Cuando los establecimientos a que se refiere el artículo 232 carezcan de la correspondiente autorización sanitaria;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Cuando el peligro para la salud de las personas se origine por la violación reiterada de los preceptos de esta Ley y de las disposiciones que de ella emanen, constituyendo rebeldía a cumplir los requerimientos y disposiciones de la autoridad sanitaria;</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después de la reapertura de un establecimiento, local, fábrica, construcción o edificio, con motivo de suspensión de trabajos o actividades, o clausura temporal, las actividades que en él se realicen sigan constituyendo un peligro para la salud;</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por la peligrosidad de las actividades que se realicen o por la naturaleza del establecimiento, local, fábrica, construcción o edificio de que se trate, sea necesario proteger la salud de la población;</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Cuando se compruebe que las actividades que se realizan en un establecimiento violan las disposiciones sanitarias y constituyen un peligro grave para la salud; y</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7"/>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Reincidencia por tercera ocasión.</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255. Se sancionará con arresto hasta por treinta y seis horas: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A la persona que interfiera o se oponga al ejercicio de las funciones de la autoridad sanitaria;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A la persona que en rebeldía se niegue a cumplir los requerimientos y disposiciones de la autoridad sanitaria, provocando con ello un peligro a la salud de las personas. Sólo procederá esta sanción si previamente se dictó, en tres ocasiones, cualesquiera de otras sanciones a que se refiere esta Sección. Impuesto el arresto, se comunicará la resolución a la autoridad correspondiente para que la ejecute.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VII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Conciliación y Arbitraje Médico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256. Las personas usuarias y prestadores de servicios de salud, ante un conflicto derivado de la atención médica, podrán solucionar el mismo mediante mecanismos alternativos de solución de controversias en materia de servicios de salud, que son, entre otros, los siguientes: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I. Gestión inmediata;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Conciliación;</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Mediación, y</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8"/>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Arbitraje.</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257. Para efectos de esta Ley, se entiende por conciliación al procedimiento mediante el cual las persona usuaria y prestadora de servicios de salud, como partes en conflicto, una vez reunidos los elementos que contribuyen al conocimiento de la atención médica, acuerdan una solución de manera voluntaria a través de un convenio.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258. Los mecanismos alternativos de solución de controversias en materia de servicios de salud se regirán de conformidad con la Ley General de Mecanismos Alternativos de Solución de Controversias y las demás disposiciones jurídicas aplicables. La Secretaría, a través de la Comisión de Conciliación y Arbitraje Médico del Estado de México, establecerá los lineamientos a los que se sujetarán los procedimientos de acuerdo con las disposiciones señaladas.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259. Las personas usuarias podrán presentar quejas contra los prestadores de servicios de salud público, social y privado, siempre que se afecten sus intereses ocasionados por: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I. Contravenir las finalidades que persigue el derecho a la protección de la salud, así como proporcionar </w:t>
      </w:r>
      <w:r w:rsidRPr="00AE0CAB">
        <w:rPr>
          <w:rFonts w:ascii="Times New Roman" w:eastAsiaTheme="minorEastAsia" w:hAnsi="Times New Roman" w:cs="Times New Roman"/>
          <w:noProof/>
          <w:sz w:val="24"/>
          <w:szCs w:val="24"/>
          <w:lang w:eastAsia="es-MX"/>
        </w:rPr>
        <w:drawing>
          <wp:inline distT="0" distB="0" distL="0" distR="0" wp14:anchorId="603FD7FD" wp14:editId="0C4DFC93">
            <wp:extent cx="4575" cy="4572"/>
            <wp:effectExtent l="0" t="0" r="0" b="0"/>
            <wp:docPr id="288029" name="Picture 288029"/>
            <wp:cNvGraphicFramePr/>
            <a:graphic xmlns:a="http://schemas.openxmlformats.org/drawingml/2006/main">
              <a:graphicData uri="http://schemas.openxmlformats.org/drawingml/2006/picture">
                <pic:pic xmlns:pic="http://schemas.openxmlformats.org/drawingml/2006/picture">
                  <pic:nvPicPr>
                    <pic:cNvPr id="288029" name="Picture 288029"/>
                    <pic:cNvPicPr/>
                  </pic:nvPicPr>
                  <pic:blipFill>
                    <a:blip r:embed="rId74"/>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los servicios en contravención de lo señalado por la presente Ley;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Contravenir los términos en que se hubiere convenido la prestación de los servicios médicos, o cuando se hubiera efectuado una mala práctica con consecuencias sobre la salud del usuario;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Cualquier otro conflicto que se derive por la prestación del servicio médico entre los usuarios y los prestadores de servicios médicos.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260. La Secretaría, a través de la Comisión de Conciliación y Arbitraje Médico del Estado de México, conocerá de las quejas presentadas conforme el artículo anterior. Las quejas recibidas que constituyan un probable delito serán remitidas a la autoridad correspondiente.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261. La conciliación comprenderá la recepción de la queja, la integración, sustanciación, estudio e investigación y la conciliación.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262. La conciliación que acordaran las partes para dar fin al conflicto, se dará mediante convenio en el que se hará constar la voluntad a la que llegaron las partes.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263. Cuando las partes no llegaran a un acuerdo durante la conciliación, se promoverá el arbitraje, el cual consiste en la voluntad de someter sus diferencias a consideración de un tercero experto en la materia, el cual resolverá el conflicto con la emisión de un laudo.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264. La Secretaría a través de la Comisión de Conciliación y Arbitraje Médico del Estado de México atenderá las solicitudes realizadas por otras autoridades administrativas y judiciales, a través de la emisión de dictámenes técnico-médico institucional.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TÍTULO DÉCIMO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PERSONAL DE LA SALUD</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1</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Desempeño de las Funciones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265. El desempeño de las funciones de las y los profesionales de la salud, se sujetará a lo establecido en: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El artículo S de la Constitución Federal, con relación relativo al ejercicio de las actividades profesiones;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Los convenios celebrados entre el Gobierno del Estado a través de la Secretaría y la Federación;</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lineamientos de coordinación acordados por las autoridades en materia de educación y sanitarias del Estado;</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convenios celebrados entre la Secretaría e instituciones educativas públicas y privadas; y</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99"/>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Las disposiciones de esta Ley y demás normas jurídicas aplicables.</w:t>
      </w:r>
    </w:p>
    <w:p w:rsidR="005F04F9" w:rsidRPr="00AE0CAB" w:rsidRDefault="005F04F9" w:rsidP="00E31B66">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266. Es obligatorio para las instituciones de salud contratantes en el Estado de México, verificar el origen de la documentación expedida, que compruebe el ejercicio profesional.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267. Al ejercer las actividades profesionales, técnicas y auxiliares y las especialidades referidas en este capítulo, las personas profesionales de la salud, deberán exhibir de manera visible al público el documento que acredite la Institución que expidió el título, diploma o certificado y, en su caso, el número de la cédula profesional correspondiente. De la misma manera deberán consignarse en los documentos utilizados en el ejercicio de tales actividades y en la publicidad que realicen, así como la homologación de criterios para la contratación de personal.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Derechos y Obligaciones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268. La Secretaría, a través de la Unidad de Enseñanza, Investigación y Calidad, en colaboración con instituciones educativas públicas y privadas de tipo superior y medio superior, establecerá y recomendará normas y criterios para la formación adecuada de recursos humanos en salud, mediante las siguientes acciones: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Promoción de la participación voluntaria de los y las profesionales, técnicos y auxiliares de la salud en actividades académicas, técnicas y docentes a fin de replicar y difundir el conocimiento adquirido, contribuyendo a mejorar la calidad del personal en formación;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Autorizar a cada institución de salud, con base en las disposiciones reglamentarias vigentes y con apego a las Normas Oficiales Mexicanas aplicables, el uso adecuado de instalaciones y servicios en beneficio de la formación práctica y teórica de los recursos humanos en salud;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III. Cada institución de salud, con base en las disposiciones reglamentarias vigentes y con apego a las Normas Oficiales Mexicanas aplicables, harán uso adecuado y correcto de instalaciones y servicios en beneficio de la formación práctica y teórica de los recursos humanos en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269. Para el ejercicio de actividades profesionales en las áreas médica y paramédica que intervienen en el área de la salud y aquellas establecidas en las demás disposiciones legales aplicables, es obligatorio que los títulos profesionales o certificados de especialidad sean legalmente expedidos y registrados ante las autoridades educativas competentes.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270. Corresponde al Estado, a través sus Organismos Especializados en Salud, vigilar que las personas dedicadas a actividades técnicas y auxiliares que requieran conocimientos específicos en áreas como atención médica prehospitalaria, medicina, odontología, veterinaria, enfermería, laboratorio clínico, radiología, optometría, terapia física, terapia ocupacional, terapia del lenguaje, prótesis y órtesis, trabajo social, nutrición, citotecnología, patología, bioestadística, codificación clínica, bioterios, farmacia, saneamiento, histopatología, embalsamamiento y sus ramas, posean los títulos, diplomas o cédulas profesionales correspondientes, debidamente expedidos y registrados ante la autoridad educativa competente.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271. Las instituciones educativas públicas y privadas del Estado que impartan carreras profesionales, técnicas y auxiliares relacionadas con la salud y afines, deberán garantizar que las y los estudiantes de las carreras de la salud y afines, realicen de manera obligatoria el servicio social, de conformidad con las disposiciones legales vigentes en materia educativa y sanitaria.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272. La Secretaría, a través de la Unidad de Enseñanza, Investigación y Calidad, en coordinación con las autoridades educativas correspondientes, establecerá los mecanismos necesarios para la prestación adecuada del servicio social obligatorio de las y los pasantes del área de la salud y afines, fomentando la participación de otras dependencias y entidades competentes, según sea aplicable, para asegurar una formación integral y acorde a las necesidades sanitarias de la población.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273. El personal de salud, en el ejercicio de la práctica de su profesión, tendrá las siguientes obligaciones: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Proporcionar información de manera clara, suficiente y precisa, que el paciente, familiar o acompañante autorizado requiera, sobre su padecimiento, los tratamientos indicados y las implicaciones de estos, tanto positivas como negativas, para que pueda tomar una decisión libre e informada sobre su atención, tratamiento y cuidados;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Proporcionar el consentimiento informado de la persona enferma, por cualquier medio posible ante dos testigos, para los tratamientos o medidas a tomar, respecto de la enfermedad;</w:t>
      </w:r>
    </w:p>
    <w:p w:rsidR="005F04F9" w:rsidRPr="00AE0CAB" w:rsidRDefault="005F04F9" w:rsidP="0039642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Informar oportunamente la persona enferma, cuando el tratamiento curativo, no dé resultados;</w:t>
      </w:r>
    </w:p>
    <w:p w:rsidR="005F04F9" w:rsidRPr="00AE0CAB" w:rsidRDefault="005F04F9" w:rsidP="0039642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Informar a la persona enferma que se encuentra en situación terminal, sobre las opciones, a las que puede someterse dentro de los cuidados paliativos;</w:t>
      </w:r>
    </w:p>
    <w:p w:rsidR="005F04F9" w:rsidRPr="00AE0CAB" w:rsidRDefault="005F04F9" w:rsidP="0039642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Respetar la decisión de la persona enferma, en situación terminal en cuanto a los cuidados paliativos, una vez que se le haya explicado en términos sencillos las consecuencias de su decisión, evitando prolongar el sufrimiento o dolor crónico;</w:t>
      </w:r>
    </w:p>
    <w:p w:rsidR="005F04F9" w:rsidRPr="00AE0CAB" w:rsidRDefault="005F04F9" w:rsidP="0039642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Garantizar que se brinden los cuidados básicos o tratamiento al paciente en todo momento;</w:t>
      </w:r>
    </w:p>
    <w:p w:rsidR="005F04F9" w:rsidRPr="00AE0CAB" w:rsidRDefault="005F04F9" w:rsidP="0039642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Procurar las medidas mínimas necesarias para preservar la calidad de vida de los enfermos en situación terminal;</w:t>
      </w:r>
    </w:p>
    <w:p w:rsidR="005F04F9" w:rsidRPr="00AE0CAB" w:rsidRDefault="005F04F9" w:rsidP="00396427">
      <w:pPr>
        <w:spacing w:after="0" w:line="240" w:lineRule="auto"/>
        <w:rPr>
          <w:rFonts w:ascii="Times New Roman" w:eastAsiaTheme="minorEastAsia" w:hAnsi="Times New Roman" w:cs="Times New Roman"/>
          <w:sz w:val="24"/>
          <w:szCs w:val="24"/>
          <w:lang w:eastAsia="es-MX"/>
        </w:rPr>
      </w:pPr>
    </w:p>
    <w:p w:rsidR="005F04F9" w:rsidRPr="00AE0CAB" w:rsidRDefault="005F04F9" w:rsidP="00551BD2">
      <w:pPr>
        <w:numPr>
          <w:ilvl w:val="0"/>
          <w:numId w:val="100"/>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 Apegarse a las buenas prácticas basadas en las disposiciones aplicables;</w:t>
      </w:r>
    </w:p>
    <w:p w:rsidR="005F04F9" w:rsidRPr="00AE0CAB" w:rsidRDefault="005F04F9" w:rsidP="0039642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Brindar trato digno y respetuoso, sin discriminación alguna y de acuerdo con los principios científicos y éticos que orientan la práctica profesional, utilizando todos los recursos y conocimientos a su alcance en beneficio de las y los pacientes;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Integrar y resguardar de manera correcta y oportuna el expediente clínico de las y los pacientes por un periodo mínimo de S años posteriores a la última atención otorgada, salvo que se trate de procesos administrativos o legales, de conformidad con lo establecido en el catálogo de disposición documental correspondiente; así como proporcionar una copia íntegra a la o el paciente, su familiar o su representante legal, siempre que lo solicite;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Utilizar de forma racional, honesta, honrada, eficiente, efectiva, justificada, equitativa y prudente, los recursos sanitarios que se le confían, para beneficiar en todo momento a la y el paciente en su atención;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Consultar o referir de manera oportuna a la o a el paciente a otra u otro profesional de la salud calificado, ante algún caso que supere su capacidad resolutiva y/o experiencia;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Al referenciar a la persona usuaria o paciente a otro nivel de atención se tomarán las medidas necesarias, oportunas, prudentes, responsables y eficientes el traslado de este;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1"/>
        </w:num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Realizar de forma periódica y permanente una actualización profesional. En caso de ser médica o médico general y/o especialista, contar con certificación vigente del Consejo de Profesionales que corresponda.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274. Las y los médicos tratantes, en ningún caso y por ningún motivo implementarán medios extraordinarios a la persona enferma en situación terminal, sin su consentimiento o el de sus familiares.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275. Las y los profesionales de la salud que, por decisión propia, dejen de proporcionar cualquier atención, tratamiento o cuidado sin el consentimiento de la persona enferma en cualquier etapa, o en caso de que esté impedido para expresar su voluntad, el de su familia o persona de confianza, será sancionado conforme lo establecido por las leyes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Profesionalización, Formación y Actualización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276. Para registrar las actividades del área médica, paramédica y afines a la salud, la Secretaría, a través de la Unidad de Enseñanza, Investigación y Calidad, por solicitud de </w:t>
      </w:r>
      <w:r w:rsidRPr="00AE0CAB">
        <w:rPr>
          <w:rFonts w:ascii="Times New Roman" w:eastAsiaTheme="minorEastAsia" w:hAnsi="Times New Roman" w:cs="Times New Roman"/>
          <w:sz w:val="24"/>
          <w:szCs w:val="24"/>
          <w:lang w:eastAsia="es-MX"/>
        </w:rPr>
        <w:lastRenderedPageBreak/>
        <w:t>instituciones educativas públicas o privadas, emitirá la opinión técnica académica favorable, que garantiza que los programas de estudio cumplen con los criterios de calidad académica de la autoridad educativa competente, para la obtención del Reconocimiento de Validez Oficial que amerite.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277. La Secretaría, a través de la Unidad de Enseñanza, Investigación y Calidad, en coordinación con las autoridades educativas competentes, así como con la participación de las instituciones públicas y privadas de educación superior y media superior, establecerán normas y criterios específicos para la formación, capacitación y actualización de las y los recursos humanos en salud y áreas afines, teniendo </w:t>
      </w:r>
      <w:r w:rsidRPr="00AE0CAB">
        <w:rPr>
          <w:rFonts w:ascii="Times New Roman" w:eastAsiaTheme="minorEastAsia" w:hAnsi="Times New Roman" w:cs="Times New Roman"/>
          <w:noProof/>
          <w:sz w:val="24"/>
          <w:szCs w:val="24"/>
          <w:lang w:eastAsia="es-MX"/>
        </w:rPr>
        <w:drawing>
          <wp:inline distT="0" distB="0" distL="0" distR="0" wp14:anchorId="26DF49F4" wp14:editId="5F24D21B">
            <wp:extent cx="4575" cy="4573"/>
            <wp:effectExtent l="0" t="0" r="0" b="0"/>
            <wp:docPr id="299774" name="Picture 299774"/>
            <wp:cNvGraphicFramePr/>
            <a:graphic xmlns:a="http://schemas.openxmlformats.org/drawingml/2006/main">
              <a:graphicData uri="http://schemas.openxmlformats.org/drawingml/2006/picture">
                <pic:pic xmlns:pic="http://schemas.openxmlformats.org/drawingml/2006/picture">
                  <pic:nvPicPr>
                    <pic:cNvPr id="299774" name="Picture 299774"/>
                    <pic:cNvPicPr/>
                  </pic:nvPicPr>
                  <pic:blipFill>
                    <a:blip r:embed="rId28"/>
                    <a:stretch>
                      <a:fillRect/>
                    </a:stretch>
                  </pic:blipFill>
                  <pic:spPr>
                    <a:xfrm>
                      <a:off x="0" y="0"/>
                      <a:ext cx="4575" cy="4573"/>
                    </a:xfrm>
                    <a:prstGeom prst="rect">
                      <a:avLst/>
                    </a:prstGeom>
                  </pic:spPr>
                </pic:pic>
              </a:graphicData>
            </a:graphic>
          </wp:inline>
        </w:drawing>
      </w:r>
      <w:r w:rsidRPr="00AE0CAB">
        <w:rPr>
          <w:rFonts w:ascii="Times New Roman" w:eastAsiaTheme="minorEastAsia" w:hAnsi="Times New Roman" w:cs="Times New Roman"/>
          <w:sz w:val="24"/>
          <w:szCs w:val="24"/>
          <w:lang w:eastAsia="es-MX"/>
        </w:rPr>
        <w:t>las siguientes atribuciones: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Dictar las normas y criterios para la capacitación y actualización de los recursos humanos para la salud, previo diagnóstico de necesidades de capacitación, que se realizará de manera coordinada con las autoridades educativas competentes;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Implementar los mecanismos que impulsen la creación de centros de capacitación y actualización de los recursos humanos para la salud;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Gestionar, dentro de sus posibilidades presupuestarias y operativas, el uso de los establecimientos de salud bajo su cargo para apoyar, la enseñanza y capacitación en servicio, al interior de los establecimientos de salud, cuyo objeto sea la formación, capacitación o actualización de profesionales, técnicos y auxiliares de la salud, de conformidad con las normas aplicables al funcionamiento de los primeros mediante un diagnóstico de necesidades de capacitación y la integración de un programa específico de capacitación por las unidades médicas.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278. Las actividades docentes relacionadas con el internado de pregrado, el servicio social y las residencias médicas, estarán reguladas prioritariamente por las instituciones de educación superior que avalen los planes y programas de estudio, conforme a las disposiciones legales y reglamentarias aplicables a su organización y funcionamiento interno. La operación de dichos programas al interior de los establecimientos de salud se ajustará, además, a la normatividad sanitaria que emitan las autoridades competentes en materia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279. La Secretaría, a través de la Unidad de Enseñanza, Investigación y Calidad, en el ejercicio de sus facultades, junto con las instituciones públicas y privadas de educación superior y media superior, desarrollarán programas de índole social dirigidos a las y los profesionales de la salud, en beneficio de la comunidad, observando en todo momento lo dispuesto en la legislación vigente aplicable al ejercicio profesional sanitario.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280. La profesionalización, formación y actualización del personal de salud y el sistema de enseñanza continua en materia de salud reconocerá, respetará y promoverá el desarrollo de la medicina </w:t>
      </w:r>
      <w:r w:rsidRPr="00AE0CAB">
        <w:rPr>
          <w:rFonts w:ascii="Times New Roman" w:eastAsiaTheme="minorEastAsia" w:hAnsi="Times New Roman" w:cs="Times New Roman"/>
          <w:noProof/>
          <w:sz w:val="24"/>
          <w:szCs w:val="24"/>
          <w:lang w:eastAsia="es-MX"/>
        </w:rPr>
        <w:drawing>
          <wp:inline distT="0" distB="0" distL="0" distR="0" wp14:anchorId="229D460E" wp14:editId="06953E50">
            <wp:extent cx="4575" cy="4572"/>
            <wp:effectExtent l="0" t="0" r="0" b="0"/>
            <wp:docPr id="303614" name="Picture 303614"/>
            <wp:cNvGraphicFramePr/>
            <a:graphic xmlns:a="http://schemas.openxmlformats.org/drawingml/2006/main">
              <a:graphicData uri="http://schemas.openxmlformats.org/drawingml/2006/picture">
                <pic:pic xmlns:pic="http://schemas.openxmlformats.org/drawingml/2006/picture">
                  <pic:nvPicPr>
                    <pic:cNvPr id="303614" name="Picture 303614"/>
                    <pic:cNvPicPr/>
                  </pic:nvPicPr>
                  <pic:blipFill>
                    <a:blip r:embed="rId40"/>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tradicional indígena.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Secretaría garantizará que los procesos de profesionalización, formación y actualización se impartan con enfoque de protección a los derechos humanos y respetando la interculturalidad, con especial atención en población indígena y comunidades afromexicanas.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 DÉCIMO PRIMERO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INVESTIGACIÓN E INFORMACIÓN EN SALUD</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CAPÍTULO 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Disposiciones Generales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281. La regulación de los procesos y procedimientos de investigación en materia de salud en el territorio estatal, se realizarán en apego a las disposiciones establecidas en la presente Ley, así como en la Ley General y sus disposiciones reglamentarias.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282. La investigación para la salud comprende las actividades científicas destinadas a ampliar el conocimiento en los procesos biológicos, sociales y psicológicos en los seres humanos, la identificación de factores de riesgo, la evaluación del impacto ambiental en la salud, el desarrollo de tecnologías sanitarias y la mejora de los servicios de salud pública, salvaguardando la inclusión y la igualdad de género de todos los sectores de la población.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283. La Secretaría dictará las líneas sobre las cuales versarán las directrices de investigación en la entidad.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Competencias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284. Son autoridades competentes en la regulación, supervisión y control de la investigación en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La Secretaría, a través de los Organismos Especializados en Salud;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 Secretaría, a través de la Unidad de Enseñanza Investigación y Calidad en la vigilancia del funcionamiento de los Comités de Investigación y Ética en Investigación.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285. Son sujetos de regulación en la investigación: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Los Comités de Ética en Investigación, Bioseguridad e Investigación instalados en las unidades de atención donde se realice investigación en seres humanos, encargados de evaluar, dictaminar y autorizar la realización de estudios científicos;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Los prestadores de servicios de salud públicos, sociales o privados, responsables de proporcionar las condiciones necesarias para la investigación y garantizar la protección de los derechos de los participantes;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Los investigadores principales, encargados del diseño, ejecución y control de los estudios científicos, bajo los principios de legalidad, bioseguridad y ética.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286. El Estado, a través de la Secretaría, en coordinación con la Secretaría de Educación, Ciencia, Tecnología e Innovación y el Consejo Mexiquense de Ciencia y Tecnología, fomentarán y financiarán la investigación en salud pública y áreas prioritarias; conforme a sus lineamientos y la disponibilidad presupuestal.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anchor distT="0" distB="0" distL="114300" distR="114300" simplePos="0" relativeHeight="251673600" behindDoc="0" locked="0" layoutInCell="1" allowOverlap="0" wp14:anchorId="26843185" wp14:editId="386C8678">
            <wp:simplePos x="0" y="0"/>
            <wp:positionH relativeFrom="page">
              <wp:posOffset>3302927</wp:posOffset>
            </wp:positionH>
            <wp:positionV relativeFrom="page">
              <wp:posOffset>9774936</wp:posOffset>
            </wp:positionV>
            <wp:extent cx="1171121" cy="68580"/>
            <wp:effectExtent l="0" t="0" r="0" b="0"/>
            <wp:wrapTopAndBottom/>
            <wp:docPr id="563132" name="Picture 563132"/>
            <wp:cNvGraphicFramePr/>
            <a:graphic xmlns:a="http://schemas.openxmlformats.org/drawingml/2006/main">
              <a:graphicData uri="http://schemas.openxmlformats.org/drawingml/2006/picture">
                <pic:pic xmlns:pic="http://schemas.openxmlformats.org/drawingml/2006/picture">
                  <pic:nvPicPr>
                    <pic:cNvPr id="563132" name="Picture 563132"/>
                    <pic:cNvPicPr/>
                  </pic:nvPicPr>
                  <pic:blipFill>
                    <a:blip r:embed="rId75"/>
                    <a:stretch>
                      <a:fillRect/>
                    </a:stretch>
                  </pic:blipFill>
                  <pic:spPr>
                    <a:xfrm>
                      <a:off x="0" y="0"/>
                      <a:ext cx="1171121" cy="68580"/>
                    </a:xfrm>
                    <a:prstGeom prst="rect">
                      <a:avLst/>
                    </a:prstGeom>
                  </pic:spPr>
                </pic:pic>
              </a:graphicData>
            </a:graphic>
          </wp:anchor>
        </w:drawing>
      </w:r>
      <w:r w:rsidRPr="00AE0CAB">
        <w:rPr>
          <w:rFonts w:ascii="Times New Roman" w:eastAsiaTheme="minorEastAsia" w:hAnsi="Times New Roman" w:cs="Times New Roman"/>
          <w:sz w:val="24"/>
          <w:szCs w:val="24"/>
          <w:lang w:eastAsia="es-MX"/>
        </w:rPr>
        <w:t>Además, difundirá y aplicará los resultados obtenidos. Para ello, se establecerá una Comisión Interinstitucional de Investigación en Salud, que servirá como órgano asesor para diseñar políticas, coordinar proyectos y garantizar su impacto en el ámbito estatal.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287. Toda investigación en salud que implique la participación de seres humanos, el uso de materiales biológicos, radiaciones ionizantes, microorganismos patógenos o la modificación de tratamientos médicos, deberá contar con la autorización de la Secretaría de Salud y la aprobación de los comités de investigación, ética en investigación y bioseguridad, en caso necesario.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288. Las unidades de atención donde se realiza investigación en seres humanos deben contar con: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Comité de Investigación;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Comité de Ética en Investigación;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Comité de Bioseguridad, en caso de que se realice investigación con microorganismos patógenos, radiaciones ionizantes o materiales biológicos peligrosos.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Instalados y registrados ante las autoridades competentes, los cuales otorgarán la autorización correspondiente.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289. La investigación en salud deberá conducirse conforme a principios científicos, éticos y jurídicos, asegurando la protección de los sujetos de estudio, la integridad de los resultados obtenidos y el cumplimiento de las disposiciones legales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III</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Responsabilidades y Sanciones en la Investigación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290. Las instituciones y personas involucradas en la investigación en salud serán responsables del cumplimiento de las disposiciones establecidas en la presente Ley, así como de la observancia de las normas nacionales e internacionales en la materia.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291. En caso de incumplimiento de las normas y disposiciones aplicables, la Secretaría podrá revocar las autorizaciones concedidas e informar a las autoridades competentes para que se apliquen las sanciones correspondientes, conforme a lo establecido en la Ley General.</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292. En caso de daño a los sujetos de investigación, la institución responsable del proyecto, será la responsable de garantizar su atención médica y, en su caso, proceder a la indemnización </w:t>
      </w:r>
      <w:r w:rsidRPr="00AE0CAB">
        <w:rPr>
          <w:rFonts w:ascii="Times New Roman" w:eastAsiaTheme="minorEastAsia" w:hAnsi="Times New Roman" w:cs="Times New Roman"/>
          <w:noProof/>
          <w:sz w:val="24"/>
          <w:szCs w:val="24"/>
          <w:lang w:eastAsia="es-MX"/>
        </w:rPr>
        <w:drawing>
          <wp:inline distT="0" distB="0" distL="0" distR="0" wp14:anchorId="366F8A8D" wp14:editId="70231EB5">
            <wp:extent cx="4575" cy="4572"/>
            <wp:effectExtent l="0" t="0" r="0" b="0"/>
            <wp:docPr id="310475" name="Picture 310475"/>
            <wp:cNvGraphicFramePr/>
            <a:graphic xmlns:a="http://schemas.openxmlformats.org/drawingml/2006/main">
              <a:graphicData uri="http://schemas.openxmlformats.org/drawingml/2006/picture">
                <pic:pic xmlns:pic="http://schemas.openxmlformats.org/drawingml/2006/picture">
                  <pic:nvPicPr>
                    <pic:cNvPr id="310475" name="Picture 310475"/>
                    <pic:cNvPicPr/>
                  </pic:nvPicPr>
                  <pic:blipFill>
                    <a:blip r:embed="rId1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correspondiente.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293. Las sanciones podrán incluir: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La cancelación de la investigación;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La revocación de autorizaciones;</w:t>
      </w:r>
    </w:p>
    <w:p w:rsidR="005F04F9" w:rsidRPr="00AE0CAB" w:rsidRDefault="005F04F9" w:rsidP="0039642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Multas, que podrá determinar la autoridad competente; y</w:t>
      </w:r>
    </w:p>
    <w:p w:rsidR="005F04F9" w:rsidRPr="00AE0CAB" w:rsidRDefault="005F04F9" w:rsidP="0039642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2"/>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La inhabilitación de los responsables para realizar nuevas investigaciones.</w:t>
      </w:r>
    </w:p>
    <w:p w:rsidR="005F04F9" w:rsidRPr="00AE0CAB" w:rsidRDefault="005F04F9" w:rsidP="00396427">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 DÉCIMO SEGUNDO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SISTEMA ESTATAL DE INFORMACIÓN EN SALUD</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CAPÍTULO ÚNICO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Sistema Estatal de Información en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294. La Secretaría, en el ámbito de sus respectivas competencias, y de conformidad con la Ley del Sistema Nacional de Información Estadística y Geográfica, captará, producirá y procesará la </w:t>
      </w:r>
      <w:r w:rsidRPr="00AE0CAB">
        <w:rPr>
          <w:rFonts w:ascii="Times New Roman" w:eastAsiaTheme="minorEastAsia" w:hAnsi="Times New Roman" w:cs="Times New Roman"/>
          <w:noProof/>
          <w:sz w:val="24"/>
          <w:szCs w:val="24"/>
          <w:lang w:eastAsia="es-MX"/>
        </w:rPr>
        <w:drawing>
          <wp:inline distT="0" distB="0" distL="0" distR="0" wp14:anchorId="0E5DFDA4" wp14:editId="46D84808">
            <wp:extent cx="13723" cy="9144"/>
            <wp:effectExtent l="0" t="0" r="0" b="0"/>
            <wp:docPr id="563137" name="Picture 563137"/>
            <wp:cNvGraphicFramePr/>
            <a:graphic xmlns:a="http://schemas.openxmlformats.org/drawingml/2006/main">
              <a:graphicData uri="http://schemas.openxmlformats.org/drawingml/2006/picture">
                <pic:pic xmlns:pic="http://schemas.openxmlformats.org/drawingml/2006/picture">
                  <pic:nvPicPr>
                    <pic:cNvPr id="563137" name="Picture 563137"/>
                    <pic:cNvPicPr/>
                  </pic:nvPicPr>
                  <pic:blipFill>
                    <a:blip r:embed="rId76"/>
                    <a:stretch>
                      <a:fillRect/>
                    </a:stretch>
                  </pic:blipFill>
                  <pic:spPr>
                    <a:xfrm>
                      <a:off x="0" y="0"/>
                      <a:ext cx="13723" cy="9144"/>
                    </a:xfrm>
                    <a:prstGeom prst="rect">
                      <a:avLst/>
                    </a:prstGeom>
                  </pic:spPr>
                </pic:pic>
              </a:graphicData>
            </a:graphic>
          </wp:inline>
        </w:drawing>
      </w:r>
      <w:r w:rsidRPr="00AE0CAB">
        <w:rPr>
          <w:rFonts w:ascii="Times New Roman" w:eastAsiaTheme="minorEastAsia" w:hAnsi="Times New Roman" w:cs="Times New Roman"/>
          <w:sz w:val="24"/>
          <w:szCs w:val="24"/>
          <w:lang w:eastAsia="es-MX"/>
        </w:rPr>
        <w:t>información necesaria para el proceso de planeación, programación y evaluación de las políticas públicas, así como sobre el estado y evolución de la salud pública.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295. El Sistema Estatal de Información en Salud es el mecanismo de gestión de información </w:t>
      </w:r>
      <w:r w:rsidRPr="00AE0CAB">
        <w:rPr>
          <w:rFonts w:ascii="Times New Roman" w:eastAsiaTheme="minorEastAsia" w:hAnsi="Times New Roman" w:cs="Times New Roman"/>
          <w:noProof/>
          <w:sz w:val="24"/>
          <w:szCs w:val="24"/>
          <w:lang w:eastAsia="es-MX"/>
        </w:rPr>
        <w:drawing>
          <wp:inline distT="0" distB="0" distL="0" distR="0" wp14:anchorId="7250315F" wp14:editId="0982FAE2">
            <wp:extent cx="4575" cy="4572"/>
            <wp:effectExtent l="0" t="0" r="0" b="0"/>
            <wp:docPr id="310478" name="Picture 310478"/>
            <wp:cNvGraphicFramePr/>
            <a:graphic xmlns:a="http://schemas.openxmlformats.org/drawingml/2006/main">
              <a:graphicData uri="http://schemas.openxmlformats.org/drawingml/2006/picture">
                <pic:pic xmlns:pic="http://schemas.openxmlformats.org/drawingml/2006/picture">
                  <pic:nvPicPr>
                    <pic:cNvPr id="310478" name="Picture 310478"/>
                    <pic:cNvPicPr/>
                  </pic:nvPicPr>
                  <pic:blipFill>
                    <a:blip r:embed="rId35"/>
                    <a:stretch>
                      <a:fillRect/>
                    </a:stretch>
                  </pic:blipFill>
                  <pic:spPr>
                    <a:xfrm>
                      <a:off x="0" y="0"/>
                      <a:ext cx="4575" cy="4572"/>
                    </a:xfrm>
                    <a:prstGeom prst="rect">
                      <a:avLst/>
                    </a:prstGeom>
                  </pic:spPr>
                </pic:pic>
              </a:graphicData>
            </a:graphic>
          </wp:inline>
        </w:drawing>
      </w:r>
      <w:r w:rsidRPr="00AE0CAB">
        <w:rPr>
          <w:rFonts w:ascii="Times New Roman" w:eastAsiaTheme="minorEastAsia" w:hAnsi="Times New Roman" w:cs="Times New Roman"/>
          <w:sz w:val="24"/>
          <w:szCs w:val="24"/>
          <w:lang w:eastAsia="es-MX"/>
        </w:rPr>
        <w:t>referente a los distintos factores que intervienen en la salud pública.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La Secretaría planeará, operará, controlará y evaluará el Sistema de Información en Salud del Estado de </w:t>
      </w:r>
      <w:r w:rsidRPr="00AE0CAB">
        <w:rPr>
          <w:rFonts w:ascii="Times New Roman" w:eastAsiaTheme="minorEastAsia" w:hAnsi="Times New Roman" w:cs="Times New Roman"/>
          <w:noProof/>
          <w:sz w:val="24"/>
          <w:szCs w:val="24"/>
          <w:lang w:eastAsia="es-MX"/>
        </w:rPr>
        <w:drawing>
          <wp:inline distT="0" distB="0" distL="0" distR="0" wp14:anchorId="00DF5CD7" wp14:editId="13F94214">
            <wp:extent cx="4575" cy="4573"/>
            <wp:effectExtent l="0" t="0" r="0" b="0"/>
            <wp:docPr id="310479" name="Picture 310479"/>
            <wp:cNvGraphicFramePr/>
            <a:graphic xmlns:a="http://schemas.openxmlformats.org/drawingml/2006/main">
              <a:graphicData uri="http://schemas.openxmlformats.org/drawingml/2006/picture">
                <pic:pic xmlns:pic="http://schemas.openxmlformats.org/drawingml/2006/picture">
                  <pic:nvPicPr>
                    <pic:cNvPr id="310479" name="Picture 310479"/>
                    <pic:cNvPicPr/>
                  </pic:nvPicPr>
                  <pic:blipFill>
                    <a:blip r:embed="rId9"/>
                    <a:stretch>
                      <a:fillRect/>
                    </a:stretch>
                  </pic:blipFill>
                  <pic:spPr>
                    <a:xfrm>
                      <a:off x="0" y="0"/>
                      <a:ext cx="4575" cy="4573"/>
                    </a:xfrm>
                    <a:prstGeom prst="rect">
                      <a:avLst/>
                    </a:prstGeom>
                  </pic:spPr>
                </pic:pic>
              </a:graphicData>
            </a:graphic>
          </wp:inline>
        </w:drawing>
      </w:r>
      <w:r w:rsidRPr="00AE0CAB">
        <w:rPr>
          <w:rFonts w:ascii="Times New Roman" w:eastAsiaTheme="minorEastAsia" w:hAnsi="Times New Roman" w:cs="Times New Roman"/>
          <w:sz w:val="24"/>
          <w:szCs w:val="24"/>
          <w:lang w:eastAsia="es-MX"/>
        </w:rPr>
        <w:t>México, con la participación de todas las dependencias y organismos auxiliares, así como los prestadores de servicios de salud públicos, sociales y privados, en el ámbito de sus competencias y conforme a las facultades que cada uno tenga conferidas expresamente.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296. El Sistema Estatal de Información en Salud contendrá al menos: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Estadísticas de natalidad, mortalidad, morbilidad y discapacidad;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Factores demográficos, económicos, sociales y ambientales vinculados a la salud; y</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Recursos físicos, humanos y financieros disponibles para la protección de la salud de la población, y su utilización.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297. Las personas responsables de la información generada en torno al Sistema Estatal de Información en Salud, se sujetarán a las disposiciones en materia de protección de datos personales en posesión de sujetos obligados.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298. Las dependencias y entidades de la Administración Pública del Estado de México, los municipios, las autoridades de los pueblos y comunidades indígenas y afromexicanas cuando proceda, así como las personas físicas y jurídico colectivas de los sectores social y privado, que generen y manejen la información a que se refiere este capítulo, deberán suministrarla a la Secretaria, con la periodicidad y en los términos que esta señale, para la elaboración de las estadísticas estatales para la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299. Los establecimientos que presten servicios de salud, los profesionales, técnicos y auxiliares que presten servicios de salud, así como los establecimientos dedicados al proceso, uso, aplicación o disposición final de los productos o que realicen la prestación de algún servicio de salud, llevarán las estadísticas que les señale la Secretaría, proporcionando la información que ésta les requiera, en sus respectivos ámbitos de competencia, la información correspondiente, sin perjuicio de las obligaciones de suministrar la información que les señalen otras disposiciones legales.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300. La Secretaría orientará la capacitación, producción, procesamiento, sistematización y divulgación de la información para la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301. Corresponde a la Secretaría, emitir la normatividad a la cual deberán sujetarse los sistemas de información de registro electrónico que utilicen las instituciones del Sistema Estatal, a </w:t>
      </w:r>
      <w:r w:rsidRPr="00AE0CAB">
        <w:rPr>
          <w:rFonts w:ascii="Times New Roman" w:eastAsiaTheme="minorEastAsia" w:hAnsi="Times New Roman" w:cs="Times New Roman"/>
          <w:sz w:val="24"/>
          <w:szCs w:val="24"/>
          <w:lang w:eastAsia="es-MX"/>
        </w:rPr>
        <w:lastRenderedPageBreak/>
        <w:t>fin de garantizar la interoperabilidad, procesamiento, interpretación y seguridad de la información contenida en los expedientes clínicos electrónicos.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SEGUNDO. Se reforma la fracción IV del artículo 8.10 y se deroga el Libro Segundo De la Salud del Código Administrativo del Estado de México, para quedar como sigue: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LIBRO SEGUNDO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Salud Derogado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TITULO PRIMERO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Disposiciones generales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PRIMERO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objeto y finalidad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SEGUNDO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autoridades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TERCERO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Secretaría de Salud</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CUARTO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Instituto de Salud del Estado de México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noProof/>
          <w:sz w:val="24"/>
          <w:szCs w:val="24"/>
          <w:lang w:eastAsia="es-MX"/>
        </w:rPr>
        <w:drawing>
          <wp:inline distT="0" distB="0" distL="0" distR="0" wp14:anchorId="5C68C5EB" wp14:editId="3A7DA6BE">
            <wp:extent cx="4575" cy="9144"/>
            <wp:effectExtent l="0" t="0" r="0" b="0"/>
            <wp:docPr id="315783" name="Picture 315783"/>
            <wp:cNvGraphicFramePr/>
            <a:graphic xmlns:a="http://schemas.openxmlformats.org/drawingml/2006/main">
              <a:graphicData uri="http://schemas.openxmlformats.org/drawingml/2006/picture">
                <pic:pic xmlns:pic="http://schemas.openxmlformats.org/drawingml/2006/picture">
                  <pic:nvPicPr>
                    <pic:cNvPr id="315783" name="Picture 315783"/>
                    <pic:cNvPicPr/>
                  </pic:nvPicPr>
                  <pic:blipFill>
                    <a:blip r:embed="rId77"/>
                    <a:stretch>
                      <a:fillRect/>
                    </a:stretch>
                  </pic:blipFill>
                  <pic:spPr>
                    <a:xfrm>
                      <a:off x="0" y="0"/>
                      <a:ext cx="4575" cy="9144"/>
                    </a:xfrm>
                    <a:prstGeom prst="rect">
                      <a:avLst/>
                    </a:prstGeom>
                  </pic:spPr>
                </pic:pic>
              </a:graphicData>
            </a:graphic>
          </wp:inline>
        </w:drawing>
      </w: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QUINTO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Consejo de Salud del Estado de México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2.8.-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2.9.-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2.10.-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SEXTO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Sistema de Información y del Registro Estatales de Salud</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2.11.-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2.12.-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TITULO SECUNDO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los Institutos Especializados en Materia de Salud del Estado de México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2.13.-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2.14.-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2.15.-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TÍTULO TERCERO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SALUBRIDAD GENERAL</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PRIMERO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Disposiciones generales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2.16.-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2.17.-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2.18.-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2.19.-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2.19 Bis.-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SECUNDO</w:t>
      </w:r>
    </w:p>
    <w:p w:rsidR="005F04F9" w:rsidRPr="00AE0CAB" w:rsidRDefault="005F04F9" w:rsidP="005F04F9">
      <w:pPr>
        <w:keepNext/>
        <w:keepLines/>
        <w:spacing w:after="0" w:line="240" w:lineRule="auto"/>
        <w:jc w:val="center"/>
        <w:outlineLvl w:val="1"/>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Del Sistema Estatal de Salud</w:t>
      </w:r>
    </w:p>
    <w:p w:rsidR="005F04F9" w:rsidRPr="00AE0CAB" w:rsidRDefault="005F04F9" w:rsidP="005F04F9">
      <w:pPr>
        <w:keepNext/>
        <w:keepLines/>
        <w:spacing w:after="0" w:line="240" w:lineRule="auto"/>
        <w:jc w:val="center"/>
        <w:outlineLvl w:val="1"/>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2.20.-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2.21.-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2.22.-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TERCERO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Centro Estatal de Trasplantes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2.23.-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2.24.-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2.25.-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CUARTO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Comisión de Conciliación y Arbitraje Médico del Estado de México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2.26.-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2.27.-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2.28.-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2.29.-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QUINTO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PARTICIPACIÓN EN LA PREVENCIÓN Y ATENCIÓN A LAS ADICCIONES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Primera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Disposiciones Generales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2.30.-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2.31.-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2.32.-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Segunda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prevención y atención a las adicciones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2.33.-Derogado.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2.34.-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2.35.-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2.36.-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2.37.-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Tercera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Autoridades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2.38.-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2.39.-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2.40.-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2.41.-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2.42.-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2.43.-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2.44.-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Cuarta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participación municipal en la prevención y atención a las adicciones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2.45.-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2.46.-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SEXTO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DEL PROGRAMA DE PREVENCIÓN DEL SUICIDIO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octies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 xml:space="preserve">Artículo 2.48 </w:t>
      </w:r>
      <w:proofErr w:type="spellStart"/>
      <w:r w:rsidRPr="00AE0CAB">
        <w:rPr>
          <w:rFonts w:ascii="Times New Roman" w:eastAsiaTheme="minorEastAsia" w:hAnsi="Times New Roman" w:cs="Times New Roman"/>
          <w:sz w:val="24"/>
          <w:szCs w:val="24"/>
          <w:lang w:eastAsia="es-MX"/>
        </w:rPr>
        <w:t>nonies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decies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CAPÍTULO SÉPTIMO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ATENCIÓN INTEGRAL AL CÁNCER DE MAMA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PRIMERA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DISPOSICIONES GENERALES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Undecies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2.48 Duodecies.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Terdecies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Quaterdecies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Quindecies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SEGUNDA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TRATAMIENTO Y SEGUIMIENTO DEL CÁNCER DE MAMA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Sexdecies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2.48 Septdecies.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Octodecies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Novodecies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2.48 Vicies.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TERCERA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MASTECTOMÍA Y LA MAMOPLASTIA RECONSTRUCTIVA DE CALIDAD</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Unvicies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Duovicies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Tervicies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2.48 </w:t>
      </w:r>
      <w:proofErr w:type="spellStart"/>
      <w:r w:rsidRPr="00AE0CAB">
        <w:rPr>
          <w:rFonts w:ascii="Times New Roman" w:eastAsiaTheme="minorEastAsia" w:hAnsi="Times New Roman" w:cs="Times New Roman"/>
          <w:sz w:val="24"/>
          <w:szCs w:val="24"/>
          <w:lang w:eastAsia="es-MX"/>
        </w:rPr>
        <w:t>Quatervicies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TITULO CUARTO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salubridad local</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PRIMERO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Disposiciones Generales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2.49.-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2.49 Bis.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Artículo 2.49 </w:t>
      </w:r>
      <w:proofErr w:type="spellStart"/>
      <w:r w:rsidRPr="00AE0CAB">
        <w:rPr>
          <w:rFonts w:ascii="Times New Roman" w:eastAsiaTheme="minorEastAsia" w:hAnsi="Times New Roman" w:cs="Times New Roman"/>
          <w:sz w:val="24"/>
          <w:szCs w:val="24"/>
          <w:lang w:eastAsia="es-MX"/>
        </w:rPr>
        <w:t>Septies</w:t>
      </w:r>
      <w:proofErr w:type="spellEnd"/>
      <w:r w:rsidRPr="00AE0CAB">
        <w:rPr>
          <w:rFonts w:ascii="Times New Roman" w:eastAsiaTheme="minorEastAsia" w:hAnsi="Times New Roman" w:cs="Times New Roman"/>
          <w:sz w:val="24"/>
          <w:szCs w:val="24"/>
          <w:lang w:eastAsia="es-MX"/>
        </w:rPr>
        <w:t>.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2.50.-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2.51.-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2.52.-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2.53.-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2.54.-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2.55.-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2.56.-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2.57.-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2.58.-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2.59.-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2.60.-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2.61.-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2.62.-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SEGUNDO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autorizaciones sanitarias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2.63.-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2.64.-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2.65.-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2.66.-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CAPITULO TERCERO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vigilancia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Derogado</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SECCIÓN PRIMERA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 recolección de muestra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2.67.-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keepNext/>
        <w:keepLines/>
        <w:spacing w:after="0" w:line="240" w:lineRule="auto"/>
        <w:jc w:val="center"/>
        <w:outlineLvl w:val="1"/>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SECCION SEGUNDA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medidas de seguridad sanitaria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2.68.-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2.69.-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2.70.-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keepNext/>
        <w:keepLines/>
        <w:spacing w:after="0" w:line="240" w:lineRule="auto"/>
        <w:jc w:val="center"/>
        <w:outlineLvl w:val="1"/>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SECCION TERCERA</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 las sanciones</w:t>
      </w: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Derogada</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2.71.-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2.72.-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2.72 Ter.-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2.73.-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2.74.-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2.75.-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Artículo 2.76.- Derogado.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8.10.-</w:t>
      </w:r>
      <w:r w:rsidRPr="00AE0CAB">
        <w:rPr>
          <w:rFonts w:ascii="Times New Roman" w:eastAsiaTheme="minorEastAsia" w:hAnsi="Times New Roman" w:cs="Times New Roman"/>
          <w:noProof/>
          <w:sz w:val="24"/>
          <w:szCs w:val="24"/>
          <w:lang w:eastAsia="es-MX"/>
        </w:rPr>
        <w:drawing>
          <wp:inline distT="0" distB="0" distL="0" distR="0" wp14:anchorId="0172AB6E" wp14:editId="27275DB9">
            <wp:extent cx="68620" cy="13716"/>
            <wp:effectExtent l="0" t="0" r="0" b="0"/>
            <wp:docPr id="563162" name="Picture 563162"/>
            <wp:cNvGraphicFramePr/>
            <a:graphic xmlns:a="http://schemas.openxmlformats.org/drawingml/2006/main">
              <a:graphicData uri="http://schemas.openxmlformats.org/drawingml/2006/picture">
                <pic:pic xmlns:pic="http://schemas.openxmlformats.org/drawingml/2006/picture">
                  <pic:nvPicPr>
                    <pic:cNvPr id="563162" name="Picture 563162"/>
                    <pic:cNvPicPr/>
                  </pic:nvPicPr>
                  <pic:blipFill>
                    <a:blip r:embed="rId78"/>
                    <a:stretch>
                      <a:fillRect/>
                    </a:stretch>
                  </pic:blipFill>
                  <pic:spPr>
                    <a:xfrm>
                      <a:off x="0" y="0"/>
                      <a:ext cx="68620" cy="13716"/>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a III.</w:t>
      </w:r>
      <w:r w:rsidRPr="00AE0CAB">
        <w:rPr>
          <w:rFonts w:ascii="Times New Roman" w:eastAsiaTheme="minorEastAsia" w:hAnsi="Times New Roman" w:cs="Times New Roman"/>
          <w:noProof/>
          <w:sz w:val="24"/>
          <w:szCs w:val="24"/>
          <w:lang w:eastAsia="es-MX"/>
        </w:rPr>
        <w:drawing>
          <wp:inline distT="0" distB="0" distL="0" distR="0" wp14:anchorId="2C4355FB" wp14:editId="2E464002">
            <wp:extent cx="73195" cy="18288"/>
            <wp:effectExtent l="0" t="0" r="0" b="0"/>
            <wp:docPr id="563164" name="Picture 563164"/>
            <wp:cNvGraphicFramePr/>
            <a:graphic xmlns:a="http://schemas.openxmlformats.org/drawingml/2006/main">
              <a:graphicData uri="http://schemas.openxmlformats.org/drawingml/2006/picture">
                <pic:pic xmlns:pic="http://schemas.openxmlformats.org/drawingml/2006/picture">
                  <pic:nvPicPr>
                    <pic:cNvPr id="563164" name="Picture 563164"/>
                    <pic:cNvPicPr/>
                  </pic:nvPicPr>
                  <pic:blipFill>
                    <a:blip r:embed="rId79"/>
                    <a:stretch>
                      <a:fillRect/>
                    </a:stretch>
                  </pic:blipFill>
                  <pic:spPr>
                    <a:xfrm>
                      <a:off x="0" y="0"/>
                      <a:ext cx="73195" cy="18288"/>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IV. Implementar y ejecutar medidas y programas permanentes, con fines de prevención de accidentes en materia vial para salvaguardar la integridad física y bienes de los conductores, sus familias y de la comunidad en general en términos de las disposiciones de la Ley de Salud del Estado de México y de este Libro.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TERCERO. Se reforma el párrafo tercero de la fracción XI del artículo 128 del Código de Procedimientos Administrativos del Estado de México, para quedar como sigue: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128.-</w:t>
      </w:r>
      <w:r w:rsidRPr="00AE0CAB">
        <w:rPr>
          <w:rFonts w:ascii="Times New Roman" w:eastAsiaTheme="minorEastAsia" w:hAnsi="Times New Roman" w:cs="Times New Roman"/>
          <w:noProof/>
          <w:sz w:val="24"/>
          <w:szCs w:val="24"/>
          <w:lang w:eastAsia="es-MX"/>
        </w:rPr>
        <w:drawing>
          <wp:inline distT="0" distB="0" distL="0" distR="0" wp14:anchorId="5812694D" wp14:editId="555E85A0">
            <wp:extent cx="68620" cy="13716"/>
            <wp:effectExtent l="0" t="0" r="0" b="0"/>
            <wp:docPr id="563166" name="Picture 563166"/>
            <wp:cNvGraphicFramePr/>
            <a:graphic xmlns:a="http://schemas.openxmlformats.org/drawingml/2006/main">
              <a:graphicData uri="http://schemas.openxmlformats.org/drawingml/2006/picture">
                <pic:pic xmlns:pic="http://schemas.openxmlformats.org/drawingml/2006/picture">
                  <pic:nvPicPr>
                    <pic:cNvPr id="563166" name="Picture 563166"/>
                    <pic:cNvPicPr/>
                  </pic:nvPicPr>
                  <pic:blipFill>
                    <a:blip r:embed="rId80"/>
                    <a:stretch>
                      <a:fillRect/>
                    </a:stretch>
                  </pic:blipFill>
                  <pic:spPr>
                    <a:xfrm>
                      <a:off x="0" y="0"/>
                      <a:ext cx="68620" cy="13716"/>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a X. …</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XI.</w:t>
      </w:r>
      <w:r w:rsidRPr="00AE0CAB">
        <w:rPr>
          <w:rFonts w:ascii="Times New Roman" w:eastAsiaTheme="minorEastAsia" w:hAnsi="Times New Roman" w:cs="Times New Roman"/>
          <w:noProof/>
          <w:sz w:val="24"/>
          <w:szCs w:val="24"/>
          <w:lang w:eastAsia="es-MX"/>
        </w:rPr>
        <w:drawing>
          <wp:inline distT="0" distB="0" distL="0" distR="0" wp14:anchorId="26393AC5" wp14:editId="7C9063C4">
            <wp:extent cx="68620" cy="13716"/>
            <wp:effectExtent l="0" t="0" r="0" b="0"/>
            <wp:docPr id="563172" name="Picture 563172"/>
            <wp:cNvGraphicFramePr/>
            <a:graphic xmlns:a="http://schemas.openxmlformats.org/drawingml/2006/main">
              <a:graphicData uri="http://schemas.openxmlformats.org/drawingml/2006/picture">
                <pic:pic xmlns:pic="http://schemas.openxmlformats.org/drawingml/2006/picture">
                  <pic:nvPicPr>
                    <pic:cNvPr id="563172" name="Picture 563172"/>
                    <pic:cNvPicPr/>
                  </pic:nvPicPr>
                  <pic:blipFill>
                    <a:blip r:embed="rId81"/>
                    <a:stretch>
                      <a:fillRect/>
                    </a:stretch>
                  </pic:blipFill>
                  <pic:spPr>
                    <a:xfrm>
                      <a:off x="0" y="0"/>
                      <a:ext cx="68620" cy="13716"/>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términos de los artículos 247 y 248 de la Ley de Salud del Estado de México, se exhorta al propietario y/o representante legal de este establecimiento para que dentro del término de tres días, comparezca en la oficina de la Jurisdicción de Regulación Sanitaria correspondiente al domicilio de la negociación, u oficina central de la Comisión para la Protección contra Riesgos Sanitarios del Estado de México, según sea el caso, a fin de que acredite el cumplimiento de las disposiciones sanitarias consistentes en el Dictamen de Giro y en el aviso de funcionamiento, además del cumplimiento de la Ley General de Salud, la Ley General para el Control del Tabaco y su Reglamento, apercibido que de no dar cumplimiento a este requerimiento se hará uso de las medidas de seguridad previstas en los artículos 404 de la Ley General de Salud y 247 de la Ley de Salud del Estado de México, así como las medidas de apremio y medidas disciplinarias previstas en el artículo 19 del Código de Procedimientos Administrativos del Estado de México; con la advertencia de que el retiro o destrucción de este aviso sin la orden de la autoridad competente, generará la aplicación de las medidas referidas;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XII. y XIII.</w:t>
      </w:r>
      <w:r w:rsidRPr="00AE0CAB">
        <w:rPr>
          <w:rFonts w:ascii="Times New Roman" w:eastAsiaTheme="minorEastAsia" w:hAnsi="Times New Roman" w:cs="Times New Roman"/>
          <w:noProof/>
          <w:sz w:val="24"/>
          <w:szCs w:val="24"/>
          <w:lang w:eastAsia="es-MX"/>
        </w:rPr>
        <w:drawing>
          <wp:inline distT="0" distB="0" distL="0" distR="0" wp14:anchorId="4A504BFD" wp14:editId="0580176F">
            <wp:extent cx="68620" cy="18288"/>
            <wp:effectExtent l="0" t="0" r="0" b="0"/>
            <wp:docPr id="563174" name="Picture 563174"/>
            <wp:cNvGraphicFramePr/>
            <a:graphic xmlns:a="http://schemas.openxmlformats.org/drawingml/2006/main">
              <a:graphicData uri="http://schemas.openxmlformats.org/drawingml/2006/picture">
                <pic:pic xmlns:pic="http://schemas.openxmlformats.org/drawingml/2006/picture">
                  <pic:nvPicPr>
                    <pic:cNvPr id="563174" name="Picture 563174"/>
                    <pic:cNvPicPr/>
                  </pic:nvPicPr>
                  <pic:blipFill>
                    <a:blip r:embed="rId82"/>
                    <a:stretch>
                      <a:fillRect/>
                    </a:stretch>
                  </pic:blipFill>
                  <pic:spPr>
                    <a:xfrm>
                      <a:off x="0" y="0"/>
                      <a:ext cx="68620" cy="18288"/>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CUARTO. Se reforman las fracciones I, II, VII, VIII y IX del artículo 31 de la Ley Orgánica de la Administración Pública del Estado de México, para quedar como sigue: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31.</w:t>
      </w:r>
      <w:r w:rsidRPr="00AE0CAB">
        <w:rPr>
          <w:rFonts w:ascii="Times New Roman" w:eastAsiaTheme="minorEastAsia" w:hAnsi="Times New Roman" w:cs="Times New Roman"/>
          <w:noProof/>
          <w:sz w:val="24"/>
          <w:szCs w:val="24"/>
          <w:lang w:eastAsia="es-MX"/>
        </w:rPr>
        <w:drawing>
          <wp:inline distT="0" distB="0" distL="0" distR="0" wp14:anchorId="1E0FADBB" wp14:editId="5A889F72">
            <wp:extent cx="91494" cy="22860"/>
            <wp:effectExtent l="0" t="0" r="0" b="0"/>
            <wp:docPr id="327984" name="Picture 327984"/>
            <wp:cNvGraphicFramePr/>
            <a:graphic xmlns:a="http://schemas.openxmlformats.org/drawingml/2006/main">
              <a:graphicData uri="http://schemas.openxmlformats.org/drawingml/2006/picture">
                <pic:pic xmlns:pic="http://schemas.openxmlformats.org/drawingml/2006/picture">
                  <pic:nvPicPr>
                    <pic:cNvPr id="327984" name="Picture 327984"/>
                    <pic:cNvPicPr/>
                  </pic:nvPicPr>
                  <pic:blipFill>
                    <a:blip r:embed="rId83"/>
                    <a:stretch>
                      <a:fillRect/>
                    </a:stretch>
                  </pic:blipFill>
                  <pic:spPr>
                    <a:xfrm>
                      <a:off x="0" y="0"/>
                      <a:ext cx="91494" cy="22860"/>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Ejercer las atribuciones que en materia de salud le correspondan al Poder Ejecutivo, de acuerdo con la Ley General de Salud, la Ley de Salud del Estado de México, sus reglamentos y demás disposiciones aplicables;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 Conducir la política estatal en materia de salud, en los términos de la Ley de Salud del Estado de México y demás disposiciones aplicables, de conformidad con el Sistema Nacional de Salud;</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a VI.</w:t>
      </w:r>
      <w:r w:rsidRPr="00AE0CAB">
        <w:rPr>
          <w:rFonts w:ascii="Times New Roman" w:eastAsiaTheme="minorEastAsia" w:hAnsi="Times New Roman" w:cs="Times New Roman"/>
          <w:noProof/>
          <w:sz w:val="24"/>
          <w:szCs w:val="24"/>
          <w:lang w:eastAsia="es-MX"/>
        </w:rPr>
        <w:drawing>
          <wp:inline distT="0" distB="0" distL="0" distR="0" wp14:anchorId="4659C150" wp14:editId="7C59FF4A">
            <wp:extent cx="73195" cy="18288"/>
            <wp:effectExtent l="0" t="0" r="0" b="0"/>
            <wp:docPr id="327985" name="Picture 327985"/>
            <wp:cNvGraphicFramePr/>
            <a:graphic xmlns:a="http://schemas.openxmlformats.org/drawingml/2006/main">
              <a:graphicData uri="http://schemas.openxmlformats.org/drawingml/2006/picture">
                <pic:pic xmlns:pic="http://schemas.openxmlformats.org/drawingml/2006/picture">
                  <pic:nvPicPr>
                    <pic:cNvPr id="327985" name="Picture 327985"/>
                    <pic:cNvPicPr/>
                  </pic:nvPicPr>
                  <pic:blipFill>
                    <a:blip r:embed="rId84"/>
                    <a:stretch>
                      <a:fillRect/>
                    </a:stretch>
                  </pic:blipFill>
                  <pic:spPr>
                    <a:xfrm>
                      <a:off x="0" y="0"/>
                      <a:ext cx="73195" cy="18288"/>
                    </a:xfrm>
                    <a:prstGeom prst="rect">
                      <a:avLst/>
                    </a:prstGeom>
                  </pic:spPr>
                </pic:pic>
              </a:graphicData>
            </a:graphic>
          </wp:inline>
        </w:drawing>
      </w:r>
    </w:p>
    <w:p w:rsidR="005F04F9" w:rsidRPr="00AE0CAB" w:rsidRDefault="005F04F9" w:rsidP="00710D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Planear, operar, controlar y evaluar el Sistema Estatal de Donación y Trasplante de Órganos y Tejidos;</w:t>
      </w:r>
    </w:p>
    <w:p w:rsidR="005F04F9" w:rsidRPr="00AE0CAB" w:rsidRDefault="005F04F9" w:rsidP="00710D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Planear, operar, controlar y evaluar el Sistema de Información en Salud del Estado de México, con la participación de todas las dependencias y organismos auxiliares que proporcionen servicios de salud, así como, los prestadores de servicios de salud públicos, sociales y privados, en el ámbito de su competencia;</w:t>
      </w:r>
    </w:p>
    <w:p w:rsidR="005F04F9" w:rsidRPr="00AE0CAB" w:rsidRDefault="005F04F9" w:rsidP="00710D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Impulsar la descentralización y desconcentración de los servicios de salud a los municipios, mediante los convenios que al efecto se suscriban, en términos de la Ley de Salud del Estado de México y demás disposiciones legales en la materia;</w:t>
      </w:r>
    </w:p>
    <w:p w:rsidR="005F04F9" w:rsidRPr="00AE0CAB" w:rsidRDefault="005F04F9" w:rsidP="00710D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3"/>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 XXXVII..</w:t>
      </w:r>
      <w:r w:rsidRPr="00AE0CAB">
        <w:rPr>
          <w:rFonts w:ascii="Times New Roman" w:eastAsiaTheme="minorEastAsia" w:hAnsi="Times New Roman" w:cs="Times New Roman"/>
          <w:noProof/>
          <w:sz w:val="24"/>
          <w:szCs w:val="24"/>
          <w:lang w:eastAsia="es-MX"/>
        </w:rPr>
        <w:drawing>
          <wp:inline distT="0" distB="0" distL="0" distR="0" wp14:anchorId="23A3A2EF" wp14:editId="57AE77C6">
            <wp:extent cx="41172" cy="18288"/>
            <wp:effectExtent l="0" t="0" r="0" b="0"/>
            <wp:docPr id="327986" name="Picture 327986"/>
            <wp:cNvGraphicFramePr/>
            <a:graphic xmlns:a="http://schemas.openxmlformats.org/drawingml/2006/main">
              <a:graphicData uri="http://schemas.openxmlformats.org/drawingml/2006/picture">
                <pic:pic xmlns:pic="http://schemas.openxmlformats.org/drawingml/2006/picture">
                  <pic:nvPicPr>
                    <pic:cNvPr id="327986" name="Picture 327986"/>
                    <pic:cNvPicPr/>
                  </pic:nvPicPr>
                  <pic:blipFill>
                    <a:blip r:embed="rId85"/>
                    <a:stretch>
                      <a:fillRect/>
                    </a:stretch>
                  </pic:blipFill>
                  <pic:spPr>
                    <a:xfrm>
                      <a:off x="0" y="0"/>
                      <a:ext cx="41172" cy="18288"/>
                    </a:xfrm>
                    <a:prstGeom prst="rect">
                      <a:avLst/>
                    </a:prstGeom>
                  </pic:spPr>
                </pic:pic>
              </a:graphicData>
            </a:graphic>
          </wp:inline>
        </w:drawing>
      </w:r>
    </w:p>
    <w:p w:rsidR="005F04F9" w:rsidRPr="00AE0CAB" w:rsidRDefault="005F04F9" w:rsidP="00710D40">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QUINTO. Se reforman los artículos 13 y 29 de la Ley de Eventos Públicos del Estado de México, para quedar como sigue: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13.- De acuerdo con las características de cada evento público, será la autoridad quien determine el horario en que podrán expenderse las bebidas alcohólicas, el cual en ningún caso rebasará las 01:00 horas del día siguiente a aquel en el que se lleve a cabo el evento, lo que se hará constar en la autorización respectiva. Además de lo anterior, los titulares deberán cumplir con las disposiciones establecidas en la Ley de Salud del Estado de México que le sean aplicables de acuerdo al tipo de evento público de que se trate.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29. La contravención a las disposiciones de la Ley dará lugar a la imposición de las medidas de seguridad previstas en la Ley de Salud del Estado de México y el Libro Sexto del Código Administrativo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SEXTO. Se reforma la fracción VI del artículo 52 de la Ley de Fomento Económico para el Estado de México, para quedar como sigue: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52.</w:t>
      </w:r>
      <w:r w:rsidRPr="00AE0CAB">
        <w:rPr>
          <w:rFonts w:ascii="Times New Roman" w:eastAsiaTheme="minorEastAsia" w:hAnsi="Times New Roman" w:cs="Times New Roman"/>
          <w:noProof/>
          <w:sz w:val="24"/>
          <w:szCs w:val="24"/>
          <w:lang w:eastAsia="es-MX"/>
        </w:rPr>
        <w:drawing>
          <wp:inline distT="0" distB="0" distL="0" distR="0" wp14:anchorId="5B35D5AC" wp14:editId="3B531328">
            <wp:extent cx="68620" cy="18288"/>
            <wp:effectExtent l="0" t="0" r="0" b="0"/>
            <wp:docPr id="563181" name="Picture 563181"/>
            <wp:cNvGraphicFramePr/>
            <a:graphic xmlns:a="http://schemas.openxmlformats.org/drawingml/2006/main">
              <a:graphicData uri="http://schemas.openxmlformats.org/drawingml/2006/picture">
                <pic:pic xmlns:pic="http://schemas.openxmlformats.org/drawingml/2006/picture">
                  <pic:nvPicPr>
                    <pic:cNvPr id="563181" name="Picture 563181"/>
                    <pic:cNvPicPr/>
                  </pic:nvPicPr>
                  <pic:blipFill>
                    <a:blip r:embed="rId86"/>
                    <a:stretch>
                      <a:fillRect/>
                    </a:stretch>
                  </pic:blipFill>
                  <pic:spPr>
                    <a:xfrm>
                      <a:off x="0" y="0"/>
                      <a:ext cx="68620" cy="18288"/>
                    </a:xfrm>
                    <a:prstGeom prst="rect">
                      <a:avLst/>
                    </a:prstGeom>
                  </pic:spPr>
                </pic:pic>
              </a:graphicData>
            </a:graphic>
          </wp:inline>
        </w:drawing>
      </w:r>
    </w:p>
    <w:p w:rsidR="005F04F9" w:rsidRPr="00AE0CAB" w:rsidRDefault="005F04F9" w:rsidP="007E519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Permiso sanitario de inicio de construcción y de ocupación de obra. Consiste en la autorización para que una persona física o jurídica colectiva, realice actividades relacionadas con el inicio y ocupación de obras de construcción, reconstrucción, modificación o acondicionamiento de determinados establecimientos, y que están reguladas por la Ley de Salud del Estado de México;</w:t>
      </w:r>
    </w:p>
    <w:p w:rsidR="005F04F9" w:rsidRPr="00AE0CAB" w:rsidRDefault="005F04F9" w:rsidP="007E519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51BD2">
      <w:pPr>
        <w:numPr>
          <w:ilvl w:val="0"/>
          <w:numId w:val="104"/>
        </w:numPr>
        <w:spacing w:after="0" w:line="240" w:lineRule="auto"/>
        <w:ind w:left="0"/>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 IX.</w:t>
      </w:r>
      <w:r w:rsidRPr="00AE0CAB">
        <w:rPr>
          <w:rFonts w:ascii="Times New Roman" w:eastAsiaTheme="minorEastAsia" w:hAnsi="Times New Roman" w:cs="Times New Roman"/>
          <w:noProof/>
          <w:sz w:val="24"/>
          <w:szCs w:val="24"/>
          <w:lang w:eastAsia="es-MX"/>
        </w:rPr>
        <w:drawing>
          <wp:inline distT="0" distB="0" distL="0" distR="0" wp14:anchorId="7D12C00B" wp14:editId="535E5005">
            <wp:extent cx="68620" cy="13716"/>
            <wp:effectExtent l="0" t="0" r="0" b="0"/>
            <wp:docPr id="331690" name="Picture 331690"/>
            <wp:cNvGraphicFramePr/>
            <a:graphic xmlns:a="http://schemas.openxmlformats.org/drawingml/2006/main">
              <a:graphicData uri="http://schemas.openxmlformats.org/drawingml/2006/picture">
                <pic:pic xmlns:pic="http://schemas.openxmlformats.org/drawingml/2006/picture">
                  <pic:nvPicPr>
                    <pic:cNvPr id="331690" name="Picture 331690"/>
                    <pic:cNvPicPr/>
                  </pic:nvPicPr>
                  <pic:blipFill>
                    <a:blip r:embed="rId87"/>
                    <a:stretch>
                      <a:fillRect/>
                    </a:stretch>
                  </pic:blipFill>
                  <pic:spPr>
                    <a:xfrm>
                      <a:off x="0" y="0"/>
                      <a:ext cx="68620" cy="13716"/>
                    </a:xfrm>
                    <a:prstGeom prst="rect">
                      <a:avLst/>
                    </a:prstGeom>
                  </pic:spPr>
                </pic:pic>
              </a:graphicData>
            </a:graphic>
          </wp:inline>
        </w:drawing>
      </w:r>
    </w:p>
    <w:p w:rsidR="005F04F9" w:rsidRPr="00AE0CAB" w:rsidRDefault="005F04F9" w:rsidP="007E5192">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SÉPTIMO. Se reforma el párrafo tercero del artículo 72 de la Ley de Turismo Sostenible y Desarrollo Artesanal del Estado de México, para quedar como sigue: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72.</w:t>
      </w:r>
      <w:r w:rsidRPr="00AE0CAB">
        <w:rPr>
          <w:rFonts w:ascii="Times New Roman" w:eastAsiaTheme="minorEastAsia" w:hAnsi="Times New Roman" w:cs="Times New Roman"/>
          <w:noProof/>
          <w:sz w:val="24"/>
          <w:szCs w:val="24"/>
          <w:lang w:eastAsia="es-MX"/>
        </w:rPr>
        <w:drawing>
          <wp:inline distT="0" distB="0" distL="0" distR="0" wp14:anchorId="6430AA8D" wp14:editId="3A0BE227">
            <wp:extent cx="68620" cy="18288"/>
            <wp:effectExtent l="0" t="0" r="0" b="0"/>
            <wp:docPr id="563183" name="Picture 563183"/>
            <wp:cNvGraphicFramePr/>
            <a:graphic xmlns:a="http://schemas.openxmlformats.org/drawingml/2006/main">
              <a:graphicData uri="http://schemas.openxmlformats.org/drawingml/2006/picture">
                <pic:pic xmlns:pic="http://schemas.openxmlformats.org/drawingml/2006/picture">
                  <pic:nvPicPr>
                    <pic:cNvPr id="563183" name="Picture 563183"/>
                    <pic:cNvPicPr/>
                  </pic:nvPicPr>
                  <pic:blipFill>
                    <a:blip r:embed="rId88"/>
                    <a:stretch>
                      <a:fillRect/>
                    </a:stretch>
                  </pic:blipFill>
                  <pic:spPr>
                    <a:xfrm>
                      <a:off x="0" y="0"/>
                      <a:ext cx="68620" cy="18288"/>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Los prestadores de servicios relacionados con el turismo de salud se sujetarán a los lineamientos y disposiciones establecidos en la Ley General de Salud, Normas Oficiales Mexicanas, en la Ley de Salud del Estado de México y demás legislación sanitaria aplicable para tal efecto.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OCTAVO. Se reforma la fracción XXV Bis del artículo 31 de la Ley Orgánica Municipal del Estado de México, para quedar como sigue: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31.-</w:t>
      </w:r>
      <w:r w:rsidRPr="00AE0CAB">
        <w:rPr>
          <w:rFonts w:ascii="Times New Roman" w:eastAsiaTheme="minorEastAsia" w:hAnsi="Times New Roman" w:cs="Times New Roman"/>
          <w:noProof/>
          <w:sz w:val="24"/>
          <w:szCs w:val="24"/>
          <w:lang w:eastAsia="es-MX"/>
        </w:rPr>
        <w:drawing>
          <wp:inline distT="0" distB="0" distL="0" distR="0" wp14:anchorId="74EFC077" wp14:editId="2CB78E51">
            <wp:extent cx="68620" cy="13716"/>
            <wp:effectExtent l="0" t="0" r="0" b="0"/>
            <wp:docPr id="563185" name="Picture 563185"/>
            <wp:cNvGraphicFramePr/>
            <a:graphic xmlns:a="http://schemas.openxmlformats.org/drawingml/2006/main">
              <a:graphicData uri="http://schemas.openxmlformats.org/drawingml/2006/picture">
                <pic:pic xmlns:pic="http://schemas.openxmlformats.org/drawingml/2006/picture">
                  <pic:nvPicPr>
                    <pic:cNvPr id="563185" name="Picture 563185"/>
                    <pic:cNvPicPr/>
                  </pic:nvPicPr>
                  <pic:blipFill>
                    <a:blip r:embed="rId89"/>
                    <a:stretch>
                      <a:fillRect/>
                    </a:stretch>
                  </pic:blipFill>
                  <pic:spPr>
                    <a:xfrm>
                      <a:off x="0" y="0"/>
                      <a:ext cx="68620" cy="13716"/>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 a XXV.</w:t>
      </w:r>
      <w:r w:rsidRPr="00AE0CAB">
        <w:rPr>
          <w:rFonts w:ascii="Times New Roman" w:eastAsiaTheme="minorEastAsia" w:hAnsi="Times New Roman" w:cs="Times New Roman"/>
          <w:noProof/>
          <w:sz w:val="24"/>
          <w:szCs w:val="24"/>
          <w:lang w:eastAsia="es-MX"/>
        </w:rPr>
        <w:drawing>
          <wp:inline distT="0" distB="0" distL="0" distR="0" wp14:anchorId="18DB8149" wp14:editId="37FB886A">
            <wp:extent cx="68620" cy="18288"/>
            <wp:effectExtent l="0" t="0" r="0" b="0"/>
            <wp:docPr id="331696" name="Picture 331696"/>
            <wp:cNvGraphicFramePr/>
            <a:graphic xmlns:a="http://schemas.openxmlformats.org/drawingml/2006/main">
              <a:graphicData uri="http://schemas.openxmlformats.org/drawingml/2006/picture">
                <pic:pic xmlns:pic="http://schemas.openxmlformats.org/drawingml/2006/picture">
                  <pic:nvPicPr>
                    <pic:cNvPr id="331696" name="Picture 331696"/>
                    <pic:cNvPicPr/>
                  </pic:nvPicPr>
                  <pic:blipFill>
                    <a:blip r:embed="rId90"/>
                    <a:stretch>
                      <a:fillRect/>
                    </a:stretch>
                  </pic:blipFill>
                  <pic:spPr>
                    <a:xfrm>
                      <a:off x="0" y="0"/>
                      <a:ext cx="68620" cy="18288"/>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XXV Bis. Participar en la prevención y atención a la salud mental y adicciones, en términos de lo dispuesto en la Ley de Salud del Estado de México. Con el objeto de combatir el alcoholismo, los Ayuntamientos y las autoridades estatales, en el ámbito de sus respectivas competencias, no autorizarán la instalación de establecimientos dedicados a la venta de bebidas alcohólicas en envase cerrado o por copeo, que se ubique en un radio no menor de 300 metros de centros escolares, instalaciones deportivas o centros de salud; para lo cual, las autoridades realizarán las inscripciones correspondientes en los planes municipales de desarrollo urbano.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XXVI. a XLVIII..</w:t>
      </w:r>
      <w:r w:rsidRPr="00AE0CAB">
        <w:rPr>
          <w:rFonts w:ascii="Times New Roman" w:eastAsiaTheme="minorEastAsia" w:hAnsi="Times New Roman" w:cs="Times New Roman"/>
          <w:noProof/>
          <w:sz w:val="24"/>
          <w:szCs w:val="24"/>
          <w:lang w:eastAsia="es-MX"/>
        </w:rPr>
        <w:drawing>
          <wp:inline distT="0" distB="0" distL="0" distR="0" wp14:anchorId="47AD1B81" wp14:editId="57050B43">
            <wp:extent cx="41172" cy="18288"/>
            <wp:effectExtent l="0" t="0" r="0" b="0"/>
            <wp:docPr id="334785" name="Picture 334785"/>
            <wp:cNvGraphicFramePr/>
            <a:graphic xmlns:a="http://schemas.openxmlformats.org/drawingml/2006/main">
              <a:graphicData uri="http://schemas.openxmlformats.org/drawingml/2006/picture">
                <pic:pic xmlns:pic="http://schemas.openxmlformats.org/drawingml/2006/picture">
                  <pic:nvPicPr>
                    <pic:cNvPr id="334785" name="Picture 334785"/>
                    <pic:cNvPicPr/>
                  </pic:nvPicPr>
                  <pic:blipFill>
                    <a:blip r:embed="rId91"/>
                    <a:stretch>
                      <a:fillRect/>
                    </a:stretch>
                  </pic:blipFill>
                  <pic:spPr>
                    <a:xfrm>
                      <a:off x="0" y="0"/>
                      <a:ext cx="41172" cy="18288"/>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NOVENO. Se reforman los incisos a) y h) de la fracción ll del artículo 9 de la Ley que Regula los Centros de Asistencia Social y las Adopciones en el Estado de México, para quedar como sigue: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Artículo 9.</w:t>
      </w:r>
      <w:r w:rsidRPr="00AE0CAB">
        <w:rPr>
          <w:rFonts w:ascii="Times New Roman" w:eastAsiaTheme="minorEastAsia" w:hAnsi="Times New Roman" w:cs="Times New Roman"/>
          <w:noProof/>
          <w:sz w:val="24"/>
          <w:szCs w:val="24"/>
          <w:lang w:eastAsia="es-MX"/>
        </w:rPr>
        <w:drawing>
          <wp:inline distT="0" distB="0" distL="0" distR="0" wp14:anchorId="778DFCA7" wp14:editId="1D22816A">
            <wp:extent cx="73195" cy="18288"/>
            <wp:effectExtent l="0" t="0" r="0" b="0"/>
            <wp:docPr id="563191" name="Picture 563191"/>
            <wp:cNvGraphicFramePr/>
            <a:graphic xmlns:a="http://schemas.openxmlformats.org/drawingml/2006/main">
              <a:graphicData uri="http://schemas.openxmlformats.org/drawingml/2006/picture">
                <pic:pic xmlns:pic="http://schemas.openxmlformats.org/drawingml/2006/picture">
                  <pic:nvPicPr>
                    <pic:cNvPr id="563191" name="Picture 563191"/>
                    <pic:cNvPicPr/>
                  </pic:nvPicPr>
                  <pic:blipFill>
                    <a:blip r:embed="rId92"/>
                    <a:stretch>
                      <a:fillRect/>
                    </a:stretch>
                  </pic:blipFill>
                  <pic:spPr>
                    <a:xfrm>
                      <a:off x="0" y="0"/>
                      <a:ext cx="73195" cy="18288"/>
                    </a:xfrm>
                    <a:prstGeom prst="rect">
                      <a:avLst/>
                    </a:prstGeom>
                  </pic:spPr>
                </pic:pic>
              </a:graphicData>
            </a:graphic>
          </wp:inline>
        </w:drawing>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a) Otorgar a los Centros de Asistencia Social la autorización sanitaria, en términos de lo establecido en la Ley del Salud del Estado de México y demás normatividad aplicable.</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b) a g) …</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h) Realizar las visitas de verificación correspondientes conforme a lo establecido en la presente, la Ley de Salud del Estado de México y demás disposiciones jurídicas en la materia, así como aplicar las sanciones correspondientes.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III. a VI. …</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TRANSITORIOS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PRIMERO. Publíquese el presente Decreto en el Periódico Oficial "Caceta del Gobierno".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SEGUNDO. Este Decreto entrará en vigor el día hábil siguiente al de su publicación en el Periódico Oficial "Gaceta del Gobierno".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TERCERO. Se derogan las disposiciones legales de menor jerarquía que se opongan a lo dispuesto </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en el presente Decreto.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CUARTO. El Ejecutivo Estatal expedirá y actualizará las disposiciones reglamentarias necesarias para dar cumplimiento al presente Decreto en un plazo no mayor a ciento ochenta días hábiles, contados a partir de su entrada en vigor.</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lastRenderedPageBreak/>
        <w:t>QUINTO. Las referencias realizadas en disposiciones jurídicas y en cualquier tipo de documentación al Libro Segundo del Código Administrativo del Estado de México se entenderán hechas a la Ley de Salud del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SEXTO.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7E5192">
      <w:pPr>
        <w:spacing w:after="0" w:line="240" w:lineRule="auto"/>
        <w:ind w:left="3545"/>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 xml:space="preserve">HOJA DE FIRMA DE LA INICIATIVA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DE LA LEY DE FOMENTO ECONÓMICO PARA EL ESTADO DE MÉXICO, DE LA LEY DE TURISMO SOSTENIBLE Y DESARROLLO ARTESANAL DEL ESTADO DE MÉXICO, DE LA LEY ORGÁNICA MUNICIPAL DEL ESTADO DE MÉXICO Y DE LA LEY QUE REGULA LOS CENTROS DE ASISTENCIA SOCIAL Y </w:t>
      </w:r>
      <w:r w:rsidR="003165F0" w:rsidRPr="00AE0CAB">
        <w:rPr>
          <w:rFonts w:ascii="Times New Roman" w:eastAsiaTheme="minorEastAsia" w:hAnsi="Times New Roman" w:cs="Times New Roman"/>
          <w:sz w:val="24"/>
          <w:szCs w:val="24"/>
          <w:lang w:eastAsia="es-MX"/>
        </w:rPr>
        <w:t>L</w:t>
      </w:r>
      <w:r w:rsidRPr="00AE0CAB">
        <w:rPr>
          <w:rFonts w:ascii="Times New Roman" w:eastAsiaTheme="minorEastAsia" w:hAnsi="Times New Roman" w:cs="Times New Roman"/>
          <w:sz w:val="24"/>
          <w:szCs w:val="24"/>
          <w:lang w:eastAsia="es-MX"/>
        </w:rPr>
        <w:t>AS ADOPCIONES EN EL ESTADO DE MÉXICO.</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Reitero a Usted la seguridad de mi atenta y distinguida consideración.</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Palacio del Poder Ejecutivo, en la ciudad de Toluca, capital del Estado de México, a los 12 días del mes de febrero del año 2026.</w:t>
      </w:r>
    </w:p>
    <w:p w:rsidR="005F04F9" w:rsidRPr="00AE0CAB" w:rsidRDefault="005F04F9" w:rsidP="005F04F9">
      <w:pPr>
        <w:spacing w:after="0" w:line="240" w:lineRule="auto"/>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ind w:right="49"/>
        <w:jc w:val="center"/>
        <w:rPr>
          <w:rFonts w:ascii="Times New Roman" w:eastAsiaTheme="minorEastAsia" w:hAnsi="Times New Roman" w:cs="Times New Roman"/>
          <w:b/>
          <w:sz w:val="24"/>
          <w:szCs w:val="24"/>
          <w:lang w:eastAsia="es-MX"/>
        </w:rPr>
      </w:pPr>
      <w:r w:rsidRPr="00AE0CAB">
        <w:rPr>
          <w:rFonts w:ascii="Times New Roman" w:eastAsiaTheme="minorEastAsia" w:hAnsi="Times New Roman" w:cs="Times New Roman"/>
          <w:b/>
          <w:sz w:val="24"/>
          <w:szCs w:val="24"/>
          <w:lang w:eastAsia="es-MX"/>
        </w:rPr>
        <w:t>La Gobernadora Constitucional</w:t>
      </w:r>
    </w:p>
    <w:p w:rsidR="005F04F9" w:rsidRPr="00AE0CAB" w:rsidRDefault="005F04F9" w:rsidP="005F04F9">
      <w:pPr>
        <w:spacing w:after="0" w:line="240" w:lineRule="auto"/>
        <w:ind w:right="49"/>
        <w:jc w:val="center"/>
        <w:rPr>
          <w:rFonts w:ascii="Times New Roman" w:eastAsiaTheme="minorEastAsia" w:hAnsi="Times New Roman" w:cs="Times New Roman"/>
          <w:b/>
          <w:sz w:val="24"/>
          <w:szCs w:val="24"/>
          <w:lang w:eastAsia="es-MX"/>
        </w:rPr>
      </w:pPr>
      <w:r w:rsidRPr="00AE0CAB">
        <w:rPr>
          <w:rFonts w:ascii="Times New Roman" w:eastAsiaTheme="minorEastAsia" w:hAnsi="Times New Roman" w:cs="Times New Roman"/>
          <w:b/>
          <w:sz w:val="24"/>
          <w:szCs w:val="24"/>
          <w:lang w:eastAsia="es-MX"/>
        </w:rPr>
        <w:t>del Estado de México</w:t>
      </w:r>
    </w:p>
    <w:p w:rsidR="005F04F9" w:rsidRPr="00AE0CAB" w:rsidRDefault="005F04F9" w:rsidP="005F04F9">
      <w:pPr>
        <w:spacing w:after="0" w:line="240" w:lineRule="auto"/>
        <w:ind w:right="49"/>
        <w:jc w:val="center"/>
        <w:rPr>
          <w:rFonts w:ascii="Times New Roman" w:eastAsiaTheme="minorEastAsia" w:hAnsi="Times New Roman" w:cs="Times New Roman"/>
          <w:b/>
          <w:sz w:val="24"/>
          <w:szCs w:val="24"/>
          <w:lang w:eastAsia="es-MX"/>
        </w:rPr>
      </w:pPr>
      <w:r w:rsidRPr="00AE0CAB">
        <w:rPr>
          <w:rFonts w:ascii="Times New Roman" w:eastAsiaTheme="minorEastAsia" w:hAnsi="Times New Roman" w:cs="Times New Roman"/>
          <w:b/>
          <w:sz w:val="24"/>
          <w:szCs w:val="24"/>
          <w:lang w:eastAsia="es-MX"/>
        </w:rPr>
        <w:t>Mtra. Delfina Gómez Álvarez</w:t>
      </w:r>
    </w:p>
    <w:p w:rsidR="005F04F9" w:rsidRPr="00AE0CAB" w:rsidRDefault="005F04F9" w:rsidP="005F04F9">
      <w:pPr>
        <w:spacing w:after="0" w:line="240" w:lineRule="auto"/>
        <w:ind w:right="49"/>
        <w:jc w:val="center"/>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b/>
          <w:sz w:val="24"/>
          <w:szCs w:val="24"/>
          <w:lang w:eastAsia="es-MX"/>
        </w:rPr>
        <w:t>(</w:t>
      </w:r>
      <w:r w:rsidRPr="00AE0CAB">
        <w:rPr>
          <w:rFonts w:ascii="Times New Roman" w:eastAsiaTheme="minorEastAsia" w:hAnsi="Times New Roman" w:cs="Times New Roman"/>
          <w:sz w:val="24"/>
          <w:szCs w:val="24"/>
          <w:lang w:eastAsia="es-MX"/>
        </w:rPr>
        <w:t>Rúbrica)</w:t>
      </w:r>
    </w:p>
    <w:p w:rsidR="005F04F9" w:rsidRPr="00AE0CAB" w:rsidRDefault="005F04F9" w:rsidP="005F04F9">
      <w:pPr>
        <w:spacing w:after="0" w:line="240" w:lineRule="auto"/>
        <w:ind w:right="49"/>
        <w:jc w:val="both"/>
        <w:rPr>
          <w:rFonts w:ascii="Times New Roman" w:eastAsiaTheme="minorEastAsia" w:hAnsi="Times New Roman" w:cs="Times New Roman"/>
          <w:sz w:val="24"/>
          <w:szCs w:val="24"/>
          <w:lang w:eastAsia="es-MX"/>
        </w:rPr>
      </w:pPr>
    </w:p>
    <w:p w:rsidR="005F04F9" w:rsidRPr="00AE0CAB" w:rsidRDefault="005F04F9" w:rsidP="005F04F9">
      <w:pPr>
        <w:spacing w:after="0" w:line="240" w:lineRule="auto"/>
        <w:ind w:right="49"/>
        <w:jc w:val="both"/>
        <w:rPr>
          <w:rFonts w:ascii="Times New Roman" w:eastAsiaTheme="minorEastAsia" w:hAnsi="Times New Roman" w:cs="Times New Roman"/>
          <w:b/>
          <w:sz w:val="24"/>
          <w:szCs w:val="24"/>
          <w:lang w:eastAsia="es-MX"/>
        </w:rPr>
      </w:pPr>
      <w:r w:rsidRPr="00AE0CAB">
        <w:rPr>
          <w:rFonts w:ascii="Times New Roman" w:eastAsiaTheme="minorEastAsia" w:hAnsi="Times New Roman" w:cs="Times New Roman"/>
          <w:b/>
          <w:sz w:val="24"/>
          <w:szCs w:val="24"/>
          <w:lang w:eastAsia="es-MX"/>
        </w:rPr>
        <w:t>*JGZ</w:t>
      </w:r>
    </w:p>
    <w:p w:rsidR="005F04F9" w:rsidRPr="00AE0CAB" w:rsidRDefault="005F04F9" w:rsidP="005F04F9">
      <w:pPr>
        <w:spacing w:after="0" w:line="240" w:lineRule="auto"/>
        <w:ind w:right="49"/>
        <w:jc w:val="both"/>
        <w:rPr>
          <w:rFonts w:ascii="Times New Roman" w:eastAsiaTheme="minorEastAsia" w:hAnsi="Times New Roman" w:cs="Times New Roman"/>
          <w:sz w:val="24"/>
          <w:szCs w:val="24"/>
          <w:lang w:eastAsia="es-MX"/>
        </w:rPr>
      </w:pPr>
      <w:r w:rsidRPr="00AE0CAB">
        <w:rPr>
          <w:rFonts w:ascii="Times New Roman" w:eastAsiaTheme="minorEastAsia" w:hAnsi="Times New Roman" w:cs="Times New Roman"/>
          <w:sz w:val="24"/>
          <w:szCs w:val="24"/>
          <w:lang w:eastAsia="es-MX"/>
        </w:rPr>
        <w:t>Validación jurídica</w:t>
      </w:r>
    </w:p>
    <w:p w:rsidR="00BE60F9" w:rsidRPr="00AE0CAB" w:rsidRDefault="00BE60F9" w:rsidP="00D71801">
      <w:pPr>
        <w:spacing w:after="0" w:line="240" w:lineRule="auto"/>
        <w:jc w:val="center"/>
        <w:rPr>
          <w:rFonts w:ascii="Times New Roman" w:hAnsi="Times New Roman" w:cs="Times New Roman"/>
          <w:sz w:val="24"/>
          <w:szCs w:val="24"/>
        </w:rPr>
      </w:pPr>
    </w:p>
    <w:p w:rsidR="00BE60F9" w:rsidRPr="00AE0CAB" w:rsidRDefault="00BE60F9"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(Fin del documento)</w:t>
      </w:r>
    </w:p>
    <w:p w:rsidR="00BE60F9" w:rsidRPr="00AE0CAB" w:rsidRDefault="00BE60F9" w:rsidP="00D71801">
      <w:pPr>
        <w:pStyle w:val="Sinespaciado"/>
        <w:jc w:val="both"/>
        <w:rPr>
          <w:rFonts w:ascii="Times New Roman" w:hAnsi="Times New Roman" w:cs="Times New Roman"/>
          <w:sz w:val="24"/>
          <w:szCs w:val="24"/>
        </w:rPr>
      </w:pP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Gracias diputada Jennifer Nathalie González López.</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Se registro de la iniciativa y se remite a las Comisiones Legislativas de Gobernación y Puntos Constitucionales y de Salud, Asistencia y Bienestar Social para su estudio y dictamen.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¿Con qué objeto diputado Honoria?</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DIP. HONORIA ARELLANO OCAMPO (Desde su curul). De hecho, si me lo permiten, señora Presidenta.</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lastRenderedPageBreak/>
        <w:t xml:space="preserve">PRESIDENTA DIP. MARTHA AZUCENA CAMACHO REYNOSO. Adelante.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DIP. HONORIA ARELLANO OCAMPO (Desde su curul). He de decirlo fuerte y claro.</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Reconocer el trabajo titánico de nuestra Presidenta y de nuestra Gobernadora la Maestra Delfina Gómez Álvarez, es dar cabal garantía al gran esfuerzo y trabajo que día emprenden estas 2 mujeres.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 xml:space="preserve">Reconocer también a las diputadas, diputados, </w:t>
      </w:r>
      <w:proofErr w:type="spellStart"/>
      <w:r w:rsidRPr="00AE0CAB">
        <w:rPr>
          <w:rFonts w:ascii="Times New Roman" w:hAnsi="Times New Roman" w:cs="Times New Roman"/>
          <w:sz w:val="24"/>
          <w:szCs w:val="24"/>
        </w:rPr>
        <w:t>diputade</w:t>
      </w:r>
      <w:proofErr w:type="spellEnd"/>
      <w:r w:rsidRPr="00AE0CAB">
        <w:rPr>
          <w:rFonts w:ascii="Times New Roman" w:hAnsi="Times New Roman" w:cs="Times New Roman"/>
          <w:sz w:val="24"/>
          <w:szCs w:val="24"/>
        </w:rPr>
        <w:t xml:space="preserve"> que en el Seno del Congreso han traído iniciativas que fortalecen al sistema de salud, tales como proteger a los niños en abandono de calle, a los discapacitados, a los adultos mayores, a una población tan vulnerable y no visualizada como la población LGBT, a la población que no tiene ni cuenta con seguridad social, principalmente, pero también he de decirlo que para todas estas iniciativas, para que se puedan materializar y le lleguen a cada uno de las y los mexiquenses se necesita no sólo que haya una situación aleatoria entre los diferentes órdenes de gobierno, entre la Presidenta y la Gobernadora; sino también con todo aquel que trabaja en el equipo de la Gobernadora en materia de salud y todos aquellos que también están en las instituciones de salud a nivel del Gobierno Federal, porque algo sí debe de quedar claro que el proyecto todavía inconcluso de la transferencia IMSS-BIENESTAR que ya lleva más de 2 años y medio, no se ha concluido y que ha traído consigo infraestructura, ya no vamos a culpar a los de antes, es lo que se está viviendo ahorita.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Infraestructura incompleta, falta de personal, sobre todo en los hospitales en materia de médicos especialistas, una plantilla incompleta de enfermeras, médicos y médicas, pagos incompletos incluso para el personal de limpieza en el área subrogada, qué traemos, una mala producción, compra y distribución de medicamento.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Porque cuando se toma la foto, sí y encuentran que hay mucho medicamento, el medicamento que está ahí no corresponde al nivel, en el primer nivel y he de decirlo porque hice un recorrido la semana pasada, el medicamento que está en primer nivel pertenece al segundo y tercer nivel, qué quiere decir, que la dispersión no fue la correcta y hoy en día no encuentran la solución de cómo hacer llegar ese medicamento al segundo o tercer nivel, porque tiene temor de caer en una desviación administrativa, ese medicamento se va a caducar en el primer nivel.</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 xml:space="preserve">Se requiere un presupuesto robusto y aquí hablamos de que debe de ser una situación aleatoria, se debe de dar, pero se debe de dar con conciencia clara, porque hablar, hablar de una Constitución Política del Estado Libre y Soberano o en materia de salud, no es cosa sencilla, es un gran reto, tampoco voy a dejar de ver todo el esfuerzo que está haciendo la Gobernadora, porque sí lo está haciendo, aquí el problema estriba en la gente que está ejecutando la operatividad, no sé si tiene miedo o no quiere reconocer que no ha tenido la capacidad para poder dar resultados o puede ser que el presupuesto tan raquítico que aprobamos en materia de salud no alcance y que esto sea una enseñanza para todos y todas nosotros, que para el próximo año seamos más conscientes al levantar la mano para la aprobación de un presupuesto en materia de salud, porque en la salud, no hay dinero que sobre, en materia de salud se requiere hoy por hoy mucho para llevar a cabo una vigilancia epidemiológica, se requiere de un diagnóstico y para hacer un diagnóstico se necesita personal suficiente para tener un análisis y así poder tener un plan nacional de salud efectivo que le dé resultados a las mexicanas y a los mexicanos y a la fecha no lo tenemos.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Hoy no debería de haber brote de sarampión, hoy la gente no debería estar preocupada por si alcanza la vacuna o no alcanza, porque en otros ayeres, se radicó la polio, el sarampión, la tuberculosis, la rabia canina y la rabia humana y hoy no puede ser diferente, no puede ser diferente porque tenemos en el gobierno, 2 mujeres comprometidas, 2 mujeres trabajadoras, 2 mujeres humanas; pero ¿Qué está fallando? ¿Qué está pasando? Necesitamos encontrar en dónde está fallando, esta distribución para que pueda de verdad las y los mexicanos gozar de la salud que merecen, la salud no solo física, sino psicológica.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No se habla no solo de la ausencia de la enfermedad, sino también alejarlo de los riesgos y por eso está en materia regulación sanitaria para combatir todo aquel que sea un riesgo peligroso </w:t>
      </w:r>
      <w:r w:rsidRPr="00AE0CAB">
        <w:rPr>
          <w:rFonts w:ascii="Times New Roman" w:hAnsi="Times New Roman" w:cs="Times New Roman"/>
          <w:sz w:val="24"/>
          <w:szCs w:val="24"/>
        </w:rPr>
        <w:lastRenderedPageBreak/>
        <w:t xml:space="preserve">por eso está un sistema de epidemiología de vigilancia continua y permanente; pero lo que requieren es presupuesto y para eso tenemos los tres niveles de atención primero, segundo y tercer nivel y que bueno que ahorita en el uso de la palabra se reconoce, por primera vez escucho que el nivel principal es el preventivo, porque en el preventivo es donde se previene, donde se sensibiliza, en donde se educa la población, el por qué no puede fumar, por qué no debe de tomar Coca-Cola cuando tiene una enfermedad crónico degenerativa y no burlarse de que lo haga, para eso está el Estado, para brindarle esa sensibilización y esa educación, para brindarle el personal suficiente que lo oriente y le dé asesoría en planes nutricionales; pero para eso está el Estado, es un Estado de Derecho, está en el artículo 4 de nuestra Constitución Política de los Estados Mexicanos y está también en la Constitución del Estado Libre y Soberano de los Estados, está en la Ley Federal de Salud y están en todas las iniciativas de los diferentes gobiernos en materia de salud.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Debemos de ser sensibles y conocer verdaderamente cómo opera el primero, segundo y tercer nivel y los niveles de especialidad para entender que antes y después, Cuan tan importante es en incidir en la historia natural de la enfermedad y nos va a salir más caro hacerlo antes que después, porque como siempre lo he dicho, después de la muerte ya no hay nada y para qué nos sirvió, tener un presupuesto robusto, no robusto, diría yo, para que cuando llegue ese presupuesto ya va a ser demasiado tarde, la austeridad la tenemos en los hospitales, la austeridad la tenemos en los centros de salud, la austeridad la tenemos en las calles, la austeridad no la estamos viendo aquí en la letra y si no vuelvo a decirlo, les pido de favor diputadas, diputados, </w:t>
      </w:r>
      <w:proofErr w:type="spellStart"/>
      <w:r w:rsidRPr="00AE0CAB">
        <w:rPr>
          <w:rFonts w:ascii="Times New Roman" w:hAnsi="Times New Roman" w:cs="Times New Roman"/>
          <w:sz w:val="24"/>
          <w:szCs w:val="24"/>
        </w:rPr>
        <w:t>diputade</w:t>
      </w:r>
      <w:proofErr w:type="spellEnd"/>
      <w:r w:rsidRPr="00AE0CAB">
        <w:rPr>
          <w:rFonts w:ascii="Times New Roman" w:hAnsi="Times New Roman" w:cs="Times New Roman"/>
          <w:sz w:val="24"/>
          <w:szCs w:val="24"/>
        </w:rPr>
        <w:t xml:space="preserve">, sin avisar, vayámonos a ver qué está sucediendo ahorita fuera del hospital López Mateos, no está muy lejos, vayámonos a ver al Mónica </w:t>
      </w:r>
      <w:proofErr w:type="spellStart"/>
      <w:r w:rsidRPr="00AE0CAB">
        <w:rPr>
          <w:rFonts w:ascii="Times New Roman" w:hAnsi="Times New Roman" w:cs="Times New Roman"/>
          <w:sz w:val="24"/>
          <w:szCs w:val="24"/>
        </w:rPr>
        <w:t>Pretelini</w:t>
      </w:r>
      <w:proofErr w:type="spellEnd"/>
      <w:r w:rsidRPr="00AE0CAB">
        <w:rPr>
          <w:rFonts w:ascii="Times New Roman" w:hAnsi="Times New Roman" w:cs="Times New Roman"/>
          <w:sz w:val="24"/>
          <w:szCs w:val="24"/>
        </w:rPr>
        <w:t xml:space="preserve">, vayámonos a las áreas rurales, vayámonos allá a la zona Oriente, vayámonos a ver si realmente la salud está llegando de manera gratuita, si la atención es universal, cuando se tiene que llevar a cabo una cirugía menor o mayor, le piden al paciente que vaya a comprar su bulto de cirugía a la farmacia y ese paquete de cirugía incluye hasta los guantes del cirujano, si eso se le llama atención gratuita; yo le llamo otra cosa y la atención universal, con todo respeto, todavía no llega a las mexiquenses y a los mexiquenses y sobre todo estas iniciativas que aplaudo, que han salido de este Seno de este Congreso, seguramente van a fortalecer esta Ley de Salud en el Estado de México; pero si son nuestras iniciativas que salieron de aquí, les pido diputados, diputadas, </w:t>
      </w:r>
      <w:proofErr w:type="spellStart"/>
      <w:r w:rsidRPr="00AE0CAB">
        <w:rPr>
          <w:rFonts w:ascii="Times New Roman" w:hAnsi="Times New Roman" w:cs="Times New Roman"/>
          <w:sz w:val="24"/>
          <w:szCs w:val="24"/>
        </w:rPr>
        <w:t>diputade</w:t>
      </w:r>
      <w:proofErr w:type="spellEnd"/>
      <w:r w:rsidRPr="00AE0CAB">
        <w:rPr>
          <w:rFonts w:ascii="Times New Roman" w:hAnsi="Times New Roman" w:cs="Times New Roman"/>
          <w:sz w:val="24"/>
          <w:szCs w:val="24"/>
        </w:rPr>
        <w:t xml:space="preserve"> que los defendamos aprobando para el próximo año…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PRESIDENTA DIP. MARTHA AZUCENA CAMACHO REYNOSO. Diputada Honoria le pido cumpla ya su participación, por favor </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DIP. HONORIA ARELLANO OCAMPO (Desde su curul). Ya termino. Termino.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Les pido de favor que aprobemos un verdadero presupuesto que le ayude a la gobernadora a que esta Ley de Salud en el Estado de México, se materialice y le sea favorable a las y los mexiquenses del Estado de México.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Es cuanto señora Presidenta.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Gracias diputada Honoria Arellano Ocampo.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Se registra la iniciativa y se remite las comisiones legislativas de Gobernación y Puntos Constitucionales y de Salud, Asistencia y Bienestar Social para su estudio y dictamen.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VICEPRESIDENTA DIP. SARA ALICIA RAMÍREZ DE LA O. Para atender el punto 7, la diputada Martha Azucena Camacho Reynoso, presenta en nombre del Grupo Parlamentario del Partido morena, iniciativa de decreto por la que se declara feria de la Barbacoa y el Carnaval del Municipio de Capulhuac, Estado de México, como Patrimonio Cultural Inmaterial del Estado de México. (De urgente y obvia resolución) adelante Presidenta.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Con su venia Presidenta.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Con el permiso de mis compañeras y compañeros de la Directiva. Saludo con respeto a mis compañeras, a mis compañeros y a mi compañere legisladores y a los medios de comunicación; así como a las y los mexiquenses que nos distinguen y que no siguen por las diferentes redes sociales.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lastRenderedPageBreak/>
        <w:tab/>
        <w:t xml:space="preserve">Con mucho cariño y agradecimiento, saludo y agradezco la presencia de la unión de </w:t>
      </w:r>
      <w:proofErr w:type="spellStart"/>
      <w:r w:rsidRPr="00AE0CAB">
        <w:rPr>
          <w:rFonts w:ascii="Times New Roman" w:hAnsi="Times New Roman" w:cs="Times New Roman"/>
          <w:sz w:val="24"/>
          <w:szCs w:val="24"/>
        </w:rPr>
        <w:t>barbacoyeros</w:t>
      </w:r>
      <w:proofErr w:type="spellEnd"/>
      <w:r w:rsidRPr="00AE0CAB">
        <w:rPr>
          <w:rFonts w:ascii="Times New Roman" w:hAnsi="Times New Roman" w:cs="Times New Roman"/>
          <w:sz w:val="24"/>
          <w:szCs w:val="24"/>
        </w:rPr>
        <w:t xml:space="preserve"> de Capulhuac del Estado de México, muchas gracias, ese trabajo es por ustedes y para ustedes.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De igual forma, saludo y agradezco la presencia de la Presidenta por ministerio de Ley, Sarita Arellano Hernández, Presidenta Municipal Constitucional por ministerio de Ley de Capulhuac; así como de la señorita Cintia Yurixi González Gutiérrez, Sexta Regidora y José Luis Martínez Zamora, Séptimo Regidor, Irving Altamirano, muchas gracias, este trabajo es en conjunto, ese trabajo se hizo con ustedes y por ustedes, muchas gracias.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Hoy no vengo solamente a hablar de una iniciativa, vengo a hablar de la historia viva que tiene este municipio, vengo a hablar de su identidad, vengo a hablar de un pueblo que ha sabido resistir, transformarse y florecer a lo largo de los siglos, me refiero al Municipio de Capulhuac de Mirafuentes.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Capulhuac de Mirafuentes no es sólo un punto en el mapa en el Estado de México, es memoria profunda, es raíz firme, es comunidad organizada.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 xml:space="preserve">Desde tiempos prehispánicos, cuando se sentaban en el límite oriental de la provincia </w:t>
      </w:r>
      <w:proofErr w:type="spellStart"/>
      <w:r w:rsidRPr="00AE0CAB">
        <w:rPr>
          <w:rFonts w:ascii="Times New Roman" w:hAnsi="Times New Roman" w:cs="Times New Roman"/>
          <w:sz w:val="24"/>
          <w:szCs w:val="24"/>
        </w:rPr>
        <w:t>Matlazinca</w:t>
      </w:r>
      <w:proofErr w:type="spellEnd"/>
      <w:r w:rsidRPr="00AE0CAB">
        <w:rPr>
          <w:rFonts w:ascii="Times New Roman" w:hAnsi="Times New Roman" w:cs="Times New Roman"/>
          <w:sz w:val="24"/>
          <w:szCs w:val="24"/>
        </w:rPr>
        <w:t xml:space="preserve"> y colindaba con los pueblos otomíes en la serranía, hoy conocida como el cerro de las cruces, este territorio ha sido de cruce de culturas, de lenguas, de tradiciones y de formas de vida que aún laten en la cotidianidad.</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Su elevación a Villa en 1880, bajo el nombre de Capulhuac de Mirafuentes, no es un simple registro administrativo, son capítulos de una historia colectiva, escrita con trabajo, con organización social y con orgullo comunitario.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Por la grandeza de Capulhuac de Mirafuentes, no se explica solamente en estas fechas; sino se explica en sus prácticas vivas, en sus celebraciones y en los saberes que se transmiten de generación en generación.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En el patrimonio cultural e inmaterial que sostiene su identidad, este patrimonio no es una pieza de museo, no es algo estático, es dinámico, es comunitario, es heredado y recreado constantemente por todos los que ahí viven.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Así, lo reconoce la Convención para la Salvaguarda del Patrimonio Cultural Inmaterial de la Organización d</w:t>
      </w:r>
      <w:r w:rsidRPr="00AE0CAB">
        <w:rPr>
          <w:rFonts w:ascii="Times New Roman" w:eastAsia="Arial" w:hAnsi="Times New Roman" w:cs="Times New Roman"/>
          <w:sz w:val="24"/>
          <w:szCs w:val="24"/>
        </w:rPr>
        <w:t xml:space="preserve">e las Naciones Unidas para la Educación, la Ciencia y la Cultura, adoptada en 2003. </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Cuando hablamos de patrimonio cultural inmaterial, hablamos de usos, de representaciones, de expresiones, conocimientos y técnicas que las comunidades reconocen como propios, hablamos de identidad en movimiento. México ha sido un ejemplo mundial en esta materia. </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En 2010, la Organización de las Naciones Unidas para la Educación, la Ciencia, la Cultura inscribió a la cocina tradicional mexicana en la lista representativa del Patrimonio Cultural e Inmaterial de la Humanidad. </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No se reconocieron únicamente los platillos, se reconocieron los procesos comunitarios, saberes técnicos, ritual, tejido social; bajo esta misma lógica debemos mirar al Municipio </w:t>
      </w:r>
      <w:bookmarkStart w:id="8" w:name="_Hlk222315463"/>
      <w:r w:rsidRPr="00AE0CAB">
        <w:rPr>
          <w:rFonts w:ascii="Times New Roman" w:eastAsia="Arial" w:hAnsi="Times New Roman" w:cs="Times New Roman"/>
          <w:sz w:val="24"/>
          <w:szCs w:val="24"/>
        </w:rPr>
        <w:t>de Capulhuac de Mirafuentes</w:t>
      </w:r>
      <w:bookmarkEnd w:id="8"/>
      <w:r w:rsidRPr="00AE0CAB">
        <w:rPr>
          <w:rFonts w:ascii="Times New Roman" w:eastAsia="Arial" w:hAnsi="Times New Roman" w:cs="Times New Roman"/>
          <w:sz w:val="24"/>
          <w:szCs w:val="24"/>
        </w:rPr>
        <w:t>, desde la primera mitad del siglo XX entre las décadas de 1930 y 1950 se consolidaron prácticas organizadas para la producción artesanal de la barbacoa.</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Detrás de cada horno de tierra, hay una historia; detrás de cada penca colocada con precisión, hay conocimiento heredado; detrás de cada familia </w:t>
      </w:r>
      <w:proofErr w:type="spellStart"/>
      <w:r w:rsidRPr="00AE0CAB">
        <w:rPr>
          <w:rFonts w:ascii="Times New Roman" w:eastAsia="Arial" w:hAnsi="Times New Roman" w:cs="Times New Roman"/>
          <w:sz w:val="24"/>
          <w:szCs w:val="24"/>
        </w:rPr>
        <w:t>barbacoyera</w:t>
      </w:r>
      <w:proofErr w:type="spellEnd"/>
      <w:r w:rsidRPr="00AE0CAB">
        <w:rPr>
          <w:rFonts w:ascii="Times New Roman" w:eastAsia="Arial" w:hAnsi="Times New Roman" w:cs="Times New Roman"/>
          <w:sz w:val="24"/>
          <w:szCs w:val="24"/>
        </w:rPr>
        <w:t xml:space="preserve">, hay dignidad, disciplina, vocación, economía y origen. </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Feria de la Barbacoa, surgida formalmente en 1990, como parte integral del carnaval tradicional de este bello municipio, no es un evento aislado ni una actividad comercial circunstancial, es un espacio simbólico de encuentro comunitario, en transmisión intergeneracional, es la reafirmación de esta gran identidad de Capulhuac de Mirafuentes.</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Cada febrero, Capulhuac no </w:t>
      </w:r>
      <w:proofErr w:type="spellStart"/>
      <w:r w:rsidRPr="00AE0CAB">
        <w:rPr>
          <w:rFonts w:ascii="Times New Roman" w:eastAsia="Arial" w:hAnsi="Times New Roman" w:cs="Times New Roman"/>
          <w:sz w:val="24"/>
          <w:szCs w:val="24"/>
        </w:rPr>
        <w:t>só</w:t>
      </w:r>
      <w:proofErr w:type="spellEnd"/>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lo celebra, se reconoce a sí mismo en sus desfiles, en sus expresiones artísticas, en sus foros agropecuarios, en sus actividades culturales y deportivas y en las diversas técnicas tradicionales de elaboración en horno de tierra, en hoyo y al vapor que se manifiesta en un patrimonio vivo que se mantiene vigente porque la comunidad así lo decide y así lo decidió; Además, esta tradición no es únicamente cultural, es también un sustento económico de casi 39 mil habitantes que tiene Capulhuac de Mirafuentes.</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barbacoa constituye el principal motor económico de este municipio, el 90% de las familias participan directa o indirectamente en su producción y comercialización.</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este sentido, proteger esta tradición significa proteger el empleo, la organización comunitaria y el desarrollo local con identidad y sobre todo, con un desarrollo económico.</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ello, la iniciativa que hoy se presenta ante esta Soberanía propone declarar a la Feria de la Barbacoa, al Carnaval de Capulhuac y a los conocimientos y prácticas tradicionales asociados a la elaboración de la barbacoa como Patrimonio Cultural e Inmaterial del Estado de México.</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No se trata de una declaratoria simbólica, se trata de un acto de justicia cultural, se trata de reconocer formalmente lo que la comunidad ya reconoce por sí propio. Esta propuesta es congruente con la visión de desarrollo con identidad que impulsa nuestra querida Gobernadora, la Maestra Delfina Gómez Álvarez, quien ha reiterado que la cultura y las tradiciones comunitarias son pilares de justicia social y del fortalecimiento del tejido comunitario. </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Proteger la Feria y el Carnaval de Capulhuac de Mirafuentes es respaldar a las familias productoras, es dignificar su trabajo, es reconocer que el desarrollo no puede desvincularse de la memoria, de la identidad de tantas generaciones.</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Compañeras y compañeros, los pueblos que olvidan sus raíces se debilitan, los pueblos que honran su historia se proyectan con firmeza hacia un futuro. </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Hoy tenemos la oportunidad de enviar un mensaje claro en el Estado de México la cultura no es un accesorio, es fundamento, es identidad, es nuestro símbolo y reconocimiento.</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tradición no es un pasado, es un presente dinámico, la identidad no es un discurso, es política pública Capulhuac de Mirafuentes ha preservado su herencia con trabajo silencioso durante décadas y muchas, muchas generaciones.</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eastAsia="Arial" w:hAnsi="Times New Roman" w:cs="Times New Roman"/>
          <w:sz w:val="24"/>
          <w:szCs w:val="24"/>
        </w:rPr>
        <w:t xml:space="preserve">Hoy corresponde a esta Legislatura estar a la altura de esa historia, por ello y con respeto institucional y con profunda convicción, solicito el respaldo de esta Asamblea para aprobar la presente iniciativa,  </w:t>
      </w:r>
      <w:r w:rsidRPr="00AE0CAB">
        <w:rPr>
          <w:rFonts w:ascii="Times New Roman" w:hAnsi="Times New Roman" w:cs="Times New Roman"/>
          <w:sz w:val="24"/>
          <w:szCs w:val="24"/>
        </w:rPr>
        <w:t>aprobar esta declaratoria es votar a favor de nuestra identidad, es votar a favor de nuestras tradiciones y es votar a favor de las familias que con su trabajo cotidiano sostienen la economía y la cultura de este gran Municipio Capulhuac de Mirafuentes, que el voto de esta Soberanía, esté a la altura de su historia.</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Es </w:t>
      </w:r>
      <w:proofErr w:type="spellStart"/>
      <w:r w:rsidRPr="00AE0CAB">
        <w:rPr>
          <w:rFonts w:ascii="Times New Roman" w:hAnsi="Times New Roman" w:cs="Times New Roman"/>
          <w:sz w:val="24"/>
          <w:szCs w:val="24"/>
        </w:rPr>
        <w:t>cuanto</w:t>
      </w:r>
      <w:proofErr w:type="spellEnd"/>
      <w:r w:rsidRPr="00AE0CAB">
        <w:rPr>
          <w:rFonts w:ascii="Times New Roman" w:hAnsi="Times New Roman" w:cs="Times New Roman"/>
          <w:sz w:val="24"/>
          <w:szCs w:val="24"/>
        </w:rPr>
        <w:t>.</w:t>
      </w:r>
    </w:p>
    <w:p w:rsidR="00E01E93" w:rsidRPr="00AE0CAB" w:rsidRDefault="00E01E93" w:rsidP="00D71801">
      <w:pPr>
        <w:pStyle w:val="Sinespaciado"/>
        <w:jc w:val="both"/>
        <w:rPr>
          <w:rFonts w:ascii="Times New Roman" w:hAnsi="Times New Roman" w:cs="Times New Roman"/>
          <w:sz w:val="24"/>
          <w:szCs w:val="24"/>
        </w:rPr>
      </w:pPr>
    </w:p>
    <w:p w:rsidR="00E01E93" w:rsidRPr="00AE0CAB" w:rsidRDefault="00E01E93"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(Se inserta documento)</w:t>
      </w:r>
    </w:p>
    <w:p w:rsidR="00E01E93" w:rsidRPr="00AE0CAB" w:rsidRDefault="00E01E93" w:rsidP="00D71801">
      <w:pPr>
        <w:spacing w:after="0" w:line="240" w:lineRule="auto"/>
        <w:jc w:val="center"/>
        <w:rPr>
          <w:rFonts w:ascii="Times New Roman" w:hAnsi="Times New Roman" w:cs="Times New Roman"/>
          <w:sz w:val="24"/>
          <w:szCs w:val="24"/>
        </w:rPr>
      </w:pPr>
    </w:p>
    <w:p w:rsidR="00E01E93" w:rsidRPr="00AE0CAB" w:rsidRDefault="00E01E93" w:rsidP="00D71801">
      <w:pPr>
        <w:spacing w:after="0" w:line="240" w:lineRule="auto"/>
        <w:rPr>
          <w:rFonts w:ascii="Times New Roman" w:hAnsi="Times New Roman" w:cs="Times New Roman"/>
          <w:b/>
          <w:sz w:val="24"/>
          <w:szCs w:val="24"/>
        </w:rPr>
      </w:pPr>
      <w:r w:rsidRPr="00AE0CAB">
        <w:rPr>
          <w:rFonts w:ascii="Times New Roman" w:hAnsi="Times New Roman" w:cs="Times New Roman"/>
          <w:b/>
          <w:sz w:val="24"/>
          <w:szCs w:val="24"/>
        </w:rPr>
        <w:t>DIP. MARTHA AZUCENA CAMACHO REYNOSO</w:t>
      </w:r>
    </w:p>
    <w:p w:rsidR="00DF63F2" w:rsidRPr="00AE0CAB" w:rsidRDefault="00E01E93" w:rsidP="00D71801">
      <w:pPr>
        <w:spacing w:after="0" w:line="240" w:lineRule="auto"/>
        <w:rPr>
          <w:rFonts w:ascii="Times New Roman" w:hAnsi="Times New Roman" w:cs="Times New Roman"/>
          <w:b/>
          <w:sz w:val="24"/>
          <w:szCs w:val="24"/>
        </w:rPr>
      </w:pPr>
      <w:r w:rsidRPr="00AE0CAB">
        <w:rPr>
          <w:rFonts w:ascii="Times New Roman" w:hAnsi="Times New Roman" w:cs="Times New Roman"/>
          <w:b/>
          <w:sz w:val="24"/>
          <w:szCs w:val="24"/>
        </w:rPr>
        <w:t>PRESIDENTA DE LA DIRECTIVA</w:t>
      </w:r>
    </w:p>
    <w:p w:rsidR="00E01E93" w:rsidRPr="00AE0CAB" w:rsidRDefault="00E01E93" w:rsidP="00D71801">
      <w:pPr>
        <w:spacing w:after="0" w:line="240" w:lineRule="auto"/>
        <w:rPr>
          <w:rFonts w:ascii="Times New Roman" w:hAnsi="Times New Roman" w:cs="Times New Roman"/>
          <w:b/>
          <w:sz w:val="24"/>
          <w:szCs w:val="24"/>
        </w:rPr>
      </w:pPr>
      <w:r w:rsidRPr="00AE0CAB">
        <w:rPr>
          <w:rFonts w:ascii="Times New Roman" w:hAnsi="Times New Roman" w:cs="Times New Roman"/>
          <w:b/>
          <w:sz w:val="24"/>
          <w:szCs w:val="24"/>
        </w:rPr>
        <w:t>DE LA LXII LEGISLATURA DEL ESTADO DE MÉXICO</w:t>
      </w:r>
    </w:p>
    <w:p w:rsidR="00E01E93" w:rsidRPr="00AE0CAB" w:rsidRDefault="00E01E93" w:rsidP="00D71801">
      <w:pPr>
        <w:spacing w:after="0" w:line="240" w:lineRule="auto"/>
        <w:rPr>
          <w:rFonts w:ascii="Times New Roman" w:hAnsi="Times New Roman" w:cs="Times New Roman"/>
          <w:b/>
          <w:sz w:val="24"/>
          <w:szCs w:val="24"/>
        </w:rPr>
      </w:pPr>
      <w:r w:rsidRPr="00AE0CAB">
        <w:rPr>
          <w:rFonts w:ascii="Times New Roman" w:hAnsi="Times New Roman" w:cs="Times New Roman"/>
          <w:b/>
          <w:sz w:val="24"/>
          <w:szCs w:val="24"/>
        </w:rPr>
        <w:t>PRESENTE</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la de la voz; Diputada </w:t>
      </w:r>
      <w:r w:rsidRPr="00AE0CAB">
        <w:rPr>
          <w:rFonts w:ascii="Times New Roman" w:hAnsi="Times New Roman" w:cs="Times New Roman"/>
          <w:b/>
          <w:sz w:val="24"/>
          <w:szCs w:val="24"/>
        </w:rPr>
        <w:t>MARTHA AZUCENA CAMACHO REYNOSO</w:t>
      </w:r>
      <w:r w:rsidRPr="00AE0CAB">
        <w:rPr>
          <w:rFonts w:ascii="Times New Roman" w:hAnsi="Times New Roman" w:cs="Times New Roman"/>
          <w:sz w:val="24"/>
          <w:szCs w:val="24"/>
        </w:rPr>
        <w:t xml:space="preserve">, integrante del Grupo Parlamentario de morena me permito someter a la consideración de esta Honorable Legislatura de urgente y obvia resolución la presente Iniciativa de Decreto por la que se declara la feria de la Barbacoa y el Carnaval del </w:t>
      </w:r>
      <w:r w:rsidRPr="00AE0CAB">
        <w:rPr>
          <w:rFonts w:ascii="Times New Roman" w:hAnsi="Times New Roman" w:cs="Times New Roman"/>
          <w:sz w:val="24"/>
          <w:szCs w:val="24"/>
        </w:rPr>
        <w:lastRenderedPageBreak/>
        <w:t>Municipio de Capulhuac, Estado de México, como Patrimonio Cultural Inmaterial del Estado de México, de conformidad con la siguiente:</w:t>
      </w:r>
    </w:p>
    <w:p w:rsidR="00E01E93" w:rsidRPr="00AE0CAB" w:rsidRDefault="00E01E93" w:rsidP="00D71801">
      <w:pPr>
        <w:spacing w:after="0" w:line="240" w:lineRule="auto"/>
        <w:rPr>
          <w:rFonts w:ascii="Times New Roman" w:hAnsi="Times New Roman" w:cs="Times New Roman"/>
          <w:b/>
          <w:sz w:val="24"/>
          <w:szCs w:val="24"/>
        </w:rPr>
      </w:pPr>
    </w:p>
    <w:p w:rsidR="00E01E93" w:rsidRPr="00AE0CAB" w:rsidRDefault="00E01E93"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EXPOSICIÓN DE MOTIVOS</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protección del patrimonio cultural inmaterial constituye un compromiso ético, jurídico y político del Estado con las comunidades que, a través de prácticas vivas, preservan su memoria histórica, su identidad colectiva y sus formas de organización social (UNESCO, Convención para la Salvaguardia del Patrimonio Cultural Inmaterial, 2003; Constitución Política de los Estados Unidos Mexicanos, artículo 4º, párrafo décimo segundo).</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Este compromiso no es abstracto ni distante. Se expresa en el reconocimiento concreto de las comunidades que, con su trabajo cotidiano, sostienen tradiciones que dan identidad, cohesión social y sentido de pertenencia. Proteger el patrimonio cultural inmaterial implica escuchar al territorio, valorar el conocimiento heredado y asumir que la cultura vive en las personas y en sus prácticas.</w:t>
      </w: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Conforme a la Convención para la Salvaguardia del Patrimonio Cultural Inmaterial de la Organización de las Naciones Unidas para la Educación, la Ciencia y la Cultura (UNESCO), forman parte de este patrimonio los usos, representaciones, expresiones, conocimientos y técnicas que las comunidades reconocen como propios y que se transmiten de generación en generación, recreándose constantemente en función de su entorno, su historia y su identidad (UNESCO, 2003, artículo 2).</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Esta definición cobra sentido pleno cuando se observa cómo las tradiciones se mantienen vivas no por decreto, sino por la voluntad colectiva de las familias y comunidades que las practican, las enseñan y las adaptan sin perder su esencia. El patrimonio cultural inmaterial es, ante todo, una expresión de organización comunitaria y continuidad histórica.</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México ha asumido este compromiso a nivel internacional y nacional.</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En 2010, la UNESCO inscribió a la cocina tradicional mexicana en la Lista Representativa del Patrimonio Cultural Inmaterial de la Humanidad, reconociendo no sólo los platillos, sino los procesos comunitarios, los saberes técnicos, los rituales asociados y el papel social que desempeñan estas prácticas en la vida colectiva (UNESCO, Traditional Mexican cuisine – ancestral, ongoing community culture, 2010).</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Este reconocimiento internacional reafirma que la gastronomía tradicional es una expresión profunda de identidad y un espacio donde convergen historia, comunidad y cultura viva. Las cocinas tradicionales no sólo alimentan cuerpos, también fortalecen la memoria colectiva y los lazos sociales.</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Este reconocimiento coloca a la gastronomía tradicional como un componente central de la identidad cultural del país y como un patrimonio vivo que se expresa, entre otros espacios, en ferias, festividades y celebraciones comunitarias (Secretaría de Cultura, Política Nacional de Salvaguardia del Patrimonio Cultural Inmaterial, 2018).</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En estos espacios festivos se concentra la vida comunitaria: se transmiten conocimientos, se fortalecen vínculos intergeneracionales y se reafirma el orgullo por lo propio. Las ferias y celebraciones son, en sí mismas, actos de preservación cultural.</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lastRenderedPageBreak/>
        <w:t>En el Estado de México, el municipio de Capulhuac representa uno de los casos más emblemáticos de preservación y recreación del patrimonio cultural inmaterial en torno a la elaboración tradicional de la barbacoa.</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Desde la primera mitad del siglo XX, particularmente entre las décadas de 1930 y 1950, se consolidaron en esta región prácticas organizadas para la producción artesanal de la barbacoa, las cuales evolucionaron hasta convertirse en una actividad económica, social y cultural profundamente arraigada en la vida del municipio (Instituto Mexiquense de Cultura, Monografías Municipales: Capulhuac; Gobierno del Estado de México, Enciclopedia de los Municipios del Estado de México).</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Detrás de esta tradición se encuentran generaciones de familias que han hecho de la barbacoa no sólo un oficio, sino una forma de vida. Su conocimiento, transmitido con paciencia y orgullo, ha permitido que esta práctica se mantenga vigente y reconocida más allá de las fronteras municipales.</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Feria de la Barbacoa de Capulhuac surge formalmente en 1990 como parte integral del Carnaval tradicional del municipio, articulando la gastronomía con expresiones festivas, artísticas, rituales y sociales que forman parte del calendario cultural de la comunidad (Ayuntamiento de Capulhuac, Crónicas Municipales; Instituto Nacional de Antropología e Historia, INAH, registros de festividades locales).</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Lejos de tratarse de un evento aislado o meramente comercial, la Feria de la Barbacoa y el Carnaval constituyen espacios simbólicos de encuentro comunitario, transmisión intergeneracional de conocimientos y reafirmación de la identidad local (UNESCO, 2003; INAH, Patrimonio Cultural Inmaterial en México).</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Estas celebraciones representan momentos en los que la comunidad se reconoce a sí misma, comparte su historia y fortalece su tejido social, haciendo visible una tradición que sigue viva gracias a la participación colectiva.</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Actualmente, la Feria de la Barbacoa y el Carnaval de Capulhuac se celebran de manera anual, principalmente en el mes de febrero, y se han consolidado como una de las festividades culturales más representativas del Estado de México (Secretaría de Cultura del Estado de México, Agenda Cultural Estatal).</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Durante estas celebraciones se practican y exhiben diversas técnicas tradicionales de elaboración de la barbacoa —como la cocción en horno de tierra, al vapor y en hoyo—, acompañadas de desfiles carnavalescos, actividades artísticas y culturales, exposiciones artesanales, eventos deportivos, foros agropecuarios y expresiones musicales y dancísticas propias de la región (INAH; Secretaría de Cultura Federal, Inventarios del Patrimonio Cultural Inmaterial).</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permanencia de estas técnicas y expresiones demuestra que el patrimonio cultural inmaterial es dinámico y se recrea constantemente, manteniendo su esencia a través del tiempo y fortaleciendo la identidad comunitaria.</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relevancia de estas festividades trasciende el ámbito cultural. La barbacoa constituye el principal motor económico del municipio de Capulhuac, ya que una parte significativa de su población participa directa o indirectamente en la producción, comercialización y actividades relacionadas (INEGI, Censos Económicos y Perfil Municipal; Gobierno del Estado de México).</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La Feria de la Barbacoa y el Carnaval fortalecen la cohesión social, dinamizan la economía local y refuerzan el sentido de pertenencia comunitaria, elementos fundamentales para la definición de patrimonio cultural inmaterial conforme a los estándares internacionales (UNESCO, 2003).</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Desde una perspectiva técnico-jurídica, tanto la Feria de la Barbacoa como el Carnaval de Capulhuac, junto con los conocimientos, técnicas y prácticas tradicionales asociados a la elaboración de la barbacoa, encuadran plenamente en la noción de patrimonio cultural inmaterial.</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Se trata de expresiones culturales vivas, colectivas y dinámicas, reconocidas por la propia comunidad como parte esencial de su identidad histórica y social (UNESCO, artículo 2; Ley General de Cultura y Derechos Culturales, artículos 3 y 15).</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En este sentido, la presente iniciativa tiene como objetivo declarar a la Feria de la Barbacoa y al Carnaval del municipio de Capulhuac, así como a los conocimientos y prácticas tradicionales asociados a la elaboración de la barbacoa, como Patrimonio Cultural Inmaterial del Estado de México, con la finalidad de garantizar su reconocimiento, preservación, difusión y valoración, sin generar cargas presupuestales adicionales y en armonía con los compromisos internacionales asumidos por el Estado mexicano (Constitución Política del Estado Libre y Soberano de México; Ley de Cultura y Derechos Culturales del Estado de México).</w:t>
      </w:r>
    </w:p>
    <w:p w:rsidR="00DF63F2" w:rsidRPr="00AE0CAB" w:rsidRDefault="00DF63F2"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Esta declaratoria reconoce y dignifica el trabajo histórico de las familias barbacoyeras, fortalece la identidad cultural de Capulhuac y reafirma el compromiso del Estado de México con la protección de su patrimonio cultural vivo.</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 xml:space="preserve">DECRETO NÚMERO </w:t>
      </w:r>
    </w:p>
    <w:p w:rsidR="00E01E93" w:rsidRPr="00AE0CAB" w:rsidRDefault="00E01E93" w:rsidP="00D718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 xml:space="preserve">LA H. “LXII” LEGISLATURA </w:t>
      </w:r>
    </w:p>
    <w:p w:rsidR="00E01E93" w:rsidRPr="00AE0CAB" w:rsidRDefault="00E01E93" w:rsidP="00D718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DEL ESTADO DE MÉXICO</w:t>
      </w:r>
    </w:p>
    <w:p w:rsidR="00E01E93" w:rsidRPr="00AE0CAB" w:rsidRDefault="00E01E93" w:rsidP="00D718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DECRETA:</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b/>
          <w:sz w:val="24"/>
          <w:szCs w:val="24"/>
        </w:rPr>
        <w:t>ARTÍCULO PRIMERO</w:t>
      </w:r>
      <w:r w:rsidRPr="00AE0CAB">
        <w:rPr>
          <w:rFonts w:ascii="Times New Roman" w:hAnsi="Times New Roman" w:cs="Times New Roman"/>
          <w:sz w:val="24"/>
          <w:szCs w:val="24"/>
        </w:rPr>
        <w:t>. Se declara la feria de la Barbacoa y el Carnaval del municipio de Capulhuac, Estado de México, como Patrimonio Cultural Inmaterial del Estado de México.</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b/>
          <w:sz w:val="24"/>
          <w:szCs w:val="24"/>
        </w:rPr>
        <w:t>ARTÍCULO SEGUNDO</w:t>
      </w:r>
      <w:r w:rsidRPr="00AE0CAB">
        <w:rPr>
          <w:rFonts w:ascii="Times New Roman" w:hAnsi="Times New Roman" w:cs="Times New Roman"/>
          <w:sz w:val="24"/>
          <w:szCs w:val="24"/>
        </w:rPr>
        <w:t>. Se declara de interés público y social la salvaguarda, preservación, transmisión, promoción y fortalecimiento de los saberes tradicionales, los procesos, y los valores culturales asociados a la feria de la Barbacoa y el Carnaval del municipio de Capulhuac, Estado de México.</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ARTÍCULOS TRANSITORIOS</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b/>
          <w:sz w:val="24"/>
          <w:szCs w:val="24"/>
        </w:rPr>
        <w:t>PRIMERO.</w:t>
      </w:r>
      <w:r w:rsidRPr="00AE0CAB">
        <w:rPr>
          <w:rFonts w:ascii="Times New Roman" w:hAnsi="Times New Roman" w:cs="Times New Roman"/>
          <w:sz w:val="24"/>
          <w:szCs w:val="24"/>
        </w:rPr>
        <w:t xml:space="preserve"> Publíquese el presente Decreto en el Periódico Oficial “Gaceta del Gobierno”.</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b/>
          <w:sz w:val="24"/>
          <w:szCs w:val="24"/>
        </w:rPr>
        <w:t>SEGUNDO.</w:t>
      </w:r>
      <w:r w:rsidRPr="00AE0CAB">
        <w:rPr>
          <w:rFonts w:ascii="Times New Roman" w:hAnsi="Times New Roman" w:cs="Times New Roman"/>
          <w:sz w:val="24"/>
          <w:szCs w:val="24"/>
        </w:rPr>
        <w:t xml:space="preserve"> El presente Decreto entrará en vigor al día siguiente de su publicación en el Periódico Oficial “Gaceta del Gobierno”.</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b/>
          <w:sz w:val="24"/>
          <w:szCs w:val="24"/>
        </w:rPr>
        <w:t>TERCERO.</w:t>
      </w:r>
      <w:r w:rsidRPr="00AE0CAB">
        <w:rPr>
          <w:rFonts w:ascii="Times New Roman" w:hAnsi="Times New Roman" w:cs="Times New Roman"/>
          <w:sz w:val="24"/>
          <w:szCs w:val="24"/>
        </w:rPr>
        <w:t xml:space="preserve"> El H. Ayuntamiento de Capulhuac, en coordinación con la Secretaría de Cultura y Turismo, deberá adoptar las medidas necesarias para garantizar la viabilidad, protección, conservación, transmisión y promoción de la feria de la Barbacoa y del Carnaval, y con la </w:t>
      </w:r>
      <w:r w:rsidRPr="00AE0CAB">
        <w:rPr>
          <w:rFonts w:ascii="Times New Roman" w:hAnsi="Times New Roman" w:cs="Times New Roman"/>
          <w:sz w:val="24"/>
          <w:szCs w:val="24"/>
        </w:rPr>
        <w:lastRenderedPageBreak/>
        <w:t>participación de las comunidades portadoras de esta tradición, conforme a la disponibilidad presupuestal correspondiente.</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Lo tendrá entendido la Gobernadora del Estado, haciendo que se publique y se cumpla.</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Dado en el Palacio del Poder Legislativo, en la ciudad de Toluca de Lerdo, capital del Estado de México, a los …. días del mes de ….. del año dos mil veintiséis.</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 xml:space="preserve">DECRETO NÚMERO </w:t>
      </w:r>
    </w:p>
    <w:p w:rsidR="00E01E93" w:rsidRPr="00AE0CAB" w:rsidRDefault="00E01E93" w:rsidP="00D718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 xml:space="preserve">LA H. “LXII” LEGISLATURA </w:t>
      </w:r>
    </w:p>
    <w:p w:rsidR="00E01E93" w:rsidRPr="00AE0CAB" w:rsidRDefault="00E01E93" w:rsidP="00D718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DEL ESTADO DE MÉXICO</w:t>
      </w:r>
    </w:p>
    <w:p w:rsidR="00E01E93" w:rsidRPr="00AE0CAB" w:rsidRDefault="00E01E93" w:rsidP="00D718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DECRETA:</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b/>
          <w:sz w:val="24"/>
          <w:szCs w:val="24"/>
        </w:rPr>
        <w:t>ARTÍCULO PRIMERO.</w:t>
      </w:r>
      <w:r w:rsidRPr="00AE0CAB">
        <w:rPr>
          <w:rFonts w:ascii="Times New Roman" w:hAnsi="Times New Roman" w:cs="Times New Roman"/>
          <w:sz w:val="24"/>
          <w:szCs w:val="24"/>
        </w:rPr>
        <w:t xml:space="preserve"> Se declara la Feria de la Barbacoa y el Carnaval del Municipio de Capulhuac, Estado de México, como Patrimonio Cultural Inmaterial del Estado de México.</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b/>
          <w:sz w:val="24"/>
          <w:szCs w:val="24"/>
        </w:rPr>
        <w:t>ARTÍCULO SEGUNDO.</w:t>
      </w:r>
      <w:r w:rsidRPr="00AE0CAB">
        <w:rPr>
          <w:rFonts w:ascii="Times New Roman" w:hAnsi="Times New Roman" w:cs="Times New Roman"/>
          <w:sz w:val="24"/>
          <w:szCs w:val="24"/>
        </w:rPr>
        <w:t xml:space="preserve"> Se declara de interés público y social la salvaguarda, preservación, transmisión, promoción y fortalecimiento de los saberes tradicionales, los procesos, y los valores culturales asociados a la Feria de la Barbacoa y el Carnaval del Municipio de Capulhuac, Estado de México.</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T R A N S I T O R I O S</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b/>
          <w:sz w:val="24"/>
          <w:szCs w:val="24"/>
        </w:rPr>
        <w:t>PRIMERO.</w:t>
      </w:r>
      <w:r w:rsidRPr="00AE0CAB">
        <w:rPr>
          <w:rFonts w:ascii="Times New Roman" w:hAnsi="Times New Roman" w:cs="Times New Roman"/>
          <w:sz w:val="24"/>
          <w:szCs w:val="24"/>
        </w:rPr>
        <w:t xml:space="preserve"> Publíquese el presente Decreto en el Periódico Oficial “Gaceta del Gobierno”.</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b/>
          <w:sz w:val="24"/>
          <w:szCs w:val="24"/>
        </w:rPr>
        <w:t>SEGUNDO.</w:t>
      </w:r>
      <w:r w:rsidRPr="00AE0CAB">
        <w:rPr>
          <w:rFonts w:ascii="Times New Roman" w:hAnsi="Times New Roman" w:cs="Times New Roman"/>
          <w:sz w:val="24"/>
          <w:szCs w:val="24"/>
        </w:rPr>
        <w:t xml:space="preserve"> El presente Decreto entrará en vigor al día siguiente de su publicación en el Periódico Oficial “Gaceta del Gobierno”.</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b/>
          <w:sz w:val="24"/>
          <w:szCs w:val="24"/>
        </w:rPr>
        <w:t>TERCERO.</w:t>
      </w:r>
      <w:r w:rsidRPr="00AE0CAB">
        <w:rPr>
          <w:rFonts w:ascii="Times New Roman" w:hAnsi="Times New Roman" w:cs="Times New Roman"/>
          <w:sz w:val="24"/>
          <w:szCs w:val="24"/>
        </w:rPr>
        <w:t xml:space="preserve"> El H. Ayuntamiento de Capulhuac, en coordinación con la Secretaría de Cultura y Turismo, deberá adoptar las medidas necesarias para garantizar la viabilidad, protección, conservación, transmisión y promoción de la Feria de la Barbacoa y del Carnaval, y con la participación de las comunidades portadoras de esta tradición, conforme a la disponibilidad presupuestal correspondiente.</w:t>
      </w:r>
    </w:p>
    <w:p w:rsidR="00E01E93" w:rsidRPr="00AE0CAB" w:rsidRDefault="00E01E93" w:rsidP="00D71801">
      <w:pPr>
        <w:spacing w:after="0" w:line="240" w:lineRule="auto"/>
        <w:jc w:val="both"/>
        <w:rPr>
          <w:rFonts w:ascii="Times New Roman" w:hAnsi="Times New Roman" w:cs="Times New Roman"/>
          <w:sz w:val="24"/>
          <w:szCs w:val="24"/>
        </w:rPr>
      </w:pPr>
    </w:p>
    <w:p w:rsidR="00E01E93" w:rsidRPr="00AE0CAB" w:rsidRDefault="00E01E93" w:rsidP="00D71801">
      <w:pPr>
        <w:kinsoku w:val="0"/>
        <w:overflowPunct w:val="0"/>
        <w:spacing w:after="0" w:line="240" w:lineRule="auto"/>
        <w:jc w:val="both"/>
        <w:textAlignment w:val="baseline"/>
        <w:rPr>
          <w:rFonts w:ascii="Times New Roman" w:hAnsi="Times New Roman" w:cs="Times New Roman"/>
          <w:sz w:val="24"/>
          <w:szCs w:val="24"/>
          <w:lang w:eastAsia="es-ES"/>
        </w:rPr>
      </w:pPr>
      <w:r w:rsidRPr="00AE0CAB">
        <w:rPr>
          <w:rFonts w:ascii="Times New Roman" w:hAnsi="Times New Roman" w:cs="Times New Roman"/>
          <w:sz w:val="24"/>
          <w:szCs w:val="24"/>
          <w:lang w:eastAsia="es-ES"/>
        </w:rPr>
        <w:t>Lo tendrá entendido la Gobernadora del Estado, haciendo que se publique y se cumpla.</w:t>
      </w:r>
    </w:p>
    <w:p w:rsidR="00E01E93" w:rsidRPr="00AE0CAB" w:rsidRDefault="00E01E93" w:rsidP="00D71801">
      <w:pPr>
        <w:kinsoku w:val="0"/>
        <w:overflowPunct w:val="0"/>
        <w:spacing w:after="0" w:line="240" w:lineRule="auto"/>
        <w:jc w:val="both"/>
        <w:textAlignment w:val="baseline"/>
        <w:rPr>
          <w:rFonts w:ascii="Times New Roman" w:hAnsi="Times New Roman" w:cs="Times New Roman"/>
          <w:sz w:val="24"/>
          <w:szCs w:val="24"/>
        </w:rPr>
      </w:pPr>
    </w:p>
    <w:p w:rsidR="00E01E93" w:rsidRPr="00AE0CAB" w:rsidRDefault="00E01E93" w:rsidP="00D71801">
      <w:pPr>
        <w:kinsoku w:val="0"/>
        <w:overflowPunct w:val="0"/>
        <w:spacing w:after="0" w:line="240" w:lineRule="auto"/>
        <w:jc w:val="both"/>
        <w:textAlignment w:val="baseline"/>
        <w:rPr>
          <w:rFonts w:ascii="Times New Roman" w:hAnsi="Times New Roman" w:cs="Times New Roman"/>
          <w:sz w:val="24"/>
          <w:szCs w:val="24"/>
        </w:rPr>
      </w:pPr>
      <w:r w:rsidRPr="00AE0CAB">
        <w:rPr>
          <w:rFonts w:ascii="Times New Roman" w:hAnsi="Times New Roman" w:cs="Times New Roman"/>
          <w:sz w:val="24"/>
          <w:szCs w:val="24"/>
        </w:rPr>
        <w:t>Dado en el Palacio del Poder Legislativo, en la ciudad de Toluca de Lerdo, Capital del Estado de México, a los dieciocho días del mes de febrero del dos mil veintiséis.</w:t>
      </w:r>
    </w:p>
    <w:p w:rsidR="00690F35" w:rsidRPr="00AE0CAB" w:rsidRDefault="00690F35" w:rsidP="00D71801">
      <w:pPr>
        <w:spacing w:after="0" w:line="240" w:lineRule="auto"/>
        <w:jc w:val="center"/>
        <w:rPr>
          <w:rFonts w:ascii="Times New Roman" w:hAnsi="Times New Roman" w:cs="Times New Roman"/>
          <w:sz w:val="24"/>
          <w:szCs w:val="24"/>
        </w:rPr>
      </w:pPr>
    </w:p>
    <w:p w:rsidR="00E01E93" w:rsidRPr="00AE0CAB" w:rsidRDefault="00E01E93"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PRESIDENTA</w:t>
      </w:r>
    </w:p>
    <w:p w:rsidR="00E01E93" w:rsidRPr="00AE0CAB" w:rsidRDefault="00E01E93"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DIP. MARTHA AZUCENA CAMACHO REYNOSO</w:t>
      </w:r>
    </w:p>
    <w:p w:rsidR="00E01E93" w:rsidRPr="00AE0CAB" w:rsidRDefault="00E01E93" w:rsidP="00D71801">
      <w:pPr>
        <w:spacing w:after="0" w:line="240" w:lineRule="auto"/>
        <w:jc w:val="center"/>
        <w:rPr>
          <w:rFonts w:ascii="Times New Roman" w:hAnsi="Times New Roman" w:cs="Times New Roman"/>
          <w:b/>
          <w:sz w:val="24"/>
          <w:szCs w:val="24"/>
        </w:rPr>
      </w:pPr>
    </w:p>
    <w:p w:rsidR="00E01E93" w:rsidRPr="00AE0CAB" w:rsidRDefault="00E01E93"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SECRETARIOS</w:t>
      </w:r>
    </w:p>
    <w:tbl>
      <w:tblPr>
        <w:tblW w:w="0" w:type="auto"/>
        <w:tblLook w:val="04A0" w:firstRow="1" w:lastRow="0" w:firstColumn="1" w:lastColumn="0" w:noHBand="0" w:noVBand="1"/>
      </w:tblPr>
      <w:tblGrid>
        <w:gridCol w:w="4877"/>
        <w:gridCol w:w="4528"/>
      </w:tblGrid>
      <w:tr w:rsidR="00E01E93" w:rsidRPr="00AE0CAB" w:rsidTr="00690F35">
        <w:tc>
          <w:tcPr>
            <w:tcW w:w="4877" w:type="dxa"/>
            <w:hideMark/>
          </w:tcPr>
          <w:p w:rsidR="00E01E93" w:rsidRPr="00AE0CAB" w:rsidRDefault="00E01E93"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DIP. EDGAR SAMUEL RÍOS MORENO</w:t>
            </w:r>
          </w:p>
        </w:tc>
        <w:tc>
          <w:tcPr>
            <w:tcW w:w="4528" w:type="dxa"/>
            <w:hideMark/>
          </w:tcPr>
          <w:p w:rsidR="00E01E93" w:rsidRPr="00AE0CAB" w:rsidRDefault="00E01E93" w:rsidP="00D718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DIP. EDUARDO ZARZOSA SÁNCHEZ</w:t>
            </w:r>
          </w:p>
        </w:tc>
      </w:tr>
    </w:tbl>
    <w:p w:rsidR="00E01E93" w:rsidRPr="00AE0CAB" w:rsidRDefault="00E01E93" w:rsidP="00D71801">
      <w:pPr>
        <w:spacing w:after="0" w:line="240" w:lineRule="auto"/>
        <w:jc w:val="center"/>
        <w:rPr>
          <w:rFonts w:ascii="Times New Roman" w:hAnsi="Times New Roman" w:cs="Times New Roman"/>
          <w:sz w:val="24"/>
          <w:szCs w:val="24"/>
        </w:rPr>
      </w:pPr>
    </w:p>
    <w:p w:rsidR="00E01E93" w:rsidRPr="00AE0CAB" w:rsidRDefault="00E01E93" w:rsidP="00D71801">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(Fin del documento)</w:t>
      </w:r>
    </w:p>
    <w:p w:rsidR="00E01E93" w:rsidRPr="00AE0CAB" w:rsidRDefault="00E01E93" w:rsidP="00D71801">
      <w:pPr>
        <w:spacing w:after="0" w:line="240" w:lineRule="auto"/>
        <w:jc w:val="center"/>
        <w:rPr>
          <w:rFonts w:ascii="Times New Roman" w:hAnsi="Times New Roman" w:cs="Times New Roman"/>
          <w:sz w:val="24"/>
          <w:szCs w:val="24"/>
        </w:rPr>
      </w:pP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lastRenderedPageBreak/>
        <w:t>VICEPRESIDENTA DIP. SARA ALICIA RAMÍREZ DE LA O. Con fundamento en el artículo 55 de la Constitución Política del Estado Libre y Soberano de México, someto a la aprobación de la Legislatura la propuesta para dispensar el trámite de Dictamen de la Iniciativa y abro la discusión de la propuesta de dispensa del trámite de Dictamen y pregunto si alguien desea hacer uso de la palabra.</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Pido a quienes estén por la aprobatoria de la dispensa del trámite de </w:t>
      </w:r>
      <w:r w:rsidR="00690F35" w:rsidRPr="00AE0CAB">
        <w:rPr>
          <w:rFonts w:ascii="Times New Roman" w:hAnsi="Times New Roman" w:cs="Times New Roman"/>
          <w:sz w:val="24"/>
          <w:szCs w:val="24"/>
        </w:rPr>
        <w:t>dictamen</w:t>
      </w:r>
      <w:r w:rsidRPr="00AE0CAB">
        <w:rPr>
          <w:rFonts w:ascii="Times New Roman" w:hAnsi="Times New Roman" w:cs="Times New Roman"/>
          <w:sz w:val="24"/>
          <w:szCs w:val="24"/>
        </w:rPr>
        <w:t xml:space="preserve">, se sirvan levantar la mano ¿En contra? ¿En abstención?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SECRETARIO DIP. EDUARDO ZARZOSA SÁNCHEZ. Informo a la Presidencia que el punto ha sido aprobado por unanimidad de votos.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VICEPRESIDENTA DIP. SARA ALICIA RAMÍREZ DE LA O. Abro la discusión en lo general de la Iniciativa de Decreto y consulto ¿Si alguien desea hacer uso de la palabra?</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En votación nominal, pregunto, si es de aprobarse en lo general la Iniciativa de Decreto y pido a la Secretaría abra el sistema de votación hasta por 2 minutos.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Si alguien desea separar algún artículo para su discusión particular, sírvase comunicarlo.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SECRETARIO DIP. EDUARDO ZARZOSA SÁNCHEZ. Ábrase el sistema de votación electrónica, hasta por 2 minutos. </w:t>
      </w:r>
    </w:p>
    <w:p w:rsidR="000E0101" w:rsidRPr="00AE0CAB" w:rsidRDefault="000E0101" w:rsidP="00D71801">
      <w:pPr>
        <w:pStyle w:val="Sinespaciado"/>
        <w:jc w:val="center"/>
        <w:rPr>
          <w:rFonts w:ascii="Times New Roman" w:hAnsi="Times New Roman" w:cs="Times New Roman"/>
          <w:sz w:val="24"/>
          <w:szCs w:val="24"/>
        </w:rPr>
      </w:pPr>
      <w:r w:rsidRPr="00AE0CAB">
        <w:rPr>
          <w:rFonts w:ascii="Times New Roman" w:hAnsi="Times New Roman" w:cs="Times New Roman"/>
          <w:sz w:val="24"/>
          <w:szCs w:val="24"/>
        </w:rPr>
        <w:t>(</w:t>
      </w:r>
      <w:r w:rsidRPr="00AE0CAB">
        <w:rPr>
          <w:rFonts w:ascii="Times New Roman" w:hAnsi="Times New Roman" w:cs="Times New Roman"/>
          <w:i/>
          <w:sz w:val="24"/>
          <w:szCs w:val="24"/>
        </w:rPr>
        <w:t>Votación</w:t>
      </w:r>
      <w:r w:rsidRPr="00AE0CAB">
        <w:rPr>
          <w:rFonts w:ascii="Times New Roman" w:hAnsi="Times New Roman" w:cs="Times New Roman"/>
          <w:sz w:val="24"/>
          <w:szCs w:val="24"/>
        </w:rPr>
        <w:t xml:space="preserve"> </w:t>
      </w:r>
      <w:r w:rsidRPr="00AE0CAB">
        <w:rPr>
          <w:rFonts w:ascii="Times New Roman" w:hAnsi="Times New Roman" w:cs="Times New Roman"/>
          <w:i/>
          <w:sz w:val="24"/>
          <w:szCs w:val="24"/>
        </w:rPr>
        <w:t>nominal</w:t>
      </w:r>
      <w:r w:rsidRPr="00AE0CAB">
        <w:rPr>
          <w:rFonts w:ascii="Times New Roman" w:hAnsi="Times New Roman" w:cs="Times New Roman"/>
          <w:sz w:val="24"/>
          <w:szCs w:val="24"/>
        </w:rPr>
        <w:t>)</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SECRETARIO DIP. EDUARDO ZARZOSA SÁNCHEZ. Pregunto a la Asamblea ¿Si hay algún diputada o alguna diputada o algún diputado que haga falta de emitir su voto?</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Presidenta le informo que, el punto ha sido aprobado por unanimidad de votos, Presidenta.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VICEPRESIDENTA DIP. SARA ALICIA RAMÍREZ DE LA O. Se tiene por aprobada en lo general la Iniciativa de Decreto.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Estimando que no se separaron artículos para su discusión particular, se declara su aprobatoria también en lo particular.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PRESIDENTA DIP. MARTHA AZUCENA CAMACHO REYNOSO. Muchas, muchas gracias y felicidades al Municipio de Capulhuac de Mirafuentes, es su patrimonio, es su identidad, es su cultura y sean todos ustedes bienvenidos a la agrupación y a los integrantes de la Asociación de </w:t>
      </w:r>
      <w:proofErr w:type="spellStart"/>
      <w:r w:rsidRPr="00AE0CAB">
        <w:rPr>
          <w:rFonts w:ascii="Times New Roman" w:hAnsi="Times New Roman" w:cs="Times New Roman"/>
          <w:sz w:val="24"/>
          <w:szCs w:val="24"/>
        </w:rPr>
        <w:t>Barbacoyeros</w:t>
      </w:r>
      <w:proofErr w:type="spellEnd"/>
      <w:r w:rsidRPr="00AE0CAB">
        <w:rPr>
          <w:rFonts w:ascii="Times New Roman" w:hAnsi="Times New Roman" w:cs="Times New Roman"/>
          <w:sz w:val="24"/>
          <w:szCs w:val="24"/>
        </w:rPr>
        <w:t xml:space="preserve">, muchas gracias por la atención y también les comento compañeros que les invitaron un taquito para que gusten y sepan qué rica es la barbacoa de Capulhuac, adelante.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Con apego en el punto número 8, la diputada María del Carmen de la Rosa Mendoza presenta, en nombre del Grupo Parlamentario del Partido morena, Iniciativa con Proyecto de Decreto por el que se reforman diversas disposiciones de la Ley de Igualdad de Trato de Oportunidades entre Mujeres y Hombres en el Estado de México, con el propósito de fomentar la igualdad de género en la distribución de los trabajos domésticos; así como también la implementación de acciones tendientes a eliminar la brecha salarial de género.</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DIP. MARÍA DEL CARMEN DE LA ROSA MENDOZA. Con su venia de la Mesa Directiva Presidenta, compañeras y compañeros que le integran esta iniciativa, compañeras, compañere y compañeros diputados, no solamente vengo a expresar y hablar de cifras, vengo a hablar de una realidad que vivimos miles de mexiquenses todos los días, una realidad que no es casualidad, es estructural, es histórica, pero además es injusta. Durante generaciones se nos enseñó que nuestro lugar estaba meramente en el hogar, que cuidar era nuestra obligación natural, que servir era parte de nuestro destino. Mientras sosteníamos hogares, creábamos hijas e hijos cuidábamos enfermos y también cuidábamos de adultos mayores.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El sistema económico decidió que ese trabajo no valía nada. Y ahí están las primeras injusticias. La primera es la desigualdad de la distribución del trabajo entre hombres y mujeres, trabajos domésticos y de cuidados no remunerados, las mujeres hemos asumido la mayor parte de las tareas del hogar, independientemente de si trabajamos fuera de casa, trabajamos doble jornada e inclusive hasta triple jornada y sin un salario, eso no es un amor romántico, es una desigualdad estructural.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lastRenderedPageBreak/>
        <w:tab/>
        <w:t xml:space="preserve">La segunda gran injusticia es la brecha salarial. La Organización para la Cooperación y el Desarrollo Económico advierte que cuando las mujeres trabajan son más propensas a hacerlo en tiempos parciales. Por ello, tienen una menor probabilidad de tener u ostentar a puestos directivos y enfrentan una gran discriminación y ganan mucho menos que los hombres. En promedio, el ingreso anual de las mujeres es hasta 54% menor ¿De verdad creemos que esto es una casualidad? ¿De verdad creemos que esto es falta de capacidad? No, es el resultado de estereotipos patriarcales que nos han limitado al desarrollo pleno de todas las mujeres.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En México sólo el 45% de las mujeres en edad productiva trabaja, frente al 78% de los hombres, el Consejo Nacional para Prevenir la Discriminación revela que los hombres reciben en promedio un ingreso laboral por hora 34% mayor que las mujeres y el INEGI confirma que el ingreso promedio trimestral monetario para los hombres es superior en más de 12 mil pesos más que las mujeres.</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Los hogares con jefatura femenina tienen ingresos, 12.4 menores que los hombres. Detrás de cada número hay una madre que trata de estirar lo más que se pueda el dinero, una trabajadora que pospone sus sueños, una joven que duda si podrá independizarse y eso, compañeros y compañeras, no es igualdad. Nuestra Constitución establece que mujeres y hombres somos iguales ante la ley, la Ley Federal del Trabajo también establece que trabajo igual, salario igual. Entonces la pregunta es clara si la ley lo dice ¿Por qué en la realidad no se cumple? Porque la igualdad formal no basta, necesitamos igualdad sustantiva, necesitamos mecanismos que obliguen, necesitamos políticas públicas que transformen, la Convención Interamericana para Prevenir, Sancionar y Erradicar la Violencia Contra las Mujeres, reconoce el derecho de toda mujer a ejercer plenamente sus derechos económicos y sociales y la autonomía económica es una condición indispensable para erradicar la violencia. Una mujer sin ingresos propios, tiene menos capacidad para salir de una relación violenta, una mujer sin independencia económica es más vulnerable aún y por eso esta iniciativa no solamente es laboral, es profundamente social; pero además es profundamente humanista.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Nuestra Gobernadora, la Maestra Delfina Gómez, ha impulsado reformas constitucionales en materia de igualdad, la Presidenta Claudia Sheinbaum ha colocado a las mujeres en el centro de la transformación nacional, nos corresponde armonizar hoy a nosotros, a nosotras, a </w:t>
      </w:r>
      <w:proofErr w:type="spellStart"/>
      <w:r w:rsidRPr="00AE0CAB">
        <w:rPr>
          <w:rFonts w:ascii="Times New Roman" w:hAnsi="Times New Roman" w:cs="Times New Roman"/>
          <w:sz w:val="24"/>
          <w:szCs w:val="24"/>
        </w:rPr>
        <w:t>nosotres</w:t>
      </w:r>
      <w:proofErr w:type="spellEnd"/>
      <w:r w:rsidRPr="00AE0CAB">
        <w:rPr>
          <w:rFonts w:ascii="Times New Roman" w:hAnsi="Times New Roman" w:cs="Times New Roman"/>
          <w:sz w:val="24"/>
          <w:szCs w:val="24"/>
        </w:rPr>
        <w:t xml:space="preserve">, fortalecer y aterrizar estas políticas en leyes concretas que impacten la vida diaria de todas las personas, por eso hoy la propuesta que estamos presentando es para incluir como objetivo explícito la erradicación de la brecha salarial, promover el reparto equitativo del trabajo doméstico no remunerado, obligar a las autoridades y empleadores a implementar medidas contra la discriminación salarial y es que no estamos inventando derechos, estamos exigiendo que se cumplan, no estamos confrontando hombres también contra mujeres, es simplemente, estamos confrontando las injusticias reales, porque cuando una mujer gana menos, pierde la familia, pierde la economía local, pierde el Estado, la brecha salarial no es un capricho ideológico, es una estrategia de desarrollo económico, si las mujeres ganan más, consumen más, si consumen más, se fortalece la economía del Estado, si se fortalece la economía, por supuesto que crece el Estado, esto es justicia, pero también es una visión de futuro.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Hoy hago un llamado por eso a todas las fuerzas políticas que conformamos este Congreso, para que dejemos de ver la igualdad como un tema meramente sectorial, es un tema estructural, es un tema de justicia social y también es un tema de desarrollo, legislar para transformar es una responsabilidad que no digan nuestras hijas o hijos que tuvimos la oportunidad y no la tomamos, que no digan las mujeres trabajadoras que este Congreso fue indiferente, porque las mujeres no pedimos privilegios, exigimos justicia, queremos una corresponsabilidad familiar en el hogar, queremos salarios justos; pero queremos igualdad real.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Es momento de decir con claridad que el trabajo de las mujeres vale y vale igual.</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lastRenderedPageBreak/>
        <w:t>Compañeras y compañeros, la transformación también es salarial, la transformación es doméstica, la transformación es cultural y hoy más que nunca debemos de legislar para transformar y transformar significa que ninguna mujer gane menos por ser mujer, cuando una mujer avanza, avanza todo el pueblo. Es cuanto.</w:t>
      </w:r>
    </w:p>
    <w:p w:rsidR="00385AA8" w:rsidRPr="00AE0CAB" w:rsidRDefault="00385AA8" w:rsidP="00385AA8">
      <w:pPr>
        <w:pStyle w:val="Sinespaciado"/>
        <w:jc w:val="both"/>
        <w:rPr>
          <w:rFonts w:ascii="Times New Roman" w:hAnsi="Times New Roman" w:cs="Times New Roman"/>
          <w:sz w:val="24"/>
          <w:szCs w:val="24"/>
        </w:rPr>
      </w:pPr>
    </w:p>
    <w:p w:rsidR="00385AA8" w:rsidRPr="00AE0CAB" w:rsidRDefault="00385AA8" w:rsidP="00385AA8">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(Se inserta documento)</w:t>
      </w:r>
    </w:p>
    <w:p w:rsidR="00385AA8" w:rsidRPr="00AE0CAB" w:rsidRDefault="00385AA8" w:rsidP="00385AA8">
      <w:pPr>
        <w:spacing w:after="0" w:line="240" w:lineRule="auto"/>
        <w:jc w:val="center"/>
        <w:rPr>
          <w:rFonts w:ascii="Times New Roman" w:hAnsi="Times New Roman" w:cs="Times New Roman"/>
          <w:sz w:val="24"/>
          <w:szCs w:val="24"/>
        </w:rPr>
      </w:pPr>
    </w:p>
    <w:p w:rsidR="00385AA8" w:rsidRPr="00AE0CAB" w:rsidRDefault="00385AA8" w:rsidP="00385AA8">
      <w:pPr>
        <w:spacing w:after="0" w:line="240" w:lineRule="auto"/>
        <w:jc w:val="center"/>
        <w:rPr>
          <w:rFonts w:ascii="Times New Roman" w:eastAsia="Times New Roman" w:hAnsi="Times New Roman" w:cs="Times New Roman"/>
          <w:b/>
          <w:sz w:val="24"/>
          <w:szCs w:val="24"/>
        </w:rPr>
      </w:pPr>
      <w:r w:rsidRPr="00AE0CAB">
        <w:rPr>
          <w:rFonts w:ascii="Times New Roman" w:eastAsia="Times New Roman" w:hAnsi="Times New Roman" w:cs="Times New Roman"/>
          <w:b/>
          <w:sz w:val="24"/>
          <w:szCs w:val="24"/>
        </w:rPr>
        <w:t>DIP. MARÍA DEL CARMEN DE LA ROSA MENDOZA</w:t>
      </w:r>
    </w:p>
    <w:p w:rsidR="00385AA8" w:rsidRPr="00AE0CAB" w:rsidRDefault="00385AA8" w:rsidP="00385AA8">
      <w:pPr>
        <w:spacing w:after="0" w:line="240" w:lineRule="auto"/>
        <w:jc w:val="center"/>
        <w:rPr>
          <w:rFonts w:ascii="Times New Roman" w:eastAsia="Times New Roman" w:hAnsi="Times New Roman" w:cs="Times New Roman"/>
          <w:b/>
          <w:sz w:val="24"/>
          <w:szCs w:val="24"/>
        </w:rPr>
      </w:pPr>
      <w:r w:rsidRPr="00AE0CAB">
        <w:rPr>
          <w:rFonts w:ascii="Times New Roman" w:eastAsia="Times New Roman" w:hAnsi="Times New Roman" w:cs="Times New Roman"/>
          <w:b/>
          <w:sz w:val="24"/>
          <w:szCs w:val="24"/>
        </w:rPr>
        <w:t>Distrito XLI Ciudad Nezahualcóyotl</w:t>
      </w:r>
    </w:p>
    <w:p w:rsidR="00385AA8" w:rsidRPr="00AE0CAB" w:rsidRDefault="00385AA8" w:rsidP="00385AA8">
      <w:pPr>
        <w:spacing w:after="0" w:line="240" w:lineRule="auto"/>
        <w:jc w:val="center"/>
        <w:rPr>
          <w:rFonts w:ascii="Times New Roman" w:eastAsia="Times New Roman" w:hAnsi="Times New Roman" w:cs="Times New Roman"/>
          <w:b/>
          <w:sz w:val="24"/>
          <w:szCs w:val="24"/>
        </w:rPr>
      </w:pPr>
    </w:p>
    <w:p w:rsidR="00385AA8" w:rsidRPr="00AE0CAB" w:rsidRDefault="00385AA8" w:rsidP="00385AA8">
      <w:pPr>
        <w:spacing w:after="0" w:line="240" w:lineRule="auto"/>
        <w:jc w:val="center"/>
        <w:rPr>
          <w:rFonts w:ascii="Times New Roman" w:eastAsia="Times New Roman" w:hAnsi="Times New Roman" w:cs="Times New Roman"/>
          <w:b/>
          <w:sz w:val="24"/>
          <w:szCs w:val="24"/>
        </w:rPr>
      </w:pPr>
      <w:r w:rsidRPr="00AE0CAB">
        <w:rPr>
          <w:rFonts w:ascii="Times New Roman" w:eastAsia="Times New Roman" w:hAnsi="Times New Roman" w:cs="Times New Roman"/>
          <w:b/>
          <w:sz w:val="24"/>
          <w:szCs w:val="24"/>
        </w:rPr>
        <w:t>COMISIÓN ESPECIAL DE ESTUDIOS LEGISLATIVOS Y PRÁCTICAS PARLAMENTARIAS</w:t>
      </w:r>
    </w:p>
    <w:p w:rsidR="00385AA8" w:rsidRPr="00AE0CAB" w:rsidRDefault="00385AA8" w:rsidP="00385AA8">
      <w:pPr>
        <w:spacing w:after="0" w:line="240" w:lineRule="auto"/>
        <w:jc w:val="center"/>
        <w:rPr>
          <w:rFonts w:ascii="Times New Roman" w:eastAsia="Times New Roman" w:hAnsi="Times New Roman" w:cs="Times New Roman"/>
          <w:b/>
          <w:sz w:val="24"/>
          <w:szCs w:val="24"/>
        </w:rPr>
      </w:pPr>
    </w:p>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i/>
          <w:sz w:val="24"/>
          <w:szCs w:val="24"/>
        </w:rPr>
        <w:t>“2026. Año del Humanismo Mexicano en el Estado de México”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Toluca de Lerdo, México, 08 de enero de 2026</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DIPUTADA MARTHA AZUCENA CAMACHO REYNOSO</w:t>
      </w:r>
    </w:p>
    <w:p w:rsidR="001C35A1" w:rsidRPr="00AE0CAB" w:rsidRDefault="00385AA8" w:rsidP="00385AA8">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PRESIDENTA DE LA DIPUTACIÓN PERMANENTE</w:t>
      </w:r>
    </w:p>
    <w:p w:rsidR="001C35A1" w:rsidRPr="00AE0CAB" w:rsidRDefault="00385AA8" w:rsidP="00385AA8">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EN LA H. “LXII”</w:t>
      </w:r>
      <w:r w:rsidR="001C35A1" w:rsidRPr="00AE0CAB">
        <w:rPr>
          <w:rFonts w:ascii="Times New Roman" w:eastAsia="Arial" w:hAnsi="Times New Roman" w:cs="Times New Roman"/>
          <w:b/>
          <w:sz w:val="24"/>
          <w:szCs w:val="24"/>
        </w:rPr>
        <w:t xml:space="preserve"> </w:t>
      </w:r>
      <w:r w:rsidRPr="00AE0CAB">
        <w:rPr>
          <w:rFonts w:ascii="Times New Roman" w:eastAsia="Arial" w:hAnsi="Times New Roman" w:cs="Times New Roman"/>
          <w:b/>
          <w:sz w:val="24"/>
          <w:szCs w:val="24"/>
        </w:rPr>
        <w:t>LEGISLATURA</w:t>
      </w: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DEL ESTADO LIBRE Y SOBERANO DE MÉXICO</w:t>
      </w: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P R E S E N T E.</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Diputada </w:t>
      </w:r>
      <w:r w:rsidRPr="00AE0CAB">
        <w:rPr>
          <w:rFonts w:ascii="Times New Roman" w:eastAsia="Arial" w:hAnsi="Times New Roman" w:cs="Times New Roman"/>
          <w:b/>
          <w:sz w:val="24"/>
          <w:szCs w:val="24"/>
        </w:rPr>
        <w:t xml:space="preserve">María del Carmen De la Rosa Mendoza </w:t>
      </w:r>
      <w:r w:rsidRPr="00AE0CAB">
        <w:rPr>
          <w:rFonts w:ascii="Times New Roman" w:eastAsia="Arial" w:hAnsi="Times New Roman" w:cs="Times New Roman"/>
          <w:sz w:val="24"/>
          <w:szCs w:val="24"/>
        </w:rPr>
        <w:t xml:space="preserve">integrante del Grupo Parlamentario del Partido de Morena y en su nombre, con fundamento en los artículos 6, 71 fracción III de la Constitución Política de los Estados Unidos Mexicanos; 57 y 61 fracciones I y IV, de la Constitución Política del Estado Libre y Soberano de México; 28 fracción I, 38 fracción I, 79 y 81 de la Ley Orgánica del Poder Legislativo del Estado Libre y Soberano de México; y artículo 68 del Reglamento del Poder Legislativo del Estado Libre y Soberano de México, someto a consideración de esta Honorable Soberanía, la presente </w:t>
      </w:r>
      <w:r w:rsidRPr="00AE0CAB">
        <w:rPr>
          <w:rFonts w:ascii="Times New Roman" w:eastAsia="Arial" w:hAnsi="Times New Roman" w:cs="Times New Roman"/>
          <w:b/>
          <w:sz w:val="24"/>
          <w:szCs w:val="24"/>
        </w:rPr>
        <w:t xml:space="preserve">Iniciativa con proyecto de Decreto por el que se reforman y adicionan diversas disposiciones de la Ley de Igualdad de Trato y Oportunidades entre Mujeres y Hombres del Estado de México con el propósito de fomentar la igualdad de género en la distribución de los trabajos domésticos, así como también implementación de acciones tendientes a eliminar brecha salarial de género, </w:t>
      </w:r>
      <w:r w:rsidRPr="00AE0CAB">
        <w:rPr>
          <w:rFonts w:ascii="Times New Roman" w:eastAsia="Arial" w:hAnsi="Times New Roman" w:cs="Times New Roman"/>
          <w:sz w:val="24"/>
          <w:szCs w:val="24"/>
        </w:rPr>
        <w:t>lo anterior de conformidad con la siguiente:</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EXPOSICIÓN DE MOTIVOS</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los últimos años, México ha tenido avances significativos en la atención a la problemática de la brecha salarial de género</w:t>
      </w:r>
      <w:r w:rsidRPr="00AE0CAB">
        <w:rPr>
          <w:rFonts w:ascii="Times New Roman" w:eastAsia="Arial" w:hAnsi="Times New Roman" w:cs="Times New Roman"/>
          <w:sz w:val="24"/>
          <w:szCs w:val="24"/>
          <w:vertAlign w:val="superscript"/>
        </w:rPr>
        <w:t>1</w:t>
      </w:r>
      <w:r w:rsidRPr="00AE0CAB">
        <w:rPr>
          <w:rFonts w:ascii="Times New Roman" w:eastAsia="Arial" w:hAnsi="Times New Roman" w:cs="Times New Roman"/>
          <w:sz w:val="24"/>
          <w:szCs w:val="24"/>
        </w:rPr>
        <w:t>, especialmente a través de reformas y disposiciones en el marco normativo, reflejando el compromiso del Estado por la igualdad sustantiva en el ámbito laboral, estas reformar son impulsadas desde el Poder Ejecutivo que encabeza la Dra. Claudia Sheinbaum Pardo.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Para contextualizar las diferencias salariales por razones de género es necesario realizar algunas anotaciones al respeto: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En su informe La Lucha por la Igualdad de Género, la Organización para la Cooperación y el Desarrollo Económicos (OCDE) señala que: “cuando las mujeres trabajan, son más propensas a </w:t>
      </w:r>
      <w:r w:rsidRPr="00AE0CAB">
        <w:rPr>
          <w:rFonts w:ascii="Times New Roman" w:eastAsia="Arial" w:hAnsi="Times New Roman" w:cs="Times New Roman"/>
          <w:sz w:val="24"/>
          <w:szCs w:val="24"/>
        </w:rPr>
        <w:lastRenderedPageBreak/>
        <w:t>hacerlo a tiempo parcial, tienen menos probabilidades de avanzar a puestos directivos, son más propensas a enfrentarse a la discriminación y ganan menos que los hombres”.</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vertAlign w:val="superscript"/>
        </w:rPr>
        <w:t>1</w:t>
      </w:r>
      <w:r w:rsidRPr="00AE0CAB">
        <w:rPr>
          <w:rFonts w:ascii="Times New Roman" w:eastAsia="Times New Roman" w:hAnsi="Times New Roman" w:cs="Times New Roman"/>
          <w:sz w:val="24"/>
          <w:szCs w:val="24"/>
        </w:rPr>
        <w:t xml:space="preserve"> Disponible en: </w:t>
      </w:r>
      <w:hyperlink r:id="rId93" w:history="1">
        <w:r w:rsidRPr="00AE0CAB">
          <w:rPr>
            <w:rFonts w:ascii="Times New Roman" w:eastAsia="Times New Roman" w:hAnsi="Times New Roman" w:cs="Times New Roman"/>
            <w:sz w:val="24"/>
            <w:szCs w:val="24"/>
            <w:u w:val="single"/>
          </w:rPr>
          <w:t>https://trabajo.cdmx.gob.mx/storage/app//media/Brecha_Salarial_noviembre_2025.pdf</w:t>
        </w:r>
      </w:hyperlink>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Para las mujeres que trabajan, es clara la desventaja que enfrentan con respecto a los hombres, pues su ingreso anual promedio es 54.5% más bajo, la tercera brecha de género más alta de los 37 países que conforman la OCDE. A esta diferencia entre los ingresos de mujeres y hombres se le conoce como brecha salarial.</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Esta problemática no es exclusiva de una región del mundo, se reproduce en todo el mundo, por ello y con el objetivo de visibilizar esta problemática el 18 de septiembre de cada año se conmemora el Día Internacional de la Igualdad Salarial, proclamado por la Asamblea General de las Naciones Unidas mediante su resolución A/RES/74/399. Se trata de una conmemoración que busca promover medidas en el ámbito internacional para alcanzar la igualdad de remuneración y combatir la discriminación contra las mujeres y las niñas</w:t>
      </w:r>
      <w:r w:rsidRPr="00AE0CAB">
        <w:rPr>
          <w:rFonts w:ascii="Times New Roman" w:eastAsia="Arial" w:hAnsi="Times New Roman" w:cs="Times New Roman"/>
          <w:sz w:val="24"/>
          <w:szCs w:val="24"/>
          <w:vertAlign w:val="superscript"/>
        </w:rPr>
        <w:t>2</w:t>
      </w:r>
      <w:r w:rsidRPr="00AE0CAB">
        <w:rPr>
          <w:rFonts w:ascii="Times New Roman" w:eastAsia="Arial" w:hAnsi="Times New Roman" w:cs="Times New Roman"/>
          <w:sz w:val="24"/>
          <w:szCs w:val="24"/>
        </w:rPr>
        <w:t>.</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ONU ha implementado diversas acciones con el propósito de generar conciencia sobre la importancia de reducir la brecha salarial de género, por ello en la Agenda 2030 para el Desarrollo Sostenible de las Naciones Unidas busca “lograr la igualdad de género y empoderar a todas las mujeres y niñas”, por lo cual es necesario implementar esfuerzos en conjunto para asegurar la plena y efectiva participación de las mujeres, así como la igualdad de oportunidades en cargos de liderazgo en todos los niveles de toma de decisiones en ámbitos políticos, económicos y públicos, así como establecer y fortalecer políticas efectivas y leyes aplicables a fin de promover la igualdad de género y el empoderamiento de las mujeres en todos los niveles.</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Nuestro país no es ajeno a esta realidad, basta con observar los siguientes datos:</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Segoe MDL2 Assets" w:hAnsi="Times New Roman" w:cs="Times New Roman"/>
          <w:sz w:val="24"/>
          <w:szCs w:val="24"/>
        </w:rPr>
        <w:t></w:t>
      </w:r>
      <w:r w:rsidRPr="00AE0CAB">
        <w:rPr>
          <w:rFonts w:ascii="Times New Roman" w:eastAsia="Segoe MDL2 Assets" w:hAnsi="Times New Roman" w:cs="Times New Roman"/>
          <w:sz w:val="24"/>
          <w:szCs w:val="24"/>
        </w:rPr>
        <w:tab/>
      </w:r>
      <w:r w:rsidRPr="00AE0CAB">
        <w:rPr>
          <w:rFonts w:ascii="Times New Roman" w:eastAsia="Arial" w:hAnsi="Times New Roman" w:cs="Times New Roman"/>
          <w:sz w:val="24"/>
          <w:szCs w:val="24"/>
        </w:rPr>
        <w:t>Solo el 45% de las mujeres en edad productiva trabajan, en comparación con el promedio de 78% de los hombres mexicanos, según datos de la OCDE que coinciden con la más reciente encuesta Nacional de Ocupación y Empleo, elaborada por el INEGI en colaboración con la Secretaría del Trabajo y Previsión Social al tercer trimestre de 2018.</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vertAlign w:val="superscript"/>
        </w:rPr>
        <w:t>2</w:t>
      </w:r>
      <w:r w:rsidRPr="00AE0CAB">
        <w:rPr>
          <w:rFonts w:ascii="Times New Roman" w:eastAsia="Times New Roman" w:hAnsi="Times New Roman" w:cs="Times New Roman"/>
          <w:sz w:val="24"/>
          <w:szCs w:val="24"/>
        </w:rPr>
        <w:t xml:space="preserve"> Disponible en: </w:t>
      </w:r>
      <w:hyperlink r:id="rId94" w:history="1">
        <w:r w:rsidRPr="00AE0CAB">
          <w:rPr>
            <w:rFonts w:ascii="Times New Roman" w:eastAsia="Times New Roman" w:hAnsi="Times New Roman" w:cs="Times New Roman"/>
            <w:sz w:val="24"/>
            <w:szCs w:val="24"/>
            <w:u w:val="single"/>
          </w:rPr>
          <w:t>https://www.cndh.org.mx/sites/default/files/documentos/2024-09/FRI_SEP_18-1.pdf</w:t>
        </w:r>
      </w:hyperlink>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551BD2">
      <w:pPr>
        <w:numPr>
          <w:ilvl w:val="0"/>
          <w:numId w:val="1"/>
        </w:numPr>
        <w:spacing w:after="0" w:line="240" w:lineRule="auto"/>
        <w:ind w:left="0" w:firstLine="0"/>
        <w:contextualSpacing/>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estudio Discriminación Estructural y Desigualdad Social, publicado por el Consejo Nacional para Prevenir la Discriminación (CONAPRED) en 2017, revela que, en México, los hombres reciben en promedio un ingreso laboral por hora trabajada 34.2% mayor al de las mujeres. Si bien esta brecha salarial varía por tipo de trabajo e incluso por estado, es evidente que la discriminación de género en el ámbito laboral aún es una realidad en nuestro país</w:t>
      </w:r>
      <w:r w:rsidRPr="00AE0CAB">
        <w:rPr>
          <w:rFonts w:ascii="Times New Roman" w:eastAsia="Arial" w:hAnsi="Times New Roman" w:cs="Times New Roman"/>
          <w:sz w:val="24"/>
          <w:szCs w:val="24"/>
          <w:vertAlign w:val="superscript"/>
        </w:rPr>
        <w:t>3</w:t>
      </w:r>
      <w:r w:rsidRPr="00AE0CAB">
        <w:rPr>
          <w:rFonts w:ascii="Times New Roman" w:eastAsia="Arial" w:hAnsi="Times New Roman" w:cs="Times New Roman"/>
          <w:sz w:val="24"/>
          <w:szCs w:val="24"/>
        </w:rPr>
        <w:t>.</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Segoe MDL2 Assets" w:hAnsi="Times New Roman" w:cs="Times New Roman"/>
          <w:sz w:val="24"/>
          <w:szCs w:val="24"/>
        </w:rPr>
        <w:t></w:t>
      </w:r>
      <w:r w:rsidRPr="00AE0CAB">
        <w:rPr>
          <w:rFonts w:ascii="Times New Roman" w:eastAsia="Segoe MDL2 Assets" w:hAnsi="Times New Roman" w:cs="Times New Roman"/>
          <w:sz w:val="24"/>
          <w:szCs w:val="24"/>
        </w:rPr>
        <w:tab/>
      </w:r>
      <w:r w:rsidRPr="00AE0CAB">
        <w:rPr>
          <w:rFonts w:ascii="Times New Roman" w:eastAsia="Arial" w:hAnsi="Times New Roman" w:cs="Times New Roman"/>
          <w:sz w:val="24"/>
          <w:szCs w:val="24"/>
        </w:rPr>
        <w:t>De acuerdo con la Encuesta Nacional de Ingresos y Gastos de los Hogares Estacional del INEGI (2024), en México, el ingreso promedio trimestral monetario por persona fue de 30 mil 160 pesos, Para los hombres, este monto fue de 36 mil 047 pesos; para las mujeres, de 23 mil 714 pesos, Las cifras representan una brecha entre ambos sexos de 12 mil 333 pesos al trimestre</w:t>
      </w:r>
      <w:r w:rsidRPr="00AE0CAB">
        <w:rPr>
          <w:rFonts w:ascii="Times New Roman" w:eastAsia="Arial" w:hAnsi="Times New Roman" w:cs="Times New Roman"/>
          <w:sz w:val="24"/>
          <w:szCs w:val="24"/>
          <w:vertAlign w:val="superscript"/>
        </w:rPr>
        <w:t>4</w:t>
      </w:r>
      <w:r w:rsidRPr="00AE0CAB">
        <w:rPr>
          <w:rFonts w:ascii="Times New Roman" w:eastAsia="Arial" w:hAnsi="Times New Roman" w:cs="Times New Roman"/>
          <w:sz w:val="24"/>
          <w:szCs w:val="24"/>
        </w:rPr>
        <w:t>.</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Segoe MDL2 Assets" w:hAnsi="Times New Roman" w:cs="Times New Roman"/>
          <w:sz w:val="24"/>
          <w:szCs w:val="24"/>
        </w:rPr>
        <w:lastRenderedPageBreak/>
        <w:t></w:t>
      </w:r>
      <w:r w:rsidRPr="00AE0CAB">
        <w:rPr>
          <w:rFonts w:ascii="Times New Roman" w:eastAsia="Segoe MDL2 Assets" w:hAnsi="Times New Roman" w:cs="Times New Roman"/>
          <w:sz w:val="24"/>
          <w:szCs w:val="24"/>
        </w:rPr>
        <w:tab/>
      </w:r>
      <w:r w:rsidRPr="00AE0CAB">
        <w:rPr>
          <w:rFonts w:ascii="Times New Roman" w:eastAsia="Arial" w:hAnsi="Times New Roman" w:cs="Times New Roman"/>
          <w:sz w:val="24"/>
          <w:szCs w:val="24"/>
        </w:rPr>
        <w:t>Esta misma encuesta arroja que el ingreso promedio trimestral monetario por persona profesional completa o incompleta gana en promedio 51 mil 709 pesos, para los hombres, este monto fue de 61 mil 905 pesos; para las mujeres, de 41 mil 063 pesos, Las cifras representan una brecha entre ambos sexos de 20 mil 842 pesos al trimestre, lo que significa que por la misma preparación profesional sigue existiendo esta brecha salarial entre hombres y mujeres.</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Segoe MDL2 Assets" w:hAnsi="Times New Roman" w:cs="Times New Roman"/>
          <w:sz w:val="24"/>
          <w:szCs w:val="24"/>
        </w:rPr>
        <w:t></w:t>
      </w:r>
      <w:r w:rsidRPr="00AE0CAB">
        <w:rPr>
          <w:rFonts w:ascii="Times New Roman" w:eastAsia="Segoe MDL2 Assets" w:hAnsi="Times New Roman" w:cs="Times New Roman"/>
          <w:sz w:val="24"/>
          <w:szCs w:val="24"/>
        </w:rPr>
        <w:tab/>
      </w:r>
      <w:r w:rsidRPr="00AE0CAB">
        <w:rPr>
          <w:rFonts w:ascii="Times New Roman" w:eastAsia="Arial" w:hAnsi="Times New Roman" w:cs="Times New Roman"/>
          <w:sz w:val="24"/>
          <w:szCs w:val="24"/>
        </w:rPr>
        <w:t>En 2024, los hogares con jefatura femenina reportaron un ingreso 12.4% menor que aquellos con jefatura masculina.</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FUNDAMENTO LEGAL</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Convención Interamericana para Prevenir, Sancionar y Erradicar la Violencia contra la Mujer “Convención Belém do Pará”, señala en su artículo 5 lo siguiente:</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Artículo 5 Toda mujer podrá ejercer libre y plenamente sus derechos civiles, políticos, económicos, sociales y culturales y contará con la total protección de esos derechos consagrados en los instrumentos regionales e internacionales sobre derechos humanos. Los Estados Partes reconocen que la violencia contra la mujer impide y anula el ejercicio</w:t>
      </w: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 esos derechos.</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vertAlign w:val="superscript"/>
        </w:rPr>
        <w:t>3</w:t>
      </w:r>
      <w:r w:rsidRPr="00AE0CAB">
        <w:rPr>
          <w:rFonts w:ascii="Times New Roman" w:eastAsia="Arial" w:hAnsi="Times New Roman" w:cs="Times New Roman"/>
          <w:sz w:val="24"/>
          <w:szCs w:val="24"/>
        </w:rPr>
        <w:t xml:space="preserve"> Disponible en: </w:t>
      </w:r>
      <w:hyperlink r:id="rId95">
        <w:r w:rsidRPr="00AE0CAB">
          <w:rPr>
            <w:rFonts w:ascii="Times New Roman" w:eastAsia="Arial" w:hAnsi="Times New Roman" w:cs="Times New Roman"/>
            <w:sz w:val="24"/>
            <w:szCs w:val="24"/>
            <w:u w:val="single" w:color="0462C1"/>
          </w:rPr>
          <w:t>https://www.gob.mx/conavim/articulos/brecha-salarial-una-de-las-grandes-barreras-para-la-igualdad-de-</w:t>
        </w:r>
      </w:hyperlink>
      <w:hyperlink r:id="rId96">
        <w:r w:rsidRPr="00AE0CAB">
          <w:rPr>
            <w:rFonts w:ascii="Times New Roman" w:eastAsia="Arial" w:hAnsi="Times New Roman" w:cs="Times New Roman"/>
            <w:sz w:val="24"/>
            <w:szCs w:val="24"/>
            <w:u w:val="single" w:color="0462C1"/>
          </w:rPr>
          <w:t>genero?idiom=es</w:t>
        </w:r>
      </w:hyperlink>
    </w:p>
    <w:p w:rsidR="00385AA8" w:rsidRPr="00AE0CAB" w:rsidRDefault="00385AA8" w:rsidP="00385AA8">
      <w:pPr>
        <w:spacing w:after="0" w:line="240" w:lineRule="auto"/>
        <w:jc w:val="both"/>
        <w:rPr>
          <w:rFonts w:ascii="Times New Roman" w:eastAsia="Times New Roman" w:hAnsi="Times New Roman" w:cs="Times New Roman"/>
          <w:sz w:val="24"/>
          <w:szCs w:val="24"/>
        </w:rPr>
      </w:pPr>
      <w:r w:rsidRPr="00AE0CAB">
        <w:rPr>
          <w:rFonts w:ascii="Times New Roman" w:eastAsia="Arial" w:hAnsi="Times New Roman" w:cs="Times New Roman"/>
          <w:sz w:val="24"/>
          <w:szCs w:val="24"/>
          <w:vertAlign w:val="superscript"/>
        </w:rPr>
        <w:t>4</w:t>
      </w:r>
      <w:r w:rsidRPr="00AE0CAB">
        <w:rPr>
          <w:rFonts w:ascii="Times New Roman" w:eastAsia="Arial" w:hAnsi="Times New Roman" w:cs="Times New Roman"/>
          <w:sz w:val="24"/>
          <w:szCs w:val="24"/>
        </w:rPr>
        <w:t xml:space="preserve"> Disponible en: </w:t>
      </w:r>
      <w:hyperlink r:id="rId97">
        <w:r w:rsidRPr="00AE0CAB">
          <w:rPr>
            <w:rFonts w:ascii="Times New Roman" w:eastAsia="Arial" w:hAnsi="Times New Roman" w:cs="Times New Roman"/>
            <w:sz w:val="24"/>
            <w:szCs w:val="24"/>
          </w:rPr>
          <w:t>https://www.inegi.org.mx/contenidos/programas/enigh/nc/2024/doc/enigh2024_ns_presentacion_resultados.pdf</w:t>
        </w:r>
      </w:hyperlink>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convenio sobre igualdad de remuneración, de la Conferencia general de la Organización Internacional del Trabajo establece en su artículo 1 lo siguiente:</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 …</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b) </w:t>
      </w:r>
      <w:r w:rsidRPr="00AE0CAB">
        <w:rPr>
          <w:rFonts w:ascii="Times New Roman" w:eastAsia="Arial" w:hAnsi="Times New Roman" w:cs="Times New Roman"/>
          <w:sz w:val="24"/>
          <w:szCs w:val="24"/>
        </w:rPr>
        <w:t>la expresión igualdad de remuneración entre la mano de obra masculina y la mano de obra femenina por un trabajo de igual valor designa las tasas de remuneración fijadas sin discriminación en cuanto al sexo</w:t>
      </w:r>
      <w:r w:rsidRPr="00AE0CAB">
        <w:rPr>
          <w:rFonts w:ascii="Times New Roman" w:eastAsia="Arial" w:hAnsi="Times New Roman" w:cs="Times New Roman"/>
          <w:sz w:val="24"/>
          <w:szCs w:val="24"/>
          <w:vertAlign w:val="superscript"/>
        </w:rPr>
        <w:t>5</w:t>
      </w:r>
      <w:r w:rsidRPr="00AE0CAB">
        <w:rPr>
          <w:rFonts w:ascii="Times New Roman" w:eastAsia="Arial" w:hAnsi="Times New Roman" w:cs="Times New Roman"/>
          <w:sz w:val="24"/>
          <w:szCs w:val="24"/>
        </w:rPr>
        <w:t>.</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En este sentido </w:t>
      </w:r>
      <w:r w:rsidRPr="00AE0CAB">
        <w:rPr>
          <w:rFonts w:ascii="Times New Roman" w:eastAsia="Arial" w:hAnsi="Times New Roman" w:cs="Times New Roman"/>
          <w:b/>
          <w:sz w:val="24"/>
          <w:szCs w:val="24"/>
        </w:rPr>
        <w:t>la Ley General de Acceso de las Mujeres a una Vida Libre de Violencia e</w:t>
      </w:r>
      <w:r w:rsidRPr="00AE0CAB">
        <w:rPr>
          <w:rFonts w:ascii="Times New Roman" w:eastAsia="Arial" w:hAnsi="Times New Roman" w:cs="Times New Roman"/>
          <w:sz w:val="24"/>
          <w:szCs w:val="24"/>
        </w:rPr>
        <w:t xml:space="preserve">n concordancia con lo establecido en los tratados internacionales garantiza el derecho de las mujeres a una vida libre de violencias. Este conlleva que "ninguna acción u omisión, basada en el género, cause daño o sufrimiento psicológico, físico, patrimonial, </w:t>
      </w:r>
      <w:r w:rsidRPr="00AE0CAB">
        <w:rPr>
          <w:rFonts w:ascii="Times New Roman" w:eastAsia="Arial" w:hAnsi="Times New Roman" w:cs="Times New Roman"/>
          <w:b/>
          <w:sz w:val="24"/>
          <w:szCs w:val="24"/>
        </w:rPr>
        <w:t>económico</w:t>
      </w:r>
      <w:r w:rsidRPr="00AE0CAB">
        <w:rPr>
          <w:rFonts w:ascii="Times New Roman" w:eastAsia="Arial" w:hAnsi="Times New Roman" w:cs="Times New Roman"/>
          <w:sz w:val="24"/>
          <w:szCs w:val="24"/>
        </w:rPr>
        <w:t>, sexual o la muerte tanto en el ámbito privado como en el público"; lo que obliga al Estado realizar acciones para garantizar el derecho a la igualdad y no discriminación hacia las mujeres garantizando que no se realicen actos arbitrarios basados en el género que impidan o limiten el ejercicio de sus derechos.</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Ley Federal del Trabajo señala en su artículo 86 lo siguiente:</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86.- </w:t>
      </w:r>
      <w:r w:rsidRPr="00AE0CAB">
        <w:rPr>
          <w:rFonts w:ascii="Times New Roman" w:eastAsia="Arial" w:hAnsi="Times New Roman" w:cs="Times New Roman"/>
          <w:sz w:val="24"/>
          <w:szCs w:val="24"/>
        </w:rPr>
        <w:t xml:space="preserve">A trabajo igual, desempeñado en puesto, jornada y condiciones de eficiencia también iguales, debe corresponder </w:t>
      </w:r>
      <w:r w:rsidRPr="00AE0CAB">
        <w:rPr>
          <w:rFonts w:ascii="Times New Roman" w:eastAsia="Arial" w:hAnsi="Times New Roman" w:cs="Times New Roman"/>
          <w:b/>
          <w:sz w:val="24"/>
          <w:szCs w:val="24"/>
        </w:rPr>
        <w:t xml:space="preserve">salario igual; </w:t>
      </w:r>
      <w:r w:rsidRPr="00AE0CAB">
        <w:rPr>
          <w:rFonts w:ascii="Times New Roman" w:eastAsia="Arial" w:hAnsi="Times New Roman" w:cs="Times New Roman"/>
          <w:sz w:val="24"/>
          <w:szCs w:val="24"/>
        </w:rPr>
        <w:t xml:space="preserve">en cumplimiento de las obligaciones del Estado de reducir la brecha salarial de género se promoverán acciones para erradicar las prácticas retributivas </w:t>
      </w:r>
      <w:r w:rsidRPr="00AE0CAB">
        <w:rPr>
          <w:rFonts w:ascii="Times New Roman" w:eastAsia="Arial" w:hAnsi="Times New Roman" w:cs="Times New Roman"/>
          <w:sz w:val="24"/>
          <w:szCs w:val="24"/>
        </w:rPr>
        <w:lastRenderedPageBreak/>
        <w:t>desiguales de conformidad con lo dispuesto en la Ley General para la Igualdad entre Mujeres y Hombres.</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México, la reforma</w:t>
      </w:r>
      <w:r w:rsidRPr="00AE0CAB">
        <w:rPr>
          <w:rFonts w:ascii="Times New Roman" w:eastAsia="Arial" w:hAnsi="Times New Roman" w:cs="Times New Roman"/>
          <w:sz w:val="24"/>
          <w:szCs w:val="24"/>
          <w:vertAlign w:val="superscript"/>
        </w:rPr>
        <w:t>6</w:t>
      </w:r>
      <w:r w:rsidRPr="00AE0CAB">
        <w:rPr>
          <w:rFonts w:ascii="Times New Roman" w:eastAsia="Arial" w:hAnsi="Times New Roman" w:cs="Times New Roman"/>
          <w:sz w:val="24"/>
          <w:szCs w:val="24"/>
        </w:rPr>
        <w:t xml:space="preserve"> al Artículo 123 a la Constitución Política de los Estados Unidos Mexicanos, que establece la erradicación de la brecha salarial de género, marca un hito en la historia de las reformas en nuestra Carta Magna a favor de la igualdad salarial, desde su promulgación en 1917.</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Times New Roman" w:hAnsi="Times New Roman" w:cs="Times New Roman"/>
          <w:sz w:val="24"/>
          <w:szCs w:val="24"/>
        </w:rPr>
      </w:pPr>
      <w:r w:rsidRPr="00AE0CAB">
        <w:rPr>
          <w:rFonts w:ascii="Times New Roman" w:eastAsia="Arial" w:hAnsi="Times New Roman" w:cs="Times New Roman"/>
          <w:sz w:val="24"/>
          <w:szCs w:val="24"/>
          <w:vertAlign w:val="superscript"/>
        </w:rPr>
        <w:t>5</w:t>
      </w:r>
      <w:r w:rsidRPr="00AE0CAB">
        <w:rPr>
          <w:rFonts w:ascii="Times New Roman" w:eastAsia="Arial" w:hAnsi="Times New Roman" w:cs="Times New Roman"/>
          <w:sz w:val="24"/>
          <w:szCs w:val="24"/>
        </w:rPr>
        <w:t xml:space="preserve"> Disponible en: </w:t>
      </w:r>
      <w:hyperlink r:id="rId98">
        <w:r w:rsidRPr="00AE0CAB">
          <w:rPr>
            <w:rFonts w:ascii="Times New Roman" w:eastAsia="Arial" w:hAnsi="Times New Roman" w:cs="Times New Roman"/>
            <w:sz w:val="24"/>
            <w:szCs w:val="24"/>
          </w:rPr>
          <w:t>https://www.gob.mx/cms/uploads/attachment/file/356552/C100_Convenio_sobre_Igualdad_de_Remunieracin.pdf</w:t>
        </w:r>
      </w:hyperlink>
    </w:p>
    <w:p w:rsidR="00385AA8" w:rsidRPr="00AE0CAB" w:rsidRDefault="00385AA8" w:rsidP="00385AA8">
      <w:pPr>
        <w:spacing w:after="0" w:line="240" w:lineRule="auto"/>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vertAlign w:val="superscript"/>
        </w:rPr>
        <w:t>6</w:t>
      </w:r>
      <w:r w:rsidRPr="00AE0CAB">
        <w:rPr>
          <w:rFonts w:ascii="Times New Roman" w:eastAsia="Times New Roman" w:hAnsi="Times New Roman" w:cs="Times New Roman"/>
          <w:sz w:val="24"/>
          <w:szCs w:val="24"/>
        </w:rPr>
        <w:t xml:space="preserve"> Disponible en: </w:t>
      </w:r>
      <w:hyperlink r:id="rId99" w:history="1">
        <w:r w:rsidRPr="00AE0CAB">
          <w:rPr>
            <w:rFonts w:ascii="Times New Roman" w:eastAsia="Times New Roman" w:hAnsi="Times New Roman" w:cs="Times New Roman"/>
            <w:sz w:val="24"/>
            <w:szCs w:val="24"/>
            <w:u w:val="single"/>
          </w:rPr>
          <w:t>https://www.diputados.gob.mx/LeyesBiblio/ref/lft/LFT_ref47_16dic24.pdf</w:t>
        </w:r>
      </w:hyperlink>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 igual importancia destaca el Artículo 86 constitucional, ya citado, que establece que a trabajo igual debe corresponder un salario igual, sin distinción de sexo. Dicho artículo, además, especifica a partir de 2024 que las leyes establecerán los mecanismos tendientes a reducir y erradicar la brecha salarial de género.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En el Estado de México está reforma fue propuesta por la Gobernadora la Mtra. Delfina Gómez Álvarez, ya que en Sesión de la </w:t>
      </w:r>
      <w:r w:rsidRPr="00AE0CAB">
        <w:rPr>
          <w:rFonts w:ascii="Times New Roman" w:eastAsia="Arial" w:hAnsi="Times New Roman" w:cs="Times New Roman"/>
          <w:i/>
          <w:sz w:val="24"/>
          <w:szCs w:val="24"/>
        </w:rPr>
        <w:t xml:space="preserve">“LXII” </w:t>
      </w:r>
      <w:r w:rsidRPr="00AE0CAB">
        <w:rPr>
          <w:rFonts w:ascii="Times New Roman" w:eastAsia="Arial" w:hAnsi="Times New Roman" w:cs="Times New Roman"/>
          <w:sz w:val="24"/>
          <w:szCs w:val="24"/>
        </w:rPr>
        <w:t>Legislatura de fecha veintiséis de marzo de dos mil veinticinco la Mtra. Delfina Gómez Álvarez Gobernadora Constitucional del Estado Libre y Soberano de México presentó a esta soberanía Iniciativa de Decreto por el que se reforman y adicionan diversas disposiciones de la Constitución Política del Estado Libre y Soberano de México en materia de igualdad sustantiva y perspectiva de género.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Así con dicha reforma el artículo 5 de la Constitución Local quedo establecido el salario igual:</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i/>
          <w:sz w:val="24"/>
          <w:szCs w:val="24"/>
        </w:rPr>
        <w:t>Toda persona tiene derecho a un trabajo digno. A trabajo igual corresponderá salario igual, sin tener en cuenta sexo, género ni nacionalidad. Las leyes establecerán los mecanismos tendientes a reducir y erradicar la brecha salarial de género.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i/>
          <w:sz w:val="24"/>
          <w:szCs w:val="24"/>
        </w:rPr>
        <w:t>El Estado y los municipios deberán de garantizar el derecho de las mujeres a la igualdad sustantiva. La Ley establecerá los mecanismos tendientes a la erradicación de toda discriminación, violencia o desigualdad contra las mujeres.</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Dentro de la iniciativa se aportan diversas consideraciones, destaco la siguiente que la perspectiva de género se presenta como un eje transversal que debe permear todas las políticas públicas y acciones del Estado, promoviendo un cambio estructural en la manera de interpretar y aplicar la ley. Así lo refleja el Plan de Desarrollo del Estado de México 2023.2029 en su Eje Transversal 1. Igualdad de género, que establece que la institucionalización y la transversalización de la perspectiva de género son procesos interrelacionados que buscan modificar las estructuras y normas existentes para alcanzar una verdadera igualdad sustantiva.</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institucionalización consiste en incorporar la perspectiva de género de manera integral en las estructuras organizativas y políticas de una institución. Por su parte, la transversalización se enfoca en desarrollar políticas públicas que coordinen las capacidades institucionales para abordar de manera integral las desigualdades y diferencias de género, atendiendo problemas de interés común desde una perspectiva holística.</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En este sentido el Gobierno del Estado establece como estrategias clave para lograr la igualdad de género el fortalecimiento del marco normativo institucional, mediante la propuesta de reformas al marco legal estatal y municipal con enfoques de género, interculturalidad e interseccionalidad. También se prioriza la promoción de políticas públicas con perspectiva de género y la prevención y atención integral de la violencia de género en diversos contextos socioculturales, mediante acciones de investigación, prevención y abordaje multidisciplinario y contundente contra la violencia y discriminación de género.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este sentido y dando seguimiento a la labor legislativa impulsada por la señora Gobernadora del Estado Libre y Soberano de México, se plantea la presente iniciativa legislativa la cual tiene como objetivo establecer mecanismo y acciones para reducir la brecha salarial en el marco normativo del Estado de México, tanto en el ámbito público como el privado.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Para una mejor ilustración del alcance de esta propuesta legislativa, se presenta el siguiente cuadro comparativo:</w:t>
      </w:r>
    </w:p>
    <w:p w:rsidR="00385AA8" w:rsidRPr="00AE0CAB" w:rsidRDefault="00385AA8" w:rsidP="00385AA8">
      <w:pPr>
        <w:spacing w:after="0" w:line="240" w:lineRule="auto"/>
        <w:rPr>
          <w:rFonts w:ascii="Times New Roman" w:eastAsia="Times New Roman" w:hAnsi="Times New Roman" w:cs="Times New Roman"/>
          <w:sz w:val="24"/>
          <w:szCs w:val="24"/>
        </w:rPr>
      </w:pPr>
    </w:p>
    <w:tbl>
      <w:tblPr>
        <w:tblW w:w="9316" w:type="dxa"/>
        <w:jc w:val="center"/>
        <w:tblLayout w:type="fixed"/>
        <w:tblCellMar>
          <w:left w:w="0" w:type="dxa"/>
          <w:right w:w="0" w:type="dxa"/>
        </w:tblCellMar>
        <w:tblLook w:val="01E0" w:firstRow="1" w:lastRow="1" w:firstColumn="1" w:lastColumn="1" w:noHBand="0" w:noVBand="0"/>
      </w:tblPr>
      <w:tblGrid>
        <w:gridCol w:w="4638"/>
        <w:gridCol w:w="4678"/>
      </w:tblGrid>
      <w:tr w:rsidR="00385AA8" w:rsidRPr="00AE0CAB" w:rsidTr="00553D83">
        <w:trPr>
          <w:trHeight w:val="20"/>
          <w:jc w:val="center"/>
        </w:trPr>
        <w:tc>
          <w:tcPr>
            <w:tcW w:w="9316" w:type="dxa"/>
            <w:gridSpan w:val="2"/>
            <w:tcBorders>
              <w:top w:val="single" w:sz="5" w:space="0" w:color="000000"/>
              <w:left w:val="single" w:sz="5" w:space="0" w:color="000000"/>
              <w:bottom w:val="single" w:sz="5" w:space="0" w:color="000000"/>
              <w:right w:val="single" w:sz="5" w:space="0" w:color="000000"/>
            </w:tcBorders>
            <w:shd w:val="clear" w:color="auto" w:fill="D9D9D9"/>
          </w:tcPr>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LEY DE IGUALDAD DE TRATO Y OPORTUNIDADES ENTRE MUJERES Y HOMBRES DEL ESTADO DE MÉXICO</w:t>
            </w:r>
          </w:p>
        </w:tc>
      </w:tr>
      <w:tr w:rsidR="00385AA8" w:rsidRPr="00AE0CAB" w:rsidTr="00553D83">
        <w:trPr>
          <w:trHeight w:val="20"/>
          <w:jc w:val="center"/>
        </w:trPr>
        <w:tc>
          <w:tcPr>
            <w:tcW w:w="4638" w:type="dxa"/>
            <w:tcBorders>
              <w:top w:val="single" w:sz="5" w:space="0" w:color="000000"/>
              <w:left w:val="single" w:sz="5" w:space="0" w:color="000000"/>
              <w:bottom w:val="single" w:sz="5" w:space="0" w:color="000000"/>
              <w:right w:val="single" w:sz="5" w:space="0" w:color="000000"/>
            </w:tcBorders>
            <w:shd w:val="clear" w:color="auto" w:fill="D9D9D9"/>
          </w:tcPr>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Texto vigente</w:t>
            </w:r>
          </w:p>
        </w:tc>
        <w:tc>
          <w:tcPr>
            <w:tcW w:w="4678" w:type="dxa"/>
            <w:tcBorders>
              <w:top w:val="single" w:sz="5" w:space="0" w:color="000000"/>
              <w:left w:val="single" w:sz="5" w:space="0" w:color="000000"/>
              <w:bottom w:val="single" w:sz="5" w:space="0" w:color="000000"/>
              <w:right w:val="single" w:sz="5" w:space="0" w:color="000000"/>
            </w:tcBorders>
            <w:shd w:val="clear" w:color="auto" w:fill="D9D9D9"/>
          </w:tcPr>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Texto que se propone</w:t>
            </w:r>
          </w:p>
        </w:tc>
      </w:tr>
      <w:tr w:rsidR="00385AA8" w:rsidRPr="00AE0CAB" w:rsidTr="00553D83">
        <w:trPr>
          <w:trHeight w:val="20"/>
          <w:jc w:val="center"/>
        </w:trPr>
        <w:tc>
          <w:tcPr>
            <w:tcW w:w="463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6.- </w:t>
            </w:r>
            <w:r w:rsidRPr="00AE0CAB">
              <w:rPr>
                <w:rFonts w:ascii="Times New Roman" w:eastAsia="Arial" w:hAnsi="Times New Roman" w:cs="Times New Roman"/>
                <w:sz w:val="24"/>
                <w:szCs w:val="24"/>
              </w:rPr>
              <w:t>Para los efectos de esta Ley se entenderá por:</w:t>
            </w:r>
          </w:p>
          <w:p w:rsidR="00826045" w:rsidRPr="00AE0CAB" w:rsidRDefault="00826045" w:rsidP="00385AA8">
            <w:pPr>
              <w:spacing w:after="0" w:line="240" w:lineRule="auto"/>
              <w:jc w:val="both"/>
              <w:rPr>
                <w:rFonts w:ascii="Times New Roman" w:eastAsia="Arial" w:hAnsi="Times New Roman" w:cs="Times New Roman"/>
                <w:sz w:val="24"/>
                <w:szCs w:val="24"/>
              </w:rPr>
            </w:pPr>
          </w:p>
        </w:tc>
        <w:tc>
          <w:tcPr>
            <w:tcW w:w="467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 6.- …</w:t>
            </w:r>
          </w:p>
        </w:tc>
      </w:tr>
      <w:tr w:rsidR="00385AA8" w:rsidRPr="00AE0CAB" w:rsidTr="00553D83">
        <w:trPr>
          <w:trHeight w:val="20"/>
          <w:jc w:val="center"/>
        </w:trPr>
        <w:tc>
          <w:tcPr>
            <w:tcW w:w="463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I. …</w:t>
            </w:r>
          </w:p>
        </w:tc>
        <w:tc>
          <w:tcPr>
            <w:tcW w:w="467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I. …</w:t>
            </w:r>
          </w:p>
        </w:tc>
      </w:tr>
      <w:tr w:rsidR="00385AA8" w:rsidRPr="00AE0CAB" w:rsidTr="00553D83">
        <w:trPr>
          <w:trHeight w:val="20"/>
          <w:jc w:val="center"/>
        </w:trPr>
        <w:tc>
          <w:tcPr>
            <w:tcW w:w="463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SIN CORRELATIVO</w:t>
            </w:r>
          </w:p>
        </w:tc>
        <w:tc>
          <w:tcPr>
            <w:tcW w:w="467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I BIS. Brecha salarial de género. Es la diferencia de retribución salarial entre mujeres y hombres por razones de género, respecto a la realización de un trabajo remunerado de igual valor;</w:t>
            </w:r>
          </w:p>
        </w:tc>
      </w:tr>
    </w:tbl>
    <w:p w:rsidR="00385AA8" w:rsidRPr="00AE0CAB" w:rsidRDefault="00385AA8" w:rsidP="00385AA8">
      <w:pPr>
        <w:spacing w:after="0" w:line="240" w:lineRule="auto"/>
        <w:rPr>
          <w:rFonts w:ascii="Times New Roman" w:eastAsia="Times New Roman" w:hAnsi="Times New Roman" w:cs="Times New Roman"/>
          <w:sz w:val="24"/>
          <w:szCs w:val="24"/>
        </w:rPr>
      </w:pPr>
    </w:p>
    <w:tbl>
      <w:tblPr>
        <w:tblW w:w="9316" w:type="dxa"/>
        <w:jc w:val="center"/>
        <w:tblLayout w:type="fixed"/>
        <w:tblCellMar>
          <w:left w:w="0" w:type="dxa"/>
          <w:right w:w="0" w:type="dxa"/>
        </w:tblCellMar>
        <w:tblLook w:val="01E0" w:firstRow="1" w:lastRow="1" w:firstColumn="1" w:lastColumn="1" w:noHBand="0" w:noVBand="0"/>
      </w:tblPr>
      <w:tblGrid>
        <w:gridCol w:w="4638"/>
        <w:gridCol w:w="4678"/>
      </w:tblGrid>
      <w:tr w:rsidR="00385AA8" w:rsidRPr="00AE0CAB" w:rsidTr="00826045">
        <w:trPr>
          <w:trHeight w:val="20"/>
          <w:jc w:val="center"/>
        </w:trPr>
        <w:tc>
          <w:tcPr>
            <w:tcW w:w="9316" w:type="dxa"/>
            <w:gridSpan w:val="2"/>
            <w:tcBorders>
              <w:top w:val="single" w:sz="5" w:space="0" w:color="000000"/>
              <w:left w:val="single" w:sz="5" w:space="0" w:color="000000"/>
              <w:bottom w:val="single" w:sz="5" w:space="0" w:color="000000"/>
              <w:right w:val="single" w:sz="5" w:space="0" w:color="000000"/>
            </w:tcBorders>
            <w:shd w:val="clear" w:color="auto" w:fill="D9D9D9"/>
          </w:tcPr>
          <w:p w:rsidR="00385AA8" w:rsidRPr="00AE0CAB" w:rsidRDefault="00385AA8" w:rsidP="00385AA8">
            <w:pPr>
              <w:spacing w:after="0" w:line="240" w:lineRule="auto"/>
              <w:jc w:val="center"/>
              <w:rPr>
                <w:rFonts w:ascii="Times New Roman" w:eastAsia="Arial" w:hAnsi="Times New Roman" w:cs="Times New Roman"/>
                <w:b/>
                <w:sz w:val="24"/>
                <w:szCs w:val="24"/>
              </w:rPr>
            </w:pPr>
            <w:r w:rsidRPr="00AE0CAB">
              <w:rPr>
                <w:rFonts w:ascii="Times New Roman" w:eastAsia="Arial" w:hAnsi="Times New Roman" w:cs="Times New Roman"/>
                <w:b/>
                <w:sz w:val="24"/>
                <w:szCs w:val="24"/>
              </w:rPr>
              <w:t>LEY DE IGUALDAD DE TRATO Y OPORTUNIDADES ENTRE MUJERES Y HOMBRES DEL ESTADO DE MÉXICO</w:t>
            </w:r>
          </w:p>
          <w:p w:rsidR="00826045" w:rsidRPr="00AE0CAB" w:rsidRDefault="00826045" w:rsidP="00385AA8">
            <w:pPr>
              <w:spacing w:after="0" w:line="240" w:lineRule="auto"/>
              <w:jc w:val="center"/>
              <w:rPr>
                <w:rFonts w:ascii="Times New Roman" w:eastAsia="Arial" w:hAnsi="Times New Roman" w:cs="Times New Roman"/>
                <w:sz w:val="24"/>
                <w:szCs w:val="24"/>
              </w:rPr>
            </w:pPr>
          </w:p>
        </w:tc>
      </w:tr>
      <w:tr w:rsidR="00385AA8" w:rsidRPr="00AE0CAB" w:rsidTr="00826045">
        <w:trPr>
          <w:trHeight w:val="20"/>
          <w:jc w:val="center"/>
        </w:trPr>
        <w:tc>
          <w:tcPr>
            <w:tcW w:w="4638" w:type="dxa"/>
            <w:tcBorders>
              <w:top w:val="single" w:sz="5" w:space="0" w:color="000000"/>
              <w:left w:val="single" w:sz="5" w:space="0" w:color="000000"/>
              <w:bottom w:val="single" w:sz="5" w:space="0" w:color="000000"/>
              <w:right w:val="single" w:sz="5" w:space="0" w:color="000000"/>
            </w:tcBorders>
            <w:shd w:val="clear" w:color="auto" w:fill="D9D9D9"/>
          </w:tcPr>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Texto vigente</w:t>
            </w:r>
          </w:p>
        </w:tc>
        <w:tc>
          <w:tcPr>
            <w:tcW w:w="4678" w:type="dxa"/>
            <w:tcBorders>
              <w:top w:val="single" w:sz="5" w:space="0" w:color="000000"/>
              <w:left w:val="single" w:sz="5" w:space="0" w:color="000000"/>
              <w:bottom w:val="single" w:sz="5" w:space="0" w:color="000000"/>
              <w:right w:val="single" w:sz="5" w:space="0" w:color="000000"/>
            </w:tcBorders>
            <w:shd w:val="clear" w:color="auto" w:fill="D9D9D9"/>
          </w:tcPr>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Texto que se propone</w:t>
            </w:r>
          </w:p>
        </w:tc>
      </w:tr>
      <w:tr w:rsidR="00385AA8" w:rsidRPr="00AE0CAB" w:rsidTr="00826045">
        <w:trPr>
          <w:trHeight w:val="20"/>
          <w:jc w:val="center"/>
        </w:trPr>
        <w:tc>
          <w:tcPr>
            <w:tcW w:w="463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 xml:space="preserve">II. </w:t>
            </w:r>
            <w:r w:rsidRPr="00AE0CAB">
              <w:rPr>
                <w:rFonts w:ascii="Times New Roman" w:eastAsia="Arial" w:hAnsi="Times New Roman" w:cs="Times New Roman"/>
                <w:sz w:val="24"/>
                <w:szCs w:val="24"/>
              </w:rPr>
              <w:t xml:space="preserve">al </w:t>
            </w:r>
            <w:r w:rsidRPr="00AE0CAB">
              <w:rPr>
                <w:rFonts w:ascii="Times New Roman" w:eastAsia="Arial" w:hAnsi="Times New Roman" w:cs="Times New Roman"/>
                <w:b/>
                <w:sz w:val="24"/>
                <w:szCs w:val="24"/>
              </w:rPr>
              <w:t>XIX. …</w:t>
            </w:r>
          </w:p>
          <w:p w:rsidR="00385AA8" w:rsidRPr="00AE0CAB" w:rsidRDefault="00385AA8" w:rsidP="00385AA8">
            <w:pPr>
              <w:spacing w:after="0" w:line="240" w:lineRule="auto"/>
              <w:rPr>
                <w:rFonts w:ascii="Times New Roman" w:eastAsia="Arial" w:hAnsi="Times New Roman" w:cs="Times New Roman"/>
                <w:sz w:val="24"/>
                <w:szCs w:val="24"/>
              </w:rPr>
            </w:pPr>
          </w:p>
        </w:tc>
        <w:tc>
          <w:tcPr>
            <w:tcW w:w="467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 xml:space="preserve">II. </w:t>
            </w:r>
            <w:r w:rsidRPr="00AE0CAB">
              <w:rPr>
                <w:rFonts w:ascii="Times New Roman" w:eastAsia="Arial" w:hAnsi="Times New Roman" w:cs="Times New Roman"/>
                <w:sz w:val="24"/>
                <w:szCs w:val="24"/>
              </w:rPr>
              <w:t xml:space="preserve">al </w:t>
            </w:r>
            <w:r w:rsidRPr="00AE0CAB">
              <w:rPr>
                <w:rFonts w:ascii="Times New Roman" w:eastAsia="Arial" w:hAnsi="Times New Roman" w:cs="Times New Roman"/>
                <w:b/>
                <w:sz w:val="24"/>
                <w:szCs w:val="24"/>
              </w:rPr>
              <w:t>XIX. …</w:t>
            </w:r>
          </w:p>
          <w:p w:rsidR="00385AA8" w:rsidRPr="00AE0CAB" w:rsidRDefault="00385AA8" w:rsidP="00385AA8">
            <w:pPr>
              <w:spacing w:after="0" w:line="240" w:lineRule="auto"/>
              <w:rPr>
                <w:rFonts w:ascii="Times New Roman" w:eastAsia="Arial" w:hAnsi="Times New Roman" w:cs="Times New Roman"/>
                <w:sz w:val="24"/>
                <w:szCs w:val="24"/>
              </w:rPr>
            </w:pPr>
          </w:p>
        </w:tc>
      </w:tr>
      <w:tr w:rsidR="00385AA8" w:rsidRPr="00AE0CAB" w:rsidTr="00826045">
        <w:trPr>
          <w:trHeight w:val="20"/>
          <w:jc w:val="center"/>
        </w:trPr>
        <w:tc>
          <w:tcPr>
            <w:tcW w:w="4638" w:type="dxa"/>
            <w:tcBorders>
              <w:top w:val="single" w:sz="5" w:space="0" w:color="000000"/>
              <w:left w:val="single" w:sz="5" w:space="0" w:color="000000"/>
              <w:right w:val="single" w:sz="5" w:space="0" w:color="000000"/>
            </w:tcBorders>
          </w:tcPr>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7.- </w:t>
            </w:r>
            <w:r w:rsidRPr="00AE0CAB">
              <w:rPr>
                <w:rFonts w:ascii="Times New Roman" w:eastAsia="Arial" w:hAnsi="Times New Roman" w:cs="Times New Roman"/>
                <w:sz w:val="24"/>
                <w:szCs w:val="24"/>
              </w:rPr>
              <w:t>Serán objetivos de la Política Estatal en materia de igualdad de trato y oportunidades entre mujeres y hombres, que desarrollen las autoridades estatales y    municipales, los siguientes:</w:t>
            </w:r>
          </w:p>
        </w:tc>
        <w:tc>
          <w:tcPr>
            <w:tcW w:w="4678" w:type="dxa"/>
            <w:tcBorders>
              <w:top w:val="single" w:sz="5" w:space="0" w:color="000000"/>
              <w:left w:val="single" w:sz="5" w:space="0" w:color="000000"/>
              <w:right w:val="single" w:sz="5" w:space="0" w:color="000000"/>
            </w:tcBorders>
          </w:tcPr>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 7.- …</w:t>
            </w:r>
          </w:p>
        </w:tc>
      </w:tr>
      <w:tr w:rsidR="00385AA8" w:rsidRPr="00AE0CAB" w:rsidTr="00826045">
        <w:trPr>
          <w:trHeight w:val="20"/>
          <w:jc w:val="center"/>
        </w:trPr>
        <w:tc>
          <w:tcPr>
            <w:tcW w:w="4638" w:type="dxa"/>
            <w:tcBorders>
              <w:top w:val="single" w:sz="5" w:space="0" w:color="000000"/>
              <w:left w:val="single" w:sz="5" w:space="0" w:color="000000"/>
              <w:bottom w:val="single" w:sz="5" w:space="0" w:color="000000"/>
              <w:right w:val="single" w:sz="5" w:space="0" w:color="000000"/>
            </w:tcBorders>
          </w:tcPr>
          <w:p w:rsidR="00385AA8" w:rsidRPr="00AE0CAB" w:rsidRDefault="00385AA8" w:rsidP="00551BD2">
            <w:pPr>
              <w:numPr>
                <w:ilvl w:val="0"/>
                <w:numId w:val="2"/>
              </w:numPr>
              <w:spacing w:after="0" w:line="240" w:lineRule="auto"/>
              <w:contextualSpacing/>
              <w:rPr>
                <w:rFonts w:ascii="Times New Roman" w:eastAsia="Arial" w:hAnsi="Times New Roman" w:cs="Times New Roman"/>
                <w:b/>
                <w:sz w:val="24"/>
                <w:szCs w:val="24"/>
              </w:rPr>
            </w:pPr>
            <w:r w:rsidRPr="00AE0CAB">
              <w:rPr>
                <w:rFonts w:ascii="Times New Roman" w:eastAsia="Arial" w:hAnsi="Times New Roman" w:cs="Times New Roman"/>
                <w:sz w:val="24"/>
                <w:szCs w:val="24"/>
              </w:rPr>
              <w:t xml:space="preserve">a la </w:t>
            </w:r>
            <w:r w:rsidRPr="00AE0CAB">
              <w:rPr>
                <w:rFonts w:ascii="Times New Roman" w:eastAsia="Arial" w:hAnsi="Times New Roman" w:cs="Times New Roman"/>
                <w:b/>
                <w:sz w:val="24"/>
                <w:szCs w:val="24"/>
              </w:rPr>
              <w:t>IX. …</w:t>
            </w:r>
          </w:p>
          <w:p w:rsidR="00385AA8" w:rsidRPr="00AE0CAB" w:rsidRDefault="00385AA8" w:rsidP="00EC6E55">
            <w:pPr>
              <w:spacing w:after="0" w:line="240" w:lineRule="auto"/>
              <w:ind w:left="1080"/>
              <w:contextualSpacing/>
              <w:rPr>
                <w:rFonts w:ascii="Times New Roman" w:eastAsia="Arial" w:hAnsi="Times New Roman" w:cs="Times New Roman"/>
                <w:sz w:val="24"/>
                <w:szCs w:val="24"/>
              </w:rPr>
            </w:pPr>
          </w:p>
        </w:tc>
        <w:tc>
          <w:tcPr>
            <w:tcW w:w="467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 xml:space="preserve">I. </w:t>
            </w:r>
            <w:r w:rsidRPr="00AE0CAB">
              <w:rPr>
                <w:rFonts w:ascii="Times New Roman" w:eastAsia="Arial" w:hAnsi="Times New Roman" w:cs="Times New Roman"/>
                <w:sz w:val="24"/>
                <w:szCs w:val="24"/>
              </w:rPr>
              <w:t xml:space="preserve">a la </w:t>
            </w:r>
            <w:r w:rsidRPr="00AE0CAB">
              <w:rPr>
                <w:rFonts w:ascii="Times New Roman" w:eastAsia="Arial" w:hAnsi="Times New Roman" w:cs="Times New Roman"/>
                <w:b/>
                <w:sz w:val="24"/>
                <w:szCs w:val="24"/>
              </w:rPr>
              <w:t>IX. …</w:t>
            </w:r>
          </w:p>
          <w:p w:rsidR="00385AA8" w:rsidRPr="00AE0CAB" w:rsidRDefault="00385AA8" w:rsidP="00385AA8">
            <w:pPr>
              <w:spacing w:after="0" w:line="240" w:lineRule="auto"/>
              <w:rPr>
                <w:rFonts w:ascii="Times New Roman" w:eastAsia="Arial" w:hAnsi="Times New Roman" w:cs="Times New Roman"/>
                <w:sz w:val="24"/>
                <w:szCs w:val="24"/>
              </w:rPr>
            </w:pPr>
          </w:p>
        </w:tc>
      </w:tr>
      <w:tr w:rsidR="00385AA8" w:rsidRPr="00AE0CAB" w:rsidTr="00826045">
        <w:trPr>
          <w:trHeight w:val="20"/>
          <w:jc w:val="center"/>
        </w:trPr>
        <w:tc>
          <w:tcPr>
            <w:tcW w:w="4638" w:type="dxa"/>
            <w:tcBorders>
              <w:top w:val="single" w:sz="5" w:space="0" w:color="000000"/>
              <w:left w:val="single" w:sz="5" w:space="0" w:color="000000"/>
              <w:right w:val="single" w:sz="5" w:space="0" w:color="000000"/>
            </w:tcBorders>
          </w:tcPr>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X. </w:t>
            </w:r>
            <w:r w:rsidRPr="00AE0CAB">
              <w:rPr>
                <w:rFonts w:ascii="Times New Roman" w:eastAsia="Arial" w:hAnsi="Times New Roman" w:cs="Times New Roman"/>
                <w:sz w:val="24"/>
                <w:szCs w:val="24"/>
              </w:rPr>
              <w:t>Los demás que sean necesarios para el cumplimiento de su objeto.</w:t>
            </w:r>
          </w:p>
        </w:tc>
        <w:tc>
          <w:tcPr>
            <w:tcW w:w="4678" w:type="dxa"/>
            <w:tcBorders>
              <w:top w:val="single" w:sz="5" w:space="0" w:color="000000"/>
              <w:left w:val="single" w:sz="5" w:space="0" w:color="000000"/>
              <w:right w:val="single" w:sz="5" w:space="0" w:color="000000"/>
            </w:tcBorders>
          </w:tcPr>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X. Implementar medidas tendientes a erradicar en todos los ámbitos de la vida profesional y laboral la brecha salarial de género;</w:t>
            </w:r>
          </w:p>
        </w:tc>
      </w:tr>
      <w:tr w:rsidR="00385AA8" w:rsidRPr="00AE0CAB" w:rsidTr="00826045">
        <w:trPr>
          <w:trHeight w:val="20"/>
          <w:jc w:val="center"/>
        </w:trPr>
        <w:tc>
          <w:tcPr>
            <w:tcW w:w="463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SIN CORRELATIVO</w:t>
            </w:r>
          </w:p>
        </w:tc>
        <w:tc>
          <w:tcPr>
            <w:tcW w:w="467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XI. Promover la igualdad de género en la distribución de los trabajos domésticos no asalariados;</w:t>
            </w:r>
          </w:p>
        </w:tc>
      </w:tr>
      <w:tr w:rsidR="00385AA8" w:rsidRPr="00AE0CAB" w:rsidTr="00826045">
        <w:trPr>
          <w:trHeight w:val="20"/>
          <w:jc w:val="center"/>
        </w:trPr>
        <w:tc>
          <w:tcPr>
            <w:tcW w:w="463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SIN CORRELATIVO</w:t>
            </w:r>
          </w:p>
        </w:tc>
        <w:tc>
          <w:tcPr>
            <w:tcW w:w="467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XII. Los demás que sean necesarios para el cumplimiento de su objeto.</w:t>
            </w:r>
          </w:p>
        </w:tc>
      </w:tr>
      <w:tr w:rsidR="00385AA8" w:rsidRPr="00AE0CAB" w:rsidTr="00826045">
        <w:trPr>
          <w:trHeight w:val="20"/>
          <w:jc w:val="center"/>
        </w:trPr>
        <w:tc>
          <w:tcPr>
            <w:tcW w:w="463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30.- </w:t>
            </w:r>
            <w:r w:rsidRPr="00AE0CAB">
              <w:rPr>
                <w:rFonts w:ascii="Times New Roman" w:eastAsia="Arial" w:hAnsi="Times New Roman" w:cs="Times New Roman"/>
                <w:sz w:val="24"/>
                <w:szCs w:val="24"/>
              </w:rPr>
              <w:t>Las autoridades estatales y municipales en el ámbito de sus respectivas competencias, deberán garantizar la igualdad de trato y oportunidades entre mujeres y hombres en la vida económica y laboral, vigilando que las</w:t>
            </w: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personas físicas y jurídicas colectivas, generadoras de empleo den cumplimiento a la Ley, para lo cual adoptarán medidas dirigidas a erradicar cualquier tipo de discriminación laboral entre mujeres y hombres, desarrollando las siguientes acciones:</w:t>
            </w:r>
          </w:p>
        </w:tc>
        <w:tc>
          <w:tcPr>
            <w:tcW w:w="467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 30.- ...</w:t>
            </w:r>
          </w:p>
        </w:tc>
      </w:tr>
      <w:tr w:rsidR="00385AA8" w:rsidRPr="00AE0CAB" w:rsidTr="00826045">
        <w:trPr>
          <w:trHeight w:val="20"/>
          <w:jc w:val="center"/>
        </w:trPr>
        <w:tc>
          <w:tcPr>
            <w:tcW w:w="463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 xml:space="preserve">I. </w:t>
            </w:r>
            <w:r w:rsidRPr="00AE0CAB">
              <w:rPr>
                <w:rFonts w:ascii="Times New Roman" w:eastAsia="Arial" w:hAnsi="Times New Roman" w:cs="Times New Roman"/>
                <w:sz w:val="24"/>
                <w:szCs w:val="24"/>
              </w:rPr>
              <w:t xml:space="preserve">a la </w:t>
            </w:r>
            <w:r w:rsidRPr="00AE0CAB">
              <w:rPr>
                <w:rFonts w:ascii="Times New Roman" w:eastAsia="Arial" w:hAnsi="Times New Roman" w:cs="Times New Roman"/>
                <w:b/>
                <w:sz w:val="24"/>
                <w:szCs w:val="24"/>
              </w:rPr>
              <w:t>XVII. …</w:t>
            </w:r>
          </w:p>
        </w:tc>
        <w:tc>
          <w:tcPr>
            <w:tcW w:w="4678" w:type="dxa"/>
            <w:tcBorders>
              <w:top w:val="single" w:sz="5" w:space="0" w:color="000000"/>
              <w:left w:val="single" w:sz="5" w:space="0" w:color="000000"/>
              <w:bottom w:val="single" w:sz="5" w:space="0" w:color="000000"/>
              <w:right w:val="single" w:sz="5" w:space="0" w:color="000000"/>
            </w:tcBorders>
          </w:tcPr>
          <w:p w:rsidR="00385AA8" w:rsidRPr="00AE0CAB" w:rsidRDefault="00385AA8" w:rsidP="00385AA8">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 xml:space="preserve">I. </w:t>
            </w:r>
            <w:r w:rsidRPr="00AE0CAB">
              <w:rPr>
                <w:rFonts w:ascii="Times New Roman" w:eastAsia="Arial" w:hAnsi="Times New Roman" w:cs="Times New Roman"/>
                <w:sz w:val="24"/>
                <w:szCs w:val="24"/>
              </w:rPr>
              <w:t xml:space="preserve">a la </w:t>
            </w:r>
            <w:r w:rsidRPr="00AE0CAB">
              <w:rPr>
                <w:rFonts w:ascii="Times New Roman" w:eastAsia="Arial" w:hAnsi="Times New Roman" w:cs="Times New Roman"/>
                <w:b/>
                <w:sz w:val="24"/>
                <w:szCs w:val="24"/>
              </w:rPr>
              <w:t>XVII. …</w:t>
            </w:r>
          </w:p>
        </w:tc>
      </w:tr>
      <w:tr w:rsidR="00385AA8" w:rsidRPr="00AE0CAB" w:rsidTr="00826045">
        <w:trPr>
          <w:trHeight w:val="20"/>
          <w:jc w:val="center"/>
        </w:trPr>
        <w:tc>
          <w:tcPr>
            <w:tcW w:w="4638" w:type="dxa"/>
            <w:tcBorders>
              <w:top w:val="single" w:sz="5" w:space="0" w:color="000000"/>
              <w:left w:val="single" w:sz="5" w:space="0" w:color="000000"/>
              <w:right w:val="single" w:sz="5" w:space="0" w:color="000000"/>
            </w:tcBorders>
          </w:tcPr>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SIN CORRELATIVO</w:t>
            </w:r>
          </w:p>
        </w:tc>
        <w:tc>
          <w:tcPr>
            <w:tcW w:w="4678" w:type="dxa"/>
            <w:tcBorders>
              <w:top w:val="single" w:sz="5" w:space="0" w:color="000000"/>
              <w:left w:val="single" w:sz="5" w:space="0" w:color="000000"/>
              <w:right w:val="single" w:sz="5" w:space="0" w:color="000000"/>
            </w:tcBorders>
          </w:tcPr>
          <w:p w:rsidR="00385AA8" w:rsidRPr="00AE0CAB" w:rsidRDefault="00385AA8" w:rsidP="00385AA8">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XVIII. Fomentar en el ámbito de su competencia medidas tendientes a eliminar la brecha salarial de género en los sectores público, privado y social.</w:t>
            </w:r>
          </w:p>
        </w:tc>
      </w:tr>
    </w:tbl>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lo anteriormente expuesto, fundamentado y motivado se somete a la consideración de esta H. Soberanía, la siguiente Iniciativa con Proyecto de Decreto.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A T E N T A M E N T E</w:t>
      </w:r>
    </w:p>
    <w:p w:rsidR="00385AA8" w:rsidRPr="00AE0CAB" w:rsidRDefault="00385AA8" w:rsidP="00385AA8">
      <w:pPr>
        <w:spacing w:after="0" w:line="240" w:lineRule="auto"/>
        <w:jc w:val="center"/>
        <w:rPr>
          <w:rFonts w:ascii="Times New Roman" w:eastAsia="Arial" w:hAnsi="Times New Roman" w:cs="Times New Roman"/>
          <w:b/>
          <w:sz w:val="24"/>
          <w:szCs w:val="24"/>
        </w:rPr>
      </w:pPr>
      <w:r w:rsidRPr="00AE0CAB">
        <w:rPr>
          <w:rFonts w:ascii="Times New Roman" w:eastAsia="Arial" w:hAnsi="Times New Roman" w:cs="Times New Roman"/>
          <w:b/>
          <w:sz w:val="24"/>
          <w:szCs w:val="24"/>
        </w:rPr>
        <w:t>DIPUTADA MARÍA DEL CARMEN DE LA ROSA MENDOZA</w:t>
      </w:r>
    </w:p>
    <w:p w:rsidR="00385AA8" w:rsidRPr="00AE0CAB" w:rsidRDefault="00385AA8" w:rsidP="00385AA8">
      <w:pPr>
        <w:spacing w:after="0" w:line="240" w:lineRule="auto"/>
        <w:jc w:val="center"/>
        <w:rPr>
          <w:rFonts w:ascii="Times New Roman" w:eastAsia="Times New Roman" w:hAnsi="Times New Roman" w:cs="Times New Roman"/>
          <w:sz w:val="24"/>
          <w:szCs w:val="24"/>
        </w:rPr>
      </w:pPr>
      <w:r w:rsidRPr="00AE0CAB">
        <w:rPr>
          <w:rFonts w:ascii="Times New Roman" w:eastAsia="Arial" w:hAnsi="Times New Roman" w:cs="Times New Roman"/>
          <w:b/>
          <w:sz w:val="24"/>
          <w:szCs w:val="24"/>
        </w:rPr>
        <w:t>PRESENTANTE</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PROYECTO DE DECRETO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DECRETO NÚMERO </w:t>
      </w:r>
      <w:r w:rsidRPr="00AE0CAB">
        <w:rPr>
          <w:rFonts w:ascii="Times New Roman" w:eastAsia="Arial" w:hAnsi="Times New Roman" w:cs="Times New Roman"/>
          <w:b/>
          <w:sz w:val="24"/>
          <w:szCs w:val="24"/>
          <w:u w:val="thick" w:color="000000"/>
        </w:rPr>
        <w:t xml:space="preserve"> </w:t>
      </w:r>
      <w:r w:rsidRPr="00AE0CAB">
        <w:rPr>
          <w:rFonts w:ascii="Times New Roman" w:eastAsia="Arial" w:hAnsi="Times New Roman" w:cs="Times New Roman"/>
          <w:b/>
          <w:sz w:val="24"/>
          <w:szCs w:val="24"/>
          <w:u w:val="thick" w:color="000000"/>
        </w:rPr>
        <w:tab/>
      </w:r>
    </w:p>
    <w:p w:rsidR="00385AA8" w:rsidRPr="00AE0CAB" w:rsidRDefault="00385AA8" w:rsidP="00385AA8">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EL H. CONGRESO DEL ESTADO LIBRE Y SOBERANO DE MÉXICO</w:t>
      </w: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H. </w:t>
      </w:r>
      <w:r w:rsidRPr="00AE0CAB">
        <w:rPr>
          <w:rFonts w:ascii="Times New Roman" w:eastAsia="Arial" w:hAnsi="Times New Roman" w:cs="Times New Roman"/>
          <w:b/>
          <w:i/>
          <w:sz w:val="24"/>
          <w:szCs w:val="24"/>
        </w:rPr>
        <w:t xml:space="preserve">“LXII” </w:t>
      </w:r>
      <w:r w:rsidRPr="00AE0CAB">
        <w:rPr>
          <w:rFonts w:ascii="Times New Roman" w:eastAsia="Arial" w:hAnsi="Times New Roman" w:cs="Times New Roman"/>
          <w:b/>
          <w:sz w:val="24"/>
          <w:szCs w:val="24"/>
        </w:rPr>
        <w:t>LEGISLATURA</w:t>
      </w: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DECRETA:</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ÚNICO: </w:t>
      </w:r>
      <w:r w:rsidRPr="00AE0CAB">
        <w:rPr>
          <w:rFonts w:ascii="Times New Roman" w:eastAsia="Arial" w:hAnsi="Times New Roman" w:cs="Times New Roman"/>
          <w:sz w:val="24"/>
          <w:szCs w:val="24"/>
        </w:rPr>
        <w:t>Se reforma la fracción X del artículo 7 y se adiciona la fracción I BIS del artículo 6; se adicionan las fracciones XI y XII al artículo 7; y se adiciona la fracción XVIII al artículo 30 todas de la Ley de Igualdad de Trato y Oportunidades entre Mujeres y Hombres del Estado de México, para quedar de la siguiente manera:</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 6.- …</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I. …</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lastRenderedPageBreak/>
        <w:t>I BIS. Brecha salarial de género. Es la diferencia de retribución salarial entre mujeres y hombres por razones de género, respecto a la realización de un trabajo remunerado de igual valor;</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 xml:space="preserve">I. </w:t>
      </w:r>
      <w:r w:rsidRPr="00AE0CAB">
        <w:rPr>
          <w:rFonts w:ascii="Times New Roman" w:eastAsia="Arial" w:hAnsi="Times New Roman" w:cs="Times New Roman"/>
          <w:sz w:val="24"/>
          <w:szCs w:val="24"/>
        </w:rPr>
        <w:t xml:space="preserve">a la </w:t>
      </w:r>
      <w:r w:rsidRPr="00AE0CAB">
        <w:rPr>
          <w:rFonts w:ascii="Times New Roman" w:eastAsia="Arial" w:hAnsi="Times New Roman" w:cs="Times New Roman"/>
          <w:b/>
          <w:sz w:val="24"/>
          <w:szCs w:val="24"/>
        </w:rPr>
        <w:t xml:space="preserve">IX. … </w:t>
      </w:r>
    </w:p>
    <w:p w:rsidR="00385AA8" w:rsidRPr="00AE0CAB" w:rsidRDefault="00385AA8" w:rsidP="00385AA8">
      <w:pPr>
        <w:spacing w:after="0" w:line="240" w:lineRule="auto"/>
        <w:rPr>
          <w:rFonts w:ascii="Times New Roman" w:eastAsia="Arial" w:hAnsi="Times New Roman" w:cs="Times New Roman"/>
          <w:b/>
          <w:sz w:val="24"/>
          <w:szCs w:val="24"/>
        </w:rPr>
      </w:pPr>
    </w:p>
    <w:p w:rsidR="00385AA8" w:rsidRPr="00AE0CAB" w:rsidRDefault="00385AA8" w:rsidP="00385AA8">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 xml:space="preserve">Artículo 7.- … </w:t>
      </w:r>
    </w:p>
    <w:p w:rsidR="00385AA8" w:rsidRPr="00AE0CAB" w:rsidRDefault="00385AA8" w:rsidP="00385AA8">
      <w:pPr>
        <w:spacing w:after="0" w:line="240" w:lineRule="auto"/>
        <w:rPr>
          <w:rFonts w:ascii="Times New Roman" w:eastAsia="Arial" w:hAnsi="Times New Roman" w:cs="Times New Roman"/>
          <w:b/>
          <w:sz w:val="24"/>
          <w:szCs w:val="24"/>
        </w:rPr>
      </w:pP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I. </w:t>
      </w:r>
      <w:r w:rsidRPr="00AE0CAB">
        <w:rPr>
          <w:rFonts w:ascii="Times New Roman" w:eastAsia="Arial" w:hAnsi="Times New Roman" w:cs="Times New Roman"/>
          <w:sz w:val="24"/>
          <w:szCs w:val="24"/>
        </w:rPr>
        <w:t xml:space="preserve">a la </w:t>
      </w:r>
      <w:r w:rsidRPr="00AE0CAB">
        <w:rPr>
          <w:rFonts w:ascii="Times New Roman" w:eastAsia="Arial" w:hAnsi="Times New Roman" w:cs="Times New Roman"/>
          <w:b/>
          <w:sz w:val="24"/>
          <w:szCs w:val="24"/>
        </w:rPr>
        <w:t>IX. …</w:t>
      </w:r>
    </w:p>
    <w:p w:rsidR="00385AA8" w:rsidRPr="00AE0CAB" w:rsidRDefault="00385AA8" w:rsidP="00385AA8">
      <w:pPr>
        <w:spacing w:after="0" w:line="240" w:lineRule="auto"/>
        <w:rPr>
          <w:rFonts w:ascii="Times New Roman" w:eastAsia="Arial" w:hAnsi="Times New Roman" w:cs="Times New Roman"/>
          <w:b/>
          <w:sz w:val="24"/>
          <w:szCs w:val="24"/>
        </w:rPr>
      </w:pP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X. Implementar medidas tendientes a erradicar en todos los ámbitos de la vida profesional y laboral la brecha salarial de género;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XI. Promover la igualdad de género en la distribución de los trabajos domésticos no asalariados;</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both"/>
        <w:rPr>
          <w:rFonts w:ascii="Times New Roman" w:eastAsia="Times New Roman" w:hAnsi="Times New Roman" w:cs="Times New Roman"/>
          <w:sz w:val="24"/>
          <w:szCs w:val="24"/>
        </w:rPr>
      </w:pPr>
      <w:r w:rsidRPr="00AE0CAB">
        <w:rPr>
          <w:rFonts w:ascii="Times New Roman" w:eastAsia="Arial" w:hAnsi="Times New Roman" w:cs="Times New Roman"/>
          <w:b/>
          <w:sz w:val="24"/>
          <w:szCs w:val="24"/>
        </w:rPr>
        <w:t>XII. Los demás que sean necesarios para el cumplimiento de su objeto.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 xml:space="preserve">Artículo 30.- ... </w:t>
      </w:r>
    </w:p>
    <w:p w:rsidR="00385AA8" w:rsidRPr="00AE0CAB" w:rsidRDefault="00385AA8" w:rsidP="00385AA8">
      <w:pPr>
        <w:spacing w:after="0" w:line="240" w:lineRule="auto"/>
        <w:rPr>
          <w:rFonts w:ascii="Times New Roman" w:eastAsia="Arial" w:hAnsi="Times New Roman" w:cs="Times New Roman"/>
          <w:b/>
          <w:sz w:val="24"/>
          <w:szCs w:val="24"/>
        </w:rPr>
      </w:pP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I. </w:t>
      </w:r>
      <w:r w:rsidRPr="00AE0CAB">
        <w:rPr>
          <w:rFonts w:ascii="Times New Roman" w:eastAsia="Arial" w:hAnsi="Times New Roman" w:cs="Times New Roman"/>
          <w:sz w:val="24"/>
          <w:szCs w:val="24"/>
        </w:rPr>
        <w:t xml:space="preserve">a la </w:t>
      </w:r>
      <w:r w:rsidRPr="00AE0CAB">
        <w:rPr>
          <w:rFonts w:ascii="Times New Roman" w:eastAsia="Arial" w:hAnsi="Times New Roman" w:cs="Times New Roman"/>
          <w:b/>
          <w:sz w:val="24"/>
          <w:szCs w:val="24"/>
        </w:rPr>
        <w:t>XVII. …</w:t>
      </w:r>
    </w:p>
    <w:p w:rsidR="00385AA8" w:rsidRPr="00AE0CAB" w:rsidRDefault="00385AA8" w:rsidP="00385AA8">
      <w:pPr>
        <w:spacing w:after="0" w:line="240" w:lineRule="auto"/>
        <w:rPr>
          <w:rFonts w:ascii="Times New Roman" w:eastAsia="Arial" w:hAnsi="Times New Roman" w:cs="Times New Roman"/>
          <w:b/>
          <w:sz w:val="24"/>
          <w:szCs w:val="24"/>
        </w:rPr>
      </w:pP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XVIII. Fomentar en el ámbito de su competencia medidas tendientes a eliminar la brecha salarial de género en los sectores público, privado y social.</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TRANSITORIOS</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PRIMERO. </w:t>
      </w:r>
      <w:r w:rsidRPr="00AE0CAB">
        <w:rPr>
          <w:rFonts w:ascii="Times New Roman" w:eastAsia="Arial" w:hAnsi="Times New Roman" w:cs="Times New Roman"/>
          <w:sz w:val="24"/>
          <w:szCs w:val="24"/>
        </w:rPr>
        <w:t xml:space="preserve">Publíquese el presente Decreto en el periódico oficial </w:t>
      </w:r>
      <w:r w:rsidRPr="00AE0CAB">
        <w:rPr>
          <w:rFonts w:ascii="Times New Roman" w:eastAsia="Arial" w:hAnsi="Times New Roman" w:cs="Times New Roman"/>
          <w:i/>
          <w:sz w:val="24"/>
          <w:szCs w:val="24"/>
        </w:rPr>
        <w:t>“Gaceta del Gobierno”.</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SEGUNDO. </w:t>
      </w:r>
      <w:r w:rsidRPr="00AE0CAB">
        <w:rPr>
          <w:rFonts w:ascii="Times New Roman" w:eastAsia="Arial" w:hAnsi="Times New Roman" w:cs="Times New Roman"/>
          <w:sz w:val="24"/>
          <w:szCs w:val="24"/>
        </w:rPr>
        <w:t>El presente Decreto entrará en vigor al día siguiente de su publicación.</w:t>
      </w:r>
    </w:p>
    <w:p w:rsidR="00385AA8" w:rsidRPr="00AE0CAB" w:rsidRDefault="00385AA8" w:rsidP="00385AA8">
      <w:pPr>
        <w:spacing w:after="0" w:line="240" w:lineRule="auto"/>
        <w:rPr>
          <w:rFonts w:ascii="Times New Roman" w:eastAsia="Times New Roman" w:hAnsi="Times New Roman" w:cs="Times New Roman"/>
          <w:sz w:val="24"/>
          <w:szCs w:val="24"/>
        </w:rPr>
      </w:pPr>
    </w:p>
    <w:p w:rsidR="00385AA8" w:rsidRPr="00AE0CAB" w:rsidRDefault="00385AA8" w:rsidP="00385AA8">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Dado en el Palacio del Poder Legislativo, en la ciudad de Toluca de Lerdo, a los </w:t>
      </w:r>
      <w:r w:rsidRPr="00AE0CAB">
        <w:rPr>
          <w:rFonts w:ascii="Times New Roman" w:eastAsia="Arial" w:hAnsi="Times New Roman" w:cs="Times New Roman"/>
          <w:sz w:val="24"/>
          <w:szCs w:val="24"/>
          <w:u w:val="single" w:color="000000"/>
        </w:rPr>
        <w:t xml:space="preserve">          </w:t>
      </w:r>
      <w:r w:rsidRPr="00AE0CAB">
        <w:rPr>
          <w:rFonts w:ascii="Times New Roman" w:eastAsia="Arial" w:hAnsi="Times New Roman" w:cs="Times New Roman"/>
          <w:sz w:val="24"/>
          <w:szCs w:val="24"/>
        </w:rPr>
        <w:t xml:space="preserve"> días del mes de </w:t>
      </w:r>
      <w:r w:rsidRPr="00AE0CAB">
        <w:rPr>
          <w:rFonts w:ascii="Times New Roman" w:eastAsia="Arial" w:hAnsi="Times New Roman" w:cs="Times New Roman"/>
          <w:sz w:val="24"/>
          <w:szCs w:val="24"/>
          <w:u w:val="single" w:color="000000"/>
        </w:rPr>
        <w:t xml:space="preserve">                       </w:t>
      </w:r>
      <w:r w:rsidRPr="00AE0CAB">
        <w:rPr>
          <w:rFonts w:ascii="Times New Roman" w:eastAsia="Arial" w:hAnsi="Times New Roman" w:cs="Times New Roman"/>
          <w:sz w:val="24"/>
          <w:szCs w:val="24"/>
        </w:rPr>
        <w:t xml:space="preserve"> del año dos mil veintiséis.</w:t>
      </w:r>
    </w:p>
    <w:p w:rsidR="00385AA8" w:rsidRPr="00AE0CAB" w:rsidRDefault="00385AA8" w:rsidP="00385AA8">
      <w:pPr>
        <w:spacing w:after="0" w:line="240" w:lineRule="auto"/>
        <w:jc w:val="center"/>
        <w:rPr>
          <w:rFonts w:ascii="Times New Roman" w:hAnsi="Times New Roman" w:cs="Times New Roman"/>
          <w:sz w:val="24"/>
          <w:szCs w:val="24"/>
        </w:rPr>
      </w:pPr>
    </w:p>
    <w:p w:rsidR="00385AA8" w:rsidRPr="00AE0CAB" w:rsidRDefault="00385AA8" w:rsidP="00385AA8">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(Fin del documento)</w:t>
      </w:r>
    </w:p>
    <w:p w:rsidR="00385AA8" w:rsidRPr="00AE0CAB" w:rsidRDefault="00385AA8" w:rsidP="00385AA8">
      <w:pPr>
        <w:spacing w:after="0" w:line="240" w:lineRule="auto"/>
        <w:jc w:val="center"/>
        <w:rPr>
          <w:rFonts w:ascii="Times New Roman" w:hAnsi="Times New Roman" w:cs="Times New Roman"/>
          <w:sz w:val="24"/>
          <w:szCs w:val="24"/>
        </w:rPr>
      </w:pP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PRESIDENTA DIP. MARTHA AZUCENA CAMACHO REYNOSO. Gracias diputada María del Carmen de la Rosa Mendoza.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Se registra la iniciativa y se registran a las Comisiones Legislativas para la Igualdad de Género, </w:t>
      </w:r>
      <w:r w:rsidR="0052310F" w:rsidRPr="00AE0CAB">
        <w:rPr>
          <w:rFonts w:ascii="Times New Roman" w:hAnsi="Times New Roman" w:cs="Times New Roman"/>
          <w:sz w:val="24"/>
          <w:szCs w:val="24"/>
        </w:rPr>
        <w:t xml:space="preserve">de </w:t>
      </w:r>
      <w:r w:rsidRPr="00AE0CAB">
        <w:rPr>
          <w:rFonts w:ascii="Times New Roman" w:hAnsi="Times New Roman" w:cs="Times New Roman"/>
          <w:sz w:val="24"/>
          <w:szCs w:val="24"/>
        </w:rPr>
        <w:t>Trabajo</w:t>
      </w:r>
      <w:r w:rsidR="005F1437" w:rsidRPr="00AE0CAB">
        <w:rPr>
          <w:rFonts w:ascii="Times New Roman" w:hAnsi="Times New Roman" w:cs="Times New Roman"/>
          <w:sz w:val="24"/>
          <w:szCs w:val="24"/>
        </w:rPr>
        <w:t>,</w:t>
      </w:r>
      <w:r w:rsidRPr="00AE0CAB">
        <w:rPr>
          <w:rFonts w:ascii="Times New Roman" w:hAnsi="Times New Roman" w:cs="Times New Roman"/>
          <w:sz w:val="24"/>
          <w:szCs w:val="24"/>
        </w:rPr>
        <w:t xml:space="preserve"> Previsión y Seguridad Social para su estudio y dictamen.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En cuanto al punto número 9, el diputado Octavio Martínez Vargas presenta en nombre del Grupo Parlamentario del Partido morena, Iniciativa con Proyecto de Decreto por el que se reforma el artículo 181, fracciones I, II, III, IV y se adicionan las fracciones V, VI, VII, VIII, VIX, X del Código Penal del Estado de México en materia de delitos en el ejercicio profesional.</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DIP. OCTAVIO MARTÍNEZ VARGAS. Ya soy de la tercera edad.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Muy buenas tardes, con su permiso Presidenta. Muchas gracias.</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Compañeras, compañeros el Estado de México es la entidad más grande del país, 22 reclusorios, sólo para que tengan una idea, el Salvador tiene alrededor de 9 mil internos, este país polémico que ha generado controversias por su sistema penal, por el sistema penitenciario y por el </w:t>
      </w:r>
      <w:r w:rsidRPr="00AE0CAB">
        <w:rPr>
          <w:rFonts w:ascii="Times New Roman" w:hAnsi="Times New Roman" w:cs="Times New Roman"/>
          <w:sz w:val="24"/>
          <w:szCs w:val="24"/>
        </w:rPr>
        <w:lastRenderedPageBreak/>
        <w:t>proceso de reinserción social, en el Estado de México tenemos 39 mil internos, nada que ver con el Salvador, sólo el Estado de México, no estoy hablando de México, estamos hablando de nuestra Entidad, no hay en América Latina un sistema penitenciario con las características que tiene el Estado de México, con tantos internos.</w:t>
      </w:r>
    </w:p>
    <w:p w:rsidR="000E0101" w:rsidRPr="00AE0CAB" w:rsidRDefault="000E0101"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Hace 10 años he subrayado que teníamos una población del orbe de 19 mil, hoy tenemos en una década más el doble y hay una iniciativa discutiéndose en la Comisión de Procuración y Administración de Justicia, que esboza, que tiene con urgencia que tipificarse la fabricación de delitos para quienes forman parte de las corporaciones de seguridad municipal y estatal, para quienes forman parte de la Fiscalía del Estado de México y del Poder Judicial.</w:t>
      </w:r>
    </w:p>
    <w:p w:rsidR="000E0101" w:rsidRPr="00AE0CAB" w:rsidRDefault="000E0101"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Todos servidoras y servidores públicos que se despegan de la legalidad, quienes fabrican delitos; pero encontramos otra beta compañeras y compañeros, cuando la defensa privada o pública tiene omisiones públicas en el proceso judicial. Actualmente está tipificado; pero las causales y los supuestos son muy limitados y encontramos, cuántas veces no hemos escuchado en territorio porque a mí me consta que todas y todos ustedes son gente de territorio y no de escritorio.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Cuántas veces no hemos escuchado a familiares de víctimas que la ley les da la condición de víctimas, que hay que juntar 100 mil, 200 mil o 300 mil pesos y con eso su familiar va a salir de prisión, porque hay que pagar un peritaje, porque le van a dar una gratificación o su baile a algún juez o a algún magistrado y van a salir y los familiares sin el dinero acuden, por cierto a gota a gota o enajenan su patrimonio y resulta que el peritaje nunca se entregó, que el dinero para el juez o el magistrado o la magistrada jamás fue cierto y que hubo elementos graves quizá por desconocimiento, por error, mala fe o de manera dolosa que dejaron en estado de indefensión a quienes debían defender, que pasó el período de pruebas y no aportaron pruebas o las que aportaron, eran falsas, no eran suficientes o no abonan a una correcta y adecuada defensa jurídica de quien está en ese momento privado de su libertad y sujeto a un proceso judicial o a quienes no se presentan en las audiencias y lo que es más grave quienes dejan pasar el plazo para efecto de interponer el recurso de revisión.</w:t>
      </w:r>
    </w:p>
    <w:p w:rsidR="000E0101" w:rsidRPr="00AE0CAB" w:rsidRDefault="000E0101"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Causa-Estado queda firme la sentencia y se amoló el asunto de poder discutir en lo que se define un tribunal de alzada, el análisis y resolución de la juzgadora o del juzgador.</w:t>
      </w:r>
    </w:p>
    <w:p w:rsidR="000E0101" w:rsidRPr="00AE0CAB" w:rsidRDefault="000E0101"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Por eso considero importantes compañeras, compañeros legisladores, legisladores que las, el artículo 181 en sus 4 fracciones tienen que modificarse y tenemos que adecuar 5 fracciones más y las que consideremos suficientes para efecto de dignificar la defensa, el quehacer de la abogacía.</w:t>
      </w:r>
    </w:p>
    <w:p w:rsidR="000E0101" w:rsidRPr="00AE0CAB" w:rsidRDefault="000E0101"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Compañeras y compañeros una actividad digna que por cierto antes estudiar eran 6 años, ahora son 3 y en línea y cualquiera obtiene su Título  y ya, por cierto profe, ahí hay que hacer una revisión a ese asunto, porque ya cualquiera es abogado y abogada y algo está mal y el nicho del porcentaje que quedó en estado de indefensión, y estoy hablando no solamente de la Defensoría Privada; sino también de la Pública, que es muy deficiente, falta empatía, compromiso y cómo no, si cada defensor tiene 100 asuntos o 200 y no se prepara para efecto una defensa adecuada y el nicho de personas que se definen </w:t>
      </w:r>
      <w:proofErr w:type="spellStart"/>
      <w:r w:rsidRPr="00AE0CAB">
        <w:rPr>
          <w:rFonts w:ascii="Times New Roman" w:hAnsi="Times New Roman" w:cs="Times New Roman"/>
          <w:sz w:val="24"/>
          <w:szCs w:val="24"/>
        </w:rPr>
        <w:t>PPL´s</w:t>
      </w:r>
      <w:proofErr w:type="spellEnd"/>
      <w:r w:rsidR="005F1437" w:rsidRPr="00AE0CAB">
        <w:rPr>
          <w:rFonts w:ascii="Times New Roman" w:hAnsi="Times New Roman" w:cs="Times New Roman"/>
          <w:sz w:val="24"/>
          <w:szCs w:val="24"/>
        </w:rPr>
        <w:t>,</w:t>
      </w:r>
      <w:r w:rsidRPr="00AE0CAB">
        <w:rPr>
          <w:rFonts w:ascii="Times New Roman" w:hAnsi="Times New Roman" w:cs="Times New Roman"/>
          <w:sz w:val="24"/>
          <w:szCs w:val="24"/>
        </w:rPr>
        <w:t xml:space="preserve"> </w:t>
      </w:r>
      <w:r w:rsidR="005F1437" w:rsidRPr="00AE0CAB">
        <w:rPr>
          <w:rFonts w:ascii="Times New Roman" w:hAnsi="Times New Roman" w:cs="Times New Roman"/>
          <w:sz w:val="24"/>
          <w:szCs w:val="24"/>
        </w:rPr>
        <w:t xml:space="preserve">Personas Privadas </w:t>
      </w:r>
      <w:r w:rsidRPr="00AE0CAB">
        <w:rPr>
          <w:rFonts w:ascii="Times New Roman" w:hAnsi="Times New Roman" w:cs="Times New Roman"/>
          <w:sz w:val="24"/>
          <w:szCs w:val="24"/>
        </w:rPr>
        <w:t xml:space="preserve">de su </w:t>
      </w:r>
      <w:r w:rsidR="009A3687" w:rsidRPr="00AE0CAB">
        <w:rPr>
          <w:rFonts w:ascii="Times New Roman" w:hAnsi="Times New Roman" w:cs="Times New Roman"/>
          <w:sz w:val="24"/>
          <w:szCs w:val="24"/>
        </w:rPr>
        <w:t xml:space="preserve">Libertad </w:t>
      </w:r>
      <w:r w:rsidRPr="00AE0CAB">
        <w:rPr>
          <w:rFonts w:ascii="Times New Roman" w:hAnsi="Times New Roman" w:cs="Times New Roman"/>
          <w:sz w:val="24"/>
          <w:szCs w:val="24"/>
        </w:rPr>
        <w:t xml:space="preserve">por una inadecuada defensa, se estima que es del orden del 25% en nuestra Entidad.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En resumen, compañeras y compañeros lo que planteamos es incrementar la sanción de 2 a 5 años, modificar las 4 fracciones, incorporar 5 supuestos y aspirar a quien en nuestra Entidad asuma, se acredite como abogado patrono, haga su papel con apego a los principios éticos, morales, jurídicos, de nuestra Entidad y asuman un compromiso genuino, real y responsable con la defensa.</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Mujeres, hombres y muchos más sectores de la población que se encuentran en esta condición determinada en estado de indefensión.</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Concluyo, compañeras y compañeros, apremia legislar la fabricación de delito, también en el Código Penal está este artículo 181 y poder dar cumplimiento puntual a lo que establece el eje número 1 del Plan de Desarrollo de Nuestra Entidad que es Estado de Derecho.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lastRenderedPageBreak/>
        <w:t>Sugiero y solicito Presidenta, que la presente iniciativa quede inscrita en el Diario de los Debates y en la Gaceta Parlamentaria.</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Por su atención, muchísimas gracias. </w:t>
      </w:r>
    </w:p>
    <w:p w:rsidR="009A3687" w:rsidRPr="00AE0CAB" w:rsidRDefault="009A3687" w:rsidP="005D7FEC">
      <w:pPr>
        <w:pStyle w:val="Sinespaciado"/>
        <w:jc w:val="both"/>
        <w:rPr>
          <w:rFonts w:ascii="Times New Roman" w:hAnsi="Times New Roman" w:cs="Times New Roman"/>
          <w:sz w:val="24"/>
          <w:szCs w:val="24"/>
        </w:rPr>
      </w:pPr>
    </w:p>
    <w:p w:rsidR="009A3687" w:rsidRPr="00AE0CAB" w:rsidRDefault="009A3687" w:rsidP="005D7FEC">
      <w:pPr>
        <w:spacing w:after="0" w:line="240" w:lineRule="auto"/>
        <w:jc w:val="center"/>
        <w:rPr>
          <w:rFonts w:ascii="Times New Roman" w:hAnsi="Times New Roman"/>
          <w:i/>
          <w:sz w:val="24"/>
          <w:szCs w:val="24"/>
        </w:rPr>
      </w:pPr>
      <w:r w:rsidRPr="00AE0CAB">
        <w:rPr>
          <w:rFonts w:ascii="Times New Roman" w:hAnsi="Times New Roman"/>
          <w:i/>
          <w:sz w:val="24"/>
          <w:szCs w:val="24"/>
        </w:rPr>
        <w:t>(Se inserta documento)</w:t>
      </w:r>
    </w:p>
    <w:p w:rsidR="009A3687" w:rsidRPr="00AE0CAB" w:rsidRDefault="009A3687" w:rsidP="005D7FEC">
      <w:pPr>
        <w:spacing w:after="0" w:line="240" w:lineRule="auto"/>
        <w:jc w:val="center"/>
        <w:rPr>
          <w:rFonts w:ascii="Times New Roman" w:hAnsi="Times New Roman"/>
          <w:sz w:val="24"/>
          <w:szCs w:val="24"/>
        </w:rPr>
      </w:pPr>
    </w:p>
    <w:p w:rsidR="009A3687" w:rsidRPr="00AE0CAB" w:rsidRDefault="009A3687" w:rsidP="009A3687">
      <w:pPr>
        <w:spacing w:after="0" w:line="240" w:lineRule="auto"/>
        <w:jc w:val="center"/>
        <w:rPr>
          <w:rFonts w:ascii="Times New Roman" w:eastAsia="Times New Roman" w:hAnsi="Times New Roman" w:cs="Times New Roman"/>
          <w:b/>
          <w:sz w:val="24"/>
          <w:szCs w:val="24"/>
        </w:rPr>
      </w:pPr>
      <w:r w:rsidRPr="00AE0CAB">
        <w:rPr>
          <w:rFonts w:ascii="Times New Roman" w:eastAsia="Times New Roman" w:hAnsi="Times New Roman" w:cs="Times New Roman"/>
          <w:b/>
          <w:sz w:val="24"/>
          <w:szCs w:val="24"/>
        </w:rPr>
        <w:t>Dip. Octavio Martínez Vargas</w:t>
      </w:r>
    </w:p>
    <w:p w:rsidR="009A3687" w:rsidRPr="00AE0CAB" w:rsidRDefault="009A3687" w:rsidP="009A3687">
      <w:pPr>
        <w:spacing w:after="0" w:line="240" w:lineRule="auto"/>
        <w:jc w:val="center"/>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Distrito VI Ecatepec de Morelos</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“2026. AÑO DEL HUMANISMO MEXICANO EN EL ESTADO DE MÉXICO”.</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Dip. Martha Azucena Camacho Reynoso</w:t>
      </w:r>
    </w:p>
    <w:p w:rsidR="009A3687" w:rsidRPr="00AE0CAB" w:rsidRDefault="009A3687" w:rsidP="009A3687">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Presidenta de la Mesa Directiva de</w:t>
      </w:r>
    </w:p>
    <w:p w:rsidR="009A3687" w:rsidRPr="00AE0CAB" w:rsidRDefault="009A3687" w:rsidP="009A3687">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la Cámara de Diputados del</w:t>
      </w:r>
    </w:p>
    <w:p w:rsidR="009A3687" w:rsidRPr="00AE0CAB" w:rsidRDefault="009A3687" w:rsidP="009A3687">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Estado de México</w:t>
      </w:r>
    </w:p>
    <w:p w:rsidR="009A3687" w:rsidRPr="00AE0CAB" w:rsidRDefault="009A3687" w:rsidP="009A3687">
      <w:pPr>
        <w:spacing w:after="0" w:line="240" w:lineRule="auto"/>
        <w:jc w:val="both"/>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reforma el artículo 181 y las fracciones I, II, III, IV; y se adicionan las fracciones V, VI, VII, VIII, IX, X, del Código Penal del Estado de México, al tenor de la siguiente:</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EXPOSICIÓN DE MOTIVOS</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administración, acceso e impartición de justicia son un pilar fundamental del Estado de Derecho. Para garantizar su correcto funcionamiento, es necesario identificar a los involucrados en el proceso que, desvirtuando su deber de lealtad y buena fe, buscan retardar, entorpecer o viciar el curso de la justicia llevando a cabo conductas y omisiones, que pudieran considerarse merecedoras de una posible sanción penal.</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 acuerdo con lo anterior, es relevante mencionar que en los últimos años ha incrementado el caso de los abogados, patronos, litigantes, defensores y/o asesores jurídicos en el Estado de México, quiénes han ejecutado e implementado malas prácticas al momento de ejercer y proporcionar servicios jurídicos a sus clientes, dejando a un lado los principios y valores que han sido reconocidos, no sólo socialmente como determinantes de un buen desarrollo profesional, sino también por asociaciones como la Barra Mexicana de Colegio</w:t>
      </w:r>
      <w:r w:rsidRPr="00AE0CAB">
        <w:rPr>
          <w:rFonts w:ascii="Times New Roman" w:eastAsia="Cambria" w:hAnsi="Times New Roman" w:cs="Times New Roman"/>
          <w:sz w:val="24"/>
          <w:szCs w:val="24"/>
        </w:rPr>
        <w:t xml:space="preserve"> </w:t>
      </w:r>
      <w:r w:rsidRPr="00AE0CAB">
        <w:rPr>
          <w:rFonts w:ascii="Times New Roman" w:eastAsia="Arial" w:hAnsi="Times New Roman" w:cs="Times New Roman"/>
          <w:sz w:val="24"/>
          <w:szCs w:val="24"/>
        </w:rPr>
        <w:t>de Abogados en su Código de Ética, incluso en los Códigos de Conducta de los Colegios Locales, donde se mencionan los principios rectores que se consideran propios de la actividad profesional del abogado; actuar con absoluta honestidad y buena fe, abstenerse de realizar actos contrarios a la honorabilidad profesional, por mencionar algunos. La conducta de los abogados, patronos, litigantes, defensores y/o asesores jurídicos, por tanto, está sujeta a un estándar superior al del ciudadano común, pues es un servidor esencial de la justicia.</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Una falta ética puede tener como consecuencia sanciones disciplinarias por parte del colegio o barra correspondiente (amonestación privada, suspensión temporal o expulsión). Un acto de negligencia puede generar responsabilidad civil para reparar el daño causado al cliente. No </w:t>
      </w:r>
      <w:r w:rsidRPr="00AE0CAB">
        <w:rPr>
          <w:rFonts w:ascii="Times New Roman" w:eastAsia="Arial" w:hAnsi="Times New Roman" w:cs="Times New Roman"/>
          <w:sz w:val="24"/>
          <w:szCs w:val="24"/>
        </w:rPr>
        <w:lastRenderedPageBreak/>
        <w:t>obstante, las conductas que vulneran de manera directa, dolosa y grave la administración y acceso a la justicia, mediante la simulación y el engaño, deben ser susceptibles de responsabilidad penal.</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Código Penal Federal, en sus Artículos 231, 232 y 233 del Capítulo II "Delitos de Abogados, Patronos y Litigantes", prevé y sanciona conductas específicas de estos actores que falsean la realidad ante los tribunales. Por otra parte, el Código Penal del Estado de México no cuenta con un tipo penal lo suficientemente detallado y equivalente para perseguir los hechos ilícitos del ámbito que nos ocupa, lo que crea una laguna jurídica que puede propiciar impunidad, y</w:t>
      </w:r>
      <w:r w:rsidRPr="00AE0CAB">
        <w:rPr>
          <w:rFonts w:ascii="Times New Roman" w:eastAsia="Cambria" w:hAnsi="Times New Roman" w:cs="Times New Roman"/>
          <w:sz w:val="24"/>
          <w:szCs w:val="24"/>
        </w:rPr>
        <w:t xml:space="preserve"> </w:t>
      </w:r>
      <w:r w:rsidRPr="00AE0CAB">
        <w:rPr>
          <w:rFonts w:ascii="Times New Roman" w:eastAsia="Arial" w:hAnsi="Times New Roman" w:cs="Times New Roman"/>
          <w:sz w:val="24"/>
          <w:szCs w:val="24"/>
        </w:rPr>
        <w:t>menoscabar la credibilidad de los profesionistas del derecho, incluso del sistema judicial local, además de que envía un mensaje erróneo sobre la tolerancia hacia la deshonestidad profesional.</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ende, surge la necesidad de la armonización con el Código Federal. El texto estatal vigente establece en su artículo 181 del Capítulo III “Delitos cometidos en el Ejercicio de Actividades Profesionales o Técnicas”, perteneciente al Título Segundo “Delitos Contra la Colectividad”, únicamente lo siguiente:</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ind w:left="1276" w:hanging="567"/>
        <w:rPr>
          <w:rFonts w:ascii="Times New Roman" w:eastAsia="Arial" w:hAnsi="Times New Roman" w:cs="Times New Roman"/>
          <w:sz w:val="24"/>
          <w:szCs w:val="24"/>
        </w:rPr>
      </w:pPr>
      <w:r w:rsidRPr="00AE0CAB">
        <w:rPr>
          <w:rFonts w:ascii="Times New Roman" w:eastAsia="Arial" w:hAnsi="Times New Roman" w:cs="Times New Roman"/>
          <w:sz w:val="24"/>
          <w:szCs w:val="24"/>
        </w:rPr>
        <w:t>“</w:t>
      </w:r>
      <w:r w:rsidRPr="00AE0CAB">
        <w:rPr>
          <w:rFonts w:ascii="Times New Roman" w:eastAsia="Arial" w:hAnsi="Times New Roman" w:cs="Times New Roman"/>
          <w:i/>
          <w:sz w:val="24"/>
          <w:szCs w:val="24"/>
        </w:rPr>
        <w:t>Cometen este delito:</w:t>
      </w:r>
    </w:p>
    <w:p w:rsidR="009A3687" w:rsidRPr="00AE0CAB" w:rsidRDefault="009A3687" w:rsidP="009A3687">
      <w:pPr>
        <w:spacing w:after="0" w:line="240" w:lineRule="auto"/>
        <w:ind w:left="1276" w:hanging="567"/>
        <w:rPr>
          <w:rFonts w:ascii="Times New Roman" w:eastAsia="Times New Roman" w:hAnsi="Times New Roman" w:cs="Times New Roman"/>
          <w:sz w:val="24"/>
          <w:szCs w:val="24"/>
        </w:rPr>
      </w:pPr>
    </w:p>
    <w:p w:rsidR="009A3687" w:rsidRPr="00AE0CAB" w:rsidRDefault="009A3687" w:rsidP="009A3687">
      <w:pPr>
        <w:spacing w:after="0" w:line="240" w:lineRule="auto"/>
        <w:ind w:left="1276" w:hanging="567"/>
        <w:rPr>
          <w:rFonts w:ascii="Times New Roman" w:eastAsia="Arial" w:hAnsi="Times New Roman" w:cs="Times New Roman"/>
          <w:sz w:val="24"/>
          <w:szCs w:val="24"/>
        </w:rPr>
      </w:pPr>
      <w:r w:rsidRPr="00AE0CAB">
        <w:rPr>
          <w:rFonts w:ascii="Times New Roman" w:eastAsia="Arial" w:hAnsi="Times New Roman" w:cs="Times New Roman"/>
          <w:i/>
          <w:sz w:val="24"/>
          <w:szCs w:val="24"/>
        </w:rPr>
        <w:t>I.</w:t>
      </w:r>
      <w:r w:rsidRPr="00AE0CAB">
        <w:rPr>
          <w:rFonts w:ascii="Times New Roman" w:eastAsia="Arial" w:hAnsi="Times New Roman" w:cs="Times New Roman"/>
          <w:i/>
          <w:sz w:val="24"/>
          <w:szCs w:val="24"/>
        </w:rPr>
        <w:tab/>
        <w:t>Los abogados que abandonen el mandato, patrocinio o defensa de un negocio judicial, administrativo o de trabajo, sin causa justificada;</w:t>
      </w:r>
    </w:p>
    <w:p w:rsidR="009A3687" w:rsidRPr="00AE0CAB" w:rsidRDefault="009A3687" w:rsidP="009A3687">
      <w:pPr>
        <w:spacing w:after="0" w:line="240" w:lineRule="auto"/>
        <w:ind w:left="1276" w:hanging="567"/>
        <w:rPr>
          <w:rFonts w:ascii="Times New Roman" w:eastAsia="Times New Roman" w:hAnsi="Times New Roman" w:cs="Times New Roman"/>
          <w:sz w:val="24"/>
          <w:szCs w:val="24"/>
        </w:rPr>
      </w:pPr>
      <w:r w:rsidRPr="00AE0CAB">
        <w:rPr>
          <w:rFonts w:ascii="Times New Roman" w:eastAsia="Arial" w:hAnsi="Times New Roman" w:cs="Times New Roman"/>
          <w:i/>
          <w:sz w:val="24"/>
          <w:szCs w:val="24"/>
        </w:rPr>
        <w:t>II.</w:t>
      </w:r>
      <w:r w:rsidRPr="00AE0CAB">
        <w:rPr>
          <w:rFonts w:ascii="Times New Roman" w:eastAsia="Arial" w:hAnsi="Times New Roman" w:cs="Times New Roman"/>
          <w:i/>
          <w:sz w:val="24"/>
          <w:szCs w:val="24"/>
        </w:rPr>
        <w:tab/>
        <w:t>Los abogados del inculpado que se concreten a solicitar la libertad provisional, sin promover pruebas ni dirigirlo en su defensa;</w:t>
      </w:r>
    </w:p>
    <w:p w:rsidR="009A3687" w:rsidRPr="00AE0CAB" w:rsidRDefault="009A3687" w:rsidP="009A3687">
      <w:pPr>
        <w:spacing w:after="0" w:line="240" w:lineRule="auto"/>
        <w:ind w:left="1276" w:hanging="567"/>
        <w:jc w:val="both"/>
        <w:rPr>
          <w:rFonts w:ascii="Times New Roman" w:eastAsia="Arial" w:hAnsi="Times New Roman" w:cs="Times New Roman"/>
          <w:sz w:val="24"/>
          <w:szCs w:val="24"/>
        </w:rPr>
      </w:pPr>
      <w:r w:rsidRPr="00AE0CAB">
        <w:rPr>
          <w:rFonts w:ascii="Times New Roman" w:eastAsia="Arial" w:hAnsi="Times New Roman" w:cs="Times New Roman"/>
          <w:i/>
          <w:sz w:val="24"/>
          <w:szCs w:val="24"/>
        </w:rPr>
        <w:t>III.</w:t>
      </w:r>
      <w:r w:rsidRPr="00AE0CAB">
        <w:rPr>
          <w:rFonts w:ascii="Times New Roman" w:eastAsia="Arial" w:hAnsi="Times New Roman" w:cs="Times New Roman"/>
          <w:i/>
          <w:sz w:val="24"/>
          <w:szCs w:val="24"/>
        </w:rPr>
        <w:tab/>
        <w:t>Los abogados que patrocinen o representen a diversos contendientes en negocio judicial, administrativo o de trabajo con intereses opuestos, o cuando después de haber aceptado el patrocinio o representación de una parte, admitan el de la contraria; y</w:t>
      </w:r>
    </w:p>
    <w:p w:rsidR="009A3687" w:rsidRPr="00AE0CAB" w:rsidRDefault="009A3687" w:rsidP="009A3687">
      <w:pPr>
        <w:spacing w:after="0" w:line="240" w:lineRule="auto"/>
        <w:ind w:left="1276" w:hanging="567"/>
        <w:jc w:val="both"/>
        <w:rPr>
          <w:rFonts w:ascii="Times New Roman" w:eastAsia="Arial" w:hAnsi="Times New Roman" w:cs="Times New Roman"/>
          <w:sz w:val="24"/>
          <w:szCs w:val="24"/>
        </w:rPr>
      </w:pPr>
      <w:r w:rsidRPr="00AE0CAB">
        <w:rPr>
          <w:rFonts w:ascii="Times New Roman" w:eastAsia="Arial" w:hAnsi="Times New Roman" w:cs="Times New Roman"/>
          <w:i/>
          <w:sz w:val="24"/>
          <w:szCs w:val="24"/>
        </w:rPr>
        <w:t>IV. Los abogados que teniendo a su cargo la custodia de documentos, los extraviaren por negligencia inexcusable.</w:t>
      </w:r>
    </w:p>
    <w:p w:rsidR="009A3687" w:rsidRPr="00AE0CAB" w:rsidRDefault="009A3687" w:rsidP="009A3687">
      <w:pPr>
        <w:spacing w:after="0" w:line="240" w:lineRule="auto"/>
        <w:ind w:left="1276" w:hanging="567"/>
        <w:rPr>
          <w:rFonts w:ascii="Times New Roman" w:eastAsia="Times New Roman" w:hAnsi="Times New Roman" w:cs="Times New Roman"/>
          <w:sz w:val="24"/>
          <w:szCs w:val="24"/>
        </w:rPr>
      </w:pPr>
    </w:p>
    <w:p w:rsidR="009A3687" w:rsidRPr="00AE0CAB" w:rsidRDefault="009A3687" w:rsidP="009A3687">
      <w:pPr>
        <w:spacing w:after="0" w:line="240" w:lineRule="auto"/>
        <w:ind w:left="709"/>
        <w:jc w:val="both"/>
        <w:rPr>
          <w:rFonts w:ascii="Times New Roman" w:eastAsia="Arial" w:hAnsi="Times New Roman" w:cs="Times New Roman"/>
          <w:sz w:val="24"/>
          <w:szCs w:val="24"/>
        </w:rPr>
      </w:pPr>
      <w:r w:rsidRPr="00AE0CAB">
        <w:rPr>
          <w:rFonts w:ascii="Times New Roman" w:eastAsia="Arial" w:hAnsi="Times New Roman" w:cs="Times New Roman"/>
          <w:i/>
          <w:sz w:val="24"/>
          <w:szCs w:val="24"/>
        </w:rPr>
        <w:t>A los responsables de este delito se les impondrán de uno a tres años de prisión y de cincuenta a setecientos días multa, además de seis meses a dos años de suspensión del derecho de ejercer la actividad profesional y privación definitiva en caso de reincidencia.” (sic)</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adición y desarrollo de un tipo penal detallado, y específico, es una medida necesaria, viable e incluso urgente, que no busca criminalizar la profesión, sino todo lo contrario: protegerla. Protege a la abogacía honesta y ética de la competencia desleal de aquellos que, presuntamente careciendo de principios y valores, obtienen ventajas ilegítimas. En ese sentido, la actividad no sólo estaría respaldada a los postulados de los Códigos de Ética (ya que no es suficiente con la sanción disciplinaria); sino que el Estado, como titular de la potestad punitiva, contaría con instrumentos concretos para sancionar al que atentase contra su sistema judicial.</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 igual forma, se reafirmaría que el ejercicio de la abogacía conlleva un compromiso intrínseco e irrenunciable con la verdad y la justicia, y que la violación grave de ese compromiso tendrá consecuencias proporcionales. Entendiendo su praxis como una actividad profesional al servicio de la sociedad, como coadyuvante de la justicia, y no solamente como un medio de vida de quien la práctica.</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Finalmente, este delito no solo tiene como bien jurídico protegido el acceso y administración de justicia, sino también el patrimonio y los intereses legítimos de los clientes, y de la parte contraria. Cualquier acto simulado o falso en un litigio, puede traer como consecuencia un daño económico y moral considerable, incluso una vulneración grave a los derechos humanos de los involucrados; como lo son el acceso a una justicia pronta y expedita, o el derecho a una defensa, incluso algún otro derecho humano que derive del objeto principal del litigio.</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lo anteriormente expuesto, se somete a la consideración de esta H. Soberanía la presente iniciativa para que, de estimarla correcta, se apruebe en los siguientes términos:</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DECRETO NÚMERO </w:t>
      </w:r>
      <w:r w:rsidRPr="00AE0CAB">
        <w:rPr>
          <w:rFonts w:ascii="Times New Roman" w:eastAsia="Arial" w:hAnsi="Times New Roman" w:cs="Times New Roman"/>
          <w:b/>
          <w:sz w:val="24"/>
          <w:szCs w:val="24"/>
          <w:u w:val="thick" w:color="000000"/>
        </w:rPr>
        <w:tab/>
      </w:r>
    </w:p>
    <w:p w:rsidR="00507F46" w:rsidRPr="00AE0CAB" w:rsidRDefault="009A3687" w:rsidP="009A3687">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LA H. “LXII” LEGISLATURA</w:t>
      </w: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DEL ESTADO LIBRE Y SOBERANO DE MÉXICO</w:t>
      </w: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DECRETA:</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Times New Roman" w:hAnsi="Times New Roman" w:cs="Times New Roman"/>
          <w:sz w:val="24"/>
          <w:szCs w:val="24"/>
        </w:rPr>
      </w:pPr>
      <w:r w:rsidRPr="00AE0CAB">
        <w:rPr>
          <w:rFonts w:ascii="Times New Roman" w:eastAsia="Arial" w:hAnsi="Times New Roman" w:cs="Times New Roman"/>
          <w:b/>
          <w:sz w:val="24"/>
          <w:szCs w:val="24"/>
        </w:rPr>
        <w:t>Decreto por el que se reforma el artículo 181 y las fracciones I, II, III, IV, y se adicionan las fracciones V, VI, VII, VIII, IX, X del Código Penal del Estado de México.</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Artículo Único: Se reforma el artículo 181 y las fracciones I, II, III, IV, del Código Penal del Estado de México y se adicionan las fracciones V, VI, VII, VIII, IX, X, del artículo 181 Código Penal del Estado de México, para quedar como sigue:</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507F46">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“Artículo 181.- </w:t>
      </w:r>
      <w:r w:rsidRPr="00AE0CAB">
        <w:rPr>
          <w:rFonts w:ascii="Times New Roman" w:eastAsia="Arial" w:hAnsi="Times New Roman" w:cs="Times New Roman"/>
          <w:b/>
          <w:sz w:val="24"/>
          <w:szCs w:val="24"/>
        </w:rPr>
        <w:t>Incurren en este delito los abogados, patronos, litigantes, defensores y asesores jurídicos, estén o no ostensiblemente patrocinados</w:t>
      </w:r>
      <w:r w:rsidR="00507F46" w:rsidRPr="00AE0CAB">
        <w:rPr>
          <w:rFonts w:ascii="Times New Roman" w:eastAsia="Arial" w:hAnsi="Times New Roman" w:cs="Times New Roman"/>
          <w:b/>
          <w:sz w:val="24"/>
          <w:szCs w:val="24"/>
        </w:rPr>
        <w:t xml:space="preserve"> </w:t>
      </w:r>
      <w:r w:rsidRPr="00AE0CAB">
        <w:rPr>
          <w:rFonts w:ascii="Times New Roman" w:eastAsia="Arial" w:hAnsi="Times New Roman" w:cs="Times New Roman"/>
          <w:b/>
          <w:sz w:val="24"/>
          <w:szCs w:val="24"/>
        </w:rPr>
        <w:t>por abogados, cuando cometan alguno de los actos siguientes:</w:t>
      </w:r>
    </w:p>
    <w:p w:rsidR="009A3687" w:rsidRPr="00AE0CAB" w:rsidRDefault="009A3687" w:rsidP="00507F46">
      <w:pPr>
        <w:spacing w:after="0" w:line="240" w:lineRule="auto"/>
        <w:jc w:val="both"/>
        <w:rPr>
          <w:rFonts w:ascii="Times New Roman" w:eastAsia="Times New Roman" w:hAnsi="Times New Roman" w:cs="Times New Roman"/>
          <w:sz w:val="24"/>
          <w:szCs w:val="24"/>
        </w:rPr>
      </w:pPr>
    </w:p>
    <w:p w:rsidR="009A3687" w:rsidRPr="00AE0CAB" w:rsidRDefault="009A3687" w:rsidP="00507F46">
      <w:pPr>
        <w:spacing w:after="0" w:line="240" w:lineRule="auto"/>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I. Abandonar la defensa de un cliente o negocio sin motivo justificado,</w:t>
      </w:r>
      <w:r w:rsidRPr="00AE0CAB">
        <w:rPr>
          <w:rFonts w:ascii="Times New Roman" w:eastAsia="Arial" w:hAnsi="Times New Roman" w:cs="Times New Roman"/>
          <w:sz w:val="24"/>
          <w:szCs w:val="24"/>
        </w:rPr>
        <w:t xml:space="preserve"> </w:t>
      </w:r>
      <w:r w:rsidRPr="00AE0CAB">
        <w:rPr>
          <w:rFonts w:ascii="Times New Roman" w:eastAsia="Arial" w:hAnsi="Times New Roman" w:cs="Times New Roman"/>
          <w:b/>
          <w:sz w:val="24"/>
          <w:szCs w:val="24"/>
        </w:rPr>
        <w:t>causando daño y perjuicio;</w:t>
      </w:r>
    </w:p>
    <w:p w:rsidR="009A3687" w:rsidRPr="00AE0CAB" w:rsidRDefault="009A3687" w:rsidP="00507F46">
      <w:pPr>
        <w:spacing w:after="0" w:line="240" w:lineRule="auto"/>
        <w:jc w:val="both"/>
        <w:rPr>
          <w:rFonts w:ascii="Times New Roman" w:eastAsia="Arial" w:hAnsi="Times New Roman" w:cs="Times New Roman"/>
          <w:sz w:val="24"/>
          <w:szCs w:val="24"/>
        </w:rPr>
      </w:pPr>
    </w:p>
    <w:p w:rsidR="009A3687" w:rsidRPr="00AE0CAB" w:rsidRDefault="009A3687" w:rsidP="00507F46">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II. Pedir términos para probar lo que notoriamente no puede probarse o no ha de aprovechar su parte; o</w:t>
      </w:r>
    </w:p>
    <w:p w:rsidR="009A3687" w:rsidRPr="00AE0CAB" w:rsidRDefault="009A3687" w:rsidP="00507F46">
      <w:pPr>
        <w:spacing w:after="0" w:line="240" w:lineRule="auto"/>
        <w:jc w:val="both"/>
        <w:rPr>
          <w:rFonts w:ascii="Times New Roman" w:eastAsia="Times New Roman" w:hAnsi="Times New Roman" w:cs="Times New Roman"/>
          <w:sz w:val="24"/>
          <w:szCs w:val="24"/>
        </w:rPr>
      </w:pPr>
    </w:p>
    <w:p w:rsidR="009A3687" w:rsidRPr="00AE0CAB" w:rsidRDefault="009A3687" w:rsidP="00507F46">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III. Patrocinar o ayudar a diversos contendientes o partes con intereses opuestos, en un mismo negocio o en negocios conexos, o cuando se acepta el patrocinio de alguno y se admite después el de la parte contraria;</w:t>
      </w:r>
    </w:p>
    <w:p w:rsidR="009A3687" w:rsidRPr="00AE0CAB" w:rsidRDefault="009A3687" w:rsidP="00507F46">
      <w:pPr>
        <w:spacing w:after="0" w:line="240" w:lineRule="auto"/>
        <w:jc w:val="both"/>
        <w:rPr>
          <w:rFonts w:ascii="Times New Roman" w:eastAsia="Times New Roman" w:hAnsi="Times New Roman" w:cs="Times New Roman"/>
          <w:sz w:val="24"/>
          <w:szCs w:val="24"/>
        </w:rPr>
      </w:pPr>
    </w:p>
    <w:p w:rsidR="009A3687" w:rsidRPr="00AE0CAB" w:rsidRDefault="009A3687" w:rsidP="00507F46">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IV. Ocultar, sustraer o destruir expedientes judiciales o documentos oficiales que tengan a su cargo y custodia; así como el extravío de estos, por negligencia; o</w:t>
      </w:r>
    </w:p>
    <w:p w:rsidR="009A3687" w:rsidRPr="00AE0CAB" w:rsidRDefault="009A3687" w:rsidP="00507F46">
      <w:pPr>
        <w:spacing w:after="0" w:line="240" w:lineRule="auto"/>
        <w:jc w:val="both"/>
        <w:rPr>
          <w:rFonts w:ascii="Times New Roman" w:eastAsia="Times New Roman" w:hAnsi="Times New Roman" w:cs="Times New Roman"/>
          <w:sz w:val="24"/>
          <w:szCs w:val="24"/>
        </w:rPr>
      </w:pPr>
    </w:p>
    <w:p w:rsidR="009A3687" w:rsidRPr="00AE0CAB" w:rsidRDefault="009A3687" w:rsidP="00507F46">
      <w:pPr>
        <w:spacing w:after="0" w:line="240" w:lineRule="auto"/>
        <w:jc w:val="both"/>
        <w:rPr>
          <w:rFonts w:ascii="Times New Roman" w:eastAsia="Times New Roman" w:hAnsi="Times New Roman" w:cs="Times New Roman"/>
          <w:sz w:val="24"/>
          <w:szCs w:val="24"/>
        </w:rPr>
      </w:pPr>
      <w:r w:rsidRPr="00AE0CAB">
        <w:rPr>
          <w:rFonts w:ascii="Times New Roman" w:eastAsia="Arial" w:hAnsi="Times New Roman" w:cs="Times New Roman"/>
          <w:b/>
          <w:sz w:val="24"/>
          <w:szCs w:val="24"/>
        </w:rPr>
        <w:t>V.</w:t>
      </w:r>
      <w:r w:rsidRPr="00AE0CAB">
        <w:rPr>
          <w:rFonts w:ascii="Times New Roman" w:eastAsia="Arial" w:hAnsi="Times New Roman" w:cs="Times New Roman"/>
          <w:b/>
          <w:sz w:val="24"/>
          <w:szCs w:val="24"/>
        </w:rPr>
        <w:tab/>
        <w:t>Aconsejar a su patrocinado, cliente o defendido el otorgamiento y presentación de testimonios o pruebas documentales falsas;</w:t>
      </w:r>
    </w:p>
    <w:p w:rsidR="009A3687" w:rsidRPr="00AE0CAB" w:rsidRDefault="009A3687" w:rsidP="00507F46">
      <w:pPr>
        <w:spacing w:after="0" w:line="240" w:lineRule="auto"/>
        <w:jc w:val="both"/>
        <w:rPr>
          <w:rFonts w:ascii="Times New Roman" w:eastAsia="Times New Roman" w:hAnsi="Times New Roman" w:cs="Times New Roman"/>
          <w:sz w:val="24"/>
          <w:szCs w:val="24"/>
        </w:rPr>
      </w:pPr>
    </w:p>
    <w:p w:rsidR="009A3687" w:rsidRPr="00AE0CAB" w:rsidRDefault="009A3687" w:rsidP="00507F46">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VI. Simule un acto jurídico o un acto o escrito judicial, o altere elementos de prueba y los presente en juicio, con el fin de obtener sentencia, resolución o acto administrativo contrario a la ley;</w:t>
      </w:r>
    </w:p>
    <w:p w:rsidR="00A9437A" w:rsidRPr="00AE0CAB" w:rsidRDefault="00A9437A" w:rsidP="00507F46">
      <w:pPr>
        <w:spacing w:after="0" w:line="240" w:lineRule="auto"/>
        <w:jc w:val="both"/>
        <w:rPr>
          <w:rFonts w:ascii="Times New Roman" w:eastAsia="Arial" w:hAnsi="Times New Roman" w:cs="Times New Roman"/>
          <w:b/>
          <w:sz w:val="24"/>
          <w:szCs w:val="24"/>
        </w:rPr>
      </w:pPr>
    </w:p>
    <w:p w:rsidR="009A3687" w:rsidRPr="00AE0CAB" w:rsidRDefault="009A3687" w:rsidP="00507F46">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lastRenderedPageBreak/>
        <w:t>VII. A sabiendas y fundándose en documentos falsos o sin valor, o en testigos falsos ejercite acción u oponga excepciones en contra de otro, ante las autoridades judiciales o administrativas; o</w:t>
      </w:r>
    </w:p>
    <w:p w:rsidR="009A3687" w:rsidRPr="00AE0CAB" w:rsidRDefault="009A3687" w:rsidP="00507F46">
      <w:pPr>
        <w:spacing w:after="0" w:line="240" w:lineRule="auto"/>
        <w:jc w:val="both"/>
        <w:rPr>
          <w:rFonts w:ascii="Times New Roman" w:eastAsia="Times New Roman" w:hAnsi="Times New Roman" w:cs="Times New Roman"/>
          <w:sz w:val="24"/>
          <w:szCs w:val="24"/>
        </w:rPr>
      </w:pPr>
    </w:p>
    <w:p w:rsidR="009A3687" w:rsidRPr="00AE0CAB" w:rsidRDefault="009A3687" w:rsidP="00507F46">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VIII. Promover cualquier recurso o incidente o medio de impugnación que entorpezca, retarde o motive la suspensión del juicio, y que sea </w:t>
      </w:r>
      <w:r w:rsidRPr="00AE0CAB">
        <w:rPr>
          <w:rFonts w:ascii="Times New Roman" w:eastAsia="Cambria" w:hAnsi="Times New Roman" w:cs="Times New Roman"/>
          <w:sz w:val="24"/>
          <w:szCs w:val="24"/>
        </w:rPr>
        <w:t xml:space="preserve">7 </w:t>
      </w:r>
      <w:r w:rsidRPr="00AE0CAB">
        <w:rPr>
          <w:rFonts w:ascii="Times New Roman" w:eastAsia="Arial" w:hAnsi="Times New Roman" w:cs="Times New Roman"/>
          <w:b/>
          <w:sz w:val="24"/>
          <w:szCs w:val="24"/>
        </w:rPr>
        <w:t>notoriamente improcedente, o de cualquier otra manera procure dilaciones que sean notoriamente ilegales</w:t>
      </w:r>
    </w:p>
    <w:p w:rsidR="009A3687" w:rsidRPr="00AE0CAB" w:rsidRDefault="009A3687" w:rsidP="00507F46">
      <w:pPr>
        <w:spacing w:after="0" w:line="240" w:lineRule="auto"/>
        <w:jc w:val="both"/>
        <w:rPr>
          <w:rFonts w:ascii="Times New Roman" w:eastAsia="Times New Roman" w:hAnsi="Times New Roman" w:cs="Times New Roman"/>
          <w:sz w:val="24"/>
          <w:szCs w:val="24"/>
        </w:rPr>
      </w:pPr>
    </w:p>
    <w:p w:rsidR="009A3687" w:rsidRPr="00AE0CAB" w:rsidRDefault="009A3687" w:rsidP="00507F46">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IX. Alegar a sabiendas hechos falsos, o se apoye en leyes inexistentes o derogadas; y</w:t>
      </w:r>
    </w:p>
    <w:p w:rsidR="009A3687" w:rsidRPr="00AE0CAB" w:rsidRDefault="009A3687" w:rsidP="00507F46">
      <w:pPr>
        <w:spacing w:after="0" w:line="240" w:lineRule="auto"/>
        <w:jc w:val="both"/>
        <w:rPr>
          <w:rFonts w:ascii="Times New Roman" w:eastAsia="Times New Roman" w:hAnsi="Times New Roman" w:cs="Times New Roman"/>
          <w:sz w:val="24"/>
          <w:szCs w:val="24"/>
        </w:rPr>
      </w:pPr>
    </w:p>
    <w:p w:rsidR="009A3687" w:rsidRPr="00AE0CAB" w:rsidRDefault="009A3687" w:rsidP="00507F46">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X.</w:t>
      </w:r>
      <w:r w:rsidRPr="00AE0CAB">
        <w:rPr>
          <w:rFonts w:ascii="Times New Roman" w:eastAsia="Arial" w:hAnsi="Times New Roman" w:cs="Times New Roman"/>
          <w:b/>
          <w:sz w:val="24"/>
          <w:szCs w:val="24"/>
        </w:rPr>
        <w:tab/>
        <w:t xml:space="preserve">Al defensor de un reo, sea particular o de oficio, que sólo se concrete a aceptar el cargo y a solicitar la libertad </w:t>
      </w:r>
      <w:proofErr w:type="spellStart"/>
      <w:r w:rsidRPr="00AE0CAB">
        <w:rPr>
          <w:rFonts w:ascii="Times New Roman" w:eastAsia="Arial" w:hAnsi="Times New Roman" w:cs="Times New Roman"/>
          <w:b/>
          <w:sz w:val="24"/>
          <w:szCs w:val="24"/>
        </w:rPr>
        <w:t>caucional</w:t>
      </w:r>
      <w:proofErr w:type="spellEnd"/>
      <w:r w:rsidRPr="00AE0CAB">
        <w:rPr>
          <w:rFonts w:ascii="Times New Roman" w:eastAsia="Arial" w:hAnsi="Times New Roman" w:cs="Times New Roman"/>
          <w:b/>
          <w:sz w:val="24"/>
          <w:szCs w:val="24"/>
        </w:rPr>
        <w:t xml:space="preserve"> que menciona la fracción I del artículo 20 de la Constitución, sin promover más pruebas ni dirigirlo en su defensa.</w:t>
      </w:r>
    </w:p>
    <w:p w:rsidR="009A3687" w:rsidRPr="00AE0CAB" w:rsidRDefault="009A3687" w:rsidP="00507F46">
      <w:pPr>
        <w:spacing w:after="0" w:line="240" w:lineRule="auto"/>
        <w:jc w:val="both"/>
        <w:rPr>
          <w:rFonts w:ascii="Times New Roman" w:eastAsia="Times New Roman" w:hAnsi="Times New Roman" w:cs="Times New Roman"/>
          <w:sz w:val="24"/>
          <w:szCs w:val="24"/>
        </w:rPr>
      </w:pPr>
    </w:p>
    <w:p w:rsidR="009A3687" w:rsidRPr="00AE0CAB" w:rsidRDefault="009A3687" w:rsidP="00507F46">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 los responsables de este delito y que incurran en cualquiera de los actos anteriormente descritos, se les impondrán de dos a cinco años de prisión, de cien a quinientos días multa y suspensión e inhabilitación hasta por tres años para ejercer la profesión, y privación definitiva en caso de reincidencia</w:t>
      </w:r>
      <w:r w:rsidRPr="00AE0CAB">
        <w:rPr>
          <w:rFonts w:ascii="Times New Roman" w:eastAsia="Arial" w:hAnsi="Times New Roman" w:cs="Times New Roman"/>
          <w:sz w:val="24"/>
          <w:szCs w:val="24"/>
        </w:rPr>
        <w:t>.</w:t>
      </w:r>
    </w:p>
    <w:p w:rsidR="009A3687" w:rsidRPr="00AE0CAB" w:rsidRDefault="009A3687" w:rsidP="00507F46">
      <w:pPr>
        <w:spacing w:after="0" w:line="240" w:lineRule="auto"/>
        <w:jc w:val="both"/>
        <w:rPr>
          <w:rFonts w:ascii="Times New Roman" w:eastAsia="Times New Roman" w:hAnsi="Times New Roman" w:cs="Times New Roman"/>
          <w:sz w:val="24"/>
          <w:szCs w:val="24"/>
        </w:rPr>
      </w:pPr>
    </w:p>
    <w:p w:rsidR="009A3687" w:rsidRPr="00AE0CAB" w:rsidRDefault="009A3687" w:rsidP="009A3687">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 R A N S I T O R I O S</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PRIMERO. </w:t>
      </w:r>
      <w:r w:rsidRPr="00AE0CAB">
        <w:rPr>
          <w:rFonts w:ascii="Times New Roman" w:eastAsia="Arial" w:hAnsi="Times New Roman" w:cs="Times New Roman"/>
          <w:sz w:val="24"/>
          <w:szCs w:val="24"/>
        </w:rPr>
        <w:t>Publíquese el presente Decreto en el periódico oficial "Gaceta del Gobierno".</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SEGUNDO. </w:t>
      </w:r>
      <w:r w:rsidRPr="00AE0CAB">
        <w:rPr>
          <w:rFonts w:ascii="Times New Roman" w:eastAsia="Arial" w:hAnsi="Times New Roman" w:cs="Times New Roman"/>
          <w:sz w:val="24"/>
          <w:szCs w:val="24"/>
        </w:rPr>
        <w:t>El presente Decreto entrará en vigor al día siguiente de su publicación en el periódico oficial "Gaceta del Gobierno".</w:t>
      </w:r>
    </w:p>
    <w:p w:rsidR="009A3687" w:rsidRPr="00AE0CAB" w:rsidRDefault="009A3687" w:rsidP="009A3687">
      <w:pPr>
        <w:spacing w:after="0" w:line="240" w:lineRule="auto"/>
        <w:rPr>
          <w:rFonts w:ascii="Times New Roman" w:eastAsia="Times New Roman" w:hAnsi="Times New Roman" w:cs="Times New Roman"/>
          <w:sz w:val="24"/>
          <w:szCs w:val="24"/>
        </w:rPr>
      </w:pPr>
    </w:p>
    <w:p w:rsidR="009A3687" w:rsidRPr="00AE0CAB" w:rsidRDefault="009A3687" w:rsidP="009A3687">
      <w:pPr>
        <w:spacing w:after="0" w:line="240" w:lineRule="auto"/>
        <w:ind w:left="3531"/>
        <w:rPr>
          <w:rFonts w:ascii="Times New Roman" w:eastAsia="Arial" w:hAnsi="Times New Roman" w:cs="Times New Roman"/>
          <w:sz w:val="24"/>
          <w:szCs w:val="24"/>
        </w:rPr>
      </w:pPr>
      <w:r w:rsidRPr="00AE0CAB">
        <w:rPr>
          <w:rFonts w:ascii="Times New Roman" w:eastAsia="Arial" w:hAnsi="Times New Roman" w:cs="Times New Roman"/>
          <w:b/>
          <w:sz w:val="24"/>
          <w:szCs w:val="24"/>
        </w:rPr>
        <w:t>Dip. Octavio Martínez Vargas</w:t>
      </w:r>
    </w:p>
    <w:p w:rsidR="009A3687" w:rsidRPr="00AE0CAB" w:rsidRDefault="009A3687" w:rsidP="005D7FEC">
      <w:pPr>
        <w:spacing w:after="0" w:line="240" w:lineRule="auto"/>
        <w:jc w:val="center"/>
        <w:rPr>
          <w:rFonts w:ascii="Times New Roman" w:hAnsi="Times New Roman"/>
          <w:sz w:val="24"/>
          <w:szCs w:val="24"/>
        </w:rPr>
      </w:pPr>
    </w:p>
    <w:p w:rsidR="009A3687" w:rsidRPr="00AE0CAB" w:rsidRDefault="009A3687" w:rsidP="005D7FEC">
      <w:pPr>
        <w:spacing w:after="0" w:line="240" w:lineRule="auto"/>
        <w:jc w:val="center"/>
        <w:rPr>
          <w:rFonts w:ascii="Times New Roman" w:hAnsi="Times New Roman"/>
          <w:i/>
          <w:sz w:val="24"/>
          <w:szCs w:val="24"/>
        </w:rPr>
      </w:pPr>
      <w:r w:rsidRPr="00AE0CAB">
        <w:rPr>
          <w:rFonts w:ascii="Times New Roman" w:hAnsi="Times New Roman"/>
          <w:i/>
          <w:sz w:val="24"/>
          <w:szCs w:val="24"/>
        </w:rPr>
        <w:t>(Fin del documento)</w:t>
      </w:r>
    </w:p>
    <w:p w:rsidR="009A3687" w:rsidRPr="00AE0CAB" w:rsidRDefault="009A3687" w:rsidP="005D7FEC">
      <w:pPr>
        <w:spacing w:after="0" w:line="240" w:lineRule="auto"/>
        <w:jc w:val="center"/>
        <w:rPr>
          <w:rFonts w:ascii="Times New Roman" w:hAnsi="Times New Roman"/>
          <w:sz w:val="24"/>
          <w:szCs w:val="24"/>
        </w:rPr>
      </w:pPr>
    </w:p>
    <w:p w:rsidR="000E0101" w:rsidRPr="00AE0CAB" w:rsidRDefault="000E0101" w:rsidP="00D71801">
      <w:pPr>
        <w:pStyle w:val="Sinespaciado"/>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PRESIDENTA DIP. MARTHA AZUCENA CAMACHO REYNOSO. Gracias diputado Octavio Martínez Vargas. </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Se registro en la iniciativa y se remite a la Comisión Legislativa de Procuración y Administración de Justicia para su estudio y dictamen. </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En nombre de esta LXII Legislatura, queremos expresarle nuestro gran cariño y reconocimiento a un gran líder, a un gran coordinador y a un gran Presidente, hoy con motivo del día de su cumpleaños Doctor José Francisco Vázquez Rodríguez, gracias por preocuparse por unirnos y por trabajar en beneficio de las y los mexiquenses. </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Que tenga usted larga vida, muchas felicidades. </w:t>
      </w:r>
    </w:p>
    <w:p w:rsidR="000E0101" w:rsidRPr="00AE0CAB" w:rsidRDefault="000E0101" w:rsidP="00D71801">
      <w:pPr>
        <w:pStyle w:val="Sinespaciado"/>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DIP. EDUARDO ZARZOSA SÁNCHEZ (Desde su curul). Si me permite Presidenta. </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A nombre del Grupo Parlamentario del PRI, también expresarle nuestra más sincera felicitación a nuestro amigo Paco Vázquez, muchas felicidades Paco. </w:t>
      </w:r>
    </w:p>
    <w:p w:rsidR="000E0101" w:rsidRPr="00AE0CAB" w:rsidRDefault="000E0101" w:rsidP="00D71801">
      <w:pPr>
        <w:pStyle w:val="Sinespaciado"/>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PRESIDENTA DIP. MARTHA AZUCENA CAMACHO REYNOSO. Adelante diputada </w:t>
      </w:r>
    </w:p>
    <w:p w:rsidR="000E0101" w:rsidRPr="00AE0CAB" w:rsidRDefault="000E0101" w:rsidP="00D71801">
      <w:pPr>
        <w:pStyle w:val="Sinespaciado"/>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Yurixi</w:t>
      </w:r>
    </w:p>
    <w:p w:rsidR="000E0101" w:rsidRPr="00AE0CAB" w:rsidRDefault="000E0101" w:rsidP="00D71801">
      <w:pPr>
        <w:pStyle w:val="Sinespaciado"/>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DIP. ANA YURIXI LEYVA PIÑÓN (Desde su curul). Sí, también a nombre del Grupo Parlamentario del Partido de Trabajo, desearle larga vida a nuestro querido Presidente de este Congreso, muchas felicidades diputado. </w:t>
      </w:r>
    </w:p>
    <w:p w:rsidR="000E0101" w:rsidRPr="00AE0CAB" w:rsidRDefault="000E0101" w:rsidP="00D71801">
      <w:pPr>
        <w:pStyle w:val="Sinespaciado"/>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DIP. SARA ALICIA RAMÍREZ DE LA O. (Desde su curul). Larga vida Presidente. Muchas gracias. </w:t>
      </w:r>
    </w:p>
    <w:p w:rsidR="000E0101" w:rsidRPr="00AE0CAB" w:rsidRDefault="000E0101" w:rsidP="00D71801">
      <w:pPr>
        <w:pStyle w:val="Sinespaciado"/>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lastRenderedPageBreak/>
        <w:t xml:space="preserve">PRESIDENTA DIP. MARTHA AZUCENA CAMACHO REYNOSO. Adelante diputado Carlos. </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Sonido a la curul del diputado Carlos Alberto López </w:t>
      </w:r>
      <w:proofErr w:type="spellStart"/>
      <w:r w:rsidRPr="00AE0CAB">
        <w:rPr>
          <w:rFonts w:ascii="Times New Roman" w:eastAsia="Times New Roman" w:hAnsi="Times New Roman" w:cs="Times New Roman"/>
          <w:sz w:val="24"/>
          <w:szCs w:val="24"/>
          <w:lang w:eastAsia="es-MX"/>
        </w:rPr>
        <w:t>Imm</w:t>
      </w:r>
      <w:proofErr w:type="spellEnd"/>
      <w:r w:rsidRPr="00AE0CAB">
        <w:rPr>
          <w:rFonts w:ascii="Times New Roman" w:eastAsia="Times New Roman" w:hAnsi="Times New Roman" w:cs="Times New Roman"/>
          <w:sz w:val="24"/>
          <w:szCs w:val="24"/>
          <w:lang w:eastAsia="es-MX"/>
        </w:rPr>
        <w:t xml:space="preserve">, por favor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eastAsia="Times New Roman" w:hAnsi="Times New Roman" w:cs="Times New Roman"/>
          <w:sz w:val="24"/>
          <w:szCs w:val="24"/>
          <w:lang w:eastAsia="es-MX"/>
        </w:rPr>
        <w:t>DIP. CARLOS ALBERTO LÓPEZ IMM (Desde su curul).</w:t>
      </w:r>
      <w:r w:rsidRPr="00AE0CAB">
        <w:rPr>
          <w:rFonts w:ascii="Times New Roman" w:hAnsi="Times New Roman" w:cs="Times New Roman"/>
          <w:sz w:val="24"/>
          <w:szCs w:val="24"/>
        </w:rPr>
        <w:t xml:space="preserve"> Si me lo permite Presidenta, también, unirme a la felicitación de un extraordinario legislador Paco, sabes que te queremos mucho y que te apreciamos y gracias por todo tu esfuerzo, felicidades.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Adelante diputado.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DIP. OMAR ORTEGA ÁLVAREZ (Desde su curul). Gracias Presidenta.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De igual manera mi querido Paco que este sea uno de muchos años de mucho éxito y mucha salud, felicidades, a nombre del PRD y del Grupo Parlamentario y mi compañera Araceli Casasola.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Gracias coordinador, se le quiere y se le aprecia con todo cariño y con todo respeto, larga vida.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En cuanto al punto número 10, el diputado Edmundo Luis Valdeña Bastida, presenta en nombre del Grupo Parlamentario del Partido morena, iniciativa de decreto por el que se adicionan diversas disposiciones de la Ley de Bienestar y Desarrollo Social del Estado de México, en materia de cuidados y atención prioritaria a personas cuidadoras.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DIP. EDMUNDO LUIS VALDEÑA BASTIDA. Con el permiso de la Presidenta Martha Azucena Camacho Reynoso y de los miembros de la Mesa Directiva. Saludo a los medios de comunicación, a las y los mexiquenses que nos siguen a través de las distintas redes sociales.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Compañeras y compañeros diputados, en la siguiente exposición, tiene que ver con el tema de visibilizar el trabajo también en el cuidado o cuidadores de hombres y mujeres a personas adultas mayores, personas con discapacidad, así es que voy a dar lectura a este documento, gracias por la atención del festejado. Ahorita nos invitan a la fiesta, muchas gracias.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El bienestar social en el Estado de México enfrenta uno de los desafíos más complejos y estructurales del siglo XXI: la organización social del cuidado. Los cambios demográficos, el incremento en la esperanza de vida, la prevalencia de enfermedades crónicas y discapacidades, así como las persistentes desigualdades socioeconómicas, han generado una demanda creciente de cuidados para personas en situación de dependencia. Esta realidad ha sido reconocida por la Soberanía, al incorporar en nuestra Constitución, el derecho al cuidado digno y establecer las bases para la creación del Sistema Estatal de Cuidados del Estado de México.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Los espacios y bienes domésticos, el cuidado de los cuerpos, la educación, formación de las personas, el mantenimiento de las relaciones sociales o el apoyo psicológico a los miembros de la familia, estas labores comprenden el cuidado de niñas, niños y adolescentes, personas con discapacidad, personas con enfermedades crónicas y personas adultas mayores y representa una aportación sustantiva del bienestar y al bienestar social y al funcionamiento de la economía.</w:t>
      </w:r>
    </w:p>
    <w:p w:rsidR="000E0101" w:rsidRPr="00AE0CAB" w:rsidRDefault="000E0101"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La evidencia estadística muestra que el trabajo de cuidados no remunerado implica una carga significativa de tiempo, esfuerzo físico y desgaste emocional, lo que impacta en la salud, la inserción laboral y las condiciones económicas de quienes lo realizan, mujeres y hombres.</w:t>
      </w:r>
    </w:p>
    <w:p w:rsidR="000E0101" w:rsidRPr="00AE0CAB" w:rsidRDefault="000E0101"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En el Estado de México, esta realidad se traduce en la existencia de personas cuidadoras que enfrentan condiciones de vulnerabilidad no sólo por su nivel de ingresos o contexto territorial; sino también por la responsabilidad permanente de cuidado que asumen sin remuneración.</w:t>
      </w:r>
    </w:p>
    <w:p w:rsidR="000E0101" w:rsidRPr="00AE0CAB" w:rsidRDefault="000E0101"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Particular atención merece el caso de personas adultas mayores que, aun enfrentando limitaciones propias de la edad, continúan </w:t>
      </w:r>
      <w:r w:rsidRPr="00AE0CAB">
        <w:rPr>
          <w:rFonts w:ascii="Times New Roman" w:eastAsia="Arial" w:hAnsi="Times New Roman" w:cs="Times New Roman"/>
          <w:sz w:val="24"/>
          <w:szCs w:val="24"/>
        </w:rPr>
        <w:t xml:space="preserve">desempeñando labores de cuidado dentro de sus familias; si bien la reciente reforma constitucional en materia de cuidados constituye un avance estructural, resulta necesario armonizar la legislación secundaria, particularmente la Ley de Bienestar y el Desarrollo Social del Estado de México para que la política social incorpore de manera expresa a las personas cuidadoras, mujeres y hombres, dentro de los criterios que orienta la planeación, focalización y evaluación de programas. </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La presente iniciativa no crea derechos subjetivos nuevos, no establece prestaciones directas ni genera obligaciones presupuestales automáticas; su objetivo es fortalecer la planeación </w:t>
      </w:r>
      <w:r w:rsidRPr="00AE0CAB">
        <w:rPr>
          <w:rFonts w:ascii="Times New Roman" w:eastAsia="Arial" w:hAnsi="Times New Roman" w:cs="Times New Roman"/>
          <w:sz w:val="24"/>
          <w:szCs w:val="24"/>
        </w:rPr>
        <w:lastRenderedPageBreak/>
        <w:t>del desarrollo social, reconociendo explícitamente a las personas cuidadoras, como un grupo que enfrenta riesgos específicos y que puede ser sujeto de atención prioritaria, en términos de política pública conforme a la disponibilidad presupuestal y los principios de progresividad y sustentabilidad financiera.</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este sentido, la presente propuesta es congruente con el enfoque humanista y de justicia social impulsado por el Estado de México, por la Gobernadora, la Maestra Delfina Gómez Álvarez, quien ha promovido el reconocimiento del derecho al cuidado digno y la Construcción del Sistema Estatal de Cuidados como pilares de una política social con enfoque de derechos, igualdad sustantiva y corresponsabilidad social.</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Asimismo, se alinea con la visión nacional de la Presidenta de la República, la Doctora Claudia Sheinbaum Pardo, orientada a fortalecer un modelo de bienestar que reconozca el valor económico y social del trabajo de cuidados; en suma, reconocer a las personas cuidadoras, mujeres y hombres en la ley es una decisión de política pública responsable que contribuye a reducir las desigualdades, fortalece la cohesión social y mejora la eficacia de los programas del bienestar.</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Es </w:t>
      </w:r>
      <w:proofErr w:type="spellStart"/>
      <w:r w:rsidRPr="00AE0CAB">
        <w:rPr>
          <w:rFonts w:ascii="Times New Roman" w:eastAsia="Arial" w:hAnsi="Times New Roman" w:cs="Times New Roman"/>
          <w:sz w:val="24"/>
          <w:szCs w:val="24"/>
        </w:rPr>
        <w:t>cuanto</w:t>
      </w:r>
      <w:proofErr w:type="spellEnd"/>
      <w:r w:rsidRPr="00AE0CAB">
        <w:rPr>
          <w:rFonts w:ascii="Times New Roman" w:eastAsia="Arial" w:hAnsi="Times New Roman" w:cs="Times New Roman"/>
          <w:sz w:val="24"/>
          <w:szCs w:val="24"/>
        </w:rPr>
        <w:t>.</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Y solicito que quede de manera íntegra la presente iniciativa en la Gaceta Parlamentaria y en el Diario de los Debates.</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eastAsia="Arial" w:hAnsi="Times New Roman" w:cs="Times New Roman"/>
          <w:sz w:val="24"/>
          <w:szCs w:val="24"/>
        </w:rPr>
        <w:t>Por su atención, muchas gracias.</w:t>
      </w:r>
    </w:p>
    <w:p w:rsidR="009256A0" w:rsidRPr="00AE0CAB" w:rsidRDefault="009256A0" w:rsidP="005D7FEC">
      <w:pPr>
        <w:pStyle w:val="Sinespaciado"/>
        <w:jc w:val="both"/>
        <w:rPr>
          <w:rFonts w:ascii="Times New Roman" w:hAnsi="Times New Roman" w:cs="Times New Roman"/>
          <w:sz w:val="24"/>
          <w:szCs w:val="24"/>
        </w:rPr>
      </w:pPr>
    </w:p>
    <w:p w:rsidR="009256A0" w:rsidRPr="00AE0CAB" w:rsidRDefault="009256A0" w:rsidP="005D7FEC">
      <w:pPr>
        <w:spacing w:after="0" w:line="240" w:lineRule="auto"/>
        <w:jc w:val="center"/>
        <w:rPr>
          <w:rFonts w:ascii="Times New Roman" w:hAnsi="Times New Roman"/>
          <w:i/>
          <w:sz w:val="24"/>
          <w:szCs w:val="24"/>
        </w:rPr>
      </w:pPr>
      <w:r w:rsidRPr="00AE0CAB">
        <w:rPr>
          <w:rFonts w:ascii="Times New Roman" w:hAnsi="Times New Roman"/>
          <w:i/>
          <w:sz w:val="24"/>
          <w:szCs w:val="24"/>
        </w:rPr>
        <w:t>(Se inserta documento)</w:t>
      </w:r>
    </w:p>
    <w:p w:rsidR="009256A0" w:rsidRPr="00AE0CAB" w:rsidRDefault="009256A0" w:rsidP="005D7FEC">
      <w:pPr>
        <w:spacing w:after="0" w:line="240" w:lineRule="auto"/>
        <w:jc w:val="center"/>
        <w:rPr>
          <w:rFonts w:ascii="Times New Roman" w:hAnsi="Times New Roman"/>
          <w:sz w:val="24"/>
          <w:szCs w:val="24"/>
        </w:rPr>
      </w:pPr>
    </w:p>
    <w:p w:rsidR="00F74388" w:rsidRPr="00AE0CAB" w:rsidRDefault="00F74388" w:rsidP="00F74388">
      <w:pPr>
        <w:spacing w:after="0" w:line="240" w:lineRule="auto"/>
        <w:ind w:right="-12"/>
        <w:rPr>
          <w:rFonts w:ascii="Times New Roman" w:eastAsia="Arial" w:hAnsi="Times New Roman" w:cs="Times New Roman"/>
          <w:b/>
          <w:sz w:val="24"/>
          <w:szCs w:val="24"/>
        </w:rPr>
      </w:pPr>
      <w:r w:rsidRPr="00AE0CAB">
        <w:rPr>
          <w:rFonts w:ascii="Times New Roman" w:eastAsia="Arial" w:hAnsi="Times New Roman" w:cs="Times New Roman"/>
          <w:b/>
          <w:sz w:val="24"/>
          <w:szCs w:val="24"/>
        </w:rPr>
        <w:t>DIP. MARTHA AZUCENA CAMACHO REYNOSO</w:t>
      </w:r>
    </w:p>
    <w:p w:rsidR="00F74388" w:rsidRPr="00AE0CAB" w:rsidRDefault="00F74388" w:rsidP="00F74388">
      <w:pPr>
        <w:spacing w:after="0" w:line="240" w:lineRule="auto"/>
        <w:ind w:right="-12"/>
        <w:rPr>
          <w:rFonts w:ascii="Times New Roman" w:eastAsia="Arial" w:hAnsi="Times New Roman" w:cs="Times New Roman"/>
          <w:b/>
          <w:sz w:val="24"/>
          <w:szCs w:val="24"/>
        </w:rPr>
      </w:pPr>
      <w:r w:rsidRPr="00AE0CAB">
        <w:rPr>
          <w:rFonts w:ascii="Times New Roman" w:eastAsia="Arial" w:hAnsi="Times New Roman" w:cs="Times New Roman"/>
          <w:b/>
          <w:sz w:val="24"/>
          <w:szCs w:val="24"/>
        </w:rPr>
        <w:t>PRESIDENTA DE LA DIRECTIVA DE LA “LXII”</w:t>
      </w:r>
    </w:p>
    <w:p w:rsidR="00F74388" w:rsidRPr="00AE0CAB" w:rsidRDefault="00F74388" w:rsidP="00F74388">
      <w:pPr>
        <w:spacing w:after="0" w:line="240" w:lineRule="auto"/>
        <w:ind w:right="-12"/>
        <w:rPr>
          <w:rFonts w:ascii="Times New Roman" w:eastAsia="Arial" w:hAnsi="Times New Roman" w:cs="Times New Roman"/>
          <w:b/>
          <w:sz w:val="24"/>
          <w:szCs w:val="24"/>
        </w:rPr>
      </w:pPr>
      <w:r w:rsidRPr="00AE0CAB">
        <w:rPr>
          <w:rFonts w:ascii="Times New Roman" w:eastAsia="Arial" w:hAnsi="Times New Roman" w:cs="Times New Roman"/>
          <w:b/>
          <w:sz w:val="24"/>
          <w:szCs w:val="24"/>
        </w:rPr>
        <w:t>LEGISLATURA DEL ESTADO DE MÉXICO.</w:t>
      </w:r>
    </w:p>
    <w:p w:rsidR="00F74388" w:rsidRPr="00AE0CAB" w:rsidRDefault="00F74388" w:rsidP="00F74388">
      <w:pPr>
        <w:spacing w:after="0" w:line="240" w:lineRule="auto"/>
        <w:ind w:right="-12"/>
        <w:rPr>
          <w:rFonts w:ascii="Times New Roman" w:eastAsia="Arial" w:hAnsi="Times New Roman" w:cs="Times New Roman"/>
          <w:sz w:val="24"/>
          <w:szCs w:val="24"/>
        </w:rPr>
      </w:pPr>
      <w:r w:rsidRPr="00AE0CAB">
        <w:rPr>
          <w:rFonts w:ascii="Times New Roman" w:eastAsia="Arial" w:hAnsi="Times New Roman" w:cs="Times New Roman"/>
          <w:b/>
          <w:sz w:val="24"/>
          <w:szCs w:val="24"/>
        </w:rPr>
        <w:t>PRESENTE.</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Diputado Edmundo Luis Valdeña Bastida, integrante del Grupo Parlamentario de morena me permito someter a la consideración de esta Honorable Legislatura la presente </w:t>
      </w:r>
      <w:r w:rsidRPr="00AE0CAB">
        <w:rPr>
          <w:rFonts w:ascii="Times New Roman" w:eastAsia="Arial" w:hAnsi="Times New Roman" w:cs="Times New Roman"/>
          <w:b/>
          <w:sz w:val="24"/>
          <w:szCs w:val="24"/>
        </w:rPr>
        <w:t>Iniciativa de Decreto por el que se adicionan diversas disposiciones de la ley de Bienestar y Desarrollo Social del Estado de México</w:t>
      </w:r>
      <w:r w:rsidRPr="00AE0CAB">
        <w:rPr>
          <w:rFonts w:ascii="Times New Roman" w:eastAsia="Arial" w:hAnsi="Times New Roman" w:cs="Times New Roman"/>
          <w:sz w:val="24"/>
          <w:szCs w:val="24"/>
        </w:rPr>
        <w:t>, de conformidad con la siguiente:</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EXPOSICIÓN DE MOTIVOS</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bienestar social en el Estado de México enfrenta uno de los desafíos más complejos y estructurales del siglo XXI: la organización social del cuidado.</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Los cambios demográficos, el incremento en la esperanza de vida, la prevalencia de enfermedades crónicas y discapacidades, así como las persistentes desigualdades socioeconómicas, han generado una demanda creciente de cuidados para personas en situación de dependencia.</w:t>
      </w:r>
    </w:p>
    <w:p w:rsidR="00F74388" w:rsidRPr="00AE0CAB" w:rsidRDefault="00F74388" w:rsidP="00F74388">
      <w:pPr>
        <w:spacing w:after="0" w:line="240" w:lineRule="auto"/>
        <w:ind w:right="-12"/>
        <w:jc w:val="both"/>
        <w:rPr>
          <w:rFonts w:ascii="Times New Roman" w:eastAsia="Arial"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Esta realidad ha sido reconocida por esta Soberanía, al incorporar en nuestra Constitución, el derecho al cuidado digno y al establecer las bases para la creación del Sistema Estatal de Cuidados del Estado de México.</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De acuerdo con la Encuesta Nacional para el Sistema de Cuidados (ENASIC) del INEGI, el trabajo de cuidados en México se realiza mayoritariamente en los hogares y es llevado a cabo de manera no remunerada por mujeres y hombres de distintas edades.</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Del total de hogares en México, en 78.10 por ciento alguna persona requiere apoyo o cuidados (incluye hogares donde únicamente realizan cuidados a personas enfermas temporales); en 21.90 por ciento de hogares ninguna persona requiere apoyo o cuidados. El grupo que representa el mayor porcentaje de personas susceptibles a los cuidados es el de 6 a 17 años, seguida de la población adulta mayor.</w:t>
      </w:r>
      <w:r w:rsidRPr="00AE0CAB">
        <w:rPr>
          <w:rFonts w:ascii="Times New Roman" w:eastAsia="Arial" w:hAnsi="Times New Roman" w:cs="Times New Roman"/>
          <w:sz w:val="24"/>
          <w:szCs w:val="24"/>
          <w:vertAlign w:val="superscript"/>
        </w:rPr>
        <w:t>1</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Los sistemas de cuidado se definen como “las actividades que regeneran diaria y generacionalmente el bienestar físico y emocional de las personas. Son las tareas cotidianas de gestión y mantenimiento de la vida, como, por ejemplo: el mantenimiento de los espacios y bienes domésticos, el cuidado de los cuerpos, la educación/formación de las personas, el mantenimiento de las relaciones sociales o el apoyo psicológico a los miembros de la familia”</w:t>
      </w:r>
      <w:r w:rsidRPr="00AE0CAB">
        <w:rPr>
          <w:rFonts w:ascii="Times New Roman" w:eastAsia="Arial" w:hAnsi="Times New Roman" w:cs="Times New Roman"/>
          <w:sz w:val="24"/>
          <w:szCs w:val="24"/>
          <w:vertAlign w:val="superscript"/>
        </w:rPr>
        <w:t>2</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rPr>
          <w:rFonts w:ascii="Times New Roman" w:eastAsia="Calibri" w:hAnsi="Times New Roman" w:cs="Times New Roman"/>
          <w:sz w:val="20"/>
          <w:szCs w:val="24"/>
          <w:vertAlign w:val="superscript"/>
        </w:rPr>
      </w:pPr>
      <w:r w:rsidRPr="00AE0CAB">
        <w:rPr>
          <w:rFonts w:ascii="Times New Roman" w:eastAsia="Calibri" w:hAnsi="Times New Roman" w:cs="Times New Roman"/>
          <w:sz w:val="20"/>
          <w:szCs w:val="24"/>
          <w:vertAlign w:val="superscript"/>
        </w:rPr>
        <w:t>1</w:t>
      </w:r>
    </w:p>
    <w:p w:rsidR="00F74388" w:rsidRPr="00AE0CAB" w:rsidRDefault="00F74388" w:rsidP="00F74388">
      <w:pPr>
        <w:spacing w:after="0" w:line="240" w:lineRule="auto"/>
        <w:ind w:right="-12"/>
        <w:rPr>
          <w:rFonts w:ascii="Times New Roman" w:eastAsia="Calibri" w:hAnsi="Times New Roman" w:cs="Times New Roman"/>
          <w:sz w:val="20"/>
          <w:szCs w:val="24"/>
        </w:rPr>
      </w:pPr>
      <w:r w:rsidRPr="00AE0CAB">
        <w:rPr>
          <w:rFonts w:ascii="Times New Roman" w:eastAsia="Calibri" w:hAnsi="Times New Roman" w:cs="Times New Roman"/>
          <w:sz w:val="20"/>
          <w:szCs w:val="24"/>
        </w:rPr>
        <w:t>https://coespo.edomex.gob.mx/sites/coespo.edomex.gob.mx/files/files/PDF/Encuesta%20Nacional%20para</w:t>
      </w:r>
    </w:p>
    <w:p w:rsidR="00F74388" w:rsidRPr="00AE0CAB" w:rsidRDefault="00F74388" w:rsidP="00F74388">
      <w:pPr>
        <w:spacing w:after="0" w:line="240" w:lineRule="auto"/>
        <w:ind w:right="-12"/>
        <w:rPr>
          <w:rFonts w:ascii="Times New Roman" w:eastAsia="Calibri" w:hAnsi="Times New Roman" w:cs="Times New Roman"/>
          <w:sz w:val="20"/>
          <w:szCs w:val="24"/>
        </w:rPr>
      </w:pPr>
      <w:r w:rsidRPr="00AE0CAB">
        <w:rPr>
          <w:rFonts w:ascii="Times New Roman" w:eastAsia="Calibri" w:hAnsi="Times New Roman" w:cs="Times New Roman"/>
          <w:sz w:val="20"/>
          <w:szCs w:val="24"/>
        </w:rPr>
        <w:t>%20el%20Sistema%20de%20Cuidados%20(ENASIC)%202022digital.pdf</w:t>
      </w:r>
    </w:p>
    <w:p w:rsidR="00F74388" w:rsidRPr="00AE0CAB" w:rsidRDefault="00F74388" w:rsidP="00F74388">
      <w:pPr>
        <w:spacing w:after="0" w:line="240" w:lineRule="auto"/>
        <w:ind w:right="-12"/>
        <w:rPr>
          <w:rFonts w:ascii="Times New Roman" w:eastAsia="Calibri" w:hAnsi="Times New Roman" w:cs="Times New Roman"/>
          <w:sz w:val="20"/>
          <w:szCs w:val="24"/>
        </w:rPr>
      </w:pPr>
      <w:r w:rsidRPr="00AE0CAB">
        <w:rPr>
          <w:rFonts w:ascii="Times New Roman" w:eastAsia="Calibri" w:hAnsi="Times New Roman" w:cs="Times New Roman"/>
          <w:sz w:val="20"/>
          <w:szCs w:val="24"/>
          <w:vertAlign w:val="superscript"/>
        </w:rPr>
        <w:t>2</w:t>
      </w:r>
      <w:r w:rsidRPr="00AE0CAB">
        <w:rPr>
          <w:rFonts w:ascii="Times New Roman" w:eastAsia="Calibri" w:hAnsi="Times New Roman" w:cs="Times New Roman"/>
          <w:sz w:val="20"/>
          <w:szCs w:val="24"/>
        </w:rPr>
        <w:t xml:space="preserve"> idem</w:t>
      </w:r>
    </w:p>
    <w:p w:rsidR="00F74388" w:rsidRPr="00AE0CAB" w:rsidRDefault="00F74388" w:rsidP="00F74388">
      <w:pPr>
        <w:spacing w:after="0" w:line="240" w:lineRule="auto"/>
        <w:ind w:right="-12"/>
        <w:rPr>
          <w:rFonts w:ascii="Times New Roman" w:eastAsia="Arial"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Estas labores comprenden el cuidado de niñas, niños y adolescentes, personas con discapacidad, personas con enfermedades crónicas y personas adultas mayores, y representan una aportación sustantiva al bienestar social y al funcionamiento de la economía.</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evidencia estadística muestra que el trabajo de cuidados no remunerado implica una carga significativa de tiempo, esfuerzo físico y desgaste emocional, lo que impacta en la salud, la inserción laboral y las condiciones económicas de quienes lo realizan.</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No obstante, su relevancia, este trabajo ha sido invisibilizado y no siempre considerado de manera expresa en los procesos de planeación del desarrollo social.</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el Estado de México, esta realidad se traduce en la existencia de personas cuidadoras que enfrentan condiciones de vulnerabilidad no sólo por su nivel de ingresos o contexto territorial, sino también por la responsabilidad permanente de cuidado que asumen sin remuneración.</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Particular atención merece el caso de personas adultas mayores que, aun enfrentando limitaciones propias de la edad, continúan desempeñando labores de cuidado dentro de sus familias.</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Si bien la reciente reforma constitucional en materia de cuidado constituye un avance estructural, resulta necesario armonizar la legislación secundaria, particularmente la Ley de Bienestar y Desarrollo Social del Estado de México, para que la política social incorpore de manera expresa a las personas cuidadoras dentro de los criterios que orientan la planeación, focalización y evaluación de programas.</w:t>
      </w:r>
    </w:p>
    <w:p w:rsidR="00F74388" w:rsidRPr="00AE0CAB" w:rsidRDefault="00F74388" w:rsidP="00F74388">
      <w:pPr>
        <w:spacing w:after="0" w:line="240" w:lineRule="auto"/>
        <w:ind w:right="-12"/>
        <w:jc w:val="both"/>
        <w:rPr>
          <w:rFonts w:ascii="Times New Roman" w:eastAsia="Arial"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presente iniciativa no crea derechos subjetivos nuevos, no establece prestaciones directas ni genera obligaciones presupuestales automáticas.</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Su objetivo es fortalecer la planeación del desarrollo social, reconociendo explícitamente a las personas cuidadoras como un grupo que enfrenta riesgos específicos y que puede ser sujeto de atención prioritaria en términos de política pública, conforme a la disponibilidad presupuestal y a los principios de progresividad y sostenibilidad financiera.</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 acuerdo con Bango y Cossani (2021), los sistemas de bienestar social clásicos en la región de América Latina y el Caribe se erigen sobre tres pilares: salud, educación y seguridad social. Sin embargo, los cuidados son un cuarto elemento que considerar debido a que son parte fundamental del sostenimiento de la vida y la reproducción social.</w:t>
      </w:r>
      <w:r w:rsidRPr="00AE0CAB">
        <w:rPr>
          <w:rFonts w:ascii="Times New Roman" w:eastAsia="Arial" w:hAnsi="Times New Roman" w:cs="Times New Roman"/>
          <w:sz w:val="24"/>
          <w:szCs w:val="24"/>
          <w:vertAlign w:val="superscript"/>
        </w:rPr>
        <w:t>3</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este sentido, la presente propuesta es congruente con el enfoque humanista y de justicia social impulsado en el Estado de México por la Gobernadora Delfina Gómez Álvarez, quien ha promovido el reconocimiento del derecho al cuidado digno y la construcción del Sistema Estatal de Cuidados como pilares de una política social con enfoque de derechos, igualdad sustantiva y corresponsabilidad social.</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rPr>
          <w:rFonts w:ascii="Times New Roman" w:eastAsia="Calibri" w:hAnsi="Times New Roman" w:cs="Times New Roman"/>
          <w:sz w:val="20"/>
          <w:szCs w:val="24"/>
          <w:vertAlign w:val="superscript"/>
        </w:rPr>
      </w:pPr>
      <w:r w:rsidRPr="00AE0CAB">
        <w:rPr>
          <w:rFonts w:ascii="Times New Roman" w:eastAsia="Calibri" w:hAnsi="Times New Roman" w:cs="Times New Roman"/>
          <w:sz w:val="20"/>
          <w:szCs w:val="24"/>
          <w:vertAlign w:val="superscript"/>
        </w:rPr>
        <w:t>3</w:t>
      </w:r>
    </w:p>
    <w:p w:rsidR="00F74388" w:rsidRPr="00AE0CAB" w:rsidRDefault="003165F0" w:rsidP="00F74388">
      <w:pPr>
        <w:spacing w:after="0" w:line="240" w:lineRule="auto"/>
        <w:ind w:right="-12"/>
        <w:rPr>
          <w:rFonts w:ascii="Times New Roman" w:eastAsia="Calibri" w:hAnsi="Times New Roman" w:cs="Times New Roman"/>
          <w:sz w:val="20"/>
          <w:szCs w:val="24"/>
        </w:rPr>
      </w:pPr>
      <w:hyperlink r:id="rId100" w:history="1">
        <w:r w:rsidR="00F74388" w:rsidRPr="00AE0CAB">
          <w:rPr>
            <w:rFonts w:ascii="Times New Roman" w:eastAsia="Calibri" w:hAnsi="Times New Roman" w:cs="Times New Roman"/>
            <w:sz w:val="20"/>
            <w:szCs w:val="24"/>
            <w:u w:val="single"/>
          </w:rPr>
          <w:t>https://coespo.edomex.gob.mx/sites/coespo.edomex.gob.mx/files/files/PDF/Encuesta%20Nacional%20para%20el%20Sistema%20de%20Cuidados%20(ENASIC)%202022digital.pdf</w:t>
        </w:r>
      </w:hyperlink>
    </w:p>
    <w:p w:rsidR="00F74388" w:rsidRPr="00AE0CAB" w:rsidRDefault="00F74388" w:rsidP="00F74388">
      <w:pPr>
        <w:spacing w:after="0" w:line="240" w:lineRule="auto"/>
        <w:ind w:right="-12"/>
        <w:rPr>
          <w:rFonts w:ascii="Times New Roman" w:eastAsia="Arial" w:hAnsi="Times New Roman" w:cs="Times New Roman"/>
          <w:sz w:val="24"/>
          <w:szCs w:val="24"/>
        </w:rPr>
      </w:pPr>
    </w:p>
    <w:p w:rsidR="00F74388" w:rsidRPr="00AE0CAB" w:rsidRDefault="00F74388" w:rsidP="00F74388">
      <w:pPr>
        <w:spacing w:after="0" w:line="240" w:lineRule="auto"/>
        <w:ind w:right="-12"/>
        <w:rPr>
          <w:rFonts w:ascii="Times New Roman" w:eastAsia="Arial" w:hAnsi="Times New Roman" w:cs="Times New Roman"/>
          <w:sz w:val="24"/>
          <w:szCs w:val="24"/>
        </w:rPr>
      </w:pPr>
      <w:r w:rsidRPr="00AE0CAB">
        <w:rPr>
          <w:rFonts w:ascii="Times New Roman" w:eastAsia="Arial" w:hAnsi="Times New Roman" w:cs="Times New Roman"/>
          <w:sz w:val="24"/>
          <w:szCs w:val="24"/>
        </w:rPr>
        <w:t>Asimismo, se alinea con la visión nacional orientada a fortalecer un modelo de bienestar que reconozca el valor económico y social del trabajo de cuidados.</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reforma dota a la Ley de Bienestar y Desarrollo Social de un marco normativo actualizado y coherente con la reforma constitucional en materia de cuidados, permitiendo que las autoridades estatales y municipales cuenten con criterios claros para diseñar, ejecutar y evaluar acciones más eficaces, equitativas y técnicamente focalizadas.</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Reconocer a las personas cuidadoras en la ley no implica crear una carga presupuestal inmediata, sino mejorar la calidad del diseño institucional de la política social, reducir brechas de desigualdad y fortalecer la cohesión social desde una perspectiva preventiva.</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suma, reconocer a las personas cuidadoras en la ley es una decisión de política pública responsable, que contribuye a reducir desigualdades, fortalece la cohesión social y mejora la eficacia de los programas de bienestar, sin generar distorsiones normativas ni comprometer recursos públicos de manera inmediata.</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lo anteriormente expuesto, me permito someter a la consideración de esta soberanía el siguiente.</w:t>
      </w:r>
    </w:p>
    <w:p w:rsidR="00F74388" w:rsidRPr="00AE0CAB" w:rsidRDefault="00F74388" w:rsidP="00F74388">
      <w:pPr>
        <w:spacing w:after="0" w:line="240" w:lineRule="auto"/>
        <w:ind w:right="-12"/>
        <w:jc w:val="both"/>
        <w:rPr>
          <w:rFonts w:ascii="Times New Roman" w:eastAsia="Arial" w:hAnsi="Times New Roman" w:cs="Times New Roman"/>
          <w:b/>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DECRETO</w:t>
      </w: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DECRETO NÚMERO _</w:t>
      </w: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LA H. “LXII” LEGISLATURA DEL ESTADO DE MÉXICO</w:t>
      </w: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DECRETA:</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 ÚNICO</w:t>
      </w:r>
      <w:r w:rsidRPr="00AE0CAB">
        <w:rPr>
          <w:rFonts w:ascii="Times New Roman" w:eastAsia="Arial" w:hAnsi="Times New Roman" w:cs="Times New Roman"/>
          <w:sz w:val="24"/>
          <w:szCs w:val="24"/>
        </w:rPr>
        <w:t>. Se adiciona una fracción VIII al artículo 11 y una fracción IV al artículo 12 de la Ley de Bienestar y Desarrollo Social del Estado de México, para quedar como sigue:</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rPr>
          <w:rFonts w:ascii="Times New Roman" w:eastAsia="Arial" w:hAnsi="Times New Roman" w:cs="Times New Roman"/>
          <w:sz w:val="24"/>
          <w:szCs w:val="24"/>
        </w:rPr>
      </w:pPr>
      <w:r w:rsidRPr="00AE0CAB">
        <w:rPr>
          <w:rFonts w:ascii="Times New Roman" w:eastAsia="Arial" w:hAnsi="Times New Roman" w:cs="Times New Roman"/>
          <w:sz w:val="24"/>
          <w:szCs w:val="24"/>
        </w:rPr>
        <w:t>Artículo 11.- …</w:t>
      </w:r>
    </w:p>
    <w:p w:rsidR="00F74388" w:rsidRPr="00AE0CAB" w:rsidRDefault="00F74388" w:rsidP="00F74388">
      <w:pPr>
        <w:spacing w:after="0" w:line="240" w:lineRule="auto"/>
        <w:ind w:right="-12"/>
        <w:rPr>
          <w:rFonts w:ascii="Times New Roman" w:eastAsia="Arial" w:hAnsi="Times New Roman" w:cs="Times New Roman"/>
          <w:sz w:val="24"/>
          <w:szCs w:val="24"/>
        </w:rPr>
      </w:pPr>
    </w:p>
    <w:p w:rsidR="00F74388" w:rsidRPr="00AE0CAB" w:rsidRDefault="00F74388" w:rsidP="00F74388">
      <w:pPr>
        <w:spacing w:after="0" w:line="240" w:lineRule="auto"/>
        <w:ind w:right="-12"/>
        <w:rPr>
          <w:rFonts w:ascii="Times New Roman" w:eastAsia="Arial" w:hAnsi="Times New Roman" w:cs="Times New Roman"/>
          <w:sz w:val="24"/>
          <w:szCs w:val="24"/>
        </w:rPr>
      </w:pPr>
      <w:r w:rsidRPr="00AE0CAB">
        <w:rPr>
          <w:rFonts w:ascii="Times New Roman" w:eastAsia="Arial" w:hAnsi="Times New Roman" w:cs="Times New Roman"/>
          <w:sz w:val="24"/>
          <w:szCs w:val="24"/>
        </w:rPr>
        <w:t>I. a VII. …</w:t>
      </w:r>
    </w:p>
    <w:p w:rsidR="00F74388" w:rsidRPr="00AE0CAB" w:rsidRDefault="00F74388" w:rsidP="00F74388">
      <w:pPr>
        <w:spacing w:after="0" w:line="240" w:lineRule="auto"/>
        <w:ind w:right="-12"/>
        <w:jc w:val="both"/>
        <w:rPr>
          <w:rFonts w:ascii="Times New Roman" w:eastAsia="Arial"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VIII. El reconocimiento, apoyo y fortalecimiento de las personas cuidadoras, mujeres y hombres, que brindan cuidados de manera no remunerada a personas en situación de dependencia, discapacidad, enfermedad crónica, personas adultas mayores o niñas, niños y adolescentes, con especial atención a aquellas que se encuentren en condiciones de pobreza, exclusión o vulnerabilidad social, en congruencia con el derecho al cuidado digno previsto en la Constitución Política del Estado Libre y Soberano de México.</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rPr>
          <w:rFonts w:ascii="Times New Roman" w:eastAsia="Arial" w:hAnsi="Times New Roman" w:cs="Times New Roman"/>
          <w:sz w:val="24"/>
          <w:szCs w:val="24"/>
        </w:rPr>
      </w:pPr>
      <w:r w:rsidRPr="00AE0CAB">
        <w:rPr>
          <w:rFonts w:ascii="Times New Roman" w:eastAsia="Arial" w:hAnsi="Times New Roman" w:cs="Times New Roman"/>
          <w:sz w:val="24"/>
          <w:szCs w:val="24"/>
        </w:rPr>
        <w:t>Artículo 12.- …</w:t>
      </w:r>
    </w:p>
    <w:p w:rsidR="00F74388" w:rsidRPr="00AE0CAB" w:rsidRDefault="00F74388" w:rsidP="00F74388">
      <w:pPr>
        <w:spacing w:after="0" w:line="240" w:lineRule="auto"/>
        <w:ind w:right="-12"/>
        <w:rPr>
          <w:rFonts w:ascii="Times New Roman" w:eastAsia="Arial" w:hAnsi="Times New Roman" w:cs="Times New Roman"/>
          <w:sz w:val="24"/>
          <w:szCs w:val="24"/>
        </w:rPr>
      </w:pPr>
    </w:p>
    <w:p w:rsidR="00F74388" w:rsidRPr="00AE0CAB" w:rsidRDefault="00F74388" w:rsidP="00F74388">
      <w:pPr>
        <w:spacing w:after="0" w:line="240" w:lineRule="auto"/>
        <w:ind w:right="-12"/>
        <w:rPr>
          <w:rFonts w:ascii="Times New Roman" w:eastAsia="Arial" w:hAnsi="Times New Roman" w:cs="Times New Roman"/>
          <w:sz w:val="24"/>
          <w:szCs w:val="24"/>
        </w:rPr>
      </w:pPr>
      <w:r w:rsidRPr="00AE0CAB">
        <w:rPr>
          <w:rFonts w:ascii="Times New Roman" w:eastAsia="Arial" w:hAnsi="Times New Roman" w:cs="Times New Roman"/>
          <w:sz w:val="24"/>
          <w:szCs w:val="24"/>
        </w:rPr>
        <w:t>I. a III. …</w:t>
      </w:r>
    </w:p>
    <w:p w:rsidR="00F74388" w:rsidRPr="00AE0CAB" w:rsidRDefault="00F74388" w:rsidP="00F74388">
      <w:pPr>
        <w:spacing w:after="0" w:line="240" w:lineRule="auto"/>
        <w:ind w:right="-12"/>
        <w:jc w:val="both"/>
        <w:rPr>
          <w:rFonts w:ascii="Times New Roman" w:eastAsia="Arial"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IV. Las personas cuidadoras, mujeres y hombres, que brindan cuidados de manera no remunerada a personas en situación de dependencia, discapacidad, enfermedad crónica, personas adultas mayores o niñas, niños y adolescentes, dando prioridad a aquellas que desempeñen dichas labores en condiciones de pobreza, exclusión o vulnerabilidad social.</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TRANSITORIOS</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 PRIMERO</w:t>
      </w:r>
      <w:r w:rsidRPr="00AE0CAB">
        <w:rPr>
          <w:rFonts w:ascii="Times New Roman" w:eastAsia="Arial" w:hAnsi="Times New Roman" w:cs="Times New Roman"/>
          <w:sz w:val="24"/>
          <w:szCs w:val="24"/>
        </w:rPr>
        <w:t>. Publíquese el presente decreto en el periódico oficial “Gaceta de Gobierno”.</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 SEGUNDO</w:t>
      </w:r>
      <w:r w:rsidRPr="00AE0CAB">
        <w:rPr>
          <w:rFonts w:ascii="Times New Roman" w:eastAsia="Arial" w:hAnsi="Times New Roman" w:cs="Times New Roman"/>
          <w:sz w:val="24"/>
          <w:szCs w:val="24"/>
        </w:rPr>
        <w:t>. El presente decreto entrará en vigor el día siguiente al de su publicación en el Periódico Oficial “Gaceta de Gobierno” del Estado de México.</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titular del Poder Ejecutivo lo tendrá por entendido, haciendo que se publique y se cumpla.</w:t>
      </w:r>
    </w:p>
    <w:p w:rsidR="00F74388" w:rsidRPr="00AE0CAB" w:rsidRDefault="00F74388" w:rsidP="00F74388">
      <w:pPr>
        <w:spacing w:after="0" w:line="240" w:lineRule="auto"/>
        <w:ind w:right="-12"/>
        <w:rPr>
          <w:rFonts w:ascii="Times New Roman" w:eastAsia="Times New Roman" w:hAnsi="Times New Roman" w:cs="Times New Roman"/>
          <w:sz w:val="24"/>
          <w:szCs w:val="24"/>
        </w:rPr>
      </w:pPr>
    </w:p>
    <w:p w:rsidR="00F74388" w:rsidRPr="00AE0CAB" w:rsidRDefault="00F74388" w:rsidP="00F74388">
      <w:pPr>
        <w:spacing w:after="0" w:line="240" w:lineRule="auto"/>
        <w:ind w:right="-12"/>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Dado en el Palacio del Poder Legislativo en la Ciudad de Toluca, Capital del Estado de México, a los días </w:t>
      </w:r>
      <w:r w:rsidRPr="00AE0CAB">
        <w:rPr>
          <w:rFonts w:ascii="Times New Roman" w:eastAsia="Arial" w:hAnsi="Times New Roman" w:cs="Times New Roman"/>
          <w:sz w:val="24"/>
          <w:szCs w:val="24"/>
          <w:u w:val="single" w:color="000000"/>
        </w:rPr>
        <w:t xml:space="preserve">   </w:t>
      </w:r>
      <w:r w:rsidRPr="00AE0CAB">
        <w:rPr>
          <w:rFonts w:ascii="Times New Roman" w:eastAsia="Arial" w:hAnsi="Times New Roman" w:cs="Times New Roman"/>
          <w:sz w:val="24"/>
          <w:szCs w:val="24"/>
        </w:rPr>
        <w:t xml:space="preserve"> del mes de </w:t>
      </w:r>
      <w:r w:rsidRPr="00AE0CAB">
        <w:rPr>
          <w:rFonts w:ascii="Times New Roman" w:eastAsia="Arial" w:hAnsi="Times New Roman" w:cs="Times New Roman"/>
          <w:sz w:val="24"/>
          <w:szCs w:val="24"/>
          <w:u w:val="single" w:color="000000"/>
        </w:rPr>
        <w:t xml:space="preserve">     </w:t>
      </w:r>
      <w:r w:rsidRPr="00AE0CAB">
        <w:rPr>
          <w:rFonts w:ascii="Times New Roman" w:eastAsia="Arial" w:hAnsi="Times New Roman" w:cs="Times New Roman"/>
          <w:sz w:val="24"/>
          <w:szCs w:val="24"/>
        </w:rPr>
        <w:t xml:space="preserve"> dos mil veintiséis</w:t>
      </w:r>
    </w:p>
    <w:p w:rsidR="009256A0" w:rsidRPr="00AE0CAB" w:rsidRDefault="009256A0" w:rsidP="005D7FEC">
      <w:pPr>
        <w:spacing w:after="0" w:line="240" w:lineRule="auto"/>
        <w:jc w:val="center"/>
        <w:rPr>
          <w:rFonts w:ascii="Times New Roman" w:hAnsi="Times New Roman"/>
          <w:sz w:val="24"/>
          <w:szCs w:val="24"/>
        </w:rPr>
      </w:pPr>
    </w:p>
    <w:p w:rsidR="009256A0" w:rsidRPr="00AE0CAB" w:rsidRDefault="009256A0" w:rsidP="005D7FEC">
      <w:pPr>
        <w:spacing w:after="0" w:line="240" w:lineRule="auto"/>
        <w:jc w:val="center"/>
        <w:rPr>
          <w:rFonts w:ascii="Times New Roman" w:hAnsi="Times New Roman"/>
          <w:i/>
          <w:sz w:val="24"/>
          <w:szCs w:val="24"/>
        </w:rPr>
      </w:pPr>
      <w:r w:rsidRPr="00AE0CAB">
        <w:rPr>
          <w:rFonts w:ascii="Times New Roman" w:hAnsi="Times New Roman"/>
          <w:i/>
          <w:sz w:val="24"/>
          <w:szCs w:val="24"/>
        </w:rPr>
        <w:t>(Fin del documento)</w:t>
      </w:r>
    </w:p>
    <w:p w:rsidR="009256A0" w:rsidRPr="00AE0CAB" w:rsidRDefault="009256A0" w:rsidP="005D7FEC">
      <w:pPr>
        <w:spacing w:after="0" w:line="240" w:lineRule="auto"/>
        <w:jc w:val="center"/>
        <w:rPr>
          <w:rFonts w:ascii="Times New Roman" w:hAnsi="Times New Roman"/>
          <w:sz w:val="24"/>
          <w:szCs w:val="24"/>
        </w:rPr>
      </w:pPr>
    </w:p>
    <w:p w:rsidR="000E0101" w:rsidRPr="00AE0CAB" w:rsidRDefault="000E0101" w:rsidP="00D71801">
      <w:pPr>
        <w:pStyle w:val="Sinespaciad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PRESIDENTA DIP. MARTHA AZUCENA CAMACHO REYNOSO. Gracias diputado Edmundo Luis Valdeña Bastida.</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Se registra la iniciativa y se remite a la Comisión Legislativa de Desarrollo y Bienestar Social para su estudio y dictamen.</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eastAsia="Arial" w:hAnsi="Times New Roman" w:cs="Times New Roman"/>
          <w:sz w:val="24"/>
          <w:szCs w:val="24"/>
        </w:rPr>
        <w:t xml:space="preserve">En cuanto al punto número 11, la diputada Gloria Vanessa Linares Zetina presenta en nombre del Grupo Parlamentario del Partido Verde Ecologista de México, </w:t>
      </w:r>
      <w:r w:rsidRPr="00AE0CAB">
        <w:rPr>
          <w:rFonts w:ascii="Times New Roman" w:hAnsi="Times New Roman" w:cs="Times New Roman"/>
          <w:sz w:val="24"/>
          <w:szCs w:val="24"/>
        </w:rPr>
        <w:t>Iniciativa con Proyecto de Decreto por la que se declara el lunes de la semana de Pascua de cada año como el “Día de la y el Cafeticultor Mexiquense”.</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eastAsia="Arial" w:hAnsi="Times New Roman" w:cs="Times New Roman"/>
          <w:sz w:val="24"/>
          <w:szCs w:val="24"/>
        </w:rPr>
        <w:t>Gracias.</w:t>
      </w:r>
    </w:p>
    <w:p w:rsidR="000E0101" w:rsidRPr="00AE0CAB" w:rsidRDefault="000E0101" w:rsidP="00D71801">
      <w:pPr>
        <w:pStyle w:val="Sinespaciado"/>
        <w:jc w:val="both"/>
        <w:rPr>
          <w:rFonts w:ascii="Times New Roman" w:eastAsia="Arial" w:hAnsi="Times New Roman" w:cs="Times New Roman"/>
          <w:sz w:val="24"/>
          <w:szCs w:val="24"/>
        </w:rPr>
      </w:pPr>
      <w:r w:rsidRPr="00AE0CAB">
        <w:rPr>
          <w:rFonts w:ascii="Times New Roman" w:hAnsi="Times New Roman" w:cs="Times New Roman"/>
          <w:sz w:val="24"/>
          <w:szCs w:val="24"/>
        </w:rPr>
        <w:t xml:space="preserve">DIP. GLORIA VANESSA LINARES ZETINA. </w:t>
      </w:r>
      <w:r w:rsidRPr="00AE0CAB">
        <w:rPr>
          <w:rFonts w:ascii="Times New Roman" w:eastAsia="Arial" w:hAnsi="Times New Roman" w:cs="Times New Roman"/>
          <w:sz w:val="24"/>
          <w:szCs w:val="24"/>
        </w:rPr>
        <w:t>Con el permiso de los integrantes de la Mesa Directiva y su venia Presidenta, saludo a mis compañeras, compañere y compañeros diputados, a la ciudadanía que sigue los trabajos de este Poder Legislativo a través de las diversas plataformas digitales; así como a los diferentes medios de comunicación que el día de hoy nos hacen favor de acompañarnos.</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 xml:space="preserve">Principalmente hoy quiero dar la bienvenida a este Recinto Legislativo a nuestros cafeticultores del municipio de Amatepec y del Sur del Estado, amigos muchas gracias por estar aquí; saludo de igual forma con todo el cariño al Presidente Municipal de Amatepec, mi amigo </w:t>
      </w:r>
      <w:proofErr w:type="spellStart"/>
      <w:r w:rsidRPr="00AE0CAB">
        <w:rPr>
          <w:rFonts w:ascii="Times New Roman" w:eastAsia="Arial" w:hAnsi="Times New Roman" w:cs="Times New Roman"/>
          <w:sz w:val="24"/>
          <w:szCs w:val="24"/>
        </w:rPr>
        <w:t>Epimaco</w:t>
      </w:r>
      <w:proofErr w:type="spellEnd"/>
      <w:r w:rsidRPr="00AE0CAB">
        <w:rPr>
          <w:rFonts w:ascii="Times New Roman" w:eastAsia="Arial" w:hAnsi="Times New Roman" w:cs="Times New Roman"/>
          <w:sz w:val="24"/>
          <w:szCs w:val="24"/>
        </w:rPr>
        <w:t xml:space="preserve"> </w:t>
      </w:r>
      <w:proofErr w:type="spellStart"/>
      <w:r w:rsidRPr="00AE0CAB">
        <w:rPr>
          <w:rFonts w:ascii="Times New Roman" w:eastAsia="Arial" w:hAnsi="Times New Roman" w:cs="Times New Roman"/>
          <w:sz w:val="24"/>
          <w:szCs w:val="24"/>
        </w:rPr>
        <w:t>Casique</w:t>
      </w:r>
      <w:proofErr w:type="spellEnd"/>
      <w:r w:rsidRPr="00AE0CAB">
        <w:rPr>
          <w:rFonts w:ascii="Times New Roman" w:eastAsia="Arial" w:hAnsi="Times New Roman" w:cs="Times New Roman"/>
          <w:sz w:val="24"/>
          <w:szCs w:val="24"/>
        </w:rPr>
        <w:t xml:space="preserve"> Vences, a su cabildo y a su señora esposa, la Presidenta del DIF, Carito, bienvenidos en ésta, su “Casa del Pueblo”.</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Durante los recorridos que he realizado por el distrito que represento, tuve la oportunidad de dialogar con productoras y productores dedicados al cultivo del café en nuestro Estado de México; con gran disposición me explicaron cada etapa del proceso productivo y la diversidad de productos que se generan a partir del grano.</w:t>
      </w:r>
    </w:p>
    <w:p w:rsidR="000E0101" w:rsidRPr="00AE0CAB" w:rsidRDefault="000E0101" w:rsidP="00D71801">
      <w:pPr>
        <w:pStyle w:val="Sinespaciado"/>
        <w:ind w:firstLine="70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Más allá de la técnica pude conocer la historia, el esfuerzo y la vocación </w:t>
      </w:r>
      <w:r w:rsidRPr="00AE0CAB">
        <w:rPr>
          <w:rFonts w:ascii="Times New Roman" w:hAnsi="Times New Roman" w:cs="Times New Roman"/>
          <w:sz w:val="24"/>
          <w:szCs w:val="24"/>
        </w:rPr>
        <w:t xml:space="preserve">que hay detrás de toda esta actividad, recuerdo particularmente a uno de sus líderes, cuya intervención reflejó la pasión y el compromiso del campo, este encuentro me permitió dimensionar la importancia social y económica que la caficultura representa para muchas familias mexiquenses.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Por ello, asumí el compromiso desde que esta tribuna impulsaré acciones para visibilizar su trabajo y fortalecer una actividad que no solo sostiene economías locales, sino que, también forma parte de la identidad productiva de nuestro Estado de México, porque detrás de cada taza de café, hay una historia, hay esfuerzo que inicia antes de amanecer, hay manos que siembran, que cuidan la tierra, que enfrentan las lluvias, las plagas, los bajos precios y la incertidumbre del mercado, pero que aun así, no se rinden, que aun así, siguen de pie, hay familias completas que han hecho del café no sólo un sustento; sino una identidad y un orgullo de trabajo.</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Este día entendí que no estaba frente a productores, solamente estaba frente a guardianes de la tierra, frente a mujeres y hombres que sostienen con dignidad la economía rural, que preservan tradiciones centenarias y que representan lo mejor de nuestro querido sur del Estado de México; y también, representan trabajo, resiliencia y amor por lo que hacen.</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Y cuando escuchamos esa pasión, cuando vemos el brillo de sus ojos, hablar de su cosecha, de su grano, de su marca, entendemos que el café no es solamente un cultivo, es cultura, es comunidad, es historia viva de nuestro Estado, por esto asumo este compromiso que no se quedará en discurso, es una convicción, es la determinación de que, nunca más su trabajo pase desapercibido, es la decisión de que se dignifique su esfuerzo y se reconozca públicamente a quienes con sus manos le dan aroma, sabor e identidad a nuestra tierra, porque cuando fortalecemos al cafeticultor, fortalecemos al sur del Estado y cuando fortalecemos al sur fortalecemos a nuestro Estado de México.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Municipios como Amatepec, Almoloya de Alquisiras, Malinalco, Ocuilan, San Simón de Guerrero, Sultepec, Temascaltepec, Tejupilco y Tlatlaya, son grandes productores, cafeticultores son grandes por la alta calidad de su producto que está en estas regiones. La cafeticultura representa no solo una actividad productiva estratégica que ha permitido preservar conocimientos agrícolas y el fortalecimiento de economías locales basadas en el trabajo comunitario.</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A pesar de su importancia económica, social y ambiental, el trabajo de las y los cafeticultores no siempre reciben el reconocimiento institucional y público que verdaderamente merecen, aun cuando su labor constituye al desarrollo regional y al fortalecimiento de la economía rurales y de la economía de nuestro Estado.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Por ello, el reconocimiento oficial de la actividad cafetalera permitirá visibilizar su relevancia, fomentar el consumo del café local, fortalecer el sentido de identidad regional y promover acciones institucionales orientadas a impulsar la producción, la capacitación de técnica, la innovación agrícola y la comercialización directa.</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México, diputados se mantiene como uno de los países productores relevantes a nivel mundial, ubicándose entre los principales productores internacionales y aportando aproximadamente un 2% de la producción global, con alrededor de 3.9 millones de sacos de café con más de 60 kilogramos anuales, en el Estado de México, la cafeticultura se desarrolla </w:t>
      </w:r>
      <w:r w:rsidRPr="00AE0CAB">
        <w:rPr>
          <w:rFonts w:ascii="Times New Roman" w:hAnsi="Times New Roman" w:cs="Times New Roman"/>
          <w:sz w:val="24"/>
          <w:szCs w:val="24"/>
        </w:rPr>
        <w:lastRenderedPageBreak/>
        <w:t xml:space="preserve">principalmente en la región sur de la entidad y aunque su participación en el volumen nacional es un tanto pequeña, posee una alta relevancia social económica en sus comunidades con alta marginación.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Por eso hoy, presento ante esta Soberanía una iniciativa que nace del reconocimiento, pero también del corazón, declarar el Día del Cafeticultor Mexiquense, porque en los municipios del sur de nuestra entidad el café no es simplemente un cultivo, es una forma de vida y es una herencia que va de generación en generación.</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Actualmente, diversos países productores de café han establecido el día para reconocer la labor de las y los cafeticultores con mecanismos de promoción, del consumo, posicionamiento de marcas o para fortalecer sus políticas agrícolas, es un ejemplo de ello, El Día Internacional del Café se conmemora anualmente el 1 de octubre del 2015, proclamado por la Organización Internacional del Café. </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Por eso esta iniciativa no es simbólica, declara el “Día del Cafeticultor Mexiquense”, para reconocer su aportación al desarrollo rural, a la economía local y al equilibrio ambiental de nuestras zonas serranas. Es dignificar su trabajo, es colocar en el centro de la agenda pública a quienes muchas veces permanecen invisibles y hoy les digo a todos los que se encuentran en este pleno que va a ser la última vez que nadie los voltee a ver, que tenemos una Gobernadora sensible ante las causas y que estoy segura que va a voltear a ver a todos ustedes los Cafeticultores y que va a haber un recurso específico para cada uno de ustedes. </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Declarar este “Día del Cafeticultor Mexiquense” es la fecha propuesta establecida buscando su coincidencia con las festividades tradicionales del pueblo de Amatepec de la Parroquia de San Gaspar en honor a la Santa Cruz de Amatepec, celebración profundamente vinculada a la dinámica productiva y social de las comunidades cafetaleros de esta región. Solo en este municipio se tiene antecedentes de producción de café desde el Siglo XVI por monjes franciscanos durante la evangelización de la comunidad el Veladero; pero además desde 1990 se han organizado con la Asociación de Productores de Café de Amatepec, con el objetivo de mejorar la producción y darle un valor agregado. </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Esta organización logró el reconocimiento y premios por la calidad del producto que posteriormente evolucionó a Productos Unidos de Café de Amatepec y en 2011 se creó la Cooperativa Café Orgánica de Amatepec, la cual integró no solo a productores del municipio sino también a municipios vecinos.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Actualmente el Café de Amatepec ha sido calificado con 90 de sobre los 100 puntos por catadores profesionales internacionales, lo que posiciona como café de buena calidad y de altura. Quiero decirles que el Café de Amatepec diputados ha ganado premios en </w:t>
      </w:r>
      <w:proofErr w:type="spellStart"/>
      <w:r w:rsidRPr="00AE0CAB">
        <w:rPr>
          <w:rFonts w:ascii="Times New Roman" w:hAnsi="Times New Roman" w:cs="Times New Roman"/>
          <w:sz w:val="24"/>
          <w:szCs w:val="24"/>
        </w:rPr>
        <w:t>Dubai</w:t>
      </w:r>
      <w:proofErr w:type="spellEnd"/>
      <w:r w:rsidRPr="00AE0CAB">
        <w:rPr>
          <w:rFonts w:ascii="Times New Roman" w:hAnsi="Times New Roman" w:cs="Times New Roman"/>
          <w:sz w:val="24"/>
          <w:szCs w:val="24"/>
        </w:rPr>
        <w:t xml:space="preserve"> y en otros países y hoy está siendo ya vendido en lugares como Corea, Japón y otros tantos en los que ellos, de manera directa y sin ninguna ayuda, los cafetaleros, ya lo han logrado, en donde las familias cuentan ya con marcas propias, adicional a nuestras numerosas fincas y ranchos cafetaleros, sin un reconocimiento oficial, beneficiando a más de 500 productores locales que cultivan alrededor de 380 hectáreas. </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En este contexto, institucionalizar el lunes de la Semana de Pascua de cada año, como  “Día de la y el Cafeticultor Mexiquense”, permitirá fortalecer el impulso de programas de promoción productiva, porque el reconocimiento oficial de esta fecha no implica la creación de estructuras administrativas adicionales ni erogaciones extraordinarias, sino que se concibe como un mecanismo de valor social, cultural y económico del sector cafetalero mexiquense, además de servir como una plataforma anual para la promoción de las políticas públicas enfocadas al fortalecimiento del campo.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Desde el Grupo Parlamentario del Partido Verde Ecologista de México consideramos que reconocer la labor de las y los caficultores mexiquenses es también reconocer el esfuerzo cotidiano </w:t>
      </w:r>
      <w:r w:rsidRPr="00AE0CAB">
        <w:rPr>
          <w:rFonts w:ascii="Times New Roman" w:hAnsi="Times New Roman" w:cs="Times New Roman"/>
          <w:sz w:val="24"/>
          <w:szCs w:val="24"/>
        </w:rPr>
        <w:lastRenderedPageBreak/>
        <w:t>de miles de familias que sostienen la economía del sur; pero sobre todo permitirá decirles con claridad que no están solos, que el Estado de México reconoce su esfuerzo y valora su contribución.</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Por ello reafirmo mi compromiso de impulsar iniciativas que fortalezcan a los cafetaleros en el campo mexiquense, que se visibilicen en el trabajo de quienes lo sostienen y generen condiciones de desarrollo regional sostenible.</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La declaración del Día del Cafeticultor Mexiquense representa un acto de reconocimiento justo y necesario hacia las mujeres y hombres que con su trabajo diario contribuyen al bienestar de sus comunidades y al crecimiento productivo del Estado de México.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Compañeras, compañere y compañeros diputados, les invito a respaldar esta iniciativa con la convicción de que estamos haciendo justicia a quienes desde la tierra contribuyen el presente y futuro de nuestro Estado, agradezco al Presidente de Amatepec, a las y a los regidores del Ayuntamiento y a los líderes y cafeticultores del municipio por su apoyo y acercamiento a todos los productores del café.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Gracias por acompañarme en este día tan importante para ustedes, para el sur y para todo el Estado de México ¡Que vivan los Cafeticultores del Sur del Estado!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Muchas gracias, es cuanto Presidenta.</w:t>
      </w:r>
    </w:p>
    <w:p w:rsidR="009E724F" w:rsidRPr="00AE0CAB" w:rsidRDefault="009E724F" w:rsidP="005D7FEC">
      <w:pPr>
        <w:pStyle w:val="Sinespaciado"/>
        <w:jc w:val="both"/>
        <w:rPr>
          <w:rFonts w:ascii="Times New Roman" w:hAnsi="Times New Roman" w:cs="Times New Roman"/>
          <w:sz w:val="24"/>
          <w:szCs w:val="24"/>
        </w:rPr>
      </w:pPr>
    </w:p>
    <w:p w:rsidR="009E724F" w:rsidRPr="00AE0CAB" w:rsidRDefault="009E724F" w:rsidP="005D7FEC">
      <w:pPr>
        <w:spacing w:after="0" w:line="240" w:lineRule="auto"/>
        <w:jc w:val="center"/>
        <w:rPr>
          <w:rFonts w:ascii="Times New Roman" w:hAnsi="Times New Roman"/>
          <w:i/>
          <w:sz w:val="24"/>
          <w:szCs w:val="24"/>
        </w:rPr>
      </w:pPr>
      <w:r w:rsidRPr="00AE0CAB">
        <w:rPr>
          <w:rFonts w:ascii="Times New Roman" w:hAnsi="Times New Roman"/>
          <w:i/>
          <w:sz w:val="24"/>
          <w:szCs w:val="24"/>
        </w:rPr>
        <w:t>(Se inserta documento)</w:t>
      </w:r>
    </w:p>
    <w:p w:rsidR="009E724F" w:rsidRPr="00AE0CAB" w:rsidRDefault="009E724F" w:rsidP="005D7FEC">
      <w:pPr>
        <w:spacing w:after="0" w:line="240" w:lineRule="auto"/>
        <w:jc w:val="center"/>
        <w:rPr>
          <w:rFonts w:ascii="Times New Roman" w:hAnsi="Times New Roman"/>
          <w:sz w:val="24"/>
          <w:szCs w:val="24"/>
        </w:rPr>
      </w:pPr>
    </w:p>
    <w:p w:rsidR="00A55229" w:rsidRPr="00AE0CAB" w:rsidRDefault="00A55229" w:rsidP="00A55229">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GRUPO PARLAMENTARIO DEL PARTIDO VERDE ECOLOGISTA DE MEXICO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“2026. Año del Humanismo Mexicano en el Estado de México”.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Toluca de Lerdo, Estado de México, a </w:t>
      </w:r>
      <w:r w:rsidRPr="00AE0CAB">
        <w:rPr>
          <w:rFonts w:ascii="Times New Roman" w:eastAsia="Times New Roman" w:hAnsi="Times New Roman" w:cs="Times New Roman"/>
          <w:sz w:val="24"/>
          <w:szCs w:val="24"/>
          <w:u w:val="single" w:color="000000"/>
        </w:rPr>
        <w:t xml:space="preserve">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 xml:space="preserve">de </w:t>
      </w:r>
      <w:r w:rsidRPr="00AE0CAB">
        <w:rPr>
          <w:rFonts w:ascii="Times New Roman" w:eastAsia="Times New Roman" w:hAnsi="Times New Roman" w:cs="Times New Roman"/>
          <w:sz w:val="24"/>
          <w:szCs w:val="24"/>
          <w:u w:val="single" w:color="000000"/>
        </w:rPr>
        <w:t xml:space="preserve">    </w:t>
      </w:r>
      <w:r w:rsidRPr="00AE0CAB">
        <w:rPr>
          <w:rFonts w:ascii="Times New Roman" w:eastAsia="Times New Roman" w:hAnsi="Times New Roman" w:cs="Times New Roman"/>
          <w:sz w:val="24"/>
          <w:szCs w:val="24"/>
        </w:rPr>
        <w:t xml:space="preserve"> </w:t>
      </w:r>
      <w:proofErr w:type="spellStart"/>
      <w:r w:rsidRPr="00AE0CAB">
        <w:rPr>
          <w:rFonts w:ascii="Times New Roman" w:eastAsia="Arial" w:hAnsi="Times New Roman" w:cs="Times New Roman"/>
          <w:sz w:val="24"/>
          <w:szCs w:val="24"/>
        </w:rPr>
        <w:t>de</w:t>
      </w:r>
      <w:proofErr w:type="spellEnd"/>
      <w:r w:rsidRPr="00AE0CAB">
        <w:rPr>
          <w:rFonts w:ascii="Times New Roman" w:eastAsia="Arial" w:hAnsi="Times New Roman" w:cs="Times New Roman"/>
          <w:sz w:val="24"/>
          <w:szCs w:val="24"/>
        </w:rPr>
        <w:t xml:space="preserve"> 2026.</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DIP. MARTHA AZUCENA CAMACHO REYNOSO</w:t>
      </w:r>
    </w:p>
    <w:p w:rsidR="00A55229" w:rsidRPr="00AE0CAB" w:rsidRDefault="00A55229" w:rsidP="00A55229">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PRESIDENTA DE LA MESA DIRECTIVA</w:t>
      </w:r>
    </w:p>
    <w:p w:rsidR="00A55229" w:rsidRPr="00AE0CAB" w:rsidRDefault="00A55229" w:rsidP="00A55229">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LXII LEGISLATURA DEL H. PODER LEGISLATIVO</w:t>
      </w:r>
    </w:p>
    <w:p w:rsidR="00A55229" w:rsidRPr="00AE0CAB" w:rsidRDefault="00A55229" w:rsidP="00A55229">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DEL ESTADO LIBRE Y SOBERANO DE MÉXICO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P R E S E N T E</w:t>
      </w:r>
    </w:p>
    <w:p w:rsidR="00A55229" w:rsidRPr="00AE0CAB" w:rsidRDefault="00A55229" w:rsidP="00A55229">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Honorable Asamblea:</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Quienes suscriben </w:t>
      </w:r>
      <w:r w:rsidRPr="00AE0CAB">
        <w:rPr>
          <w:rFonts w:ascii="Times New Roman" w:eastAsia="Arial" w:hAnsi="Times New Roman" w:cs="Times New Roman"/>
          <w:b/>
          <w:sz w:val="24"/>
          <w:szCs w:val="24"/>
        </w:rPr>
        <w:t>JOSÉ ALBERTO COUTTOLENC BUENTELLO</w:t>
      </w:r>
      <w:r w:rsidRPr="00AE0CAB">
        <w:rPr>
          <w:rFonts w:ascii="Times New Roman" w:eastAsia="Arial" w:hAnsi="Times New Roman" w:cs="Times New Roman"/>
          <w:sz w:val="24"/>
          <w:szCs w:val="24"/>
        </w:rPr>
        <w:t xml:space="preserve">, </w:t>
      </w:r>
      <w:r w:rsidRPr="00AE0CAB">
        <w:rPr>
          <w:rFonts w:ascii="Times New Roman" w:eastAsia="Arial"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AE0CAB">
        <w:rPr>
          <w:rFonts w:ascii="Times New Roman" w:eastAsia="Arial" w:hAnsi="Times New Roman" w:cs="Times New Roman"/>
          <w:sz w:val="24"/>
          <w:szCs w:val="24"/>
        </w:rPr>
        <w:t xml:space="preserve">diputadas y diputados integrantes del </w:t>
      </w:r>
      <w:r w:rsidRPr="00AE0CAB">
        <w:rPr>
          <w:rFonts w:ascii="Times New Roman" w:eastAsia="Arial" w:hAnsi="Times New Roman" w:cs="Times New Roman"/>
          <w:b/>
          <w:sz w:val="24"/>
          <w:szCs w:val="24"/>
        </w:rPr>
        <w:t xml:space="preserve">GRUPO PARLAMENTARIO DEL PARTIDO VERDE ECOLOGISTA DE MÉXICO </w:t>
      </w:r>
      <w:r w:rsidRPr="00AE0CAB">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AE0CAB">
        <w:rPr>
          <w:rFonts w:ascii="Times New Roman" w:eastAsia="Arial" w:hAnsi="Times New Roman" w:cs="Times New Roman"/>
          <w:b/>
          <w:sz w:val="24"/>
          <w:szCs w:val="24"/>
        </w:rPr>
        <w:t xml:space="preserve">INICIATIVA CON PROYECTO DE DECRETO POR LA QUE SE DECLARA EL LUNES DE LA SEMANA DE PASCUA DE CADA AÑO COMO EL “DÍA DE LA Y EL CAFETICULTOR MEXIQUENSE”, </w:t>
      </w:r>
      <w:r w:rsidRPr="00AE0CAB">
        <w:rPr>
          <w:rFonts w:ascii="Times New Roman" w:eastAsia="Arial" w:hAnsi="Times New Roman" w:cs="Times New Roman"/>
          <w:sz w:val="24"/>
          <w:szCs w:val="24"/>
        </w:rPr>
        <w:t>con sustento en la siguiente:</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EXPOSICIÓN DE MOTIVOS</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El café constituye uno de los productos agrícolas de mayor relevancia social, económica y cultural en diversas regiones del Estado de México, particularmente en los municipios del sur de la entidad, donde miles de familias dependen directa o indirectamente de su cultivo, procesamiento y comercialización.</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estas regiones, la cafeticultura representa no solo una actividad productiva estratégica, sino también una tradición histórica transmitida por generaciones, que ha permitido preservar conocimientos agrícolas y el fortalecimiento de economías locales basadas en el trabajo comunitario.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producción de café en el sur del Estado de México se desarrolla principalmente en pequeñas parcelas familiares, constituyendo un medio de subsistencia fundamental para numerosas comunidades rurales. Municipios como Almoloya de Alquisiras, Amatepec, Malinalco, Ocuilan, San Simón de Guerrero, Sultepec, Temascaltepec, Tejupilco, Tepetlixpa y Tlatlaya</w:t>
      </w:r>
      <w:r w:rsidRPr="00AE0CAB">
        <w:rPr>
          <w:rFonts w:ascii="Times New Roman" w:eastAsia="Arial" w:hAnsi="Times New Roman" w:cs="Times New Roman"/>
          <w:sz w:val="24"/>
          <w:szCs w:val="24"/>
          <w:vertAlign w:val="superscript"/>
        </w:rPr>
        <w:t>1</w:t>
      </w:r>
      <w:r w:rsidRPr="00AE0CAB">
        <w:rPr>
          <w:rFonts w:ascii="Times New Roman" w:eastAsia="Arial" w:hAnsi="Times New Roman" w:cs="Times New Roman"/>
          <w:sz w:val="24"/>
          <w:szCs w:val="24"/>
        </w:rPr>
        <w:t>.</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 pesar de su importancia económica, social y ambiental, el trabajo de las y los cafeticultores no siempre recibe el reconocimiento institucional y público que merece, aun cuando su labor contribuye al desarrollo regional y al fortalecimiento de economías rurales. Por ello, el reconocimiento oficial de la actividad cafetalera permitirá visibilizar su relevancia, fomentar el consumo del café local, fortalecer el sentido de identidad regional y promover acciones institucionales orientadas a impulsar la producción, la capacitación técnica, la innovación agrícola y la comercialización directa.</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 nivel internacional, el café es uno de los productos agrícolas tropicales más comercializados del mundo y constituye el sustento directo de aproximadamente 25 millones de hogares productores, especialmente en América Latina, África y Asia. La producción mundial anual supera los 170 millones de sacos de 60 kilogramos.</w:t>
      </w:r>
    </w:p>
    <w:p w:rsidR="00A55229" w:rsidRPr="00AE0CAB" w:rsidRDefault="00A55229" w:rsidP="00A55229">
      <w:pPr>
        <w:spacing w:after="0" w:line="240" w:lineRule="auto"/>
        <w:jc w:val="both"/>
        <w:rPr>
          <w:rFonts w:ascii="Times New Roman" w:eastAsia="Arial" w:hAnsi="Times New Roman" w:cs="Times New Roman"/>
          <w:sz w:val="24"/>
          <w:szCs w:val="24"/>
        </w:rPr>
      </w:pPr>
    </w:p>
    <w:p w:rsidR="00A55229" w:rsidRPr="00AE0CAB" w:rsidRDefault="00A55229" w:rsidP="00A55229">
      <w:pPr>
        <w:spacing w:after="0" w:line="240" w:lineRule="auto"/>
        <w:jc w:val="both"/>
        <w:rPr>
          <w:rFonts w:ascii="Times New Roman" w:eastAsia="Times New Roman" w:hAnsi="Times New Roman" w:cs="Times New Roman"/>
          <w:sz w:val="20"/>
          <w:szCs w:val="24"/>
        </w:rPr>
      </w:pPr>
      <w:r w:rsidRPr="00AE0CAB">
        <w:rPr>
          <w:rFonts w:ascii="Times New Roman" w:eastAsia="Arial" w:hAnsi="Times New Roman" w:cs="Times New Roman"/>
          <w:sz w:val="20"/>
          <w:szCs w:val="24"/>
          <w:vertAlign w:val="superscript"/>
        </w:rPr>
        <w:t>1</w:t>
      </w:r>
      <w:r w:rsidRPr="00AE0CAB">
        <w:rPr>
          <w:rFonts w:ascii="Times New Roman" w:eastAsia="Arial" w:hAnsi="Times New Roman" w:cs="Times New Roman"/>
          <w:sz w:val="20"/>
          <w:szCs w:val="24"/>
        </w:rPr>
        <w:t xml:space="preserve"> </w:t>
      </w:r>
      <w:r w:rsidRPr="00AE0CAB">
        <w:rPr>
          <w:rFonts w:ascii="Times New Roman" w:eastAsia="Arial" w:hAnsi="Times New Roman" w:cs="Times New Roman"/>
          <w:i/>
          <w:sz w:val="20"/>
          <w:szCs w:val="24"/>
        </w:rPr>
        <w:t>PROCAFÉ para incrementar la productividad del aromático en el Estado de México</w:t>
      </w:r>
      <w:r w:rsidRPr="00AE0CAB">
        <w:rPr>
          <w:rFonts w:ascii="Times New Roman" w:eastAsia="Arial" w:hAnsi="Times New Roman" w:cs="Times New Roman"/>
          <w:sz w:val="20"/>
          <w:szCs w:val="24"/>
        </w:rPr>
        <w:t xml:space="preserve">. (s. f.). </w:t>
      </w:r>
      <w:r w:rsidRPr="00AE0CAB">
        <w:rPr>
          <w:rFonts w:ascii="Times New Roman" w:eastAsia="Arial" w:hAnsi="Times New Roman" w:cs="Times New Roman"/>
          <w:sz w:val="20"/>
          <w:szCs w:val="24"/>
          <w:u w:val="single" w:color="0000FF"/>
        </w:rPr>
        <w:t>https:/</w:t>
      </w:r>
      <w:hyperlink r:id="rId101">
        <w:r w:rsidRPr="00AE0CAB">
          <w:rPr>
            <w:rFonts w:ascii="Times New Roman" w:eastAsia="Arial" w:hAnsi="Times New Roman" w:cs="Times New Roman"/>
            <w:sz w:val="20"/>
            <w:szCs w:val="24"/>
            <w:u w:val="single" w:color="0000FF"/>
          </w:rPr>
          <w:t>/www.gob.mx/agricultura%7Cedomex/articulos/procafe-para-incrementar-la-productividad-del-aromatico-en-el-estado-de-</w:t>
        </w:r>
      </w:hyperlink>
      <w:r w:rsidRPr="00AE0CAB">
        <w:rPr>
          <w:rFonts w:ascii="Times New Roman" w:eastAsia="Arial" w:hAnsi="Times New Roman" w:cs="Times New Roman"/>
          <w:sz w:val="20"/>
          <w:szCs w:val="24"/>
        </w:rPr>
        <w:t xml:space="preserve"> </w:t>
      </w:r>
      <w:r w:rsidRPr="00AE0CAB">
        <w:rPr>
          <w:rFonts w:ascii="Times New Roman" w:eastAsia="Arial" w:hAnsi="Times New Roman" w:cs="Times New Roman"/>
          <w:sz w:val="20"/>
          <w:szCs w:val="24"/>
          <w:u w:val="single" w:color="0000FF"/>
        </w:rPr>
        <w:t>mexico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Los volúmenes generados se concentran en cinco países, que contribuyen con alrededor de 73% de la producción mundial. Estos son: Brasil con 36.8% del monto total, Vietnam con 17.5%, Indonesia con 7%, Colombia con 6.6% y Etiopía con 4.9%.</w:t>
      </w:r>
      <w:r w:rsidRPr="00AE0CAB">
        <w:rPr>
          <w:rFonts w:ascii="Times New Roman" w:eastAsia="Arial" w:hAnsi="Times New Roman" w:cs="Times New Roman"/>
          <w:sz w:val="24"/>
          <w:szCs w:val="24"/>
          <w:vertAlign w:val="superscript"/>
        </w:rPr>
        <w:t>2</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comercio internacional del café se organiza en tres principales categorías: en grano, tostado y molido, y soluble. Para el ciclo 2022/2023, se estimó que las exportaciones de café en grano fueran alrededor de 116 millones de sacos de 60 kilogramos. Este mercado está dominado principalmente por Brasil, Vietnam y Colombia, países que en conjunto concentran cerca del 60% del volumen exportado. Entre los principales compradores destacan la Unión Europea y Estados Unidos, que absorben aproximadamente el 60% de las importaciones mundiales de este producto.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el caso del café tostado y molido, las exportaciones del ciclo 2022/2023 alcanzan casi 6 millones de sacos de 60 kilogramos. La Unión Europea y Suiza concentran el 81.6% de estas exportaciones. Por el lado de las importaciones, los principales mercados son el Reino Unido, Estados Unidos, Canadá, Corea del Sur y Ucrania, los cuales en conjunto representan cerca del 60% del volumen adquirido a nivel global.</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Respecto al café soluble, se proyecta que las exportaciones durante el mismo ciclo se ubiquen en casi 18 millones de sacos de 60 kilogramos. Los mayores exportadores son Brasil, Vietnam, Malasia, la Unión Europea e India, que en conjunto concentran el 71.8% del total exportado. En contraste, Filipinas, Canadá y China destacan como los principales importadores, concentrando poco más de la mitad del volumen total adquirido, equivalente a alrededor del 54%.</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rPr>
          <w:rFonts w:ascii="Times New Roman" w:eastAsia="Arial" w:hAnsi="Times New Roman" w:cs="Times New Roman"/>
          <w:i/>
          <w:sz w:val="20"/>
          <w:szCs w:val="24"/>
        </w:rPr>
      </w:pPr>
      <w:r w:rsidRPr="00AE0CAB">
        <w:rPr>
          <w:rFonts w:ascii="Times New Roman" w:eastAsia="Arial" w:hAnsi="Times New Roman" w:cs="Times New Roman"/>
          <w:i/>
          <w:sz w:val="20"/>
          <w:szCs w:val="24"/>
          <w:vertAlign w:val="superscript"/>
        </w:rPr>
        <w:t>2</w:t>
      </w:r>
      <w:r w:rsidRPr="00AE0CAB">
        <w:rPr>
          <w:rFonts w:ascii="Times New Roman" w:eastAsia="Arial" w:hAnsi="Times New Roman" w:cs="Times New Roman"/>
          <w:i/>
          <w:sz w:val="20"/>
          <w:szCs w:val="24"/>
        </w:rPr>
        <w:t xml:space="preserve"> Durante más de mil años el café nos ha iluminado. (s. f.-b). https</w:t>
      </w:r>
      <w:hyperlink r:id="rId102">
        <w:r w:rsidRPr="00AE0CAB">
          <w:rPr>
            <w:rFonts w:ascii="Times New Roman" w:eastAsia="Arial" w:hAnsi="Times New Roman" w:cs="Times New Roman"/>
            <w:i/>
            <w:sz w:val="20"/>
            <w:szCs w:val="24"/>
          </w:rPr>
          <w:t>://www.gob.mx/agricultura%7Cdgsiap/articulos/durante-mas-de-</w:t>
        </w:r>
      </w:hyperlink>
      <w:r w:rsidRPr="00AE0CAB">
        <w:rPr>
          <w:rFonts w:ascii="Times New Roman" w:eastAsia="Arial" w:hAnsi="Times New Roman" w:cs="Times New Roman"/>
          <w:i/>
          <w:sz w:val="20"/>
          <w:szCs w:val="24"/>
        </w:rPr>
        <w:t xml:space="preserve"> mil-anos-el-cafe-nos-ha-iluminado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Actualmente, los principales beneficios económicos del comercio mundial del café se concentran en grandes corporaciones, lo cual resulta paradójico si se considera que la producción del grano está en manos, principalmente, de pequeños productores. De acuerdo con Fairtrade International, alrededor de 125 millones de personas en el mundo dependen del café para su subsistencia, aunque en la mayoría de los casos este cultivo no les garantiza ingresos estables ni condiciones de vida seguras.</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el ámbito nacional, México se mantiene como uno de los países productores relevantes a nivel mundial, ubicándose entre los principales productores internacionales y aportando aproximadamente 2% de la producción global, con alrededor de 3.9 millones de sacos de café de 60 kilogramos anuales. Asimismo, el país cuenta con más de 500 mil productores de café, en su gran mayoría pequeños productores, lo que refleja el carácter social del cultivo y su relevancia para el sustento de comunidades rurales.</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2022, el cultivo de café se realizó en 14 entidades del país, generando una producción total de aproximadamente 1 millón 25 mil toneladas de café cereza. Durante la última década (2012-2021), la producción anual promedio se situó en alrededor de 1 millón 11 mil toneladas de café cereza, lo que refleja una relativa estabilidad en los niveles productivos del país.</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Cuatro estados —Chiapas, Veracruz, Puebla y Oaxaca— concentran cerca del 90% de la producción nacional, destacando Chiapas como la principal entidad productora, al aportar poco más de una tercera parte del volumen total. En 2022, el valor de la producción alcanzó los 6,535 millones de pesos.</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Times New Roman" w:hAnsi="Times New Roman" w:cs="Times New Roman"/>
          <w:sz w:val="24"/>
          <w:szCs w:val="24"/>
        </w:rPr>
      </w:pPr>
      <w:r w:rsidRPr="00AE0CAB">
        <w:rPr>
          <w:rFonts w:ascii="Times New Roman" w:eastAsia="Arial" w:hAnsi="Times New Roman" w:cs="Times New Roman"/>
          <w:sz w:val="24"/>
          <w:szCs w:val="24"/>
        </w:rPr>
        <w:t>En el Estado de México, la cafeticultura se desarrolla principalmente en la región sur de la entidad y, aunque su participación en el volumen nacional es relativamente pequeña, posee una alta relevancia social y económica en comunidades rurales de alta marginación.</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La entidad cuenta con una superficie aproximada de entre 530 y 540 hectáreas destinadas al cultivo de café, lo que representa alrededor del 0.07 % de la superficie cafetalera nacional y ubica al estado en el onceavo lugar nacional en producción. Las variedades de mayor producción son </w:t>
      </w:r>
      <w:proofErr w:type="gramStart"/>
      <w:r w:rsidRPr="00AE0CAB">
        <w:rPr>
          <w:rFonts w:ascii="Times New Roman" w:eastAsia="Arial" w:hAnsi="Times New Roman" w:cs="Times New Roman"/>
          <w:sz w:val="24"/>
          <w:szCs w:val="24"/>
        </w:rPr>
        <w:t>típica</w:t>
      </w:r>
      <w:proofErr w:type="gramEnd"/>
      <w:r w:rsidRPr="00AE0CAB">
        <w:rPr>
          <w:rFonts w:ascii="Times New Roman" w:eastAsia="Arial" w:hAnsi="Times New Roman" w:cs="Times New Roman"/>
          <w:sz w:val="24"/>
          <w:szCs w:val="24"/>
        </w:rPr>
        <w:t>, caturra, garnica y pacamara, cultivadas principalmente bajo sistemas tradicionales de sombra en condiciones de montaña, característicos del café Coffea arabica, lo que contribuye a la conservación de sistemas agroforestales de alta biodiversidad.</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Actualmente, se cultivan alrededor de 531 hectáreas de café, con una producción anual estimada cercana a 478 toneladas y un padrón aproximado de 300 productores dedicados a esta actividad. Municipios como Temascaltepec y Amatepec han logrado posicionar café de alta calidad en mercados internacionales, incluyendo destinos como Corea del Sur y Japón, lo que demuestra el potencial de crecimiento del sector en la entidad.</w:t>
      </w:r>
      <w:r w:rsidRPr="00AE0CAB">
        <w:rPr>
          <w:rFonts w:ascii="Times New Roman" w:eastAsia="Arial" w:hAnsi="Times New Roman" w:cs="Times New Roman"/>
          <w:sz w:val="24"/>
          <w:szCs w:val="24"/>
          <w:vertAlign w:val="superscript"/>
        </w:rPr>
        <w:t>3</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cafeticultura mexiquense se caracteriza por su estructura de pequeña producción, en la que la mayoría de las unidades productivas poseen superficies menores a dos hectáreas, lo que confirma su papel como actividad de subsistencia y economía familiar rural, estrechamente vinculada al bienestar comunitario y al desarrollo regional sostenible.</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ello, la presente iniciativa se sustenta en el marco jurídico vigente conforme al principio de jerarquía normativa. La Constitución Política de los Estados Unidos Mexicanos establece la rectoría del Estado en el desarrollo nacional y la obligación de impulsar el crecimiento económico y el bienestar social del sector rural, promoviendo actividades productivas estratégicas que contribuyan al desarrollo regional.</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rPr>
          <w:rFonts w:ascii="Times New Roman" w:eastAsia="Times New Roman" w:hAnsi="Times New Roman" w:cs="Times New Roman"/>
          <w:sz w:val="24"/>
          <w:szCs w:val="24"/>
        </w:rPr>
      </w:pPr>
      <w:r w:rsidRPr="00AE0CAB">
        <w:rPr>
          <w:rFonts w:ascii="Times New Roman" w:eastAsia="Arial" w:hAnsi="Times New Roman" w:cs="Times New Roman"/>
          <w:sz w:val="20"/>
          <w:szCs w:val="24"/>
          <w:vertAlign w:val="superscript"/>
        </w:rPr>
        <w:t>3</w:t>
      </w:r>
      <w:r w:rsidRPr="00AE0CAB">
        <w:rPr>
          <w:rFonts w:ascii="Times New Roman" w:eastAsia="Arial" w:hAnsi="Times New Roman" w:cs="Times New Roman"/>
          <w:sz w:val="20"/>
          <w:szCs w:val="24"/>
        </w:rPr>
        <w:t xml:space="preserve"> Temascaltepec y Amatepec: los municipios que ponen al Edomex en el mapa mundial del café de calidad. (2025, 14 julio). Capital. https</w:t>
      </w:r>
      <w:hyperlink r:id="rId103">
        <w:r w:rsidRPr="00AE0CAB">
          <w:rPr>
            <w:rFonts w:ascii="Times New Roman" w:eastAsia="Arial" w:hAnsi="Times New Roman" w:cs="Times New Roman"/>
            <w:sz w:val="20"/>
            <w:szCs w:val="24"/>
          </w:rPr>
          <w:t>://www.capitaledomex.com.mx/local/temascaltepec-y-amatepec-los-municipios-que-ponen-al-edomex-en-el-mapa-mundial-del-</w:t>
        </w:r>
      </w:hyperlink>
      <w:r w:rsidRPr="00AE0CAB">
        <w:rPr>
          <w:rFonts w:ascii="Times New Roman" w:eastAsia="Arial" w:hAnsi="Times New Roman" w:cs="Times New Roman"/>
          <w:sz w:val="20"/>
          <w:szCs w:val="24"/>
        </w:rPr>
        <w:t xml:space="preserve"> cafe-de-calidad/?fbclid=IwY2xjawP4eaRleHRuA2FlbQIxMQBicmlkETF6Q2tZbDZvT05mOTE0cmE2c3J0YwZhcHBfaWQQMjIyMDM5MTc4O DIwMDg5MgABHqiDlE0lZCm9MP91s2Q0NFvEmiRB-OcqLbLaOS7NpUguN79IgIf6oeIf7QmT_aem_8KzC2jYh7DLPeMTQPvY8EA</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su parte, la Constitución Política del Estado Libre y Soberano de México reconoce la facultad del Poder Legislativo para expedir decretos de carácter honorífico, conmemorativo y de interés público, así como para promover acciones orientadas al fortalecimiento del desarrollo económico regional y al reconocimiento de actividades productivas estratégicas. Asimismo, las leyes estatales en materia de desarrollo agropecuario, desarrollo económico y fomento rural establecen la responsabilidad del Estado de impulsar la productividad del campo, promover la organización de productores y fortalecer las cadenas productivas locales, lo cual se vincula directamente con el reconocimiento institucional del sector cafetalero.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Diversos países productores de café han establecido un día para reconocer la labor de las y los cafeticultores, utilizando estas conmemoraciones como mecanismos de promoción del consumo nacional, posicionamiento de marcas regionales y fortalecimiento de políticas públicas agrícolas. Por ejemplo, el Día Internacional del Café, que se celebra anualmente el 1 de octubre desde 2015, proclamado por la Organización Internacional del Café en 2014, lo que confirma la relevancia global del reconocimiento institucional de esta actividad productiva.</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el mismo sentido, distintas entidades federativas de México han promovido festivales, ferias productivas y días conmemorativos vinculados a productos agrícolas estratégicos, fortaleciendo la identidad regional, incentivando el turismo rural y generando oportunidades comerciales para pequeños productores.</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el ámbito municipal, el 21 de abril de 2025 el Ayuntamiento de Amatepec declaró oficialmente el 21 de abril como el Día del Cafeticultor en el municipio, con el propósito de reconocer la importancia social, económica y cultural de las y los productores de café de la región. Esta fecha fue establecida buscando su coincidencia con las festividades tradicionales que año con año se celebran en la Parroquia de San Gaspar, en honor a la Santa Cruz de Amatepec, celebración profundamente arraigada en la vida comunitaria local y estrechamente vinculada con las dinámicas productivas y sociales de las comunidades cafetaleras del municipio. De esta manera, la conmemoración municipal integra el reconocimiento al trabajo cafetalero con una tradición cultural y religiosa que históricamente ha representado un espacio de encuentro comunitario, identidad regional y valoración del trabajo agrícola.</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este contexto, institucionalizar el lunes de la semana de Pascua de cada año como el “Día de la y el Cafeticultor Mexiquense” permitirá fortalecer la visibilidad de la cafeticultura, impulsar programas de promoción productiva, incentivar el consumo local y generar acciones públicas dirigidas al desarrollo sostenible de esta cadena productiva, contribuyendo al bienestar de las familias que dependen de ella.</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reconocimiento oficial de esta fecha no implica la creación de estructuras administrativas adicionales ni erogaciones extraordinarias, sino que se concibe como un mecanismo de valoración social, cultural y económica del sector cafetalero mexiquense, además de servir como plataforma anual para la promoción de políticas públicas enfocadas al fortalecimiento del campo.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Desde el Grupo Parlamentario del Partido Verde Ecologista de México consideramos que reconocer la labor de las y los cafeticultores mexiquenses es también reconocer el esfuerzo cotidiano de miles de familias que sostienen la economía rural del sur del estado. Como representantes populares del Distrito 9, con cabecera en Tejupilco, conocemos de manera directa la relevancia social, productiva y cultural que la cafeticultura tiene para nuestras comunidades, particularmente en municipios donde esta actividad constituye una fuente esencial de ingresos, identidad regional y arraigo comunitario.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Times New Roman" w:hAnsi="Times New Roman" w:cs="Times New Roman"/>
          <w:sz w:val="24"/>
          <w:szCs w:val="24"/>
        </w:rPr>
      </w:pPr>
      <w:r w:rsidRPr="00AE0CAB">
        <w:rPr>
          <w:rFonts w:ascii="Times New Roman" w:eastAsia="Arial" w:hAnsi="Times New Roman" w:cs="Times New Roman"/>
          <w:sz w:val="24"/>
          <w:szCs w:val="24"/>
        </w:rPr>
        <w:t>Por ello, reafirmamos nuestro compromiso de impulsar iniciativas que fortalezcan al campo mexiquense, visibilicen el trabajo de quienes lo sostienen y generen condiciones para el desarrollo regional sostenible. La declaración del “Día de la y el Cafeticultor Mexiquense” representa un acto de reconocimiento justo y necesario hacia las mujeres y hombres que, con su trabajo diario, contribuyen al bienestar de sus comunidades y al crecimiento productivo del Estado de México.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Por lo anteriormente expuesto, fundamentado y motivado, sometemos a la consideración de este H. Poder Legislativo del Estado de México, para su análisis, discusión y, en su caso, aprobación, la siguiente: </w:t>
      </w:r>
      <w:r w:rsidRPr="00AE0CAB">
        <w:rPr>
          <w:rFonts w:ascii="Times New Roman" w:eastAsia="Arial" w:hAnsi="Times New Roman" w:cs="Times New Roman"/>
          <w:b/>
          <w:sz w:val="24"/>
          <w:szCs w:val="24"/>
        </w:rPr>
        <w:t>INICIATIVA CON PROYECTO DE DECRETO POR LA QUE SE DECLARA EL LUNES DE LA SEMANA DE PASCUA DE CADA AÑO COMO EL “DÍA DE LA Y EL CAFETICULTOR MEXIQUENSE”.</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A T E N T A M E N T E</w:t>
      </w:r>
    </w:p>
    <w:p w:rsidR="00A55229" w:rsidRPr="00AE0CAB" w:rsidRDefault="00A55229" w:rsidP="00A55229">
      <w:pPr>
        <w:spacing w:after="0" w:line="240" w:lineRule="auto"/>
        <w:jc w:val="center"/>
        <w:rPr>
          <w:rFonts w:ascii="Times New Roman" w:eastAsia="Arial" w:hAnsi="Times New Roman" w:cs="Times New Roman"/>
          <w:b/>
          <w:sz w:val="24"/>
          <w:szCs w:val="24"/>
        </w:rPr>
      </w:pPr>
      <w:r w:rsidRPr="00AE0CAB">
        <w:rPr>
          <w:rFonts w:ascii="Times New Roman" w:eastAsia="Arial" w:hAnsi="Times New Roman" w:cs="Times New Roman"/>
          <w:b/>
          <w:sz w:val="24"/>
          <w:szCs w:val="24"/>
        </w:rPr>
        <w:t>DIP. JOSÉ ALBERTO COUTTOLENC BUENTELLO</w:t>
      </w:r>
    </w:p>
    <w:p w:rsidR="00A55229" w:rsidRPr="00AE0CAB" w:rsidRDefault="00A55229" w:rsidP="00A55229">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COORDINADOR DEL GRUPO PARLAMENTARIO DEL</w:t>
      </w:r>
    </w:p>
    <w:p w:rsidR="00A55229" w:rsidRPr="00AE0CAB" w:rsidRDefault="00A55229" w:rsidP="00A55229">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PARTIDO VERDE ECOLOGISTA DE MÉXICO</w:t>
      </w:r>
    </w:p>
    <w:p w:rsidR="00A55229" w:rsidRPr="00AE0CAB" w:rsidRDefault="00A55229" w:rsidP="00A55229">
      <w:pPr>
        <w:spacing w:after="0" w:line="240" w:lineRule="auto"/>
        <w:jc w:val="center"/>
        <w:rPr>
          <w:rFonts w:ascii="Times New Roman" w:eastAsia="Times New Roman" w:hAnsi="Times New Roman" w:cs="Times New Roman"/>
          <w:sz w:val="24"/>
          <w:szCs w:val="24"/>
        </w:rPr>
      </w:pPr>
    </w:p>
    <w:p w:rsidR="00A55229" w:rsidRPr="00AE0CAB" w:rsidRDefault="00A55229" w:rsidP="00A55229">
      <w:pPr>
        <w:spacing w:after="0" w:line="240" w:lineRule="auto"/>
        <w:jc w:val="center"/>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Times New Roman" w:hAnsi="Times New Roman" w:cs="Times New Roman"/>
          <w:noProof/>
          <w:sz w:val="24"/>
          <w:szCs w:val="24"/>
        </w:rPr>
        <mc:AlternateContent>
          <mc:Choice Requires="wpg">
            <w:drawing>
              <wp:anchor distT="0" distB="0" distL="114300" distR="114300" simplePos="0" relativeHeight="251661312" behindDoc="1" locked="0" layoutInCell="1" allowOverlap="1">
                <wp:simplePos x="0" y="0"/>
                <wp:positionH relativeFrom="page">
                  <wp:posOffset>2421255</wp:posOffset>
                </wp:positionH>
                <wp:positionV relativeFrom="paragraph">
                  <wp:posOffset>184785</wp:posOffset>
                </wp:positionV>
                <wp:extent cx="339090" cy="0"/>
                <wp:effectExtent l="11430" t="9525" r="11430" b="9525"/>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 cy="0"/>
                          <a:chOff x="3813" y="291"/>
                          <a:chExt cx="534" cy="0"/>
                        </a:xfrm>
                      </wpg:grpSpPr>
                      <wps:wsp>
                        <wps:cNvPr id="6" name="Freeform 7"/>
                        <wps:cNvSpPr>
                          <a:spLocks/>
                        </wps:cNvSpPr>
                        <wps:spPr bwMode="auto">
                          <a:xfrm>
                            <a:off x="3813" y="291"/>
                            <a:ext cx="534" cy="0"/>
                          </a:xfrm>
                          <a:custGeom>
                            <a:avLst/>
                            <a:gdLst>
                              <a:gd name="T0" fmla="+- 0 3813 3813"/>
                              <a:gd name="T1" fmla="*/ T0 w 534"/>
                              <a:gd name="T2" fmla="+- 0 4347 3813"/>
                              <a:gd name="T3" fmla="*/ T2 w 534"/>
                            </a:gdLst>
                            <a:ahLst/>
                            <a:cxnLst>
                              <a:cxn ang="0">
                                <a:pos x="T1" y="0"/>
                              </a:cxn>
                              <a:cxn ang="0">
                                <a:pos x="T3" y="0"/>
                              </a:cxn>
                            </a:cxnLst>
                            <a:rect l="0" t="0" r="r" b="b"/>
                            <a:pathLst>
                              <a:path w="534">
                                <a:moveTo>
                                  <a:pt x="0" y="0"/>
                                </a:moveTo>
                                <a:lnTo>
                                  <a:pt x="534" y="0"/>
                                </a:lnTo>
                              </a:path>
                            </a:pathLst>
                          </a:custGeom>
                          <a:noFill/>
                          <a:ln w="135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D10D39" id="Grupo 5" o:spid="_x0000_s1026" style="position:absolute;margin-left:190.65pt;margin-top:14.55pt;width:26.7pt;height:0;z-index:-251655168;mso-position-horizontal-relative:page" coordorigin="3813,291" coordsize="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">
                <v:shape id="Freeform 7" o:spid="_x0000_s1027" style="position:absolute;left:3813;top:291;width:534;height:0;visibility:visible;mso-wrap-style:square;v-text-anchor:top" coordsize="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" path="m,l534,e" filled="f" strokeweight=".37617mm">
                  <v:path arrowok="t" o:connecttype="custom" o:connectlocs="0,0;534,0" o:connectangles="0,0"/>
                </v:shape>
                <w10:wrap anchorx="page"/>
              </v:group>
            </w:pict>
          </mc:Fallback>
        </mc:AlternateContent>
      </w:r>
      <w:r w:rsidRPr="00AE0CAB">
        <w:rPr>
          <w:rFonts w:ascii="Times New Roman" w:eastAsia="Arial" w:hAnsi="Times New Roman" w:cs="Times New Roman"/>
          <w:b/>
          <w:sz w:val="24"/>
          <w:szCs w:val="24"/>
        </w:rPr>
        <w:t>DECRETO NÚMERO</w:t>
      </w:r>
    </w:p>
    <w:p w:rsidR="00A55229" w:rsidRPr="00AE0CAB" w:rsidRDefault="00A55229" w:rsidP="00A55229">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LA LXII LEGISLATURA DEL ESTADO DE MÉXICO</w:t>
      </w:r>
    </w:p>
    <w:p w:rsidR="00A55229" w:rsidRPr="00AE0CAB" w:rsidRDefault="00A55229" w:rsidP="00A55229">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DECRETA:</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PRIMERO. </w:t>
      </w:r>
      <w:r w:rsidRPr="00AE0CAB">
        <w:rPr>
          <w:rFonts w:ascii="Times New Roman" w:eastAsia="Arial" w:hAnsi="Times New Roman" w:cs="Times New Roman"/>
          <w:sz w:val="24"/>
          <w:szCs w:val="24"/>
        </w:rPr>
        <w:t>Se declara el lunes de la semana de Pascua de cada año como el “Día de la y el Cafeticultor Mexiquense”, con el objeto de reconocer la importancia económica, social, cultural, ambiental y productiva de las personas dedicadas a la cafeticultura en el Estado de México.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SEGUNDO. </w:t>
      </w:r>
      <w:r w:rsidRPr="00AE0CAB">
        <w:rPr>
          <w:rFonts w:ascii="Times New Roman" w:eastAsia="Arial" w:hAnsi="Times New Roman" w:cs="Times New Roman"/>
          <w:sz w:val="24"/>
          <w:szCs w:val="24"/>
        </w:rPr>
        <w:t xml:space="preserve">Las dependencias y entidades de la Administración Pública Estatal, en el ámbito de sus atribuciones, promoverán campañas, actividades, ferias, exposiciones, jornadas de </w:t>
      </w:r>
      <w:r w:rsidRPr="00AE0CAB">
        <w:rPr>
          <w:rFonts w:ascii="Times New Roman" w:eastAsia="Arial" w:hAnsi="Times New Roman" w:cs="Times New Roman"/>
          <w:sz w:val="24"/>
          <w:szCs w:val="24"/>
        </w:rPr>
        <w:lastRenderedPageBreak/>
        <w:t>capacitación, difusión cultural y eventos de promoción del consumo del café mexiquense en el marco de la conmemoración del “Día de la y el Cafeticultor Mexiquense”.</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TERCERO. </w:t>
      </w:r>
      <w:r w:rsidRPr="00AE0CAB">
        <w:rPr>
          <w:rFonts w:ascii="Times New Roman" w:eastAsia="Arial" w:hAnsi="Times New Roman" w:cs="Times New Roman"/>
          <w:sz w:val="24"/>
          <w:szCs w:val="24"/>
        </w:rPr>
        <w:t>Las actividades que se realicen en el marco del “Día de la y el Cafeticultor Mexiquense” no deberán implicar erogaciones adicionales al presupuesto autorizado y deberán desarrollarse bajo criterios de inclusión social, sustentabilidad ambiental y fortalecimiento productivo regional.</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TRANSITORIOS</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PRIMERO. </w:t>
      </w:r>
      <w:r w:rsidRPr="00AE0CAB">
        <w:rPr>
          <w:rFonts w:ascii="Times New Roman" w:eastAsia="Arial" w:hAnsi="Times New Roman" w:cs="Times New Roman"/>
          <w:sz w:val="24"/>
          <w:szCs w:val="24"/>
        </w:rPr>
        <w:t>Publíquese el presente Decreto en el Periódico Oficial “Gaceta de Gobierno”.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SEGUNDO. </w:t>
      </w:r>
      <w:r w:rsidRPr="00AE0CAB">
        <w:rPr>
          <w:rFonts w:ascii="Times New Roman" w:eastAsia="Arial" w:hAnsi="Times New Roman" w:cs="Times New Roman"/>
          <w:sz w:val="24"/>
          <w:szCs w:val="24"/>
        </w:rPr>
        <w:t>El presente Decreto entrará en vigor al día siguiente de su publicación en el Periódico Oficial “Gaceta del Gobierno” del Estado de México.</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TERCERO. </w:t>
      </w:r>
      <w:r w:rsidRPr="00AE0CAB">
        <w:rPr>
          <w:rFonts w:ascii="Times New Roman" w:eastAsia="Arial" w:hAnsi="Times New Roman" w:cs="Times New Roman"/>
          <w:sz w:val="24"/>
          <w:szCs w:val="24"/>
        </w:rPr>
        <w:t>Invítese a las instituciones públicas, educativas, centros de investigación, organismos empresariales, organizaciones de productores y ayuntamientos a promover actividades relacionadas con el reconocimiento, fortalecimiento productivo, competitividad, capacitación técnica, preservación cultural y desarrollo sostenible de la cafeticultura mexiquense.</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persona titular del Poder Ejecutivo lo tendrá por entendido, haciendo que se publique y se cumpla.</w:t>
      </w:r>
    </w:p>
    <w:p w:rsidR="00A55229" w:rsidRPr="00AE0CAB" w:rsidRDefault="00A55229" w:rsidP="00A55229">
      <w:pPr>
        <w:spacing w:after="0" w:line="240" w:lineRule="auto"/>
        <w:rPr>
          <w:rFonts w:ascii="Times New Roman" w:eastAsia="Times New Roman" w:hAnsi="Times New Roman" w:cs="Times New Roman"/>
          <w:sz w:val="24"/>
          <w:szCs w:val="24"/>
        </w:rPr>
      </w:pPr>
    </w:p>
    <w:p w:rsidR="00A55229" w:rsidRPr="00AE0CAB" w:rsidRDefault="00A55229" w:rsidP="00A55229">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Dado en el Palacio del Poder Legislativo, en la Ciudad de Toluca, Capital del Estado de México, a los </w:t>
      </w:r>
      <w:r w:rsidRPr="00AE0CAB">
        <w:rPr>
          <w:rFonts w:ascii="Times New Roman" w:eastAsia="Times New Roman" w:hAnsi="Times New Roman" w:cs="Times New Roman"/>
          <w:sz w:val="24"/>
          <w:szCs w:val="24"/>
          <w:u w:val="single" w:color="000000"/>
        </w:rPr>
        <w:t xml:space="preserve">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 xml:space="preserve">días del mes </w:t>
      </w:r>
      <w:r w:rsidRPr="00AE0CAB">
        <w:rPr>
          <w:rFonts w:ascii="Times New Roman" w:eastAsia="Times New Roman" w:hAnsi="Times New Roman" w:cs="Times New Roman"/>
          <w:sz w:val="24"/>
          <w:szCs w:val="24"/>
          <w:u w:val="single" w:color="000000"/>
        </w:rPr>
        <w:t xml:space="preserve">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del año dos mil veintiséis.</w:t>
      </w:r>
    </w:p>
    <w:p w:rsidR="009E724F" w:rsidRPr="00AE0CAB" w:rsidRDefault="009E724F" w:rsidP="005D7FEC">
      <w:pPr>
        <w:spacing w:after="0" w:line="240" w:lineRule="auto"/>
        <w:jc w:val="center"/>
        <w:rPr>
          <w:rFonts w:ascii="Times New Roman" w:hAnsi="Times New Roman"/>
          <w:sz w:val="24"/>
          <w:szCs w:val="24"/>
        </w:rPr>
      </w:pPr>
    </w:p>
    <w:p w:rsidR="009E724F" w:rsidRPr="00AE0CAB" w:rsidRDefault="009E724F" w:rsidP="005D7FEC">
      <w:pPr>
        <w:spacing w:after="0" w:line="240" w:lineRule="auto"/>
        <w:jc w:val="center"/>
        <w:rPr>
          <w:rFonts w:ascii="Times New Roman" w:hAnsi="Times New Roman"/>
          <w:i/>
          <w:sz w:val="24"/>
          <w:szCs w:val="24"/>
        </w:rPr>
      </w:pPr>
      <w:r w:rsidRPr="00AE0CAB">
        <w:rPr>
          <w:rFonts w:ascii="Times New Roman" w:hAnsi="Times New Roman"/>
          <w:i/>
          <w:sz w:val="24"/>
          <w:szCs w:val="24"/>
        </w:rPr>
        <w:t>(Fin del documento)</w:t>
      </w:r>
    </w:p>
    <w:p w:rsidR="009E724F" w:rsidRPr="00AE0CAB" w:rsidRDefault="009E724F" w:rsidP="005D7FEC">
      <w:pPr>
        <w:spacing w:after="0" w:line="240" w:lineRule="auto"/>
        <w:jc w:val="center"/>
        <w:rPr>
          <w:rFonts w:ascii="Times New Roman" w:hAnsi="Times New Roman"/>
          <w:sz w:val="24"/>
          <w:szCs w:val="24"/>
        </w:rPr>
      </w:pP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PRESIDENTA DIP. MARTHA AZUCENA CAMACHO REYNOSO. Gracias diputada Gloria Vanessa Linares Zetina.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Se registra la iniciativa y se remite a las Comisiones Legislativas de Gobernación y Puntos Constitucionales y de Desarrollo Agropecuario y Forestal para su estudio y dictamen.</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En cuanto al punto número 12, el diputado Carlos Alberto López </w:t>
      </w:r>
      <w:proofErr w:type="spellStart"/>
      <w:r w:rsidRPr="00AE0CAB">
        <w:rPr>
          <w:rFonts w:ascii="Times New Roman" w:hAnsi="Times New Roman" w:cs="Times New Roman"/>
          <w:sz w:val="24"/>
          <w:szCs w:val="24"/>
        </w:rPr>
        <w:t>Imm</w:t>
      </w:r>
      <w:proofErr w:type="spellEnd"/>
      <w:r w:rsidRPr="00AE0CAB">
        <w:rPr>
          <w:rFonts w:ascii="Times New Roman" w:hAnsi="Times New Roman" w:cs="Times New Roman"/>
          <w:sz w:val="24"/>
          <w:szCs w:val="24"/>
        </w:rPr>
        <w:t xml:space="preserve"> presenta, en nombre del Grupo Parlamentario del Partido Verde Ecologista de México, lectura y acuerdo conducente de la Iniciativa con Proyecto de Decreto por el que se reforma el segundo párrafo de la fracción XXIII del artículo 31, se adiciona la fracción VIII, requiriéndose la subsecuente del artículo 96 </w:t>
      </w:r>
      <w:proofErr w:type="spellStart"/>
      <w:r w:rsidRPr="00AE0CAB">
        <w:rPr>
          <w:rFonts w:ascii="Times New Roman" w:hAnsi="Times New Roman" w:cs="Times New Roman"/>
          <w:sz w:val="24"/>
          <w:szCs w:val="24"/>
        </w:rPr>
        <w:t>Octaes</w:t>
      </w:r>
      <w:proofErr w:type="spellEnd"/>
      <w:r w:rsidRPr="00AE0CAB">
        <w:rPr>
          <w:rFonts w:ascii="Times New Roman" w:hAnsi="Times New Roman" w:cs="Times New Roman"/>
          <w:sz w:val="24"/>
          <w:szCs w:val="24"/>
        </w:rPr>
        <w:t xml:space="preserve"> de la Ley Orgánica Municipal del Estado de México en materia de empleos ambientales.</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DIP. CARLOS ALBERTO LÓPEZ IMM. Gracias Presidenta, vamos dando avance.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Saludo a quienes integran la Mesa Directiva, estimadas diputados, diputadas y </w:t>
      </w:r>
      <w:proofErr w:type="spellStart"/>
      <w:r w:rsidRPr="00AE0CAB">
        <w:rPr>
          <w:rFonts w:ascii="Times New Roman" w:hAnsi="Times New Roman" w:cs="Times New Roman"/>
          <w:sz w:val="24"/>
          <w:szCs w:val="24"/>
        </w:rPr>
        <w:t>diputade</w:t>
      </w:r>
      <w:proofErr w:type="spellEnd"/>
      <w:r w:rsidRPr="00AE0CAB">
        <w:rPr>
          <w:rFonts w:ascii="Times New Roman" w:hAnsi="Times New Roman" w:cs="Times New Roman"/>
          <w:sz w:val="24"/>
          <w:szCs w:val="24"/>
        </w:rPr>
        <w:t xml:space="preserve">, a los medios de comunicación y a la ciudadanía que nos sigue a través de las diferentes plataformas digitales.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HONORABLE ASAMBLEA.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El Grupo Parlamentario del Partido Verde Ecologista de México presenta ante este Pleno su posicionamiento respecto a la Iniciativa con Proyecto de Decreto por el que se reforma el segundo párrafo de la fracción XXIII del artículo 31 y se adiciona una fracción VIII, refiriéndose la subsecuente al artículo 96 </w:t>
      </w:r>
      <w:proofErr w:type="spellStart"/>
      <w:r w:rsidRPr="00AE0CAB">
        <w:rPr>
          <w:rFonts w:ascii="Times New Roman" w:hAnsi="Times New Roman" w:cs="Times New Roman"/>
          <w:sz w:val="24"/>
          <w:szCs w:val="24"/>
        </w:rPr>
        <w:t>Octies</w:t>
      </w:r>
      <w:proofErr w:type="spellEnd"/>
      <w:r w:rsidRPr="00AE0CAB">
        <w:rPr>
          <w:rFonts w:ascii="Times New Roman" w:hAnsi="Times New Roman" w:cs="Times New Roman"/>
          <w:sz w:val="24"/>
          <w:szCs w:val="24"/>
        </w:rPr>
        <w:t xml:space="preserve"> de la Ley Orgánica Municipal del Estado de México en materia de empleos ambientales.</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lastRenderedPageBreak/>
        <w:t xml:space="preserve">El desempleo, la informalidad laboral, se consideran como uno de los principales desafíos sociales con impactos directos en el bienestar, la educación y el desarrollo personal de este sector de la población, los datos expuestos en el documento muestran un panorama preocupante tanto a nivel internacional como nacional y sobre todo estatal.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En el Estado de México, una proporción significativa de personas desempleadas corresponde a jóvenes de entre 15 y 29 años de edad, muchos de los cuales, aun contando con un empleo, carecen de prestaciones, estabilidad e ingresos adecuados para cubrir sus necesidades básicas y educativas, frente a esta situación, la iniciativa propone una respuesta estructural desde el ámbito del desarrollo social municipal, orientada a generar oportunidades laborales, temporales y de medio tiempo para jóvenes, estudiantes y personas en situación de desempleo.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Se plantea que dichas oportunidades se desarrollen en actividades comunitarias y ambientales, lo que permite atender simultáneamente dos objetivos estratégicos combatir la pobreza juvenil y fortalecer la protección del medio ambiente y de espacios públicos.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El enfoque de la propuesta reconoce que el trabajo no solo es una fuente de ingreso, sino un medio para la realización personal, la inclusión social y el fortalecimiento del tejido comunitario; al vincular el empleo juvenil con acciones de carácter ambiental y social, se promueve un trabajo útil con impacto colectivo y alineando a los principios de sustentabilidad. La presente propuesta persigue como principal objetivo asegurar que los jóvenes estudiantes en situación de pobreza y que están desempleados, cuenten con una fuente de ingresos que garantice la compra de la canasta alimentaria y cubrir sus gastos educativos a través de empleos temporales en el servicio público y comunitario, asimismo, la iniciativa establece obligaciones claras para los municipios y fortalece las atribuciones del área de ecología, a fin de que puedan implementar programas de empleo temporal con una remuneración suficiente para cubrir gastos escolares y manutención.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Con ello, se busca garantizar que las y los jóvenes puedan continuar su formación académica sin verse obligados a abandonar sus estudios por falta de recursos.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Este posicionamiento reconoce que el desempleo juvenil no sólo es un problema económico sino un desafío social que requiere políticas públicas integrales, sensibles y eficaces, la propuesta se alinea con los objetivos de desarrollo sostenible, particularmente en materia de empleo digno, reduce las desigualdades, combate la pobreza y la acción climática.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Por todo lo anterior, el Grupo Parlamentario del Partido Verde Ecologista de México, en él estamos convencidos que el desempleo es una demanda ciudadana y un flagelo para quienes deben afrontar esta dura situación.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Por lo que es pertinente pensar en brindar soluciones en apoyo a las y los jóvenes desempleados, la presente iniciativa representa una herramienta viable para generar oportunidades reales para las y los mexiquenses, fortalecer la cohesión social y avanzar hacia un modelo de desarrollo más justo, incluyente y sostenible.</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Por lo anteriormente expuesto, se somete a consideración de este Poder Legislativo para su análisis, discusión y en su caso, aprobación en los términos de la presente Iniciativa con Proyecto de Decreto por el que se adicionan diversas disposiciones a la Ley Orgánica Municipal del Estado de México.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Es cuanto Presidenta.</w:t>
      </w:r>
    </w:p>
    <w:p w:rsidR="009320DD" w:rsidRPr="00AE0CAB" w:rsidRDefault="009320DD" w:rsidP="005D7FEC">
      <w:pPr>
        <w:pStyle w:val="Sinespaciado"/>
        <w:jc w:val="both"/>
        <w:rPr>
          <w:rFonts w:ascii="Times New Roman" w:hAnsi="Times New Roman" w:cs="Times New Roman"/>
          <w:sz w:val="24"/>
          <w:szCs w:val="24"/>
        </w:rPr>
      </w:pPr>
    </w:p>
    <w:p w:rsidR="009320DD" w:rsidRPr="00AE0CAB" w:rsidRDefault="009320DD" w:rsidP="005D7FEC">
      <w:pPr>
        <w:spacing w:after="0" w:line="240" w:lineRule="auto"/>
        <w:jc w:val="center"/>
        <w:rPr>
          <w:rFonts w:ascii="Times New Roman" w:hAnsi="Times New Roman"/>
          <w:i/>
          <w:sz w:val="24"/>
          <w:szCs w:val="24"/>
        </w:rPr>
      </w:pPr>
      <w:r w:rsidRPr="00AE0CAB">
        <w:rPr>
          <w:rFonts w:ascii="Times New Roman" w:hAnsi="Times New Roman"/>
          <w:i/>
          <w:sz w:val="24"/>
          <w:szCs w:val="24"/>
        </w:rPr>
        <w:t>(Se inserta documento)</w:t>
      </w:r>
    </w:p>
    <w:p w:rsidR="009320DD" w:rsidRPr="00AE0CAB" w:rsidRDefault="009320DD" w:rsidP="005D7FEC">
      <w:pPr>
        <w:spacing w:after="0" w:line="240" w:lineRule="auto"/>
        <w:jc w:val="center"/>
        <w:rPr>
          <w:rFonts w:ascii="Times New Roman" w:hAnsi="Times New Roman"/>
          <w:sz w:val="24"/>
          <w:szCs w:val="24"/>
        </w:rPr>
      </w:pPr>
    </w:p>
    <w:p w:rsidR="003B7170" w:rsidRPr="00AE0CAB" w:rsidRDefault="003B7170" w:rsidP="003B7170">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GRUPO PARLAMENTARIO DEL PARTIDO VERDE ECOLOGISTA DE MEXICO</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“2026. Año del Humanismo Mexicano en el Estado de México”.</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Toluca de Lerdo, Estado de México, a </w:t>
      </w:r>
      <w:r w:rsidRPr="00AE0CAB">
        <w:rPr>
          <w:rFonts w:ascii="Times New Roman" w:eastAsia="Times New Roman" w:hAnsi="Times New Roman" w:cs="Times New Roman"/>
          <w:sz w:val="24"/>
          <w:szCs w:val="24"/>
          <w:u w:val="single" w:color="000000"/>
        </w:rPr>
        <w:t xml:space="preserve">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 xml:space="preserve">de </w:t>
      </w:r>
      <w:r w:rsidRPr="00AE0CAB">
        <w:rPr>
          <w:rFonts w:ascii="Times New Roman" w:eastAsia="Times New Roman" w:hAnsi="Times New Roman" w:cs="Times New Roman"/>
          <w:sz w:val="24"/>
          <w:szCs w:val="24"/>
          <w:u w:val="single" w:color="000000"/>
        </w:rPr>
        <w:t xml:space="preserve">    </w:t>
      </w:r>
      <w:r w:rsidRPr="00AE0CAB">
        <w:rPr>
          <w:rFonts w:ascii="Times New Roman" w:eastAsia="Times New Roman" w:hAnsi="Times New Roman" w:cs="Times New Roman"/>
          <w:sz w:val="24"/>
          <w:szCs w:val="24"/>
        </w:rPr>
        <w:t xml:space="preserve"> </w:t>
      </w:r>
      <w:proofErr w:type="spellStart"/>
      <w:r w:rsidRPr="00AE0CAB">
        <w:rPr>
          <w:rFonts w:ascii="Times New Roman" w:eastAsia="Arial" w:hAnsi="Times New Roman" w:cs="Times New Roman"/>
          <w:sz w:val="24"/>
          <w:szCs w:val="24"/>
        </w:rPr>
        <w:t>de</w:t>
      </w:r>
      <w:proofErr w:type="spellEnd"/>
      <w:r w:rsidRPr="00AE0CAB">
        <w:rPr>
          <w:rFonts w:ascii="Times New Roman" w:eastAsia="Arial" w:hAnsi="Times New Roman" w:cs="Times New Roman"/>
          <w:sz w:val="24"/>
          <w:szCs w:val="24"/>
        </w:rPr>
        <w:t xml:space="preserve"> 2026.</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DIP. MARTHA AZUCENA CAMACHO REYNOSO</w:t>
      </w:r>
    </w:p>
    <w:p w:rsidR="003B7170" w:rsidRPr="00AE0CAB" w:rsidRDefault="003B7170" w:rsidP="003B7170">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PRESIDENTA DE LA MESA DIRECTIVA</w:t>
      </w:r>
    </w:p>
    <w:p w:rsidR="003B7170" w:rsidRPr="00AE0CAB" w:rsidRDefault="003B7170" w:rsidP="003B7170">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LXII LEGISLATURA DEL H. PODER LEGISLATIVO DEL ESTADO LIBRE Y SOBERANO DE MÉXICO</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P R E S E N T E</w:t>
      </w:r>
    </w:p>
    <w:p w:rsidR="003B7170" w:rsidRPr="00AE0CAB" w:rsidRDefault="003B7170" w:rsidP="003B7170">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Honorable Asamblea:</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Quienes suscriben </w:t>
      </w:r>
      <w:r w:rsidRPr="00AE0CAB">
        <w:rPr>
          <w:rFonts w:ascii="Times New Roman" w:eastAsia="Arial" w:hAnsi="Times New Roman" w:cs="Times New Roman"/>
          <w:b/>
          <w:sz w:val="24"/>
          <w:szCs w:val="24"/>
        </w:rPr>
        <w:t>JOSÉ ALBERTO COUTTOLENC BUENTELLO</w:t>
      </w:r>
      <w:r w:rsidRPr="00AE0CAB">
        <w:rPr>
          <w:rFonts w:ascii="Times New Roman" w:eastAsia="Arial" w:hAnsi="Times New Roman" w:cs="Times New Roman"/>
          <w:sz w:val="24"/>
          <w:szCs w:val="24"/>
        </w:rPr>
        <w:t xml:space="preserve">, </w:t>
      </w:r>
      <w:r w:rsidRPr="00AE0CAB">
        <w:rPr>
          <w:rFonts w:ascii="Times New Roman" w:eastAsia="Arial"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AE0CAB">
        <w:rPr>
          <w:rFonts w:ascii="Times New Roman" w:eastAsia="Arial" w:hAnsi="Times New Roman" w:cs="Times New Roman"/>
          <w:sz w:val="24"/>
          <w:szCs w:val="24"/>
        </w:rPr>
        <w:t xml:space="preserve">diputadas y diputados integrantes del </w:t>
      </w:r>
      <w:r w:rsidRPr="00AE0CAB">
        <w:rPr>
          <w:rFonts w:ascii="Times New Roman" w:eastAsia="Arial" w:hAnsi="Times New Roman" w:cs="Times New Roman"/>
          <w:b/>
          <w:sz w:val="24"/>
          <w:szCs w:val="24"/>
        </w:rPr>
        <w:t xml:space="preserve">GRUPO PARLAMENTARIO DEL PARTIDO VERDE ECOLOGISTA DE MÉXICO </w:t>
      </w:r>
      <w:r w:rsidRPr="00AE0CAB">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AE0CAB">
        <w:rPr>
          <w:rFonts w:ascii="Times New Roman" w:eastAsia="Arial" w:hAnsi="Times New Roman" w:cs="Times New Roman"/>
          <w:b/>
          <w:sz w:val="24"/>
          <w:szCs w:val="24"/>
        </w:rPr>
        <w:t xml:space="preserve">INICIATIVA CON PROYECTO DE DECRETO POR LA QUE SE REFORMA EL SEGUNDO PÁRRAFO DE LA FRACCIÓN XXIII DEL ARTÍCULO 31, SE ADICIONA LA FRACCIÓN VIII, RECORRIÉNDOSE LA SUBSECUENTE AL ARTÍCULO 96 OCTIES DE LA LEY ORGÁNICA MUNICIPAL DEL ESTADO DE MÉXICO, EN MATERIA DE EMPLEOS AMBIENTALES, </w:t>
      </w:r>
      <w:r w:rsidRPr="00AE0CAB">
        <w:rPr>
          <w:rFonts w:ascii="Times New Roman" w:eastAsia="Arial" w:hAnsi="Times New Roman" w:cs="Times New Roman"/>
          <w:sz w:val="24"/>
          <w:szCs w:val="24"/>
        </w:rPr>
        <w:t>con sustento en la siguiente:</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EXPOSICIÓN DE MOTIVOS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 escala global, los gobiernos han cobrado un papel cada vez más relevante en la implementación de políticas públicas orientadas al fortalecimiento del empleo, la recuperación económica y el impulso a sectores productivos estratégicos, destinando recursos para apoyar tanto a trabajadores como a empresas, mediante programas de estímulos, capacitación y generación de oportunidades laborales. La prioridad de estas políticas ha sido conservar las fuentes de empleo, fomentar nuevas oportunidades productivas y garantizar ingresos suficientes para cubrir las necesidades básicas de la población.</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empleo continúa siendo uno de los principales mecanismos mediante el cual las personas construyen estabilidad económica, desarrollo personal y reconocimiento social. A través del trabajo se fortalecen las capacidades individuales, se genera autonomía económica y se contribuye al desarrollo de las comunidades. Sin embargo, los jóvenes continúan enfrentando mayores dificultades para incorporarse al mercado laboral, particularmente aquellos que se encuentran en situación de pobreza o que carecen de experiencia profesional previa.</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este contexto, corresponde al Estado, a través de políticas y programas, favorecer el desarrollo económico y, por ende, la creación de fuentes de empleo, cuestión que, en virtud del tamaño actual de la población, implica un reto de grandes magnitudes, que, si no es abordado adecuadamente, genera contextos de desempleo y pobreza.</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Según la Organización Internacional del Trabajo (OIT), se estima que más de 600 millones de nuevos empleos deberán crearse de aquí a 2030, solo para seguir el ritmo de crecimiento de la </w:t>
      </w:r>
      <w:r w:rsidRPr="00AE0CAB">
        <w:rPr>
          <w:rFonts w:ascii="Times New Roman" w:eastAsia="Arial" w:hAnsi="Times New Roman" w:cs="Times New Roman"/>
          <w:sz w:val="24"/>
          <w:szCs w:val="24"/>
        </w:rPr>
        <w:lastRenderedPageBreak/>
        <w:t>población mundial en edad de trabajar. Esto representa la creación de alrededor de 40 millones de empleos al año, así como, mejorar las condiciones de los 780 millones de hombres y mujeres que trabajan, pero no ganan lo suficiente para superar ellos y sus familias el umbral de la pobreza, que es de 2 dólares al día.</w:t>
      </w:r>
    </w:p>
    <w:p w:rsidR="003B7170" w:rsidRPr="00AE0CAB" w:rsidRDefault="003B7170" w:rsidP="003B7170">
      <w:pPr>
        <w:spacing w:after="0" w:line="240" w:lineRule="auto"/>
        <w:jc w:val="both"/>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América Latina y el Caribe, las altas tasas de desempleo, informalidad e inactividad afectan a cerca de 110 millones de jóvenes, lo que representa uno de los principales desafíos para las políticas de desarrollo económico y social de la región. De acuerdo con estimaciones recientes, alrededor de 9 millones de jóvenes se encuentran desempleados, mientras que más de 30 millones trabajan en condiciones de informalidad, situación que limita su acceso a prestaciones sociales y estabilidad económica.</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México, el panorama presenta retos similares. Datos recientes del Consejo Nacional de Evaluación de la Política de Desarrollo Social (CONEVAL) indican que la pobreza laboral se ha mantenido en niveles cercanos al 37% de la población, lo que refleja que una proporción importante de personas ocupadas no obtiene ingresos suficientes para cubrir la canasta básica. Esta situación impacta particularmente a la población joven, que enfrenta mayores barreras para acceder a empleos formales y bien remunerados.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 acuerdo con la Encuesta Nacional de Ocupación y Empleo (ENOE), la tasa de participación económica de los jóvenes se mantiene cercana al 49%, sin embargo, una proporción considerable se incorpora a empleos informales o de baja remuneración, lo que dificulta mejorar sus condiciones de vida y continuar con sus estudios. Asimismo, los ingresos laborales promedio de la población joven continúan ubicándose por debajo del promedio nacional, situación que se acentúa en el caso de las mujeres jóvenes.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Respecto al Estado de México, información reciente de la ENOE señala que la entidad concentra una de las mayores poblaciones jóvenes del país y que una proporción significativa de las personas desocupadas corresponde al grupo de 20 a 29 años, lo que refleja la necesidad de fortalecer políticas públicas orientadas a la generación de empleo juvenil. Asimismo, miles de jóvenes mexiquenses continúan enfrentando condiciones laborales caracterizadas por informalidad, falta de prestaciones y bajos ingresos.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Pese a que los jóvenes mexiquenses constituyen una importante fuerza social, económica, política y cultural, en ellos recae gran parte de los esfuerzos de la transformación social del estado. No cuentan con programas sociales para su inserción en el mercado laboral. Por ello, es necesaria la inserción de todos los grupos de jóvenes, hombres y mujeres, rurales y urbanos, indígenas y no indígenas, discapacitados o no discapacitados, a la vida económica y laboral de nuestra entidad, que les permita acabar con las desigualdades en el Estado de México.</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pandemia ha impactado gravemente a los jóvenes, no solo por la falta de empleo o precarización del mismo, sino porque también se enfrentan un rezago educativo y en su formación profesional, derivado de la medida de distanciamiento social que llevó a implementar la educación a distancia.</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Esta situación obliga al Estado a generar programas y políticas que combatan y reviertan las tendencias antes referidas y que, de acuerdo con la OIT, generarán consecuencias con las que los jóvenes del presente podrían cargar durante el resto de sus vidas.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Esta situación exige establecer medidas de política integradas y eficaces y que privilegien la educación de los jóvenes, su capacitación y formación, a la vez que durante este periodo les permita percibir un ingreso suficiente para continuar sus estudios y capacitación.</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Un ejemplo exitoso de este tipo de programas lo tenemos en Canadá, donde existe un programa para estudiantes internacionales, quienes pueden trabajar hasta 20 horas por semana y a tiempo completo durante los descansos planificados en el programa de estudios.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Times New Roman" w:hAnsi="Times New Roman" w:cs="Times New Roman"/>
          <w:sz w:val="24"/>
          <w:szCs w:val="24"/>
        </w:rPr>
      </w:pPr>
      <w:r w:rsidRPr="00AE0CAB">
        <w:rPr>
          <w:rFonts w:ascii="Times New Roman" w:eastAsia="Arial" w:hAnsi="Times New Roman" w:cs="Times New Roman"/>
          <w:sz w:val="24"/>
          <w:szCs w:val="24"/>
        </w:rPr>
        <w:t>Los jóvenes canadienses, especialmente en los últimos años del bachillerato, trabajan en un empleo de tiempo parcial los fines de semana y a veces después de la escuela durante la semana. Este empleo es impulsado como una manera para que los adolescentes adquieran habilidades de empleo y obtengan un ingreso. Muchos estudiantes tienen que trabajar para ahorrar para su educación superior, ya que la inscripción para la escuela vocacional, técnica o la universidad no es gratis.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ello, el grupo parlamentario del Partido Verde Ecologista de México considera que, ante el déficit de empleo para jóvenes, es importante la participación del Estado en la generación de vacantes temporales y de medio tiempo en áreas prioritarias como el cuidado del medio ambiente, que a su vez permita a los estudiantes mexiquenses de escasos recursos acceder a un ingreso para continuar con sus estudios.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Es fundamental generar una política pública dirigida a atender las causas de la pobreza y brindar un sustento económico que logre cubrir los requerimientos de la canasta básica alimentaria y educativa de los jóvenes en condiciones de pobreza; mediante la generación de empleos que les permitan obtener los ingresos necesarios para combatir de fondo las causas de la pobreza que padecen los jóvenes en el Estado de México.</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presente propuesta persigue como principal objetivo, asegurar que los jóvenes estudiantes en situación de pobreza y que están desempleados cuenten con una fuente de ingresos que garantice la compra de la canasta alimentaria y cubrir sus gastos educativos, a través de empleos temporales en el servicio público y comunitario.</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Es de destacar que las actividades a realizar por los beneficiarios del programa de empleo temporal tienen una vocación medioambiental y social, ya que estas generarían un beneficio al medio ambiente, además de fortalecer los lazos vecinales entre los jóvenes que sean beneficiados con estos programas.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Con dichas actividades se estaría cumpliendo el precepto constitucional que señala que el trabajo debe de ser útil, al beneficiar al conglomerado social de cierta comunidad, barrio o colonia a través de acciones sustentables y sostenibles.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Sin lugar a dudas, una alta tasa de desempleo es un problema tanto económico como social: económico porque, como lo afirman Dornbusch y Fischer, se estarían desperdiciando recursos (mano de obra), lo que provocaría que la producción total sea inferior a la potencial, y social porque provoca sufrimientos debido a que se enfrentan a una menor calidad de vida. Por esta razón, un factor importante para el desarrollo de los países y el bienestar de la población es, entre otras cosas, la existencia de suficientes empleos “estables, bien remunerados y protegidos por la Ley”.</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Estamos convencidos de que el desempleo es una demanda ciudadana y un flagelo para quienes deben de afrontar esta dura situación, por lo que es pertinente pensar en brindar soluciones en apoyo a los jóvenes desempleados.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Finalmente, la política pública del programa de desarrollo social propuesta combate diversas problemáticas y se apega a lo prescrito por los Objetivos de Desarrollo Sostenible, principalmente al 8, que busca promover el crecimiento económico inclusivo y sostenible, en el que toda persona pueda verse beneficiada y, a la par, promover la creación y el acceso a un empleo decente. Asimismo, a los fines identificados como 1, 10 y 13, que abordan los temas de pobreza, reducción de desigualdades y acciones contra el cambio climático, respectivamente.</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3B7170" w:rsidRPr="00AE0CAB" w:rsidRDefault="003B7170" w:rsidP="003B7170">
      <w:pPr>
        <w:spacing w:after="0" w:line="240" w:lineRule="auto"/>
        <w:rPr>
          <w:rFonts w:ascii="Times New Roman" w:eastAsia="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4790"/>
        <w:gridCol w:w="4786"/>
      </w:tblGrid>
      <w:tr w:rsidR="003B7170" w:rsidRPr="00AE0CAB" w:rsidTr="005D7FEC">
        <w:trPr>
          <w:trHeight w:val="20"/>
        </w:trPr>
        <w:tc>
          <w:tcPr>
            <w:tcW w:w="9576" w:type="dxa"/>
            <w:gridSpan w:val="2"/>
            <w:tcBorders>
              <w:top w:val="single" w:sz="5" w:space="0" w:color="D9D9D9"/>
              <w:left w:val="single" w:sz="5" w:space="0" w:color="D9D9D9"/>
              <w:bottom w:val="single" w:sz="5" w:space="0" w:color="D9D9D9"/>
              <w:right w:val="single" w:sz="5" w:space="0" w:color="D9D9D9"/>
            </w:tcBorders>
            <w:shd w:val="clear" w:color="auto" w:fill="BEBEBE"/>
          </w:tcPr>
          <w:p w:rsidR="003B7170" w:rsidRPr="00AE0CAB" w:rsidRDefault="003B7170" w:rsidP="003B7170">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LEY ORGÁNICA MUNICIPAL DEL ESTADO DE MÉXICO</w:t>
            </w:r>
          </w:p>
        </w:tc>
      </w:tr>
      <w:tr w:rsidR="003B7170" w:rsidRPr="00AE0CAB" w:rsidTr="005D7FEC">
        <w:trPr>
          <w:trHeight w:val="20"/>
        </w:trPr>
        <w:tc>
          <w:tcPr>
            <w:tcW w:w="4790" w:type="dxa"/>
            <w:tcBorders>
              <w:top w:val="single" w:sz="5" w:space="0" w:color="D9D9D9"/>
              <w:left w:val="single" w:sz="5" w:space="0" w:color="D9D9D9"/>
              <w:bottom w:val="single" w:sz="3" w:space="0" w:color="BEBEBE"/>
              <w:right w:val="single" w:sz="5" w:space="0" w:color="D9D9D9"/>
            </w:tcBorders>
            <w:shd w:val="clear" w:color="auto" w:fill="D9D9D9"/>
          </w:tcPr>
          <w:p w:rsidR="003B7170" w:rsidRPr="00AE0CAB" w:rsidRDefault="003B7170" w:rsidP="003B7170">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LEY VIGENTE</w:t>
            </w:r>
          </w:p>
        </w:tc>
        <w:tc>
          <w:tcPr>
            <w:tcW w:w="4786" w:type="dxa"/>
            <w:tcBorders>
              <w:top w:val="single" w:sz="5" w:space="0" w:color="D9D9D9"/>
              <w:left w:val="single" w:sz="5" w:space="0" w:color="D9D9D9"/>
              <w:bottom w:val="single" w:sz="3" w:space="0" w:color="BEBEBE"/>
              <w:right w:val="single" w:sz="5" w:space="0" w:color="D9D9D9"/>
            </w:tcBorders>
            <w:shd w:val="clear" w:color="auto" w:fill="D9D9D9"/>
          </w:tcPr>
          <w:p w:rsidR="003B7170" w:rsidRPr="00AE0CAB" w:rsidRDefault="003B7170" w:rsidP="003B7170">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INICIATIVA</w:t>
            </w:r>
          </w:p>
        </w:tc>
      </w:tr>
      <w:tr w:rsidR="003B7170" w:rsidRPr="00AE0CAB" w:rsidTr="005D7FEC">
        <w:trPr>
          <w:trHeight w:val="559"/>
        </w:trPr>
        <w:tc>
          <w:tcPr>
            <w:tcW w:w="4790" w:type="dxa"/>
            <w:tcBorders>
              <w:top w:val="single" w:sz="3" w:space="0" w:color="BEBEBE"/>
              <w:left w:val="single" w:sz="5" w:space="0" w:color="D9D9D9"/>
              <w:right w:val="single" w:sz="5" w:space="0" w:color="D9D9D9"/>
            </w:tcBorders>
          </w:tcPr>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31.- </w:t>
            </w:r>
            <w:r w:rsidRPr="00AE0CAB">
              <w:rPr>
                <w:rFonts w:ascii="Times New Roman" w:eastAsia="Arial" w:hAnsi="Times New Roman" w:cs="Times New Roman"/>
                <w:sz w:val="24"/>
                <w:szCs w:val="24"/>
              </w:rPr>
              <w:t>Son atribuciones de los ayuntamientos:</w:t>
            </w:r>
          </w:p>
        </w:tc>
        <w:tc>
          <w:tcPr>
            <w:tcW w:w="4786" w:type="dxa"/>
            <w:tcBorders>
              <w:top w:val="single" w:sz="3" w:space="0" w:color="BEBEBE"/>
              <w:left w:val="single" w:sz="5" w:space="0" w:color="D9D9D9"/>
              <w:right w:val="single" w:sz="5" w:space="0" w:color="D9D9D9"/>
            </w:tcBorders>
          </w:tcPr>
          <w:p w:rsidR="003B7170" w:rsidRPr="00AE0CAB" w:rsidRDefault="003B7170" w:rsidP="003B7170">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31.- </w:t>
            </w:r>
            <w:r w:rsidRPr="00AE0CAB">
              <w:rPr>
                <w:rFonts w:ascii="Times New Roman" w:eastAsia="Arial" w:hAnsi="Times New Roman" w:cs="Times New Roman"/>
                <w:sz w:val="24"/>
                <w:szCs w:val="24"/>
              </w:rPr>
              <w:t>…</w:t>
            </w:r>
          </w:p>
        </w:tc>
      </w:tr>
      <w:tr w:rsidR="003B7170" w:rsidRPr="00AE0CAB" w:rsidTr="005D7FEC">
        <w:trPr>
          <w:trHeight w:val="20"/>
        </w:trPr>
        <w:tc>
          <w:tcPr>
            <w:tcW w:w="4790" w:type="dxa"/>
            <w:tcBorders>
              <w:top w:val="single" w:sz="3" w:space="0" w:color="BEBEBE"/>
              <w:left w:val="single" w:sz="5" w:space="0" w:color="D9D9D9"/>
              <w:bottom w:val="single" w:sz="3" w:space="0" w:color="BEBEBE"/>
              <w:right w:val="single" w:sz="5" w:space="0" w:color="D9D9D9"/>
            </w:tcBorders>
          </w:tcPr>
          <w:p w:rsidR="003B7170" w:rsidRPr="00AE0CAB" w:rsidRDefault="003B7170" w:rsidP="003B7170">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sz w:val="24"/>
                <w:szCs w:val="24"/>
              </w:rPr>
              <w:t>I a XXII…</w:t>
            </w:r>
          </w:p>
        </w:tc>
        <w:tc>
          <w:tcPr>
            <w:tcW w:w="4786" w:type="dxa"/>
            <w:tcBorders>
              <w:top w:val="single" w:sz="3" w:space="0" w:color="BEBEBE"/>
              <w:left w:val="single" w:sz="5" w:space="0" w:color="D9D9D9"/>
              <w:bottom w:val="single" w:sz="3" w:space="0" w:color="BEBEBE"/>
              <w:right w:val="single" w:sz="5" w:space="0" w:color="D9D9D9"/>
            </w:tcBorders>
          </w:tcPr>
          <w:p w:rsidR="003B7170" w:rsidRPr="00AE0CAB" w:rsidRDefault="003B7170" w:rsidP="003B7170">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sz w:val="24"/>
                <w:szCs w:val="24"/>
              </w:rPr>
              <w:t>I a XXII…</w:t>
            </w:r>
          </w:p>
        </w:tc>
      </w:tr>
      <w:tr w:rsidR="003B7170" w:rsidRPr="00AE0CAB" w:rsidTr="005D7FEC">
        <w:trPr>
          <w:trHeight w:val="20"/>
        </w:trPr>
        <w:tc>
          <w:tcPr>
            <w:tcW w:w="4790" w:type="dxa"/>
            <w:tcBorders>
              <w:top w:val="single" w:sz="3" w:space="0" w:color="BEBEBE"/>
              <w:left w:val="single" w:sz="5" w:space="0" w:color="D9D9D9"/>
              <w:bottom w:val="single" w:sz="3" w:space="0" w:color="BEBEBE"/>
              <w:right w:val="single" w:sz="5" w:space="0" w:color="D9D9D9"/>
            </w:tcBorders>
          </w:tcPr>
          <w:p w:rsidR="003B7170" w:rsidRPr="00AE0CAB" w:rsidRDefault="003B7170" w:rsidP="003B7170">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sz w:val="24"/>
                <w:szCs w:val="24"/>
              </w:rPr>
              <w:t>XXIII. …</w:t>
            </w:r>
          </w:p>
        </w:tc>
        <w:tc>
          <w:tcPr>
            <w:tcW w:w="4786" w:type="dxa"/>
            <w:tcBorders>
              <w:top w:val="single" w:sz="3" w:space="0" w:color="BEBEBE"/>
              <w:left w:val="single" w:sz="5" w:space="0" w:color="D9D9D9"/>
              <w:bottom w:val="single" w:sz="3" w:space="0" w:color="BEBEBE"/>
              <w:right w:val="single" w:sz="5" w:space="0" w:color="D9D9D9"/>
            </w:tcBorders>
          </w:tcPr>
          <w:p w:rsidR="003B7170" w:rsidRPr="00AE0CAB" w:rsidRDefault="003B7170" w:rsidP="003B7170">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sz w:val="24"/>
                <w:szCs w:val="24"/>
              </w:rPr>
              <w:t>XXIII. …</w:t>
            </w:r>
          </w:p>
        </w:tc>
      </w:tr>
      <w:tr w:rsidR="003B7170" w:rsidRPr="00AE0CAB" w:rsidTr="005D7FEC">
        <w:trPr>
          <w:trHeight w:val="1663"/>
        </w:trPr>
        <w:tc>
          <w:tcPr>
            <w:tcW w:w="4790" w:type="dxa"/>
            <w:tcBorders>
              <w:top w:val="single" w:sz="3" w:space="0" w:color="BEBEBE"/>
              <w:left w:val="single" w:sz="5" w:space="0" w:color="D9D9D9"/>
              <w:bottom w:val="nil"/>
              <w:right w:val="single" w:sz="5" w:space="0" w:color="D9D9D9"/>
            </w:tcBorders>
          </w:tcPr>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Además, podrán fomentar una mayor asignación presupuestal para mantenimiento de parques, jardines e infraestructura municipal procurando que éste sea destinado a la generación de empleos para los adultos mayores en trabajos de conservación y mantenimiento.</w:t>
            </w:r>
          </w:p>
        </w:tc>
        <w:tc>
          <w:tcPr>
            <w:tcW w:w="4786" w:type="dxa"/>
            <w:vMerge w:val="restart"/>
            <w:tcBorders>
              <w:top w:val="single" w:sz="3" w:space="0" w:color="BEBEBE"/>
              <w:left w:val="single" w:sz="5" w:space="0" w:color="D9D9D9"/>
              <w:bottom w:val="nil"/>
              <w:right w:val="single" w:sz="5" w:space="0" w:color="D9D9D9"/>
            </w:tcBorders>
          </w:tcPr>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Además, podrán promover una mayor asignación presupuestal destinada al </w:t>
            </w:r>
            <w:r w:rsidRPr="00AE0CAB">
              <w:rPr>
                <w:rFonts w:ascii="Times New Roman" w:eastAsia="Arial" w:hAnsi="Times New Roman" w:cs="Times New Roman"/>
                <w:b/>
                <w:sz w:val="24"/>
                <w:szCs w:val="24"/>
              </w:rPr>
              <w:t xml:space="preserve">mantenimiento, conservación, forestación y reforestación de </w:t>
            </w:r>
            <w:r w:rsidRPr="00AE0CAB">
              <w:rPr>
                <w:rFonts w:ascii="Times New Roman" w:eastAsia="Arial" w:hAnsi="Times New Roman" w:cs="Times New Roman"/>
                <w:sz w:val="24"/>
                <w:szCs w:val="24"/>
              </w:rPr>
              <w:t xml:space="preserve">parques, jardines, </w:t>
            </w:r>
            <w:r w:rsidRPr="00AE0CAB">
              <w:rPr>
                <w:rFonts w:ascii="Times New Roman" w:eastAsia="Arial" w:hAnsi="Times New Roman" w:cs="Times New Roman"/>
                <w:b/>
                <w:sz w:val="24"/>
                <w:szCs w:val="24"/>
              </w:rPr>
              <w:t xml:space="preserve">camellones, áreas públicas </w:t>
            </w:r>
            <w:r w:rsidRPr="00AE0CAB">
              <w:rPr>
                <w:rFonts w:ascii="Times New Roman" w:eastAsia="Arial" w:hAnsi="Times New Roman" w:cs="Times New Roman"/>
                <w:sz w:val="24"/>
                <w:szCs w:val="24"/>
              </w:rPr>
              <w:t xml:space="preserve">e infraestructura municipal, procurando que </w:t>
            </w:r>
            <w:r w:rsidRPr="00AE0CAB">
              <w:rPr>
                <w:rFonts w:ascii="Times New Roman" w:eastAsia="Arial" w:hAnsi="Times New Roman" w:cs="Times New Roman"/>
                <w:b/>
                <w:sz w:val="24"/>
                <w:szCs w:val="24"/>
              </w:rPr>
              <w:t xml:space="preserve">dichos recursos </w:t>
            </w:r>
            <w:r w:rsidRPr="00AE0CAB">
              <w:rPr>
                <w:rFonts w:ascii="Times New Roman" w:eastAsia="Arial" w:hAnsi="Times New Roman" w:cs="Times New Roman"/>
                <w:sz w:val="24"/>
                <w:szCs w:val="24"/>
              </w:rPr>
              <w:t>se destinado a la generación de empleos</w:t>
            </w: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temporales </w:t>
            </w:r>
            <w:r w:rsidRPr="00AE0CAB">
              <w:rPr>
                <w:rFonts w:ascii="Times New Roman" w:eastAsia="Arial" w:hAnsi="Times New Roman" w:cs="Times New Roman"/>
                <w:sz w:val="24"/>
                <w:szCs w:val="24"/>
              </w:rPr>
              <w:t>dirigidos prioritariamente para personas adultas mayores, personas pertenecientes a grupos en situación de vulnerabilidad, estudiantes de escasos recursos y personas en situación de desempleo.</w:t>
            </w:r>
          </w:p>
        </w:tc>
      </w:tr>
      <w:tr w:rsidR="003B7170" w:rsidRPr="00AE0CAB" w:rsidTr="005D7FEC">
        <w:trPr>
          <w:trHeight w:val="20"/>
        </w:trPr>
        <w:tc>
          <w:tcPr>
            <w:tcW w:w="4790" w:type="dxa"/>
            <w:tcBorders>
              <w:top w:val="nil"/>
              <w:left w:val="single" w:sz="5" w:space="0" w:color="D9D9D9"/>
              <w:bottom w:val="nil"/>
              <w:right w:val="single" w:sz="5" w:space="0" w:color="D9D9D9"/>
            </w:tcBorders>
          </w:tcPr>
          <w:p w:rsidR="003B7170" w:rsidRPr="00AE0CAB" w:rsidRDefault="003B7170" w:rsidP="003B7170">
            <w:pPr>
              <w:spacing w:after="0" w:line="240" w:lineRule="auto"/>
              <w:rPr>
                <w:rFonts w:ascii="Times New Roman" w:eastAsia="Times New Roman" w:hAnsi="Times New Roman" w:cs="Times New Roman"/>
                <w:sz w:val="24"/>
                <w:szCs w:val="24"/>
              </w:rPr>
            </w:pPr>
          </w:p>
        </w:tc>
        <w:tc>
          <w:tcPr>
            <w:tcW w:w="4786" w:type="dxa"/>
            <w:vMerge/>
            <w:tcBorders>
              <w:left w:val="single" w:sz="5" w:space="0" w:color="D9D9D9"/>
              <w:right w:val="single" w:sz="5" w:space="0" w:color="D9D9D9"/>
            </w:tcBorders>
          </w:tcPr>
          <w:p w:rsidR="003B7170" w:rsidRPr="00AE0CAB" w:rsidRDefault="003B7170" w:rsidP="003B7170">
            <w:pPr>
              <w:spacing w:after="0" w:line="240" w:lineRule="auto"/>
              <w:rPr>
                <w:rFonts w:ascii="Times New Roman" w:eastAsia="Arial" w:hAnsi="Times New Roman" w:cs="Times New Roman"/>
                <w:sz w:val="24"/>
                <w:szCs w:val="24"/>
              </w:rPr>
            </w:pPr>
          </w:p>
        </w:tc>
      </w:tr>
      <w:tr w:rsidR="003B7170" w:rsidRPr="00AE0CAB" w:rsidTr="005D7FEC">
        <w:trPr>
          <w:trHeight w:val="20"/>
        </w:trPr>
        <w:tc>
          <w:tcPr>
            <w:tcW w:w="4790" w:type="dxa"/>
            <w:tcBorders>
              <w:top w:val="nil"/>
              <w:left w:val="single" w:sz="5" w:space="0" w:color="D9D9D9"/>
              <w:bottom w:val="nil"/>
              <w:right w:val="single" w:sz="5" w:space="0" w:color="D9D9D9"/>
            </w:tcBorders>
          </w:tcPr>
          <w:p w:rsidR="003B7170" w:rsidRPr="00AE0CAB" w:rsidRDefault="003B7170" w:rsidP="003B7170">
            <w:pPr>
              <w:spacing w:after="0" w:line="240" w:lineRule="auto"/>
              <w:rPr>
                <w:rFonts w:ascii="Times New Roman" w:eastAsia="Times New Roman" w:hAnsi="Times New Roman" w:cs="Times New Roman"/>
                <w:sz w:val="24"/>
                <w:szCs w:val="24"/>
              </w:rPr>
            </w:pPr>
          </w:p>
        </w:tc>
        <w:tc>
          <w:tcPr>
            <w:tcW w:w="4786" w:type="dxa"/>
            <w:vMerge/>
            <w:tcBorders>
              <w:left w:val="single" w:sz="5" w:space="0" w:color="D9D9D9"/>
              <w:right w:val="single" w:sz="5" w:space="0" w:color="D9D9D9"/>
            </w:tcBorders>
          </w:tcPr>
          <w:p w:rsidR="003B7170" w:rsidRPr="00AE0CAB" w:rsidRDefault="003B7170" w:rsidP="003B7170">
            <w:pPr>
              <w:spacing w:after="0" w:line="240" w:lineRule="auto"/>
              <w:rPr>
                <w:rFonts w:ascii="Times New Roman" w:eastAsia="Arial" w:hAnsi="Times New Roman" w:cs="Times New Roman"/>
                <w:sz w:val="24"/>
                <w:szCs w:val="24"/>
              </w:rPr>
            </w:pPr>
          </w:p>
        </w:tc>
      </w:tr>
      <w:tr w:rsidR="003B7170" w:rsidRPr="00AE0CAB" w:rsidTr="005D7FEC">
        <w:trPr>
          <w:trHeight w:val="20"/>
        </w:trPr>
        <w:tc>
          <w:tcPr>
            <w:tcW w:w="4790" w:type="dxa"/>
            <w:tcBorders>
              <w:top w:val="nil"/>
              <w:left w:val="single" w:sz="5" w:space="0" w:color="D9D9D9"/>
              <w:bottom w:val="nil"/>
              <w:right w:val="single" w:sz="5" w:space="0" w:color="D9D9D9"/>
            </w:tcBorders>
          </w:tcPr>
          <w:p w:rsidR="003B7170" w:rsidRPr="00AE0CAB" w:rsidRDefault="003B7170" w:rsidP="003B7170">
            <w:pPr>
              <w:spacing w:after="0" w:line="240" w:lineRule="auto"/>
              <w:rPr>
                <w:rFonts w:ascii="Times New Roman" w:eastAsia="Times New Roman" w:hAnsi="Times New Roman" w:cs="Times New Roman"/>
                <w:sz w:val="24"/>
                <w:szCs w:val="24"/>
              </w:rPr>
            </w:pPr>
          </w:p>
        </w:tc>
        <w:tc>
          <w:tcPr>
            <w:tcW w:w="4786" w:type="dxa"/>
            <w:vMerge/>
            <w:tcBorders>
              <w:left w:val="single" w:sz="5" w:space="0" w:color="D9D9D9"/>
              <w:bottom w:val="nil"/>
              <w:right w:val="single" w:sz="5" w:space="0" w:color="D9D9D9"/>
            </w:tcBorders>
          </w:tcPr>
          <w:p w:rsidR="003B7170" w:rsidRPr="00AE0CAB" w:rsidRDefault="003B7170" w:rsidP="003B7170">
            <w:pPr>
              <w:spacing w:after="0" w:line="240" w:lineRule="auto"/>
              <w:rPr>
                <w:rFonts w:ascii="Times New Roman" w:eastAsia="Arial" w:hAnsi="Times New Roman" w:cs="Times New Roman"/>
                <w:sz w:val="24"/>
                <w:szCs w:val="24"/>
              </w:rPr>
            </w:pPr>
          </w:p>
        </w:tc>
      </w:tr>
    </w:tbl>
    <w:p w:rsidR="003B7170" w:rsidRPr="00AE0CAB" w:rsidRDefault="003B7170" w:rsidP="003B7170">
      <w:pPr>
        <w:spacing w:after="0" w:line="240" w:lineRule="auto"/>
        <w:rPr>
          <w:rFonts w:ascii="Times New Roman" w:eastAsia="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4790"/>
        <w:gridCol w:w="4786"/>
      </w:tblGrid>
      <w:tr w:rsidR="003B7170" w:rsidRPr="00AE0CAB" w:rsidTr="005D7FEC">
        <w:trPr>
          <w:trHeight w:val="20"/>
        </w:trPr>
        <w:tc>
          <w:tcPr>
            <w:tcW w:w="9576" w:type="dxa"/>
            <w:gridSpan w:val="2"/>
            <w:tcBorders>
              <w:top w:val="single" w:sz="5" w:space="0" w:color="D9D9D9"/>
              <w:left w:val="single" w:sz="5" w:space="0" w:color="D9D9D9"/>
              <w:bottom w:val="single" w:sz="5" w:space="0" w:color="D9D9D9"/>
              <w:right w:val="single" w:sz="5" w:space="0" w:color="D9D9D9"/>
            </w:tcBorders>
            <w:shd w:val="clear" w:color="auto" w:fill="BEBEBE"/>
          </w:tcPr>
          <w:p w:rsidR="003B7170" w:rsidRPr="00AE0CAB" w:rsidRDefault="003B7170" w:rsidP="003B7170">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LEY ORGÁNICA MUNICIPAL DEL ESTADO DE MÉXICO</w:t>
            </w:r>
          </w:p>
        </w:tc>
      </w:tr>
      <w:tr w:rsidR="003B7170" w:rsidRPr="00AE0CAB" w:rsidTr="005D7FEC">
        <w:trPr>
          <w:trHeight w:val="3595"/>
        </w:trPr>
        <w:tc>
          <w:tcPr>
            <w:tcW w:w="4790" w:type="dxa"/>
            <w:tcBorders>
              <w:top w:val="single" w:sz="3" w:space="0" w:color="BEBEBE"/>
              <w:left w:val="single" w:sz="5" w:space="0" w:color="D9D9D9"/>
              <w:right w:val="single" w:sz="5" w:space="0" w:color="D9D9D9"/>
            </w:tcBorders>
          </w:tcPr>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96. </w:t>
            </w:r>
            <w:proofErr w:type="spellStart"/>
            <w:r w:rsidRPr="00AE0CAB">
              <w:rPr>
                <w:rFonts w:ascii="Times New Roman" w:eastAsia="Arial" w:hAnsi="Times New Roman" w:cs="Times New Roman"/>
                <w:b/>
                <w:sz w:val="24"/>
                <w:szCs w:val="24"/>
              </w:rPr>
              <w:t>Octies</w:t>
            </w:r>
            <w:proofErr w:type="spellEnd"/>
            <w:r w:rsidRPr="00AE0CAB">
              <w:rPr>
                <w:rFonts w:ascii="Times New Roman" w:eastAsia="Arial" w:hAnsi="Times New Roman" w:cs="Times New Roman"/>
                <w:b/>
                <w:sz w:val="24"/>
                <w:szCs w:val="24"/>
              </w:rPr>
              <w:t xml:space="preserve">. </w:t>
            </w:r>
            <w:r w:rsidRPr="00AE0CAB">
              <w:rPr>
                <w:rFonts w:ascii="Times New Roman" w:eastAsia="Arial" w:hAnsi="Times New Roman" w:cs="Times New Roman"/>
                <w:sz w:val="24"/>
                <w:szCs w:val="24"/>
              </w:rPr>
              <w:t>El Director de Ecología o el Titular de la Unidad Administrativa equivalente, tiene las atribuciones siguientes:</w:t>
            </w: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I a VII…</w:t>
            </w: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VIII. Las demás que le sean conferidas por el Presidente Municipal o por el Ayuntamiento y las</w:t>
            </w: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establecidas en las disposiciones jurídicas aplicables.</w:t>
            </w:r>
          </w:p>
        </w:tc>
        <w:tc>
          <w:tcPr>
            <w:tcW w:w="4786" w:type="dxa"/>
            <w:tcBorders>
              <w:top w:val="single" w:sz="3" w:space="0" w:color="BEBEBE"/>
              <w:left w:val="single" w:sz="5" w:space="0" w:color="D9D9D9"/>
              <w:right w:val="single" w:sz="5" w:space="0" w:color="D9D9D9"/>
            </w:tcBorders>
          </w:tcPr>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96. </w:t>
            </w:r>
            <w:proofErr w:type="spellStart"/>
            <w:r w:rsidRPr="00AE0CAB">
              <w:rPr>
                <w:rFonts w:ascii="Times New Roman" w:eastAsia="Arial" w:hAnsi="Times New Roman" w:cs="Times New Roman"/>
                <w:b/>
                <w:sz w:val="24"/>
                <w:szCs w:val="24"/>
              </w:rPr>
              <w:t>Octies</w:t>
            </w:r>
            <w:proofErr w:type="spellEnd"/>
            <w:r w:rsidRPr="00AE0CAB">
              <w:rPr>
                <w:rFonts w:ascii="Times New Roman" w:eastAsia="Arial" w:hAnsi="Times New Roman" w:cs="Times New Roman"/>
                <w:b/>
                <w:sz w:val="24"/>
                <w:szCs w:val="24"/>
              </w:rPr>
              <w:t xml:space="preserve">. La persona titular </w:t>
            </w:r>
            <w:r w:rsidRPr="00AE0CAB">
              <w:rPr>
                <w:rFonts w:ascii="Times New Roman" w:eastAsia="Arial" w:hAnsi="Times New Roman" w:cs="Times New Roman"/>
                <w:sz w:val="24"/>
                <w:szCs w:val="24"/>
              </w:rPr>
              <w:t>de Ecología o de la Unidad Administrativa equivalente, tiene las atribuciones siguientes:</w:t>
            </w: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I a VII…</w:t>
            </w: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VIII. Diseñar e implementar programas de recuperación de espacios verdes, forestación, reforestación y restauración ambiental, en los que se contemple la contratación temporal de personas pertenecientes a grupos en situación de vulnerabilidad, estudiantes de escasos recursos y personas en situación de desempleo, otorgándoles una remuneración conforme a la normatividad aplicable.</w:t>
            </w:r>
          </w:p>
        </w:tc>
      </w:tr>
    </w:tbl>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 xml:space="preserve">Por lo anteriormente expuesto, fundamentado y motivado, sometemos a la consideración de este H. Poder Legislativo del Estado de México, para su análisis, discusión y, en su caso, aprobación, la siguiente: </w:t>
      </w:r>
      <w:r w:rsidRPr="00AE0CAB">
        <w:rPr>
          <w:rFonts w:ascii="Times New Roman" w:eastAsia="Arial" w:hAnsi="Times New Roman" w:cs="Times New Roman"/>
          <w:b/>
          <w:sz w:val="24"/>
          <w:szCs w:val="24"/>
        </w:rPr>
        <w:t>INICIATIVA CON PROYECTO DE DECRETO POR LA QUE SE REFORMA EL SEGUNDO PÁRRAFO DE LA FRACCIÓN XXIII DEL ARTÍCULO 31, SE ADICIONA LA FRACCIÓN VIII, RECORRIÉNDOSE LA SUBSECUENTE AL ARTÍCULO 96 OCTIES DE LA LEY ORGÁNICA MUNICIPAL DEL ESTADO DE MÉXICO, EN MATERIA DE EMPLEOS AMBIENTALES.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A T E N T A M E N T E</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center"/>
        <w:rPr>
          <w:rFonts w:ascii="Times New Roman" w:eastAsia="Arial" w:hAnsi="Times New Roman" w:cs="Times New Roman"/>
          <w:b/>
          <w:sz w:val="24"/>
          <w:szCs w:val="24"/>
        </w:rPr>
      </w:pPr>
      <w:r w:rsidRPr="00AE0CAB">
        <w:rPr>
          <w:rFonts w:ascii="Times New Roman" w:eastAsia="Arial" w:hAnsi="Times New Roman" w:cs="Times New Roman"/>
          <w:b/>
          <w:sz w:val="24"/>
          <w:szCs w:val="24"/>
        </w:rPr>
        <w:t>DIP. JOSÉ ALBERTO COUTTOLENC BUENTELLO</w:t>
      </w:r>
    </w:p>
    <w:p w:rsidR="003B7170" w:rsidRPr="00AE0CAB" w:rsidRDefault="003B7170" w:rsidP="003B7170">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sz w:val="24"/>
          <w:szCs w:val="24"/>
        </w:rPr>
        <w:t>COORDINADOR DEL GRUPO PARLAMENTARIO DEL</w:t>
      </w:r>
    </w:p>
    <w:p w:rsidR="003B7170" w:rsidRPr="00AE0CAB" w:rsidRDefault="003B7170" w:rsidP="003B7170">
      <w:pPr>
        <w:spacing w:after="0" w:line="240" w:lineRule="auto"/>
        <w:jc w:val="center"/>
        <w:rPr>
          <w:rFonts w:ascii="Times New Roman" w:eastAsia="Times New Roman" w:hAnsi="Times New Roman" w:cs="Times New Roman"/>
          <w:sz w:val="24"/>
          <w:szCs w:val="24"/>
        </w:rPr>
      </w:pPr>
      <w:r w:rsidRPr="00AE0CAB">
        <w:rPr>
          <w:rFonts w:ascii="Times New Roman" w:eastAsia="Arial" w:hAnsi="Times New Roman" w:cs="Times New Roman"/>
          <w:sz w:val="24"/>
          <w:szCs w:val="24"/>
        </w:rPr>
        <w:t>PARTIDO VERDE ECOLOGISTA DE MÉXICO</w:t>
      </w:r>
    </w:p>
    <w:p w:rsidR="003B7170" w:rsidRPr="00AE0CAB" w:rsidRDefault="003B7170" w:rsidP="003B7170">
      <w:pPr>
        <w:spacing w:after="0" w:line="240" w:lineRule="auto"/>
        <w:jc w:val="both"/>
        <w:rPr>
          <w:rFonts w:ascii="Times New Roman" w:eastAsia="Arial" w:hAnsi="Times New Roman" w:cs="Times New Roman"/>
          <w:b/>
          <w:sz w:val="24"/>
          <w:szCs w:val="24"/>
        </w:rPr>
      </w:pPr>
    </w:p>
    <w:p w:rsidR="003B7170" w:rsidRPr="00AE0CAB" w:rsidRDefault="003B7170" w:rsidP="003B7170">
      <w:pPr>
        <w:spacing w:after="0" w:line="240" w:lineRule="auto"/>
        <w:jc w:val="both"/>
        <w:rPr>
          <w:rFonts w:ascii="Times New Roman" w:eastAsia="Arial" w:hAnsi="Times New Roman" w:cs="Times New Roman"/>
          <w:b/>
          <w:sz w:val="24"/>
          <w:szCs w:val="24"/>
        </w:rPr>
      </w:pPr>
    </w:p>
    <w:p w:rsidR="003B7170" w:rsidRPr="00AE0CAB" w:rsidRDefault="003B7170" w:rsidP="003B7170">
      <w:pPr>
        <w:spacing w:after="0" w:line="240" w:lineRule="auto"/>
        <w:jc w:val="both"/>
        <w:rPr>
          <w:rFonts w:ascii="Times New Roman" w:eastAsia="Arial" w:hAnsi="Times New Roman" w:cs="Times New Roman"/>
          <w:b/>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Times New Roman" w:hAnsi="Times New Roman" w:cs="Times New Roman"/>
          <w:noProof/>
          <w:sz w:val="24"/>
          <w:szCs w:val="24"/>
        </w:rPr>
        <mc:AlternateContent>
          <mc:Choice Requires="wpg">
            <w:drawing>
              <wp:anchor distT="0" distB="0" distL="114300" distR="114300" simplePos="0" relativeHeight="251663360" behindDoc="1" locked="0" layoutInCell="1" allowOverlap="1">
                <wp:simplePos x="0" y="0"/>
                <wp:positionH relativeFrom="page">
                  <wp:posOffset>2421255</wp:posOffset>
                </wp:positionH>
                <wp:positionV relativeFrom="paragraph">
                  <wp:posOffset>184785</wp:posOffset>
                </wp:positionV>
                <wp:extent cx="339090" cy="0"/>
                <wp:effectExtent l="11430" t="8890" r="11430" b="1016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 cy="0"/>
                          <a:chOff x="3813" y="291"/>
                          <a:chExt cx="534" cy="0"/>
                        </a:xfrm>
                      </wpg:grpSpPr>
                      <wps:wsp>
                        <wps:cNvPr id="10" name="Freeform 11"/>
                        <wps:cNvSpPr>
                          <a:spLocks/>
                        </wps:cNvSpPr>
                        <wps:spPr bwMode="auto">
                          <a:xfrm>
                            <a:off x="3813" y="291"/>
                            <a:ext cx="534" cy="0"/>
                          </a:xfrm>
                          <a:custGeom>
                            <a:avLst/>
                            <a:gdLst>
                              <a:gd name="T0" fmla="+- 0 3813 3813"/>
                              <a:gd name="T1" fmla="*/ T0 w 534"/>
                              <a:gd name="T2" fmla="+- 0 4347 3813"/>
                              <a:gd name="T3" fmla="*/ T2 w 534"/>
                            </a:gdLst>
                            <a:ahLst/>
                            <a:cxnLst>
                              <a:cxn ang="0">
                                <a:pos x="T1" y="0"/>
                              </a:cxn>
                              <a:cxn ang="0">
                                <a:pos x="T3" y="0"/>
                              </a:cxn>
                            </a:cxnLst>
                            <a:rect l="0" t="0" r="r" b="b"/>
                            <a:pathLst>
                              <a:path w="534">
                                <a:moveTo>
                                  <a:pt x="0" y="0"/>
                                </a:moveTo>
                                <a:lnTo>
                                  <a:pt x="534" y="0"/>
                                </a:lnTo>
                              </a:path>
                            </a:pathLst>
                          </a:custGeom>
                          <a:noFill/>
                          <a:ln w="135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37F501" id="Grupo 9" o:spid="_x0000_s1026" style="position:absolute;margin-left:190.65pt;margin-top:14.55pt;width:26.7pt;height:0;z-index:-251653120;mso-position-horizontal-relative:page" coordorigin="3813,291" coordsize="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">
                <v:shape id="Freeform 11" o:spid="_x0000_s1027" style="position:absolute;left:3813;top:291;width:534;height:0;visibility:visible;mso-wrap-style:square;v-text-anchor:top" coordsize="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" path="m,l534,e" filled="f" strokeweight=".37617mm">
                  <v:path arrowok="t" o:connecttype="custom" o:connectlocs="0,0;534,0" o:connectangles="0,0"/>
                </v:shape>
                <w10:wrap anchorx="page"/>
              </v:group>
            </w:pict>
          </mc:Fallback>
        </mc:AlternateContent>
      </w:r>
      <w:r w:rsidRPr="00AE0CAB">
        <w:rPr>
          <w:rFonts w:ascii="Times New Roman" w:eastAsia="Arial" w:hAnsi="Times New Roman" w:cs="Times New Roman"/>
          <w:b/>
          <w:sz w:val="24"/>
          <w:szCs w:val="24"/>
        </w:rPr>
        <w:t>DECRETO NÚMERO</w:t>
      </w:r>
    </w:p>
    <w:p w:rsidR="003B7170" w:rsidRPr="00AE0CAB" w:rsidRDefault="003B7170" w:rsidP="003B7170">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LA LXII LEGISLATURA DEL ESTADO DE MÉXICO</w:t>
      </w:r>
    </w:p>
    <w:p w:rsidR="003B7170" w:rsidRPr="00AE0CAB" w:rsidRDefault="003B7170" w:rsidP="003B7170">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DECRETA:</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ÚNICO. </w:t>
      </w:r>
      <w:r w:rsidRPr="00AE0CAB">
        <w:rPr>
          <w:rFonts w:ascii="Times New Roman" w:eastAsia="Arial" w:hAnsi="Times New Roman" w:cs="Times New Roman"/>
          <w:sz w:val="24"/>
          <w:szCs w:val="24"/>
        </w:rPr>
        <w:t xml:space="preserve">Se reforma el segundo párrafo de la fracción XXIII del artículo 31, se adiciona la fracción VIII, recorriéndose la subsecuente al artículo 96 </w:t>
      </w:r>
      <w:proofErr w:type="spellStart"/>
      <w:r w:rsidRPr="00AE0CAB">
        <w:rPr>
          <w:rFonts w:ascii="Times New Roman" w:eastAsia="Arial" w:hAnsi="Times New Roman" w:cs="Times New Roman"/>
          <w:sz w:val="24"/>
          <w:szCs w:val="24"/>
        </w:rPr>
        <w:t>Octies</w:t>
      </w:r>
      <w:proofErr w:type="spellEnd"/>
      <w:r w:rsidRPr="00AE0CAB">
        <w:rPr>
          <w:rFonts w:ascii="Times New Roman" w:eastAsia="Arial" w:hAnsi="Times New Roman" w:cs="Times New Roman"/>
          <w:sz w:val="24"/>
          <w:szCs w:val="24"/>
        </w:rPr>
        <w:t>; de la Ley Orgánica Municipal del Estado de México, para quedar como sigue:</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center"/>
        <w:rPr>
          <w:rFonts w:ascii="Times New Roman" w:eastAsia="Arial" w:hAnsi="Times New Roman" w:cs="Times New Roman"/>
          <w:b/>
          <w:sz w:val="24"/>
          <w:szCs w:val="24"/>
        </w:rPr>
      </w:pPr>
      <w:r w:rsidRPr="00AE0CAB">
        <w:rPr>
          <w:rFonts w:ascii="Times New Roman" w:eastAsia="Arial" w:hAnsi="Times New Roman" w:cs="Times New Roman"/>
          <w:b/>
          <w:sz w:val="24"/>
          <w:szCs w:val="24"/>
        </w:rPr>
        <w:t>LEY ORGÁNICA MUNICIPAL DEL ESTADO DE MÉXICO</w:t>
      </w:r>
    </w:p>
    <w:p w:rsidR="003B7170" w:rsidRPr="00AE0CAB" w:rsidRDefault="003B7170" w:rsidP="003B7170">
      <w:pPr>
        <w:spacing w:after="0" w:line="240" w:lineRule="auto"/>
        <w:rPr>
          <w:rFonts w:ascii="Times New Roman" w:eastAsia="Arial" w:hAnsi="Times New Roman" w:cs="Times New Roman"/>
          <w:b/>
          <w:sz w:val="24"/>
          <w:szCs w:val="24"/>
        </w:rPr>
      </w:pPr>
    </w:p>
    <w:p w:rsidR="003B7170" w:rsidRPr="00AE0CAB" w:rsidRDefault="003B7170" w:rsidP="003B7170">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 31.- …</w:t>
      </w:r>
    </w:p>
    <w:p w:rsidR="003B7170" w:rsidRPr="00AE0CAB" w:rsidRDefault="003B7170" w:rsidP="003B7170">
      <w:pPr>
        <w:spacing w:after="0" w:line="240" w:lineRule="auto"/>
        <w:rPr>
          <w:rFonts w:ascii="Times New Roman" w:eastAsia="Arial" w:hAnsi="Times New Roman" w:cs="Times New Roman"/>
          <w:b/>
          <w:sz w:val="24"/>
          <w:szCs w:val="24"/>
        </w:rPr>
      </w:pPr>
    </w:p>
    <w:p w:rsidR="003B7170" w:rsidRPr="00AE0CAB" w:rsidRDefault="003B7170" w:rsidP="003B7170">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I. a XXII. …</w:t>
      </w:r>
    </w:p>
    <w:p w:rsidR="003B7170" w:rsidRPr="00AE0CAB" w:rsidRDefault="003B7170" w:rsidP="003B7170">
      <w:pPr>
        <w:spacing w:after="0" w:line="240" w:lineRule="auto"/>
        <w:rPr>
          <w:rFonts w:ascii="Times New Roman" w:eastAsia="Arial" w:hAnsi="Times New Roman" w:cs="Times New Roman"/>
          <w:b/>
          <w:sz w:val="24"/>
          <w:szCs w:val="24"/>
        </w:rPr>
      </w:pPr>
    </w:p>
    <w:p w:rsidR="003B7170" w:rsidRPr="00AE0CAB" w:rsidRDefault="003B7170" w:rsidP="003B7170">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XXIII. …</w:t>
      </w:r>
    </w:p>
    <w:p w:rsidR="003B7170" w:rsidRPr="00AE0CAB" w:rsidRDefault="003B7170" w:rsidP="003B7170">
      <w:pPr>
        <w:spacing w:after="0" w:line="240" w:lineRule="auto"/>
        <w:jc w:val="both"/>
        <w:rPr>
          <w:rFonts w:ascii="Times New Roman" w:eastAsia="Arial"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Además, podrán promover una mayor asignación presupuestal destinada al </w:t>
      </w:r>
      <w:r w:rsidRPr="00AE0CAB">
        <w:rPr>
          <w:rFonts w:ascii="Times New Roman" w:eastAsia="Arial" w:hAnsi="Times New Roman" w:cs="Times New Roman"/>
          <w:b/>
          <w:sz w:val="24"/>
          <w:szCs w:val="24"/>
        </w:rPr>
        <w:t xml:space="preserve">mantenimiento, conservación, forestación y reforestación de </w:t>
      </w:r>
      <w:r w:rsidRPr="00AE0CAB">
        <w:rPr>
          <w:rFonts w:ascii="Times New Roman" w:eastAsia="Arial" w:hAnsi="Times New Roman" w:cs="Times New Roman"/>
          <w:sz w:val="24"/>
          <w:szCs w:val="24"/>
        </w:rPr>
        <w:t xml:space="preserve">parques, jardines, </w:t>
      </w:r>
      <w:r w:rsidRPr="00AE0CAB">
        <w:rPr>
          <w:rFonts w:ascii="Times New Roman" w:eastAsia="Arial" w:hAnsi="Times New Roman" w:cs="Times New Roman"/>
          <w:b/>
          <w:sz w:val="24"/>
          <w:szCs w:val="24"/>
        </w:rPr>
        <w:t xml:space="preserve">camellones, áreas públicas </w:t>
      </w:r>
      <w:r w:rsidRPr="00AE0CAB">
        <w:rPr>
          <w:rFonts w:ascii="Times New Roman" w:eastAsia="Arial" w:hAnsi="Times New Roman" w:cs="Times New Roman"/>
          <w:sz w:val="24"/>
          <w:szCs w:val="24"/>
        </w:rPr>
        <w:t xml:space="preserve">e infraestructura municipal, procurando que </w:t>
      </w:r>
      <w:r w:rsidRPr="00AE0CAB">
        <w:rPr>
          <w:rFonts w:ascii="Times New Roman" w:eastAsia="Arial" w:hAnsi="Times New Roman" w:cs="Times New Roman"/>
          <w:b/>
          <w:sz w:val="24"/>
          <w:szCs w:val="24"/>
        </w:rPr>
        <w:t xml:space="preserve">dichos recursos </w:t>
      </w:r>
      <w:r w:rsidRPr="00AE0CAB">
        <w:rPr>
          <w:rFonts w:ascii="Times New Roman" w:eastAsia="Arial" w:hAnsi="Times New Roman" w:cs="Times New Roman"/>
          <w:sz w:val="24"/>
          <w:szCs w:val="24"/>
        </w:rPr>
        <w:t xml:space="preserve">se destinado a la generación de empleos </w:t>
      </w:r>
      <w:r w:rsidRPr="00AE0CAB">
        <w:rPr>
          <w:rFonts w:ascii="Times New Roman" w:eastAsia="Arial" w:hAnsi="Times New Roman" w:cs="Times New Roman"/>
          <w:b/>
          <w:sz w:val="24"/>
          <w:szCs w:val="24"/>
        </w:rPr>
        <w:t xml:space="preserve">temporales </w:t>
      </w:r>
      <w:r w:rsidRPr="00AE0CAB">
        <w:rPr>
          <w:rFonts w:ascii="Times New Roman" w:eastAsia="Arial" w:hAnsi="Times New Roman" w:cs="Times New Roman"/>
          <w:sz w:val="24"/>
          <w:szCs w:val="24"/>
        </w:rPr>
        <w:t>dirigidos prioritariamente para personas adultas mayores, personas pertenecientes a grupos en situación de vulnerabilidad, estudiantes de escasos recursos y personas en situación de desempleo.</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96. </w:t>
      </w:r>
      <w:proofErr w:type="spellStart"/>
      <w:r w:rsidRPr="00AE0CAB">
        <w:rPr>
          <w:rFonts w:ascii="Times New Roman" w:eastAsia="Arial" w:hAnsi="Times New Roman" w:cs="Times New Roman"/>
          <w:b/>
          <w:sz w:val="24"/>
          <w:szCs w:val="24"/>
        </w:rPr>
        <w:t>Octies</w:t>
      </w:r>
      <w:proofErr w:type="spellEnd"/>
      <w:r w:rsidRPr="00AE0CAB">
        <w:rPr>
          <w:rFonts w:ascii="Times New Roman" w:eastAsia="Arial" w:hAnsi="Times New Roman" w:cs="Times New Roman"/>
          <w:b/>
          <w:sz w:val="24"/>
          <w:szCs w:val="24"/>
        </w:rPr>
        <w:t xml:space="preserve">. La persona titular </w:t>
      </w:r>
      <w:r w:rsidRPr="00AE0CAB">
        <w:rPr>
          <w:rFonts w:ascii="Times New Roman" w:eastAsia="Arial" w:hAnsi="Times New Roman" w:cs="Times New Roman"/>
          <w:sz w:val="24"/>
          <w:szCs w:val="24"/>
        </w:rPr>
        <w:t>de Ecología o de la Unidad Administrativa equivalente, tiene las atribuciones siguientes: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Times New Roman" w:hAnsi="Times New Roman" w:cs="Times New Roman"/>
          <w:sz w:val="24"/>
          <w:szCs w:val="24"/>
        </w:rPr>
      </w:pPr>
      <w:r w:rsidRPr="00AE0CAB">
        <w:rPr>
          <w:rFonts w:ascii="Times New Roman" w:eastAsia="Arial" w:hAnsi="Times New Roman" w:cs="Times New Roman"/>
          <w:sz w:val="24"/>
          <w:szCs w:val="24"/>
        </w:rPr>
        <w:t>I a VII…</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VIII. Diseñar e implementar programas de recuperación de espacios verdes, forestación, reforestación y restauración ambiental, en los que se contemple la contratación temporal de personas pertenecientes a grupos en situación de vulnerabilidad, estudiantes de escasos recursos y personas en situación de desempleo, otorgándoles una remuneración conforme a la normatividad aplicable.</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TRANSITORIOS</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PRIMERO. </w:t>
      </w:r>
      <w:r w:rsidRPr="00AE0CAB">
        <w:rPr>
          <w:rFonts w:ascii="Times New Roman" w:eastAsia="Arial" w:hAnsi="Times New Roman" w:cs="Times New Roman"/>
          <w:sz w:val="24"/>
          <w:szCs w:val="24"/>
        </w:rPr>
        <w:t>Publíquese el presente Decreto en el Periódico Oficial “Gaceta de Gobierno”.</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SEGUNDO. </w:t>
      </w:r>
      <w:r w:rsidRPr="00AE0CAB">
        <w:rPr>
          <w:rFonts w:ascii="Times New Roman" w:eastAsia="Arial" w:hAnsi="Times New Roman" w:cs="Times New Roman"/>
          <w:sz w:val="24"/>
          <w:szCs w:val="24"/>
        </w:rPr>
        <w:t>El presente Decreto entrará en vigor al día siguiente de su publicación en el Periódico Oficial “Gaceta del Gobierno” del Estado de México.</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persona titular del Poder Ejecutivo lo tendrá por entendido, haciendo que se publique y se cumpla.</w:t>
      </w:r>
    </w:p>
    <w:p w:rsidR="003B7170" w:rsidRPr="00AE0CAB" w:rsidRDefault="003B7170" w:rsidP="003B7170">
      <w:pPr>
        <w:spacing w:after="0" w:line="240" w:lineRule="auto"/>
        <w:rPr>
          <w:rFonts w:ascii="Times New Roman" w:eastAsia="Times New Roman" w:hAnsi="Times New Roman" w:cs="Times New Roman"/>
          <w:sz w:val="24"/>
          <w:szCs w:val="24"/>
        </w:rPr>
      </w:pPr>
    </w:p>
    <w:p w:rsidR="003B7170" w:rsidRPr="00AE0CAB" w:rsidRDefault="003B7170" w:rsidP="003B7170">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Dado en el Palacio del Poder Legislativo, en la Ciudad de Toluca, Capital del Estado de México, a los </w:t>
      </w:r>
      <w:r w:rsidRPr="00AE0CAB">
        <w:rPr>
          <w:rFonts w:ascii="Times New Roman" w:eastAsia="Times New Roman" w:hAnsi="Times New Roman" w:cs="Times New Roman"/>
          <w:sz w:val="24"/>
          <w:szCs w:val="24"/>
          <w:u w:val="single" w:color="000000"/>
        </w:rPr>
        <w:t xml:space="preserve">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 xml:space="preserve">días del mes </w:t>
      </w:r>
      <w:r w:rsidRPr="00AE0CAB">
        <w:rPr>
          <w:rFonts w:ascii="Times New Roman" w:eastAsia="Times New Roman" w:hAnsi="Times New Roman" w:cs="Times New Roman"/>
          <w:sz w:val="24"/>
          <w:szCs w:val="24"/>
          <w:u w:val="single" w:color="000000"/>
        </w:rPr>
        <w:t xml:space="preserve">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del año dos mil veintiséis.</w:t>
      </w:r>
    </w:p>
    <w:p w:rsidR="009320DD" w:rsidRPr="00AE0CAB" w:rsidRDefault="009320DD" w:rsidP="005D7FEC">
      <w:pPr>
        <w:spacing w:after="0" w:line="240" w:lineRule="auto"/>
        <w:jc w:val="center"/>
        <w:rPr>
          <w:rFonts w:ascii="Times New Roman" w:hAnsi="Times New Roman"/>
          <w:sz w:val="24"/>
          <w:szCs w:val="24"/>
        </w:rPr>
      </w:pPr>
    </w:p>
    <w:p w:rsidR="009320DD" w:rsidRPr="00AE0CAB" w:rsidRDefault="009320DD" w:rsidP="005D7FEC">
      <w:pPr>
        <w:spacing w:after="0" w:line="240" w:lineRule="auto"/>
        <w:jc w:val="center"/>
        <w:rPr>
          <w:rFonts w:ascii="Times New Roman" w:hAnsi="Times New Roman"/>
          <w:i/>
          <w:sz w:val="24"/>
          <w:szCs w:val="24"/>
        </w:rPr>
      </w:pPr>
      <w:r w:rsidRPr="00AE0CAB">
        <w:rPr>
          <w:rFonts w:ascii="Times New Roman" w:hAnsi="Times New Roman"/>
          <w:i/>
          <w:sz w:val="24"/>
          <w:szCs w:val="24"/>
        </w:rPr>
        <w:t>(Fin del documento)</w:t>
      </w:r>
    </w:p>
    <w:p w:rsidR="009320DD" w:rsidRPr="00AE0CAB" w:rsidRDefault="009320DD" w:rsidP="005D7FEC">
      <w:pPr>
        <w:spacing w:after="0" w:line="240" w:lineRule="auto"/>
        <w:jc w:val="center"/>
        <w:rPr>
          <w:rFonts w:ascii="Times New Roman" w:hAnsi="Times New Roman"/>
          <w:sz w:val="24"/>
          <w:szCs w:val="24"/>
        </w:rPr>
      </w:pP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 xml:space="preserve">PRESIDENTA DIP. MARTHA AZUCENA CAMACHO REYNOSO. Gracias diputado Carlos Alberto López </w:t>
      </w:r>
      <w:proofErr w:type="spellStart"/>
      <w:r w:rsidRPr="00AE0CAB">
        <w:rPr>
          <w:rFonts w:ascii="Times New Roman" w:hAnsi="Times New Roman" w:cs="Times New Roman"/>
          <w:sz w:val="24"/>
          <w:szCs w:val="24"/>
        </w:rPr>
        <w:t>Imm</w:t>
      </w:r>
      <w:proofErr w:type="spellEnd"/>
      <w:r w:rsidRPr="00AE0CAB">
        <w:rPr>
          <w:rFonts w:ascii="Times New Roman" w:hAnsi="Times New Roman" w:cs="Times New Roman"/>
          <w:sz w:val="24"/>
          <w:szCs w:val="24"/>
        </w:rPr>
        <w:t>.</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Se registra la iniciativa y se remite a las Comisiones Legislativas de Legislación y Administración Municipal y de Desarrollo Agropecuario y Forestal.</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En cuanto al punto número 13, la diputada Krishna Karina Romero Velázquez leerá la Iniciativa con Proyecto de Decreto por el que se adiciona el inciso h) de la fracción V del artículo 5 y la fracción XV del artículo 23 de la Ley de las Personas Adultas Mayores del Estado de México, para promover la educación financiera en Adultos Mayores, presentada por la diputada Krishna Karina Romero Velázquez y el diputado Pablo Fernández de Cevallos González, en nombre del Grupo Parlamentario del Partido Acción Nacional.</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DIP. KRISHNA ROMERO VELÁZQUEZ. Muchas gracias Presidenta, con su venia.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Saludo con mucho gusto a mis compañeros diputados, a los medios de comunicación y a quienes nos siguen a través de las distintas redes sociales.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Hablar de las personas adultas mayores es hablar de quienes han sido el sostén de nuestras familias y de nuestras comunidades, son mujeres y hombres que dedicaron su vida al trabajo, al esfuerzo diario, a sacar adelante a sus hijos y a construir el Estado que hoy tenemos, su experiencia, su ejemplo y sus valores nos enseñaron el respeto, la responsabilidad y el amor por nuestra tierra mexiquense, ellos no sólo formaron generaciones, nos dieron raíces, identidad y principios, nos enseñaron a trabajar con honestidad y a no rendirnos ante la adversidad.</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De acuerdo con el INEGI en México viven más de 15 millones de personas de 60 años o más, esto representa el 12% de la población y para el 2030 este grupo será alrededor del 15%, mientras que para 2050 se estima superará el 23%.</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Por su parte, en el Estado de México habitan más de un millón 900 mil personas adultas mayores, es decir, más del 11% de nuestra población, cifra que seguirá creciendo y nos obligará a fortalecer los mecanismos de protección económica y social para ellos.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La realidad que enfrentan muchas de estas personas es preocupante, el CONEVAL reporta que el 37.9% viven en situación de pobreza y que el 46.1% percibe ingresos por debajo de la línea de pobreza por ingresos, más de la mitad depende de pensiones no contributivas y sólo una tercera parte cuenta con pensión contributiva, con ingresos promedio que apenas superan los 7 mil pesos mensuales.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 xml:space="preserve">En este contexto, cualquier afectación patrimonial derivada de un fraude o malas decisiones financieras pueden significar no poder pagar </w:t>
      </w:r>
      <w:r w:rsidRPr="00AE0CAB">
        <w:rPr>
          <w:rFonts w:ascii="Times New Roman" w:eastAsia="Times New Roman" w:hAnsi="Times New Roman" w:cs="Times New Roman"/>
          <w:sz w:val="24"/>
          <w:szCs w:val="24"/>
          <w:lang w:eastAsia="es-MX"/>
        </w:rPr>
        <w:t xml:space="preserve">sus medicamentos, consultas médicas o servicios </w:t>
      </w:r>
      <w:r w:rsidRPr="00AE0CAB">
        <w:rPr>
          <w:rFonts w:ascii="Times New Roman" w:eastAsia="Times New Roman" w:hAnsi="Times New Roman" w:cs="Times New Roman"/>
          <w:sz w:val="24"/>
          <w:szCs w:val="24"/>
          <w:lang w:eastAsia="es-MX"/>
        </w:rPr>
        <w:lastRenderedPageBreak/>
        <w:t xml:space="preserve">básicos, puede representar angustia, preocupación y una afectación directa a su salud física y emocional. </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La CONDUSEF ha señalado que una de cada tres controversias financieras involucra a una persona adulta mayor, el Estado de México concentra cerca del 9% de las controversias a nivel nacional. Tan solo en 2024, entre enero y agosto, las personas adultas mayores representaron el 27% de las reclamaciones en nuestra entidad, siendo las tarjetas de débito y crédito los productos con mayor número de quejas. </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La CONDUSEF ha identificado que las principales amenazas para la salud financiera de las personas adultas mayores provienen en primer término, de su propio entorno, incluso familiar y en segundo término, de la delincuencia, que las considera un sector vulnerable para la comisión de fraudes y finalmente de falsos o desleales funcionarios de instituciones financieras que se aprovechan de la confianza o desconocimiento de este grupo poblacional. </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Así mismo las problemáticas más recurrentes se relacionan con el robo de tarjetas de débito o crédito sin violencia, el denominado tallado de transferencias electrónicas no reconocidas, de créditos no solicitados, de llamadas fraudulentas que engañan con mentiras y amenazas, delincuentes que se aprovechan de la confianza, del desconocimiento o incluso del miedo, detrás de esta realidad hay un factor estructural la falta de educación financiera, la Estrategia Nacional de Educación Financiera 2025 2030 señala que seis de cada diez mexicanos no reciben educación financiera; de igual forma, dicha estrategia señala que la mayoría de los hogares no se ahorra, no se lleva un presupuesto e incluso ni siquiera se habla de dinero, esto limita la capacidad de tomar decisiones informadas y de defenderse ante abusos. </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La educación financiera no debe ser un lujo, debe ser una herramienta para proteger el patrimonio, para tomar decisiones responsables y para vivir con tranquilidad; en el caso de nuestras personas adultas mayores, es un mecanismo de prevención y de autonomía, por ello, la iniciativa que proponemos busca reconocer expresamente nuestra legislación, el derecho de las personas adultas mayores a acceder a programas de educación financiera y a establecer la obligación institucional de diseñar y ejecutar acciones permanentes en esta materia.</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No se trata de cursos aislados, se trata de una política pública preventiva y constante que les permita organizar sus ingresos, planificar sus gastos, administrar deudas, fomentar el ahorro y conocer sus derechos como usuarios del sistema financiero, desde el Grupo Parlamentario del Partido Acción Nacional sostenemos que ninguna persona adulta mayor debe perder el fruto de toda una vida de trabajo por falta de información o de acompañamiento institucional.</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Envejecer con dignidad también significa tener seguridad económica, tranquilidad y certeza, significa que el Estado esté del lado de quienes nos dieron todo, proteger su patrimonio es proteger su tranquilidad y proteger su tranquilidad es honrar su historia.</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Muchas gracias. Es cuanto Presidenta.</w:t>
      </w:r>
    </w:p>
    <w:p w:rsidR="00EA71C6" w:rsidRPr="00AE0CAB" w:rsidRDefault="00EA71C6" w:rsidP="005D7FEC">
      <w:pPr>
        <w:pStyle w:val="Sinespaciado"/>
        <w:jc w:val="both"/>
        <w:rPr>
          <w:rFonts w:ascii="Times New Roman" w:hAnsi="Times New Roman" w:cs="Times New Roman"/>
          <w:sz w:val="24"/>
          <w:szCs w:val="24"/>
        </w:rPr>
      </w:pPr>
    </w:p>
    <w:p w:rsidR="00EA71C6" w:rsidRPr="00AE0CAB" w:rsidRDefault="00EA71C6" w:rsidP="005D7FEC">
      <w:pPr>
        <w:spacing w:after="0" w:line="240" w:lineRule="auto"/>
        <w:jc w:val="center"/>
        <w:rPr>
          <w:rFonts w:ascii="Times New Roman" w:hAnsi="Times New Roman"/>
          <w:i/>
          <w:sz w:val="24"/>
          <w:szCs w:val="24"/>
        </w:rPr>
      </w:pPr>
      <w:r w:rsidRPr="00AE0CAB">
        <w:rPr>
          <w:rFonts w:ascii="Times New Roman" w:hAnsi="Times New Roman"/>
          <w:i/>
          <w:sz w:val="24"/>
          <w:szCs w:val="24"/>
        </w:rPr>
        <w:t>(Se inserta documento)</w:t>
      </w:r>
    </w:p>
    <w:p w:rsidR="00EA71C6" w:rsidRPr="00AE0CAB" w:rsidRDefault="00EA71C6" w:rsidP="005D7FEC">
      <w:pPr>
        <w:spacing w:after="0" w:line="240" w:lineRule="auto"/>
        <w:jc w:val="center"/>
        <w:rPr>
          <w:rFonts w:ascii="Times New Roman" w:hAnsi="Times New Roman"/>
          <w:sz w:val="24"/>
          <w:szCs w:val="24"/>
        </w:rPr>
      </w:pPr>
    </w:p>
    <w:p w:rsidR="005D7FEC" w:rsidRPr="00AE0CAB" w:rsidRDefault="005D7FEC" w:rsidP="005D7FEC">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Grupo Parlamentario del Partido Acción Nacional</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center"/>
        <w:rPr>
          <w:rFonts w:ascii="Times New Roman" w:eastAsia="Times New Roman" w:hAnsi="Times New Roman" w:cs="Times New Roman"/>
          <w:sz w:val="24"/>
          <w:szCs w:val="24"/>
        </w:rPr>
      </w:pPr>
      <w:r w:rsidRPr="00AE0CAB">
        <w:rPr>
          <w:rFonts w:ascii="Times New Roman" w:eastAsia="Arial" w:hAnsi="Times New Roman" w:cs="Times New Roman"/>
          <w:sz w:val="24"/>
          <w:szCs w:val="24"/>
        </w:rPr>
        <w:t xml:space="preserve">"2025. Bicentenario de la Vida Municipal en </w:t>
      </w:r>
      <w:r w:rsidRPr="00AE0CAB">
        <w:rPr>
          <w:rFonts w:ascii="Times New Roman" w:eastAsia="Times New Roman" w:hAnsi="Times New Roman" w:cs="Times New Roman"/>
          <w:sz w:val="24"/>
          <w:szCs w:val="24"/>
        </w:rPr>
        <w:t xml:space="preserve">el </w:t>
      </w:r>
      <w:r w:rsidRPr="00AE0CAB">
        <w:rPr>
          <w:rFonts w:ascii="Times New Roman" w:eastAsia="Arial" w:hAnsi="Times New Roman" w:cs="Times New Roman"/>
          <w:sz w:val="24"/>
          <w:szCs w:val="24"/>
        </w:rPr>
        <w:t>Estado de México"</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b/>
          <w:sz w:val="24"/>
          <w:szCs w:val="24"/>
        </w:rPr>
        <w:t>Toluca de Lerdo, Capital del Estado de México,</w:t>
      </w:r>
    </w:p>
    <w:p w:rsidR="005D7FEC" w:rsidRPr="00AE0CAB" w:rsidRDefault="005D7FEC" w:rsidP="005D7FEC">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b/>
          <w:sz w:val="24"/>
          <w:szCs w:val="24"/>
        </w:rPr>
        <w:t>18 de febrero del 2026.</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DIPUTADA MARTHA AZUCENA CAMACHO REYNOSO</w:t>
      </w:r>
    </w:p>
    <w:p w:rsidR="005D7FEC" w:rsidRPr="00AE0CAB" w:rsidRDefault="005D7FEC" w:rsidP="005D7FEC">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PRESIDENTA DE LA MESA DIRECTIVA DE LA</w:t>
      </w:r>
    </w:p>
    <w:p w:rsidR="005D7FEC" w:rsidRPr="00AE0CAB" w:rsidRDefault="005D7FEC" w:rsidP="005D7FEC">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LXII LEGISLATURA DEL ESTADO LIBRE Y</w:t>
      </w:r>
    </w:p>
    <w:p w:rsidR="005D7FEC" w:rsidRPr="00AE0CAB" w:rsidRDefault="005D7FEC" w:rsidP="005D7FEC">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lastRenderedPageBreak/>
        <w:t>SOBERANO DE MÉXICO</w:t>
      </w: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PRESENT E.</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Quienes suscriben, Diputados </w:t>
      </w:r>
      <w:r w:rsidRPr="00AE0CAB">
        <w:rPr>
          <w:rFonts w:ascii="Times New Roman" w:eastAsia="Arial" w:hAnsi="Times New Roman" w:cs="Times New Roman"/>
          <w:b/>
          <w:sz w:val="24"/>
          <w:szCs w:val="24"/>
        </w:rPr>
        <w:t xml:space="preserve">Krishna Karina Romero Velázquez y Pablo Fernández de Cevallos González, </w:t>
      </w:r>
      <w:r w:rsidRPr="00AE0CAB">
        <w:rPr>
          <w:rFonts w:ascii="Times New Roman" w:eastAsia="Arial" w:hAnsi="Times New Roman" w:cs="Times New Roman"/>
          <w:sz w:val="24"/>
          <w:szCs w:val="24"/>
        </w:rPr>
        <w:t xml:space="preserve">a nombre del Grupo Parlamentario del Partido Acción Nacional de la LXII Legislatura; con fundamento en lo dispuesto por los artículos 116 de la Constitución Política de las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coma de las </w:t>
      </w:r>
      <w:r w:rsidR="00AE6F64" w:rsidRPr="00AE0CAB">
        <w:rPr>
          <w:rFonts w:ascii="Times New Roman" w:eastAsia="Arial" w:hAnsi="Times New Roman" w:cs="Times New Roman"/>
          <w:sz w:val="24"/>
          <w:szCs w:val="24"/>
        </w:rPr>
        <w:t>artículo</w:t>
      </w:r>
      <w:r w:rsidRPr="00AE0CAB">
        <w:rPr>
          <w:rFonts w:ascii="Times New Roman" w:eastAsia="Arial" w:hAnsi="Times New Roman" w:cs="Times New Roman"/>
          <w:sz w:val="24"/>
          <w:szCs w:val="24"/>
        </w:rPr>
        <w:t xml:space="preserve"> 68 y 70 del Reglamento del Poder Legislativo del Estado de México; sometemos a la consideración de esta soberanía la siguiente, </w:t>
      </w:r>
      <w:r w:rsidRPr="00AE0CAB">
        <w:rPr>
          <w:rFonts w:ascii="Times New Roman" w:eastAsia="Arial" w:hAnsi="Times New Roman" w:cs="Times New Roman"/>
          <w:b/>
          <w:sz w:val="24"/>
          <w:szCs w:val="24"/>
        </w:rPr>
        <w:t xml:space="preserve">Iniciativa con Proyecto de Decreto por el que se adicionan el inciso h) de la fracción V del </w:t>
      </w:r>
      <w:r w:rsidR="00AE6F64" w:rsidRPr="00AE0CAB">
        <w:rPr>
          <w:rFonts w:ascii="Times New Roman" w:eastAsia="Arial" w:hAnsi="Times New Roman" w:cs="Times New Roman"/>
          <w:b/>
          <w:sz w:val="24"/>
          <w:szCs w:val="24"/>
        </w:rPr>
        <w:t>artículo</w:t>
      </w:r>
      <w:r w:rsidRPr="00AE0CAB">
        <w:rPr>
          <w:rFonts w:ascii="Times New Roman" w:eastAsia="Arial" w:hAnsi="Times New Roman" w:cs="Times New Roman"/>
          <w:b/>
          <w:sz w:val="24"/>
          <w:szCs w:val="24"/>
        </w:rPr>
        <w:t xml:space="preserve"> 5 y la fracción XV del artículo 23 de la Ley de las Personas Adultas Mayores del Estado de México, para promover la educación financiera en Adultos Mayores, </w:t>
      </w:r>
      <w:r w:rsidRPr="00AE0CAB">
        <w:rPr>
          <w:rFonts w:ascii="Times New Roman" w:eastAsia="Arial" w:hAnsi="Times New Roman" w:cs="Times New Roman"/>
          <w:sz w:val="24"/>
          <w:szCs w:val="24"/>
        </w:rPr>
        <w:t>con sustento en la siguiente:</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Exposición De Motivos</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Las personas adultas mayores representan un pilar fundamental para el desarrollo social, económico y comunitario del país y particularmente del Estado de México. A lo largo de su vida este sector poblacional ha contribuido activamente a la construcción de instituciones, familias y comunidades, aportando experiencia, conocimientos y valores que fortalecen la cohesión social y la solidaridad intergeneracional.</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De acuerdo con el Instituto Nacional de Estadística y Geografía (INEGI), en México residen </w:t>
      </w:r>
      <w:r w:rsidRPr="00AE0CAB">
        <w:rPr>
          <w:rFonts w:ascii="Times New Roman" w:eastAsia="Times New Roman" w:hAnsi="Times New Roman" w:cs="Times New Roman"/>
          <w:sz w:val="24"/>
          <w:szCs w:val="24"/>
        </w:rPr>
        <w:t xml:space="preserve">15.1 </w:t>
      </w:r>
      <w:r w:rsidRPr="00AE0CAB">
        <w:rPr>
          <w:rFonts w:ascii="Times New Roman" w:eastAsia="Arial" w:hAnsi="Times New Roman" w:cs="Times New Roman"/>
          <w:sz w:val="24"/>
          <w:szCs w:val="24"/>
        </w:rPr>
        <w:t xml:space="preserve">millones de personas de </w:t>
      </w:r>
      <w:r w:rsidRPr="00AE0CAB">
        <w:rPr>
          <w:rFonts w:ascii="Times New Roman" w:eastAsia="Times New Roman" w:hAnsi="Times New Roman" w:cs="Times New Roman"/>
          <w:sz w:val="24"/>
          <w:szCs w:val="24"/>
        </w:rPr>
        <w:t xml:space="preserve">60 </w:t>
      </w:r>
      <w:r w:rsidRPr="00AE0CAB">
        <w:rPr>
          <w:rFonts w:ascii="Times New Roman" w:eastAsia="Arial" w:hAnsi="Times New Roman" w:cs="Times New Roman"/>
          <w:sz w:val="24"/>
          <w:szCs w:val="24"/>
        </w:rPr>
        <w:t xml:space="preserve">años o más, lo que equivale al </w:t>
      </w:r>
      <w:r w:rsidRPr="00AE0CAB">
        <w:rPr>
          <w:rFonts w:ascii="Times New Roman" w:eastAsia="Times New Roman" w:hAnsi="Times New Roman" w:cs="Times New Roman"/>
          <w:sz w:val="24"/>
          <w:szCs w:val="24"/>
        </w:rPr>
        <w:t xml:space="preserve">12 </w:t>
      </w:r>
      <w:r w:rsidRPr="00AE0CAB">
        <w:rPr>
          <w:rFonts w:ascii="Times New Roman" w:eastAsia="Arial" w:hAnsi="Times New Roman" w:cs="Times New Roman"/>
          <w:sz w:val="24"/>
          <w:szCs w:val="24"/>
        </w:rPr>
        <w:t>% de la población nacional</w:t>
      </w:r>
      <w:r w:rsidRPr="00AE0CAB">
        <w:rPr>
          <w:rFonts w:ascii="Times New Roman" w:eastAsia="Times New Roman" w:hAnsi="Times New Roman" w:cs="Times New Roman"/>
          <w:sz w:val="24"/>
          <w:szCs w:val="24"/>
          <w:vertAlign w:val="superscript"/>
        </w:rPr>
        <w:t>1</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 xml:space="preserve">Las proyecciones oficiales del Consejo Nacional de Población estiman que este grupo representará alrededor del 15 % en 2030 y ms del 23 % en </w:t>
      </w:r>
      <w:r w:rsidRPr="00AE0CAB">
        <w:rPr>
          <w:rFonts w:ascii="Times New Roman" w:eastAsia="Times New Roman" w:hAnsi="Times New Roman" w:cs="Times New Roman"/>
          <w:sz w:val="24"/>
          <w:szCs w:val="24"/>
        </w:rPr>
        <w:t>2050</w:t>
      </w:r>
      <w:r w:rsidRPr="00AE0CAB">
        <w:rPr>
          <w:rFonts w:ascii="Times New Roman" w:eastAsia="Times New Roman" w:hAnsi="Times New Roman" w:cs="Times New Roman"/>
          <w:sz w:val="24"/>
          <w:szCs w:val="24"/>
          <w:vertAlign w:val="superscript"/>
        </w:rPr>
        <w:t>2</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lo que confirma una transición demográfica acelerada.</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En el Estado de México, cifras del Consejo Estatal de Población, con base en información del INEGI, señalan que en 2020 la entidad contaba con un millón 919 mil 454 personas adultas mayores, lo que representa </w:t>
      </w:r>
      <w:r w:rsidRPr="00AE0CAB">
        <w:rPr>
          <w:rFonts w:ascii="Times New Roman" w:eastAsia="Times New Roman" w:hAnsi="Times New Roman" w:cs="Times New Roman"/>
          <w:sz w:val="24"/>
          <w:szCs w:val="24"/>
        </w:rPr>
        <w:t xml:space="preserve">11.3 % </w:t>
      </w:r>
      <w:r w:rsidRPr="00AE0CAB">
        <w:rPr>
          <w:rFonts w:ascii="Times New Roman" w:eastAsia="Arial" w:hAnsi="Times New Roman" w:cs="Times New Roman"/>
          <w:sz w:val="24"/>
          <w:szCs w:val="24"/>
        </w:rPr>
        <w:t>de la población estatal</w:t>
      </w:r>
      <w:r w:rsidRPr="00AE0CAB">
        <w:rPr>
          <w:rFonts w:ascii="Times New Roman" w:eastAsia="Arial" w:hAnsi="Times New Roman" w:cs="Times New Roman"/>
          <w:sz w:val="24"/>
          <w:szCs w:val="24"/>
          <w:vertAlign w:val="superscript"/>
        </w:rPr>
        <w:t>3</w:t>
      </w:r>
      <w:r w:rsidRPr="00AE0CAB">
        <w:rPr>
          <w:rFonts w:ascii="Times New Roman" w:eastAsia="Arial" w:hAnsi="Times New Roman" w:cs="Times New Roman"/>
          <w:sz w:val="24"/>
          <w:szCs w:val="24"/>
        </w:rPr>
        <w:t>. Esta cifra refleja un crecimiento sostenido en las últimas décadas y anticipa una presión creciente sobre los sistemas de protección social y económica.</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Pese a su relevancia social, una proporción considerable de personas adultas mayores enfrenta condiciones de vulnerabilidad económica. El Consejo Nacional de Evaluación de la Política de Desarrollo Social (CONEVAL) reporta que 37.9 % de las personas adultas mayores viven en situación de pobreza, y que 46.1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perciben ingresos inferiores a la Línea de Pobreza por Ingresos.</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0"/>
          <w:szCs w:val="24"/>
        </w:rPr>
      </w:pPr>
      <w:r w:rsidRPr="00AE0CAB">
        <w:rPr>
          <w:rFonts w:ascii="Times New Roman" w:eastAsia="Times New Roman" w:hAnsi="Times New Roman" w:cs="Times New Roman"/>
          <w:sz w:val="20"/>
          <w:szCs w:val="24"/>
          <w:vertAlign w:val="superscript"/>
        </w:rPr>
        <w:t>1</w:t>
      </w:r>
      <w:r w:rsidRPr="00AE0CAB">
        <w:rPr>
          <w:rFonts w:ascii="Times New Roman" w:eastAsia="Times New Roman" w:hAnsi="Times New Roman" w:cs="Times New Roman"/>
          <w:sz w:val="20"/>
          <w:szCs w:val="24"/>
        </w:rPr>
        <w:t xml:space="preserve"> </w:t>
      </w:r>
      <w:r w:rsidRPr="00AE0CAB">
        <w:rPr>
          <w:rFonts w:ascii="Times New Roman" w:eastAsia="Arial" w:hAnsi="Times New Roman" w:cs="Times New Roman"/>
          <w:sz w:val="20"/>
          <w:szCs w:val="24"/>
        </w:rPr>
        <w:t>Censo Nacional de Población y Vivienda 2020, Instituto Nacional de Estadística y Geografía (INEGI), disponible en la pág. web. - https</w:t>
      </w:r>
      <w:hyperlink r:id="rId104">
        <w:r w:rsidRPr="00AE0CAB">
          <w:rPr>
            <w:rFonts w:ascii="Times New Roman" w:eastAsia="Arial" w:hAnsi="Times New Roman" w:cs="Times New Roman"/>
            <w:sz w:val="20"/>
            <w:szCs w:val="24"/>
          </w:rPr>
          <w:t>://www.inegi.org.mx/programas/ccpv/2020/,</w:t>
        </w:r>
      </w:hyperlink>
      <w:r w:rsidRPr="00AE0CAB">
        <w:rPr>
          <w:rFonts w:ascii="Times New Roman" w:eastAsia="Arial" w:hAnsi="Times New Roman" w:cs="Times New Roman"/>
          <w:sz w:val="20"/>
          <w:szCs w:val="24"/>
        </w:rPr>
        <w:t xml:space="preserve"> consultado el 15-12-25.</w:t>
      </w:r>
    </w:p>
    <w:p w:rsidR="005D7FEC" w:rsidRPr="00AE0CAB" w:rsidRDefault="005D7FEC" w:rsidP="005D7FEC">
      <w:pPr>
        <w:spacing w:after="0" w:line="240" w:lineRule="auto"/>
        <w:jc w:val="both"/>
        <w:rPr>
          <w:rFonts w:ascii="Times New Roman" w:eastAsia="Arial" w:hAnsi="Times New Roman" w:cs="Times New Roman"/>
          <w:sz w:val="20"/>
          <w:szCs w:val="24"/>
        </w:rPr>
      </w:pPr>
      <w:r w:rsidRPr="00AE0CAB">
        <w:rPr>
          <w:rFonts w:ascii="Times New Roman" w:eastAsia="Arial" w:hAnsi="Times New Roman" w:cs="Times New Roman"/>
          <w:sz w:val="20"/>
          <w:szCs w:val="24"/>
          <w:vertAlign w:val="superscript"/>
        </w:rPr>
        <w:t>2</w:t>
      </w:r>
      <w:r w:rsidRPr="00AE0CAB">
        <w:rPr>
          <w:rFonts w:ascii="Times New Roman" w:eastAsia="Arial" w:hAnsi="Times New Roman" w:cs="Times New Roman"/>
          <w:sz w:val="20"/>
          <w:szCs w:val="24"/>
        </w:rPr>
        <w:t xml:space="preserve"> Consejo Nacional de Población (CONAPO), Proyecciones de la Población de México y de las Entidades Federativas 2020-2070, México, 2025, disponible en la pág. web. https:</w:t>
      </w:r>
      <w:hyperlink r:id="rId105">
        <w:r w:rsidRPr="00AE0CAB">
          <w:rPr>
            <w:rFonts w:ascii="Times New Roman" w:eastAsia="Arial" w:hAnsi="Times New Roman" w:cs="Times New Roman"/>
            <w:sz w:val="20"/>
            <w:szCs w:val="24"/>
          </w:rPr>
          <w:t>//www.gob.mx/conapo</w:t>
        </w:r>
      </w:hyperlink>
      <w:r w:rsidRPr="00AE0CAB">
        <w:rPr>
          <w:rFonts w:ascii="Times New Roman" w:eastAsia="Arial" w:hAnsi="Times New Roman" w:cs="Times New Roman"/>
          <w:sz w:val="20"/>
          <w:szCs w:val="24"/>
        </w:rPr>
        <w:t>, consultado el 15-12-25.</w:t>
      </w:r>
    </w:p>
    <w:p w:rsidR="005D7FEC" w:rsidRPr="00AE0CAB" w:rsidRDefault="005D7FEC" w:rsidP="005D7FEC">
      <w:pPr>
        <w:spacing w:after="0" w:line="240" w:lineRule="auto"/>
        <w:jc w:val="both"/>
        <w:rPr>
          <w:rFonts w:ascii="Times New Roman" w:eastAsia="Arial" w:hAnsi="Times New Roman" w:cs="Times New Roman"/>
          <w:sz w:val="20"/>
          <w:szCs w:val="24"/>
        </w:rPr>
      </w:pPr>
      <w:r w:rsidRPr="00AE0CAB">
        <w:rPr>
          <w:rFonts w:ascii="Times New Roman" w:eastAsia="Arial" w:hAnsi="Times New Roman" w:cs="Times New Roman"/>
          <w:sz w:val="20"/>
          <w:szCs w:val="24"/>
          <w:vertAlign w:val="superscript"/>
        </w:rPr>
        <w:t>3</w:t>
      </w:r>
      <w:r w:rsidRPr="00AE0CAB">
        <w:rPr>
          <w:rFonts w:ascii="Times New Roman" w:eastAsia="Arial" w:hAnsi="Times New Roman" w:cs="Times New Roman"/>
          <w:sz w:val="20"/>
          <w:szCs w:val="24"/>
        </w:rPr>
        <w:t xml:space="preserve"> Consejo Estatal de Población del Estado de México (COESPO), Perfil Sociodemográfico de la Población Adulta</w:t>
      </w:r>
    </w:p>
    <w:p w:rsidR="005D7FEC" w:rsidRPr="00AE0CAB" w:rsidRDefault="005D7FEC" w:rsidP="005D7FEC">
      <w:pPr>
        <w:spacing w:after="0" w:line="240" w:lineRule="auto"/>
        <w:jc w:val="both"/>
        <w:rPr>
          <w:rFonts w:ascii="Times New Roman" w:eastAsia="Arial" w:hAnsi="Times New Roman" w:cs="Times New Roman"/>
          <w:sz w:val="20"/>
          <w:szCs w:val="24"/>
        </w:rPr>
      </w:pPr>
      <w:r w:rsidRPr="00AE0CAB">
        <w:rPr>
          <w:rFonts w:ascii="Times New Roman" w:eastAsia="Arial" w:hAnsi="Times New Roman" w:cs="Times New Roman"/>
          <w:sz w:val="20"/>
          <w:szCs w:val="24"/>
        </w:rPr>
        <w:t xml:space="preserve">Mayor en el Estado de México, con base en INEGI 2020, disponible en la </w:t>
      </w:r>
      <w:r w:rsidRPr="00AE0CAB">
        <w:rPr>
          <w:rFonts w:ascii="Times New Roman" w:eastAsia="Times New Roman" w:hAnsi="Times New Roman" w:cs="Times New Roman"/>
          <w:sz w:val="20"/>
          <w:szCs w:val="24"/>
        </w:rPr>
        <w:t xml:space="preserve">pág. </w:t>
      </w:r>
      <w:r w:rsidRPr="00AE0CAB">
        <w:rPr>
          <w:rFonts w:ascii="Times New Roman" w:eastAsia="Arial" w:hAnsi="Times New Roman" w:cs="Times New Roman"/>
          <w:sz w:val="20"/>
          <w:szCs w:val="24"/>
        </w:rPr>
        <w:t>web. - https://coespo.edomex.gob.mxa, consultado el 20-12-25.</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Asimismo, el CONEVAL ha documentado que 55.7% de las personas adultas mayores recibe ingresos mediante pensiones no contributivas, mientras que solo 33.1 % cuenta con una pensión contributiva, con un ingreso promedio mensual aproximado de $7,362 pesos.</w:t>
      </w:r>
      <w:r w:rsidRPr="00AE0CAB">
        <w:rPr>
          <w:rFonts w:ascii="Times New Roman" w:eastAsia="Arial" w:hAnsi="Times New Roman" w:cs="Times New Roman"/>
          <w:sz w:val="24"/>
          <w:szCs w:val="24"/>
          <w:vertAlign w:val="superscript"/>
        </w:rPr>
        <w:t>4</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este contexto, cualquier afectación patrimonial derivada de un fraude o mala decisión financiera puede comprometer seriamente su subsistencia y perjudicar su situación patrimonial, deteriorar el nivel de vida y en algunos casos, derivar en problemas de salud física por la angustia provocada.</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vulnerabilidad financiera de este sector está plenamente documentada. La Comisión Nacional para la Protección y Defensa de los Usuarios de Servicios Financieros (CONDUSEF) ha señalado que una de cada tres personas que presenta una controversia o queja es una persona adulta mayor</w:t>
      </w:r>
      <w:r w:rsidRPr="00AE0CAB">
        <w:rPr>
          <w:rFonts w:ascii="Times New Roman" w:eastAsia="Arial" w:hAnsi="Times New Roman" w:cs="Times New Roman"/>
          <w:sz w:val="24"/>
          <w:szCs w:val="24"/>
          <w:vertAlign w:val="superscript"/>
        </w:rPr>
        <w:t>5</w:t>
      </w:r>
      <w:r w:rsidRPr="00AE0CAB">
        <w:rPr>
          <w:rFonts w:ascii="Times New Roman" w:eastAsia="Arial" w:hAnsi="Times New Roman" w:cs="Times New Roman"/>
          <w:sz w:val="24"/>
          <w:szCs w:val="24"/>
        </w:rPr>
        <w:t>. De manera particular, el Estado de México concentra aproximadamente el 9% de las controversias a nivel nacional, ubicándose entre las entidades con mayor incidencia.</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CONDUSEF ha identificado que las principales amenazas para la salud financiera de las personas adultas mayores provienen, en primer término, de su propio entorno -incluso familiar-; en segundo lugar, de la delincuencia que las considera un sector vulnerable para la comisión de fraudes; y, finalmente, de falsos o desleales funcionarios de instituciones financieras que se aprovechan de la confianza o desconocimiento de este grupo poblacional.</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rPr>
          <w:rFonts w:ascii="Times New Roman" w:eastAsia="Arial" w:hAnsi="Times New Roman" w:cs="Times New Roman"/>
          <w:sz w:val="20"/>
          <w:szCs w:val="24"/>
        </w:rPr>
      </w:pPr>
      <w:r w:rsidRPr="00AE0CAB">
        <w:rPr>
          <w:rFonts w:ascii="Times New Roman" w:eastAsia="Times New Roman" w:hAnsi="Times New Roman" w:cs="Times New Roman"/>
          <w:sz w:val="20"/>
          <w:szCs w:val="24"/>
          <w:vertAlign w:val="superscript"/>
        </w:rPr>
        <w:t>4</w:t>
      </w:r>
      <w:r w:rsidRPr="00AE0CAB">
        <w:rPr>
          <w:rFonts w:ascii="Times New Roman" w:eastAsia="Times New Roman" w:hAnsi="Times New Roman" w:cs="Times New Roman"/>
          <w:sz w:val="20"/>
          <w:szCs w:val="24"/>
        </w:rPr>
        <w:t xml:space="preserve"> </w:t>
      </w:r>
      <w:r w:rsidRPr="00AE0CAB">
        <w:rPr>
          <w:rFonts w:ascii="Times New Roman" w:eastAsia="Arial" w:hAnsi="Times New Roman" w:cs="Times New Roman"/>
          <w:sz w:val="20"/>
          <w:szCs w:val="24"/>
        </w:rPr>
        <w:t>CONEVAL, Personas Adultas Mayores en México: Evidencia para la toma de decisiones, México, 2021. https:/</w:t>
      </w:r>
      <w:hyperlink r:id="rId106">
        <w:r w:rsidRPr="00AE0CAB">
          <w:rPr>
            <w:rFonts w:ascii="Times New Roman" w:eastAsia="Arial" w:hAnsi="Times New Roman" w:cs="Times New Roman"/>
            <w:sz w:val="20"/>
            <w:szCs w:val="24"/>
          </w:rPr>
          <w:t>/www.coneval.org.mx</w:t>
        </w:r>
      </w:hyperlink>
    </w:p>
    <w:p w:rsidR="005D7FEC" w:rsidRPr="00AE0CAB" w:rsidRDefault="005D7FEC" w:rsidP="005D7FEC">
      <w:pPr>
        <w:spacing w:after="0" w:line="240" w:lineRule="auto"/>
        <w:jc w:val="both"/>
        <w:rPr>
          <w:rFonts w:ascii="Times New Roman" w:eastAsia="Arial" w:hAnsi="Times New Roman" w:cs="Times New Roman"/>
          <w:sz w:val="20"/>
          <w:szCs w:val="24"/>
        </w:rPr>
      </w:pPr>
      <w:r w:rsidRPr="00AE0CAB">
        <w:rPr>
          <w:rFonts w:ascii="Times New Roman" w:eastAsia="Arial" w:hAnsi="Times New Roman" w:cs="Times New Roman"/>
          <w:sz w:val="20"/>
          <w:szCs w:val="24"/>
          <w:vertAlign w:val="superscript"/>
        </w:rPr>
        <w:t>5</w:t>
      </w:r>
      <w:r w:rsidRPr="00AE0CAB">
        <w:rPr>
          <w:rFonts w:ascii="Times New Roman" w:eastAsia="Arial" w:hAnsi="Times New Roman" w:cs="Times New Roman"/>
          <w:sz w:val="20"/>
          <w:szCs w:val="24"/>
        </w:rPr>
        <w:t xml:space="preserve"> A propósito del Dia Nacional de las Personas Adultas Mayores, CONDUSEF, disponible en la pág. web.- https:/</w:t>
      </w:r>
      <w:hyperlink r:id="rId107">
        <w:r w:rsidRPr="00AE0CAB">
          <w:rPr>
            <w:rFonts w:ascii="Times New Roman" w:eastAsia="Arial" w:hAnsi="Times New Roman" w:cs="Times New Roman"/>
            <w:sz w:val="20"/>
            <w:szCs w:val="24"/>
          </w:rPr>
          <w:t>/www.condusef.gob.mx/</w:t>
        </w:r>
      </w:hyperlink>
      <w:r w:rsidRPr="00AE0CAB">
        <w:rPr>
          <w:rFonts w:ascii="Times New Roman" w:eastAsia="Arial" w:hAnsi="Times New Roman" w:cs="Times New Roman"/>
          <w:sz w:val="20"/>
          <w:szCs w:val="24"/>
        </w:rPr>
        <w:t>?p=contenido&amp;idc=1117&amp;idcat=1, consultada el 22-12-25.</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1" locked="0" layoutInCell="1" allowOverlap="1">
                <wp:simplePos x="0" y="0"/>
                <wp:positionH relativeFrom="page">
                  <wp:posOffset>3084830</wp:posOffset>
                </wp:positionH>
                <wp:positionV relativeFrom="paragraph">
                  <wp:posOffset>95250</wp:posOffset>
                </wp:positionV>
                <wp:extent cx="34290" cy="50800"/>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5F0" w:rsidRDefault="003165F0" w:rsidP="005D7FEC">
                            <w:pPr>
                              <w:spacing w:line="80" w:lineRule="exact"/>
                              <w:ind w:right="-32"/>
                              <w:rPr>
                                <w:sz w:val="8"/>
                                <w:szCs w:val="8"/>
                              </w:rPr>
                            </w:pPr>
                            <w:r>
                              <w:rPr>
                                <w:color w:val="5D5D5D"/>
                                <w:w w:val="244"/>
                                <w:sz w:val="8"/>
                                <w:szCs w:val="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2" o:spid="_x0000_s1027" type="#_x0000_t202" style="position:absolute;left:0;text-align:left;margin-left:242.9pt;margin-top:7.5pt;width:2.7pt;height: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" filled="f" stroked="f">
                <v:textbox inset="0,0,0,0">
                  <w:txbxContent>
                    <w:p w:rsidR="003165F0" w:rsidRDefault="003165F0" w:rsidP="005D7FEC">
                      <w:pPr>
                        <w:spacing w:line="80" w:lineRule="exact"/>
                        <w:ind w:right="-32"/>
                        <w:rPr>
                          <w:sz w:val="8"/>
                          <w:szCs w:val="8"/>
                        </w:rPr>
                      </w:pPr>
                      <w:r>
                        <w:rPr>
                          <w:color w:val="5D5D5D"/>
                          <w:w w:val="244"/>
                          <w:sz w:val="8"/>
                          <w:szCs w:val="8"/>
                        </w:rPr>
                        <w:t>/</w:t>
                      </w:r>
                    </w:p>
                  </w:txbxContent>
                </v:textbox>
                <w10:wrap anchorx="page"/>
              </v:shape>
            </w:pict>
          </mc:Fallback>
        </mc:AlternateContent>
      </w:r>
      <w:r w:rsidRPr="00AE0CAB">
        <w:rPr>
          <w:rFonts w:ascii="Times New Roman" w:eastAsia="Arial" w:hAnsi="Times New Roman" w:cs="Times New Roman"/>
          <w:sz w:val="24"/>
          <w:szCs w:val="24"/>
        </w:rPr>
        <w:t>Asimismo, las problemáticas ms recurrentes se relacionan con el robo de tarjetas de débito o crédito sin violencia, el denominado "tallado", transferencias electrónicas no reconocidas y cargos por créditos no solicitados realizados mediante aplicaciones digitales o banca por internet. Estas situaciones suelen derivar de llamadas telefónicas fraudulentas o portales apócrifos diseñados para obtener y comprometer datos confidenciales, lo que genera afectaciones patrimoniales directas y un grave impacto en la estabilidad económica de las personas adultas mayores.</w:t>
      </w:r>
      <w:r w:rsidRPr="00AE0CAB">
        <w:rPr>
          <w:rFonts w:ascii="Times New Roman" w:eastAsia="Arial" w:hAnsi="Times New Roman" w:cs="Times New Roman"/>
          <w:sz w:val="24"/>
          <w:szCs w:val="24"/>
          <w:vertAlign w:val="superscript"/>
        </w:rPr>
        <w:t>6</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En el caso específico del Estado de México, tan solo en el año 2024, de acuerdo con información oficial de la CONDUSEF correspondiente al periodo enero-agosto, las personas adultas mayores representaron el 27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del total de reclamaciones registradas en la entidad, siendo la tarjeta de débito y la tarjeta de crédito los productos financieros con mayor número de reclamaciones dentro de este grupo poblacional.</w:t>
      </w:r>
      <w:r w:rsidRPr="00AE0CAB">
        <w:rPr>
          <w:rFonts w:ascii="Times New Roman" w:eastAsia="Arial" w:hAnsi="Times New Roman" w:cs="Times New Roman"/>
          <w:sz w:val="24"/>
          <w:szCs w:val="24"/>
          <w:vertAlign w:val="superscript"/>
        </w:rPr>
        <w:t>7</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Uno de los factores estructurales que explica esta situación, es la insuficiente </w:t>
      </w:r>
      <w:r w:rsidR="0087029D" w:rsidRPr="00AE0CAB">
        <w:rPr>
          <w:rFonts w:ascii="Times New Roman" w:eastAsia="Arial" w:hAnsi="Times New Roman" w:cs="Times New Roman"/>
          <w:sz w:val="24"/>
          <w:szCs w:val="24"/>
        </w:rPr>
        <w:t>educación</w:t>
      </w:r>
      <w:r w:rsidRPr="00AE0CAB">
        <w:rPr>
          <w:rFonts w:ascii="Times New Roman" w:eastAsia="Arial" w:hAnsi="Times New Roman" w:cs="Times New Roman"/>
          <w:sz w:val="24"/>
          <w:szCs w:val="24"/>
        </w:rPr>
        <w:t xml:space="preserve"> financiera. De acuerdo con datos de la Estrategia Nacional de Educación Financiera (ENEF) 2025-2030, señalan que el 59% de los mexicanos no recibe educación financiera, el equivalente a 6 de cada 10 personas; en 62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 xml:space="preserve">de los hogares no se ahorra; 83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 xml:space="preserve">no realiza visitas a bancos; en 73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 xml:space="preserve">no se lleva un presupuesto y en 69 </w:t>
      </w:r>
      <w:r w:rsidRPr="00AE0CAB">
        <w:rPr>
          <w:rFonts w:ascii="Times New Roman" w:eastAsia="Times New Roman" w:hAnsi="Times New Roman" w:cs="Times New Roman"/>
          <w:sz w:val="24"/>
          <w:szCs w:val="24"/>
        </w:rPr>
        <w:t xml:space="preserve">% </w:t>
      </w:r>
      <w:r w:rsidRPr="00AE0CAB">
        <w:rPr>
          <w:rFonts w:ascii="Times New Roman" w:eastAsia="Arial" w:hAnsi="Times New Roman" w:cs="Times New Roman"/>
          <w:sz w:val="24"/>
          <w:szCs w:val="24"/>
        </w:rPr>
        <w:t>de las familias no se habla de dinero, lo que se traduce en desconocimiento de derechos, contratación de productos inadecuados y limitada capacidad de defensa frente a prácticas abusivas.</w:t>
      </w:r>
      <w:r w:rsidRPr="00AE0CAB">
        <w:rPr>
          <w:rFonts w:ascii="Times New Roman" w:eastAsia="Arial" w:hAnsi="Times New Roman" w:cs="Times New Roman"/>
          <w:sz w:val="24"/>
          <w:szCs w:val="24"/>
          <w:vertAlign w:val="superscript"/>
        </w:rPr>
        <w:t>8</w:t>
      </w:r>
    </w:p>
    <w:p w:rsidR="005D7FEC" w:rsidRPr="00AE0CAB" w:rsidRDefault="005D7FEC" w:rsidP="005D7FEC">
      <w:pPr>
        <w:spacing w:after="0" w:line="240" w:lineRule="auto"/>
        <w:jc w:val="both"/>
        <w:rPr>
          <w:rFonts w:ascii="Times New Roman" w:eastAsia="Arial"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0"/>
          <w:szCs w:val="20"/>
        </w:rPr>
      </w:pPr>
      <w:r w:rsidRPr="00AE0CAB">
        <w:rPr>
          <w:rFonts w:ascii="Times New Roman" w:eastAsia="Arial" w:hAnsi="Times New Roman" w:cs="Times New Roman"/>
          <w:sz w:val="20"/>
          <w:szCs w:val="20"/>
          <w:vertAlign w:val="superscript"/>
        </w:rPr>
        <w:t>6</w:t>
      </w:r>
      <w:r w:rsidRPr="00AE0CAB">
        <w:rPr>
          <w:rFonts w:ascii="Times New Roman" w:eastAsia="Arial" w:hAnsi="Times New Roman" w:cs="Times New Roman"/>
          <w:sz w:val="20"/>
          <w:szCs w:val="20"/>
        </w:rPr>
        <w:t xml:space="preserve"> "Decálogo para mejorar la atención y el servicio", Personas Adultas Mayores lo valen; CONDUSEF; disponible en la pg. web.- https://revistacondusef.gob.mx/wp-content/uploads/2021/O9/aduitos.pdf, consultada el 22-01-26.</w:t>
      </w:r>
    </w:p>
    <w:p w:rsidR="005D7FEC" w:rsidRPr="00AE0CAB" w:rsidRDefault="005D7FEC" w:rsidP="005D7FEC">
      <w:pPr>
        <w:spacing w:after="0" w:line="240" w:lineRule="auto"/>
        <w:jc w:val="both"/>
        <w:rPr>
          <w:rFonts w:ascii="Times New Roman" w:eastAsia="Arial" w:hAnsi="Times New Roman" w:cs="Times New Roman"/>
          <w:sz w:val="20"/>
          <w:szCs w:val="24"/>
        </w:rPr>
      </w:pPr>
      <w:r w:rsidRPr="00AE0CAB">
        <w:rPr>
          <w:rFonts w:ascii="Times New Roman" w:eastAsia="Arial" w:hAnsi="Times New Roman" w:cs="Times New Roman"/>
          <w:sz w:val="20"/>
          <w:szCs w:val="24"/>
          <w:vertAlign w:val="superscript"/>
        </w:rPr>
        <w:t>7</w:t>
      </w:r>
      <w:r w:rsidRPr="00AE0CAB">
        <w:rPr>
          <w:rFonts w:ascii="Times New Roman" w:eastAsia="Arial" w:hAnsi="Times New Roman" w:cs="Times New Roman"/>
          <w:sz w:val="20"/>
          <w:szCs w:val="24"/>
        </w:rPr>
        <w:t xml:space="preserve"> CONDUSEF, reclamaciones del Estado de México durante el periodo enero - agosto de 2024, disponible en la pág. web. -https:/</w:t>
      </w:r>
      <w:hyperlink r:id="rId108">
        <w:r w:rsidRPr="00AE0CAB">
          <w:rPr>
            <w:rFonts w:ascii="Times New Roman" w:eastAsia="Arial" w:hAnsi="Times New Roman" w:cs="Times New Roman"/>
            <w:sz w:val="20"/>
            <w:szCs w:val="24"/>
          </w:rPr>
          <w:t>/www.condusefgob.mx/</w:t>
        </w:r>
      </w:hyperlink>
      <w:r w:rsidRPr="00AE0CAB">
        <w:rPr>
          <w:rFonts w:ascii="Times New Roman" w:eastAsia="Arial" w:hAnsi="Times New Roman" w:cs="Times New Roman"/>
          <w:sz w:val="20"/>
          <w:szCs w:val="24"/>
        </w:rPr>
        <w:t>?p=contenido&amp;idc=2483&amp;idcat=1, consultada el 22-12-25.</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educación financiera ha sido reconocida par organismos internacionales coma la Organización para la Cooperación y el Desarrollo Econmicos (OCDE) coma un proceso esencial para fortalecer la toma de decisiones económicas informadas y mejorar el bienestar económico de las personas. En el caso de las personas adultas mayores, su relevancia es estratégica, pues permite prevenir abuses financieros, proteger el patrimonio y fortalecer su autonomía económica.</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Si bien en el ámbito nacional existen disposiciones que promueven la educación financiera como herramienta de inclusión y bienestar económico, resulta indispensable que el Estado de México avance en el reconocimiento expreso de este derecho dentro de su legislación local, particularmente tratándose de personas adultas mayores. La transición demográfica acelerada, la vulnerabilidad patrimonial documentada y la alta incidencia de fraudes financieros en la entidad exigen que la educación financiera deje de ser una acción complementaria y se consolide coma una política pública estructural, permanente y con enfoque preventivo.</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virtud de lo anterior, la presente iniciativa tiene coma objetivo reconocer expresamente el derecho de las personas adultas mayores a acceder a programas de educación financiera, así como establecer la obligación institucional de desafiar, promover y ejecutar acciones permanentes en la materia, a efecto de fortalecer su autonomía económica, prevenir riesgos financieros y garantizar la protecci6n efectiva de su patrimonio en el Estado de México.</w:t>
      </w:r>
    </w:p>
    <w:p w:rsidR="005D7FEC" w:rsidRPr="00AE0CAB" w:rsidRDefault="005D7FEC" w:rsidP="005D7FEC">
      <w:pPr>
        <w:spacing w:after="0" w:line="240" w:lineRule="auto"/>
        <w:jc w:val="both"/>
        <w:rPr>
          <w:rFonts w:ascii="Times New Roman" w:eastAsia="Arial"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0"/>
          <w:szCs w:val="20"/>
        </w:rPr>
      </w:pPr>
      <w:r w:rsidRPr="00AE0CAB">
        <w:rPr>
          <w:rFonts w:ascii="Times New Roman" w:eastAsia="Arial" w:hAnsi="Times New Roman" w:cs="Times New Roman"/>
          <w:sz w:val="20"/>
          <w:szCs w:val="20"/>
          <w:vertAlign w:val="superscript"/>
        </w:rPr>
        <w:t>8</w:t>
      </w:r>
      <w:r w:rsidRPr="00AE0CAB">
        <w:rPr>
          <w:rFonts w:ascii="Times New Roman" w:eastAsia="Arial" w:hAnsi="Times New Roman" w:cs="Times New Roman"/>
          <w:sz w:val="20"/>
          <w:szCs w:val="20"/>
        </w:rPr>
        <w:t xml:space="preserve"> Estrategia Nacional de Educación Financiera 2025-2030; CONDUSEF, disponible en la </w:t>
      </w:r>
      <w:r w:rsidRPr="00AE0CAB">
        <w:rPr>
          <w:rFonts w:ascii="Times New Roman" w:eastAsia="Times New Roman" w:hAnsi="Times New Roman" w:cs="Times New Roman"/>
          <w:sz w:val="20"/>
          <w:szCs w:val="20"/>
        </w:rPr>
        <w:t xml:space="preserve">pág. </w:t>
      </w:r>
      <w:r w:rsidRPr="00AE0CAB">
        <w:rPr>
          <w:rFonts w:ascii="Times New Roman" w:eastAsia="Arial" w:hAnsi="Times New Roman" w:cs="Times New Roman"/>
          <w:sz w:val="20"/>
          <w:szCs w:val="20"/>
        </w:rPr>
        <w:t>web.- https://wwwgob.mx/condusef/articulos/estrategianacional-de-educacion-financiera-2025-2030;consultada el 22-12-25.</w:t>
      </w:r>
    </w:p>
    <w:p w:rsidR="005D7FEC" w:rsidRPr="00AE0CAB" w:rsidRDefault="005D7FEC" w:rsidP="005D7FEC">
      <w:pPr>
        <w:spacing w:after="0" w:line="240" w:lineRule="auto"/>
        <w:jc w:val="both"/>
        <w:rPr>
          <w:rFonts w:ascii="Times New Roman" w:eastAsia="Arial" w:hAnsi="Times New Roman" w:cs="Times New Roman"/>
          <w:sz w:val="20"/>
          <w:szCs w:val="24"/>
        </w:rPr>
      </w:pPr>
      <w:r w:rsidRPr="00AE0CAB">
        <w:rPr>
          <w:rFonts w:ascii="Times New Roman" w:eastAsia="Arial" w:hAnsi="Times New Roman" w:cs="Times New Roman"/>
          <w:sz w:val="20"/>
          <w:szCs w:val="24"/>
          <w:vertAlign w:val="superscript"/>
        </w:rPr>
        <w:t>9</w:t>
      </w:r>
      <w:r w:rsidRPr="00AE0CAB">
        <w:rPr>
          <w:rFonts w:ascii="Times New Roman" w:eastAsia="Arial" w:hAnsi="Times New Roman" w:cs="Times New Roman"/>
          <w:sz w:val="20"/>
          <w:szCs w:val="24"/>
        </w:rPr>
        <w:t xml:space="preserve"> La educación financiera en América Latina y el Caribe; Situación Actual y Perspectivas; OCDE, disponible en: httbs:</w:t>
      </w:r>
      <w:hyperlink r:id="rId109">
        <w:r w:rsidRPr="00AE0CAB">
          <w:rPr>
            <w:rFonts w:ascii="Times New Roman" w:eastAsia="Arial" w:hAnsi="Times New Roman" w:cs="Times New Roman"/>
            <w:sz w:val="20"/>
            <w:szCs w:val="24"/>
          </w:rPr>
          <w:t>//www.oecd.org/daf/fin/financial-education/OECD</w:t>
        </w:r>
      </w:hyperlink>
      <w:r w:rsidRPr="00AE0CAB">
        <w:rPr>
          <w:rFonts w:ascii="Times New Roman" w:eastAsia="Arial" w:hAnsi="Times New Roman" w:cs="Times New Roman"/>
          <w:sz w:val="20"/>
          <w:szCs w:val="24"/>
        </w:rPr>
        <w:t xml:space="preserve"> CAE </w:t>
      </w:r>
      <w:proofErr w:type="spellStart"/>
      <w:r w:rsidRPr="00AE0CAB">
        <w:rPr>
          <w:rFonts w:ascii="Times New Roman" w:eastAsia="Arial" w:hAnsi="Times New Roman" w:cs="Times New Roman"/>
          <w:sz w:val="20"/>
          <w:szCs w:val="24"/>
        </w:rPr>
        <w:t>Financial</w:t>
      </w:r>
      <w:proofErr w:type="spellEnd"/>
      <w:r w:rsidRPr="00AE0CAB">
        <w:rPr>
          <w:rFonts w:ascii="Times New Roman" w:eastAsia="Arial" w:hAnsi="Times New Roman" w:cs="Times New Roman"/>
          <w:sz w:val="20"/>
          <w:szCs w:val="24"/>
        </w:rPr>
        <w:t xml:space="preserve"> </w:t>
      </w:r>
      <w:proofErr w:type="spellStart"/>
      <w:r w:rsidRPr="00AE0CAB">
        <w:rPr>
          <w:rFonts w:ascii="Times New Roman" w:eastAsia="Arial" w:hAnsi="Times New Roman" w:cs="Times New Roman"/>
          <w:sz w:val="20"/>
          <w:szCs w:val="24"/>
        </w:rPr>
        <w:t>Education</w:t>
      </w:r>
      <w:proofErr w:type="spellEnd"/>
      <w:r w:rsidRPr="00AE0CAB">
        <w:rPr>
          <w:rFonts w:ascii="Times New Roman" w:eastAsia="Arial" w:hAnsi="Times New Roman" w:cs="Times New Roman"/>
          <w:sz w:val="20"/>
          <w:szCs w:val="24"/>
        </w:rPr>
        <w:t xml:space="preserve"> </w:t>
      </w:r>
      <w:proofErr w:type="spellStart"/>
      <w:r w:rsidRPr="00AE0CAB">
        <w:rPr>
          <w:rFonts w:ascii="Times New Roman" w:eastAsia="Arial" w:hAnsi="Times New Roman" w:cs="Times New Roman"/>
          <w:sz w:val="20"/>
          <w:szCs w:val="24"/>
        </w:rPr>
        <w:t>Latin</w:t>
      </w:r>
      <w:proofErr w:type="spellEnd"/>
      <w:r w:rsidRPr="00AE0CAB">
        <w:rPr>
          <w:rFonts w:ascii="Times New Roman" w:eastAsia="Arial" w:hAnsi="Times New Roman" w:cs="Times New Roman"/>
          <w:sz w:val="20"/>
          <w:szCs w:val="24"/>
        </w:rPr>
        <w:t xml:space="preserve"> AmericaES.pdf, consultada el 22-12-25.</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reforma propuesta se sustenta en un enfoque preventivo orientado a dotar a las personas adultas mayores de herramientas prácticas para organizar sus ingresos, planificar gastos, administrar deudas, fomentar el ahorro y ejercer plenamente sus derechos como personas usuarias del sistema financiero.</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Desde el Grupo Parlamentario del Partido Acción Nacional sostenemos que ninguna persona adulta mayor debe ver comprometido su patrimonio por falta de información, orientación o acompañamiento institucional. Esta propuesta consolida un marco jurídico que fortalece la educación financiera como instrumento de justicia social, protección patrimonial y envejecimiento digno.</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Igualmente, desde Acción Nacional reafirmamos que envejecer con dignidad también implica contar con seguridad económica, decisiones informadas y protección efectiva de los derechos.</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lo anteriormente expuesto, fundamentado y motivado se somete a la consideración de ésta H. Soberanía, el siguiente:</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PROYECTO DE DECRETO</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DECRETO NÚMERO</w:t>
      </w:r>
    </w:p>
    <w:p w:rsidR="005D7FEC" w:rsidRPr="00AE0CAB" w:rsidRDefault="005D7FEC" w:rsidP="005D7FEC">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LA H. "LXII LEGISLATURA DEL ESTADO DE MÉXICO</w:t>
      </w:r>
    </w:p>
    <w:p w:rsidR="005D7FEC" w:rsidRPr="00AE0CAB" w:rsidRDefault="005D7FEC" w:rsidP="005D7FEC">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lastRenderedPageBreak/>
        <w:t>DECRETA:</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ÚNICO. </w:t>
      </w:r>
      <w:r w:rsidRPr="00AE0CAB">
        <w:rPr>
          <w:rFonts w:ascii="Times New Roman" w:eastAsia="Arial" w:hAnsi="Times New Roman" w:cs="Times New Roman"/>
          <w:sz w:val="24"/>
          <w:szCs w:val="24"/>
        </w:rPr>
        <w:t xml:space="preserve">Se adicionan </w:t>
      </w:r>
      <w:r w:rsidRPr="00AE0CAB">
        <w:rPr>
          <w:rFonts w:ascii="Times New Roman" w:eastAsia="Times New Roman" w:hAnsi="Times New Roman" w:cs="Times New Roman"/>
          <w:sz w:val="24"/>
          <w:szCs w:val="24"/>
        </w:rPr>
        <w:t xml:space="preserve">el </w:t>
      </w:r>
      <w:r w:rsidRPr="00AE0CAB">
        <w:rPr>
          <w:rFonts w:ascii="Times New Roman" w:eastAsia="Arial" w:hAnsi="Times New Roman" w:cs="Times New Roman"/>
          <w:sz w:val="24"/>
          <w:szCs w:val="24"/>
        </w:rPr>
        <w:t xml:space="preserve">inciso h) de la fracción V del </w:t>
      </w:r>
      <w:r w:rsidR="00AE6F64" w:rsidRPr="00AE0CAB">
        <w:rPr>
          <w:rFonts w:ascii="Times New Roman" w:eastAsia="Arial" w:hAnsi="Times New Roman" w:cs="Times New Roman"/>
          <w:sz w:val="24"/>
          <w:szCs w:val="24"/>
        </w:rPr>
        <w:t>artículo</w:t>
      </w:r>
      <w:r w:rsidRPr="00AE0CAB">
        <w:rPr>
          <w:rFonts w:ascii="Times New Roman" w:eastAsia="Arial" w:hAnsi="Times New Roman" w:cs="Times New Roman"/>
          <w:sz w:val="24"/>
          <w:szCs w:val="24"/>
        </w:rPr>
        <w:t xml:space="preserve"> 5 y la fracción XV del artículo 23 de la Ley de las Personas Adultas Mayores del Estado de México, para quedar como sigue:</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AE6F64"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w:t>
      </w:r>
      <w:r w:rsidR="005D7FEC" w:rsidRPr="00AE0CAB">
        <w:rPr>
          <w:rFonts w:ascii="Times New Roman" w:eastAsia="Arial" w:hAnsi="Times New Roman" w:cs="Times New Roman"/>
          <w:b/>
          <w:sz w:val="24"/>
          <w:szCs w:val="24"/>
        </w:rPr>
        <w:t xml:space="preserve"> 5.- </w:t>
      </w:r>
      <w:r w:rsidR="005D7FEC" w:rsidRPr="00AE0CAB">
        <w:rPr>
          <w:rFonts w:ascii="Times New Roman" w:eastAsia="Arial" w:hAnsi="Times New Roman" w:cs="Times New Roman"/>
          <w:sz w:val="24"/>
          <w:szCs w:val="24"/>
        </w:rPr>
        <w:t>Son derechos de los adultos mayores, además de aquellos que les reconozcan otras leyes, los siguientes:</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I. </w:t>
      </w:r>
      <w:r w:rsidRPr="00AE0CAB">
        <w:rPr>
          <w:rFonts w:ascii="Times New Roman" w:eastAsia="Arial" w:hAnsi="Times New Roman" w:cs="Times New Roman"/>
          <w:b/>
          <w:sz w:val="24"/>
          <w:szCs w:val="24"/>
        </w:rPr>
        <w:t>al IV....</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Courier New" w:hAnsi="Times New Roman" w:cs="Times New Roman"/>
          <w:sz w:val="24"/>
          <w:szCs w:val="24"/>
        </w:rPr>
      </w:pPr>
      <w:r w:rsidRPr="00AE0CAB">
        <w:rPr>
          <w:rFonts w:ascii="Times New Roman" w:eastAsia="Courier New" w:hAnsi="Times New Roman" w:cs="Times New Roman"/>
          <w:b/>
          <w:sz w:val="24"/>
          <w:szCs w:val="24"/>
        </w:rPr>
        <w:t>V.</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 al g) ....</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h). Acceder a programas de información, orientación y capacitación continua en educación financiera con enfoque preventivo y accesible.</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AE6F64"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w:t>
      </w:r>
      <w:r w:rsidR="005D7FEC" w:rsidRPr="00AE0CAB">
        <w:rPr>
          <w:rFonts w:ascii="Times New Roman" w:eastAsia="Arial" w:hAnsi="Times New Roman" w:cs="Times New Roman"/>
          <w:b/>
          <w:sz w:val="24"/>
          <w:szCs w:val="24"/>
        </w:rPr>
        <w:t xml:space="preserve"> 23.- </w:t>
      </w:r>
      <w:r w:rsidR="005D7FEC" w:rsidRPr="00AE0CAB">
        <w:rPr>
          <w:rFonts w:ascii="Times New Roman" w:eastAsia="Arial" w:hAnsi="Times New Roman" w:cs="Times New Roman"/>
          <w:sz w:val="24"/>
          <w:szCs w:val="24"/>
        </w:rPr>
        <w:t xml:space="preserve">Corresponde a la Secretaría de Educación, Ciencia, Tecnología e </w:t>
      </w:r>
      <w:r w:rsidRPr="00AE0CAB">
        <w:rPr>
          <w:rFonts w:ascii="Times New Roman" w:eastAsia="Arial" w:hAnsi="Times New Roman" w:cs="Times New Roman"/>
          <w:sz w:val="24"/>
          <w:szCs w:val="24"/>
        </w:rPr>
        <w:t>innovación</w:t>
      </w:r>
      <w:r w:rsidR="005D7FEC" w:rsidRPr="00AE0CAB">
        <w:rPr>
          <w:rFonts w:ascii="Times New Roman" w:eastAsia="Arial" w:hAnsi="Times New Roman" w:cs="Times New Roman"/>
          <w:sz w:val="24"/>
          <w:szCs w:val="24"/>
        </w:rPr>
        <w:t>:</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Times New Roman" w:hAnsi="Times New Roman" w:cs="Times New Roman"/>
          <w:sz w:val="24"/>
          <w:szCs w:val="24"/>
        </w:rPr>
        <w:t xml:space="preserve">I </w:t>
      </w:r>
      <w:r w:rsidRPr="00AE0CAB">
        <w:rPr>
          <w:rFonts w:ascii="Times New Roman" w:eastAsia="Arial" w:hAnsi="Times New Roman" w:cs="Times New Roman"/>
          <w:b/>
          <w:sz w:val="24"/>
          <w:szCs w:val="24"/>
        </w:rPr>
        <w:t>a la XIV....</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XV. Diseñar, promover y ejecutar programas permanentes de educación financiera dirigidos a las Personas Adultas Mayores, en coordinación con instituciones especializadas y dependencias correspondientes.</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ARTÍCULOS TRANSITORIOS</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PRIMERO. </w:t>
      </w:r>
      <w:r w:rsidRPr="00AE0CAB">
        <w:rPr>
          <w:rFonts w:ascii="Times New Roman" w:eastAsia="Arial" w:hAnsi="Times New Roman" w:cs="Times New Roman"/>
          <w:sz w:val="24"/>
          <w:szCs w:val="24"/>
        </w:rPr>
        <w:t xml:space="preserve">Publíquese </w:t>
      </w:r>
      <w:r w:rsidRPr="00AE0CAB">
        <w:rPr>
          <w:rFonts w:ascii="Times New Roman" w:eastAsia="Times New Roman" w:hAnsi="Times New Roman" w:cs="Times New Roman"/>
          <w:sz w:val="24"/>
          <w:szCs w:val="24"/>
        </w:rPr>
        <w:t xml:space="preserve">el </w:t>
      </w:r>
      <w:r w:rsidRPr="00AE0CAB">
        <w:rPr>
          <w:rFonts w:ascii="Times New Roman" w:eastAsia="Arial" w:hAnsi="Times New Roman" w:cs="Times New Roman"/>
          <w:sz w:val="24"/>
          <w:szCs w:val="24"/>
        </w:rPr>
        <w:t>presente Decreto en el periódico oficial "Gaceta del Gobierno".</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SEGUNDO. </w:t>
      </w:r>
      <w:r w:rsidRPr="00AE0CAB">
        <w:rPr>
          <w:rFonts w:ascii="Times New Roman" w:eastAsia="Arial" w:hAnsi="Times New Roman" w:cs="Times New Roman"/>
          <w:sz w:val="24"/>
          <w:szCs w:val="24"/>
        </w:rPr>
        <w:t>El presente Decreto entrar</w:t>
      </w:r>
      <w:r w:rsidR="00153706" w:rsidRPr="00AE0CAB">
        <w:rPr>
          <w:rFonts w:ascii="Times New Roman" w:eastAsia="Arial" w:hAnsi="Times New Roman" w:cs="Times New Roman"/>
          <w:sz w:val="24"/>
          <w:szCs w:val="24"/>
        </w:rPr>
        <w:t>á</w:t>
      </w:r>
      <w:r w:rsidRPr="00AE0CAB">
        <w:rPr>
          <w:rFonts w:ascii="Times New Roman" w:eastAsia="Arial" w:hAnsi="Times New Roman" w:cs="Times New Roman"/>
          <w:sz w:val="24"/>
          <w:szCs w:val="24"/>
        </w:rPr>
        <w:t xml:space="preserve"> en vigor al día siguiente de su publicación.</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TERCERO. </w:t>
      </w:r>
      <w:r w:rsidRPr="00AE0CAB">
        <w:rPr>
          <w:rFonts w:ascii="Times New Roman" w:eastAsia="Arial" w:hAnsi="Times New Roman" w:cs="Times New Roman"/>
          <w:sz w:val="24"/>
          <w:szCs w:val="24"/>
        </w:rPr>
        <w:t>Se derogan las disposiciones de igual o menor jerarquía a normativa que se opongan al presente Decreto, perdiendo vigor al momento de su publicación.</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sz w:val="24"/>
          <w:szCs w:val="24"/>
        </w:rPr>
        <w:t>Lo tendrá por entendido el Gobernador del Estado, hacienda que se publique y se cumpla.</w:t>
      </w:r>
    </w:p>
    <w:p w:rsidR="005D7FEC" w:rsidRPr="00AE0CAB" w:rsidRDefault="005D7FEC" w:rsidP="005D7FEC">
      <w:pPr>
        <w:spacing w:after="0" w:line="240" w:lineRule="auto"/>
        <w:rPr>
          <w:rFonts w:ascii="Times New Roman" w:eastAsia="Times New Roman" w:hAnsi="Times New Roman" w:cs="Times New Roman"/>
          <w:sz w:val="24"/>
          <w:szCs w:val="24"/>
        </w:rPr>
      </w:pPr>
    </w:p>
    <w:p w:rsidR="005D7FEC" w:rsidRPr="00AE0CAB" w:rsidRDefault="005D7FEC" w:rsidP="005D7FEC">
      <w:pPr>
        <w:spacing w:after="0" w:line="240" w:lineRule="auto"/>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Dado en el Palacio del Poder Legislativo, en la Ciudad de Toluca, Capital del Estado de México, a los 18 días del mes de febrero del año dos mil veintiséis.</w:t>
      </w:r>
    </w:p>
    <w:p w:rsidR="005D7FEC" w:rsidRPr="00AE0CAB" w:rsidRDefault="005D7FEC" w:rsidP="005D7FEC">
      <w:pPr>
        <w:spacing w:after="0" w:line="240" w:lineRule="auto"/>
        <w:rPr>
          <w:rFonts w:ascii="Times New Roman" w:eastAsia="Times New Roman"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555"/>
      </w:tblGrid>
      <w:tr w:rsidR="005D7FEC" w:rsidRPr="00AE0CAB" w:rsidTr="00AE6F64">
        <w:trPr>
          <w:jc w:val="center"/>
        </w:trPr>
        <w:tc>
          <w:tcPr>
            <w:tcW w:w="4555" w:type="dxa"/>
          </w:tcPr>
          <w:p w:rsidR="005D7FEC" w:rsidRPr="00AE0CAB" w:rsidRDefault="005D7FEC" w:rsidP="00153706">
            <w:pPr>
              <w:spacing w:line="240" w:lineRule="auto"/>
              <w:jc w:val="center"/>
              <w:rPr>
                <w:sz w:val="24"/>
                <w:szCs w:val="24"/>
              </w:rPr>
            </w:pPr>
            <w:r w:rsidRPr="00AE0CAB">
              <w:rPr>
                <w:rFonts w:eastAsia="Arial"/>
                <w:b/>
                <w:sz w:val="24"/>
                <w:szCs w:val="24"/>
              </w:rPr>
              <w:t>Diputada Krishna Karina Romero Velázquez</w:t>
            </w:r>
          </w:p>
        </w:tc>
        <w:tc>
          <w:tcPr>
            <w:tcW w:w="4555" w:type="dxa"/>
          </w:tcPr>
          <w:p w:rsidR="005D7FEC" w:rsidRPr="00AE0CAB" w:rsidRDefault="005D7FEC" w:rsidP="005D7FEC">
            <w:pPr>
              <w:spacing w:line="240" w:lineRule="auto"/>
              <w:jc w:val="center"/>
              <w:rPr>
                <w:rFonts w:eastAsia="Arial"/>
                <w:sz w:val="24"/>
                <w:szCs w:val="24"/>
              </w:rPr>
            </w:pPr>
            <w:r w:rsidRPr="00AE0CAB">
              <w:rPr>
                <w:rFonts w:eastAsia="Arial"/>
                <w:b/>
                <w:sz w:val="24"/>
                <w:szCs w:val="24"/>
              </w:rPr>
              <w:t>Diputado Pablo Fernández de Cevallos G.</w:t>
            </w:r>
          </w:p>
          <w:p w:rsidR="005D7FEC" w:rsidRPr="00AE0CAB" w:rsidRDefault="005D7FEC" w:rsidP="005D7FEC">
            <w:pPr>
              <w:spacing w:line="240" w:lineRule="auto"/>
              <w:rPr>
                <w:sz w:val="24"/>
                <w:szCs w:val="24"/>
              </w:rPr>
            </w:pPr>
          </w:p>
        </w:tc>
      </w:tr>
    </w:tbl>
    <w:p w:rsidR="005D7FEC" w:rsidRPr="00AE0CAB" w:rsidRDefault="005D7FEC" w:rsidP="005D7FEC">
      <w:pPr>
        <w:spacing w:after="0" w:line="240" w:lineRule="auto"/>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Grupo Parlamentario del Partido Acción Nacional</w:t>
      </w:r>
    </w:p>
    <w:p w:rsidR="00EA71C6" w:rsidRPr="00AE0CAB" w:rsidRDefault="00EA71C6" w:rsidP="005D7FEC">
      <w:pPr>
        <w:spacing w:after="0" w:line="240" w:lineRule="auto"/>
        <w:jc w:val="center"/>
        <w:rPr>
          <w:rFonts w:ascii="Times New Roman" w:hAnsi="Times New Roman"/>
          <w:sz w:val="24"/>
          <w:szCs w:val="24"/>
        </w:rPr>
      </w:pPr>
    </w:p>
    <w:p w:rsidR="00EA71C6" w:rsidRPr="00AE0CAB" w:rsidRDefault="00EA71C6" w:rsidP="005D7FEC">
      <w:pPr>
        <w:spacing w:after="0" w:line="240" w:lineRule="auto"/>
        <w:jc w:val="center"/>
        <w:rPr>
          <w:rFonts w:ascii="Times New Roman" w:hAnsi="Times New Roman"/>
          <w:i/>
          <w:sz w:val="24"/>
          <w:szCs w:val="24"/>
        </w:rPr>
      </w:pPr>
      <w:r w:rsidRPr="00AE0CAB">
        <w:rPr>
          <w:rFonts w:ascii="Times New Roman" w:hAnsi="Times New Roman"/>
          <w:i/>
          <w:sz w:val="24"/>
          <w:szCs w:val="24"/>
        </w:rPr>
        <w:t>(Fin del documento)</w:t>
      </w:r>
    </w:p>
    <w:p w:rsidR="00EA71C6" w:rsidRPr="00AE0CAB" w:rsidRDefault="00EA71C6" w:rsidP="005D7FEC">
      <w:pPr>
        <w:spacing w:after="0" w:line="240" w:lineRule="auto"/>
        <w:jc w:val="center"/>
        <w:rPr>
          <w:rFonts w:ascii="Times New Roman" w:hAnsi="Times New Roman"/>
          <w:sz w:val="24"/>
          <w:szCs w:val="24"/>
        </w:rPr>
      </w:pPr>
    </w:p>
    <w:p w:rsidR="000E0101" w:rsidRPr="00AE0CAB" w:rsidRDefault="000E0101" w:rsidP="00D71801">
      <w:pPr>
        <w:pStyle w:val="Sinespaciado"/>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PRESIDENTA DIP. MARTHA AZUCENA CAMACHO REYNOSO. Gracias diputada Krishna Karina Romero Velázquez. </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lastRenderedPageBreak/>
        <w:t>Se registra la iniciativa y se remite a las Comisiones Legislativas Para la Atención de Grupos Vulnerables y de Educación, Cultura, Ciencia y Tecnología e Innovación para su estudio y dictamen.</w:t>
      </w:r>
    </w:p>
    <w:p w:rsidR="000E0101" w:rsidRPr="00AE0CAB" w:rsidRDefault="000E0101" w:rsidP="00D71801">
      <w:pPr>
        <w:pStyle w:val="Sinespaciado"/>
        <w:ind w:firstLine="708"/>
        <w:jc w:val="both"/>
        <w:rPr>
          <w:rFonts w:ascii="Times New Roman" w:eastAsia="Times New Roman" w:hAnsi="Times New Roman" w:cs="Times New Roman"/>
          <w:sz w:val="24"/>
          <w:szCs w:val="24"/>
          <w:lang w:eastAsia="es-MX"/>
        </w:rPr>
      </w:pPr>
      <w:r w:rsidRPr="00AE0CAB">
        <w:rPr>
          <w:rFonts w:ascii="Times New Roman" w:eastAsia="Times New Roman" w:hAnsi="Times New Roman" w:cs="Times New Roman"/>
          <w:sz w:val="24"/>
          <w:szCs w:val="24"/>
          <w:lang w:eastAsia="es-MX"/>
        </w:rPr>
        <w:t xml:space="preserve">En cuanto al punto número 14, la diputada Ruth Salinas Reyes, leerá la iniciativa con Proyecto de Decreto por el que se adiciona el inciso d) de la fracción II del artículo 11 de la Ley de Educación del Estado de México, en materia de uniformes neutros, presentada por las y los integrantes del Grupo Parlamentario del Partido Movimiento Ciudadano. </w:t>
      </w:r>
    </w:p>
    <w:p w:rsidR="000E0101" w:rsidRPr="00AE0CAB" w:rsidRDefault="000E0101" w:rsidP="00D71801">
      <w:pPr>
        <w:spacing w:after="0" w:line="240" w:lineRule="auto"/>
        <w:ind w:firstLine="708"/>
        <w:jc w:val="both"/>
        <w:rPr>
          <w:rFonts w:ascii="Times New Roman" w:hAnsi="Times New Roman" w:cs="Times New Roman"/>
          <w:sz w:val="24"/>
          <w:szCs w:val="24"/>
        </w:rPr>
      </w:pPr>
      <w:r w:rsidRPr="00AE0CAB">
        <w:rPr>
          <w:rFonts w:ascii="Times New Roman" w:hAnsi="Times New Roman" w:cs="Times New Roman"/>
          <w:sz w:val="24"/>
          <w:szCs w:val="24"/>
        </w:rPr>
        <w:t>En observancia del siguiente punto, la diputada Araceli Casasola Salazar, leerá la iniciativa con proyecto de decreto por la que se reforman diversos artículos del libro sexto del Código para la Biodiversidad del Estado de México, en materia de protección y bienestar animal, presentada por el diputado Omar Ortega Álvarez y la diputada Araceli Casasola Salazar, en nombre del Grupo Parlamentario del Partido de la Revolución Democrática.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DIP. ARACELI CASASOLA SALAZAR. Con el permiso de la Mesa, de la Presidenta, de mis compañeros diputados que integran esta mesa. Saludo con mucho respeto a todos los diputados, diputadas, a mi compañere también y a todos los que nos siguen a través de las diferentes plataformas digitales, muy buenas tardes.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El pasado 12 de noviembre, su servidora, presentó aquí en este Recinto, un punto de acuerdo exhortando a los 125 presidentes, con mucho respeto, implementar y fortalecer las políticas públicas y acciones afirmativas para el control de la fauna canina y felina en beneficio de salud pública, la seguridad y el bienestar ciudadano.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Fui muy reiterativa ese día que yo la presenté; entonces estos exhortos que aunque agradezco a cada uno de mis compañeros diputados que por urgente y obvia resolución la pasamos para que se fuera turnada a los 125 municipios, no hacen caso los presidentes, es como un llamado a misa, uno les manda los exhortos y no hacen caso y eso sí, lo digo con todo respeto que esa iniciativa por más que leí casos de muertes que hubo, por estas jaurías, por todo, nadie, ningún Presidente ha podido realizar ese exhorto.</w:t>
      </w:r>
    </w:p>
    <w:p w:rsidR="000E0101" w:rsidRPr="00AE0CAB" w:rsidRDefault="000E0101"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t>Entonces, lo digo como antecedente y me refiero a los 125 presidentes porque en el Estado de México, también hay que reconocer que la gobernadora ha estado fomentando como lo realizó el pasado 13 de febrero, donde ella a través, como parte de su estrategia del bienestar animal, obviamente en Gobierno del Estado de México llevó a cabo operativos coordinando predios en el municipio, en este caso hablamos del Municipio de Tultepec, que donde ahí iba liderando la Procuraduría General de Justicia del Estado de México, acompañada con la CEPANAF, pudieron rescatar más de 100 ejemplares, más de 100 seres sintientes, entre ellos caninos, felinos, conejos; pero también se encontraban en una situación muy deplorable.</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 xml:space="preserve">Entonces, como algunos ejemplos, problemas dermatológicos derivados de precisamente del aislamiento que tenían los caninos, cuadros de desnutrición generalizada y las hembras presentaban descalcificación y desgaste físico debido a las múltiples gestaciones y celebro y festejo que este operativo se haya realizado; pero también es un llamado al Gobierno del Estado, que lo hagan los 125 Municipios en vista de que los alcaldes no toman en cuenta nuestros exhortos que presentamos aquí y en base a esta expresión que acabo de hacer y este antecedente, quiero exponer mi siguiente Exposición de Motivos de la iniciativa que hoy presento. </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El Estado de México enfrenta una demanda social versátil y urgente en materia de protección ambiental. Dentro de este contexto, la reforma al Libro Sexto del Código de la Biodiversidad se presenta no sólo como una necesidad jurídica; sino como un imperativo ético. Asimismo, esta reforma tiene como objetivo fundamental armonizar la ley local de protección y bienestar animal con el marco jurídico federal, específicamente con la Ley General de Vida Silvestre y la Ley General del Equilibrio Ecológico y la Protección al Medio Ambiente.</w:t>
      </w:r>
    </w:p>
    <w:p w:rsidR="000E0101" w:rsidRPr="00AE0CAB" w:rsidRDefault="000E0101" w:rsidP="00D71801">
      <w:pPr>
        <w:spacing w:after="0" w:line="240" w:lineRule="auto"/>
        <w:ind w:firstLine="709"/>
        <w:jc w:val="both"/>
        <w:rPr>
          <w:rFonts w:ascii="Times New Roman" w:hAnsi="Times New Roman" w:cs="Times New Roman"/>
          <w:sz w:val="24"/>
          <w:szCs w:val="24"/>
        </w:rPr>
      </w:pPr>
      <w:r w:rsidRPr="00AE0CAB">
        <w:rPr>
          <w:rFonts w:ascii="Times New Roman" w:hAnsi="Times New Roman" w:cs="Times New Roman"/>
          <w:sz w:val="24"/>
          <w:szCs w:val="24"/>
        </w:rPr>
        <w:lastRenderedPageBreak/>
        <w:t>Esta alineación crucial para garantizar la coherencia normativa y fortalecer las facultades institucionales en la preservación de los ecosistemas y el trato digno de los seres sintientes en nuestra Entidad.</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 xml:space="preserve">Desde hace más de 50 años, organismos internacionales como la UNESCO y la ONU han reconocido derechos a los animales en su categoría de seres sensibles. Es momento de que la legislación mexiquense replique esta empatía y genere una cultura de valorización por todas las formas de vida. La omisión en el control de animales domésticos, tanto de hogar como en situación de calle ha generado una crisis de convivencia.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Según estimaciones de la Asociación Mexicana de Médicos Veterinarios Especialistas en Pequeñas Especies, existe aproximadamente 28 millones de animales domésticos en el País, de esta cifra el 70% se encuentra en situación de calle, lo que representa un foco de vulnerabilidad extrema en nuestro Estado.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Esta realidad se traduce en tragedias bilaterales. ¿Qué quiero decir con esto? Pues riesgo a nuestra población, como es lamentablemente lo que yo hice en ese exhorto, el fallecimiento de una mujer en Tecámac en el 2019, tras el ataque de esta jauría y con ellos varios ejemplos que yo di en ese momento.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Estos hechos demuestran que el abandono, el maltrato y la irresponsabilidad de los dueños son el origen de un ciclo de violencia que afecta al tejido social; derivado de este contexto, aquí en el Grupo Parlamentario del Partido de la Revolución Democrática, buscamos con esta presente iniciativa transitar de un modelo preventivo a una acción directa mediante el reconocimiento jurídico, la dignidad de los animales domésticos, independientemente de la situación, sea hogar o sea calle.</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Los ejes rectores de esta propuesta se articulan, en primer lugar, a través de la responsabilidad civil y médica, estableciendo obligaciones claras para los propietarios respecto al cuidado integral y el respaldo médico de sus mascotas.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En segundo término, se busca garantizar la seguridad en la convivencia mediante la regulación de tránsito y la supervisión de mascotas en espacios públicos, especialmente en presencia de menores para asegurar un entorno armónico.</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Asimismo, esta reforma contempla la erradicación del maltrato estético a través de la prohibición explícita de mutilaciones con fines de apariencia por considerarse prácticas dolorosas, innecesarias y traumáticas. Y finalmente, se pretende fomentar y seguir fomentando la adopción y el rescate por encima de la comercialización, buscando resolver de fondo la situación de vulnerabilidad de la población animal como se encuentra actualmente en el Estado de México.</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En conclusión, si bien diversos estados como el Distrito Federal, Coahuila, Querétaro, cuentan ya con leyes de protección animal muy avanzadas, pues el Estado de México debe ir más allá; no basta con evitar el abandono, debemos implementar una planeación estratégica de rescate, educación y sensibilización; como ciudadanos, como legisladores, pues somos responsables del tránsito de estos seres dentro de nuestro entorno social.</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La adopción y la tenencia responsable </w:t>
      </w:r>
      <w:r w:rsidR="00E25B03" w:rsidRPr="00AE0CAB">
        <w:rPr>
          <w:rFonts w:ascii="Times New Roman" w:hAnsi="Times New Roman" w:cs="Times New Roman"/>
          <w:sz w:val="24"/>
          <w:szCs w:val="24"/>
        </w:rPr>
        <w:t>son</w:t>
      </w:r>
      <w:r w:rsidRPr="00AE0CAB">
        <w:rPr>
          <w:rFonts w:ascii="Times New Roman" w:hAnsi="Times New Roman" w:cs="Times New Roman"/>
          <w:sz w:val="24"/>
          <w:szCs w:val="24"/>
        </w:rPr>
        <w:t xml:space="preserve"> la clave para combatir el maltrato y la sobrepoblación, pues es una responsabilidad de nosotros. Así que si los presidentes o a quien exhortamos no entienden; compañeros, pues lo vamos a aplicar en ley.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Por lo antes expuesto espero que sea turnado a las mesas debates.</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Es cuanto Presidenta.</w:t>
      </w:r>
    </w:p>
    <w:p w:rsidR="003F7621" w:rsidRPr="00AE0CAB" w:rsidRDefault="003F7621" w:rsidP="007974C2">
      <w:pPr>
        <w:pStyle w:val="Sinespaciado"/>
        <w:jc w:val="both"/>
        <w:rPr>
          <w:rFonts w:ascii="Times New Roman" w:hAnsi="Times New Roman" w:cs="Times New Roman"/>
          <w:sz w:val="24"/>
          <w:szCs w:val="24"/>
        </w:rPr>
      </w:pPr>
    </w:p>
    <w:p w:rsidR="003F7621" w:rsidRPr="00AE0CAB" w:rsidRDefault="003F7621" w:rsidP="007974C2">
      <w:pPr>
        <w:spacing w:after="0" w:line="240" w:lineRule="auto"/>
        <w:jc w:val="center"/>
        <w:rPr>
          <w:rFonts w:ascii="Times New Roman" w:hAnsi="Times New Roman"/>
          <w:i/>
          <w:sz w:val="24"/>
          <w:szCs w:val="24"/>
        </w:rPr>
      </w:pPr>
      <w:r w:rsidRPr="00AE0CAB">
        <w:rPr>
          <w:rFonts w:ascii="Times New Roman" w:hAnsi="Times New Roman"/>
          <w:i/>
          <w:sz w:val="24"/>
          <w:szCs w:val="24"/>
        </w:rPr>
        <w:t>(Se inserta documento)</w:t>
      </w:r>
    </w:p>
    <w:p w:rsidR="003F7621" w:rsidRPr="00AE0CAB" w:rsidRDefault="003F7621" w:rsidP="007974C2">
      <w:pPr>
        <w:spacing w:after="0" w:line="240" w:lineRule="auto"/>
        <w:jc w:val="center"/>
        <w:rPr>
          <w:rFonts w:ascii="Times New Roman" w:hAnsi="Times New Roman"/>
          <w:sz w:val="24"/>
          <w:szCs w:val="24"/>
        </w:rPr>
      </w:pPr>
    </w:p>
    <w:p w:rsidR="003F7621" w:rsidRPr="00AE0CAB" w:rsidRDefault="003F7621" w:rsidP="003F762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rPr>
        <w:t>"2026. Año del Humanismo Mexicano en el Estado de México"</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right"/>
        <w:rPr>
          <w:rFonts w:ascii="Times New Roman" w:eastAsia="Calibri" w:hAnsi="Times New Roman" w:cs="Times New Roman"/>
          <w:sz w:val="24"/>
          <w:szCs w:val="24"/>
        </w:rPr>
      </w:pPr>
      <w:r w:rsidRPr="00AE0CAB">
        <w:rPr>
          <w:rFonts w:ascii="Times New Roman" w:eastAsia="Calibri" w:hAnsi="Times New Roman" w:cs="Times New Roman"/>
          <w:b/>
          <w:sz w:val="24"/>
          <w:szCs w:val="24"/>
        </w:rPr>
        <w:t>Toluca de Lerdo, Méx., a 18 de Febrero de 2026.</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CC. DIPUTADAS Y DIPUTADOS INTEGRANTES DE LA MESA DIRECTIVA</w:t>
      </w:r>
    </w:p>
    <w:p w:rsidR="003F7621" w:rsidRPr="00AE0CAB" w:rsidRDefault="003F7621" w:rsidP="003F7621">
      <w:pPr>
        <w:spacing w:after="0" w:line="240" w:lineRule="auto"/>
        <w:rPr>
          <w:rFonts w:ascii="Times New Roman" w:eastAsia="Calibri" w:hAnsi="Times New Roman" w:cs="Times New Roman"/>
          <w:b/>
          <w:sz w:val="24"/>
          <w:szCs w:val="24"/>
        </w:rPr>
      </w:pPr>
      <w:r w:rsidRPr="00AE0CAB">
        <w:rPr>
          <w:rFonts w:ascii="Times New Roman" w:eastAsia="Calibri" w:hAnsi="Times New Roman" w:cs="Times New Roman"/>
          <w:b/>
          <w:sz w:val="24"/>
          <w:szCs w:val="24"/>
        </w:rPr>
        <w:t>DE LA H. LXII LEGISLATURA DEL ESTADO LIBRE Y SOBERANO DE MÉXICO.</w:t>
      </w:r>
    </w:p>
    <w:p w:rsidR="003F7621" w:rsidRPr="00AE0CAB" w:rsidRDefault="003F7621" w:rsidP="003F7621">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b/>
          <w:sz w:val="24"/>
          <w:szCs w:val="24"/>
        </w:rPr>
        <w:t>P R E S E N T E S</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AE0CAB">
        <w:rPr>
          <w:rFonts w:ascii="Times New Roman" w:eastAsia="Calibri" w:hAnsi="Times New Roman" w:cs="Times New Roman"/>
          <w:b/>
          <w:sz w:val="24"/>
          <w:szCs w:val="24"/>
        </w:rPr>
        <w:t>Diputada Araceli Casasola Salazar y Diputado Omar Ortega Álvarez</w:t>
      </w:r>
      <w:r w:rsidRPr="00AE0CAB">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AE0CAB">
        <w:rPr>
          <w:rFonts w:ascii="Times New Roman" w:eastAsia="Calibri" w:hAnsi="Times New Roman" w:cs="Times New Roman"/>
          <w:b/>
          <w:sz w:val="24"/>
          <w:szCs w:val="24"/>
        </w:rPr>
        <w:t xml:space="preserve">Iniciativa con Proyecto de Decreto reforman diversos artículos del Libro Sexto del Código de la Biodiversidad del Estado de México en materia de Protección y Bienestar Animal , </w:t>
      </w:r>
      <w:r w:rsidRPr="00AE0CAB">
        <w:rPr>
          <w:rFonts w:ascii="Times New Roman" w:eastAsia="Calibri" w:hAnsi="Times New Roman" w:cs="Times New Roman"/>
          <w:sz w:val="24"/>
          <w:szCs w:val="24"/>
        </w:rPr>
        <w:t>al tenor de la siguiente:</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rPr>
        <w:t>EXPOSICIÓN DE MOTIVOS</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El Estado de México enfrenta una demanda social versátil y urgente en materia de protección ambiental. Dentro de este contexto, la reforma al Libro Sexto del Código de la Biodiversidad se presenta no solo como una necesidad jurídica, sino como un imperativo ético.</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Asimismo, esta reforma tiene como objetivo fundamental armonizar la ley local de protección y bienestar animal con el marco jurídico federal, específicamente con la Ley General de Vida Silvestre y la Ley General del Equilibrio Ecológico y la Protección al Ambiente (LGEEPA). Esta alineación es crucial para garantizar la coherencia normativa y fortalecer las facultades institucionales en la preservación de los ecosistemas y el trato digno a los seres sintientes en la entidad.</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Desde 1971, organismos internacionales como la UNESCO y la ONU han reconocido derechos a los animales en su categoría de seres sensibles. Es momento de que la legislación mexiquense replique esta empatía y genere una cultura de valorización por todas las formas de vida.</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La omisión en el control de animales domésticos (tanto de hogar como en situación de calle) ha generado una crisis de convivencia. Según estimaciones de la Asociación Mexicana de Médicos Veterinarios Especialistas en Pequeñas Especies (AMMVEPE) existen aproximadamente 28 millones de animales domésticos en el país, de esta cifra, el 70% se encuentra en situación de calle, lo que representa un foco de vulnerabilidad extrema.</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Esta realidad se traduce en tragedias bilaterales, es decir riesgo para la población como el lamentable fallecimiento de una mujer en Tecámac (2019) tras el ataque de una jauría. O la crueldad animal como el caso de “Chincolo”, perro agredido con extrema violencia en nuestro estado.</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Estos hechos demuestran que el abandono, el maltrato y la irresponsabilidad de los dueños son el origen de un ciclo de violencia que afecta el tejido social.</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Derivado de este contexto, en el Grupo Parlamentario del Partido de la Revolución Democrática buscamos con la presente iniciativa transitar de un modelo preventivo a uno de acción directa, mediante el reconocimiento jurídico de la dignidad de los animales domésticos independientemente de su situación de hogar o calle.</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lastRenderedPageBreak/>
        <w:t>Los ejes rectores de esta propuesta se articulan, en primer lugar, a través de la responsabilidad civil y médica, estableciendo obligaciones claras para los propietarios respecto al cuidado integral y el respaldo médico de sus mascotas.</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segundo término, se busca garantizar la seguridad en la convivencia mediante la regulación del tránsito y la supervisión de mascotas en espacios públicos, especialmente en presencia de menores, para asegurar un entorno armónico.</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Asimismo, la reforma contempla la erradicación del maltrato estético a través de la prohibición explícita de mutilaciones con fines de apariencia, por considerarse prácticas dolorosas, innecesarias y traumáticas.</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Finalmente, se pretende fomentar la adopción y el rescate por encima de la comercialización, buscando resolver de fondo la situación de vulnerabilidad de la población animal actual.</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conclusión, si bien diversos estados como Coahuila, Ciudad de México y Querétaro cuentan ya con leyes de protección animal avanzadas, el Estado de México debe ir más allá. No basta con evitar el abandono; debemos implementar una planeación estratégica de rescate, educación y sensibilización.</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Como ciudadanos y legisladores, somos responsables del tránsito de estos seres dentro de nuestro entorno social. La adopción y la tenencia responsable son la clave para combatir el maltrato y la sobrepoblación.  Por lo anteriormente expuesto, someto a la consideración de esta Legislatura la aprobación de las presentes reformas al Código de la Biodiversidad.</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rPr>
        <w:t>A T E N T A M E N T E</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rPr>
        <w:t>GRUPO PARLAMENTARIO DEL PARTIDO DE LA REVOLUCIÓN DEMOCRÁTICA</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35"/>
      </w:tblGrid>
      <w:tr w:rsidR="00AE0CAB" w:rsidRPr="00AE0CAB" w:rsidTr="003D79D7">
        <w:trPr>
          <w:jc w:val="center"/>
        </w:trPr>
        <w:tc>
          <w:tcPr>
            <w:tcW w:w="4635" w:type="dxa"/>
          </w:tcPr>
          <w:p w:rsidR="003F7621" w:rsidRPr="00AE0CAB" w:rsidRDefault="003F7621" w:rsidP="003F7621">
            <w:pPr>
              <w:spacing w:line="240" w:lineRule="auto"/>
              <w:jc w:val="center"/>
              <w:rPr>
                <w:b/>
                <w:sz w:val="24"/>
                <w:szCs w:val="24"/>
              </w:rPr>
            </w:pPr>
            <w:r w:rsidRPr="00AE0CAB">
              <w:rPr>
                <w:b/>
                <w:sz w:val="24"/>
                <w:szCs w:val="24"/>
              </w:rPr>
              <w:t>DIP. ARACELI CASASOLA SALAZAR</w:t>
            </w:r>
          </w:p>
        </w:tc>
        <w:tc>
          <w:tcPr>
            <w:tcW w:w="4635" w:type="dxa"/>
          </w:tcPr>
          <w:p w:rsidR="003F7621" w:rsidRPr="00AE0CAB" w:rsidRDefault="003F7621" w:rsidP="003D79D7">
            <w:pPr>
              <w:spacing w:line="240" w:lineRule="auto"/>
              <w:jc w:val="center"/>
              <w:rPr>
                <w:sz w:val="24"/>
                <w:szCs w:val="24"/>
              </w:rPr>
            </w:pPr>
            <w:r w:rsidRPr="00AE0CAB">
              <w:rPr>
                <w:rFonts w:eastAsia="Calibri"/>
                <w:b/>
                <w:sz w:val="24"/>
                <w:szCs w:val="24"/>
              </w:rPr>
              <w:t>DIP. OMAR ORTEGA ÁLVAREZ</w:t>
            </w:r>
          </w:p>
        </w:tc>
      </w:tr>
    </w:tbl>
    <w:p w:rsidR="003F7621" w:rsidRPr="00AE0CAB" w:rsidRDefault="003F7621" w:rsidP="003F7621">
      <w:pPr>
        <w:spacing w:after="0" w:line="240" w:lineRule="auto"/>
        <w:rPr>
          <w:rFonts w:ascii="Times New Roman" w:eastAsia="Calibri" w:hAnsi="Times New Roman" w:cs="Times New Roman"/>
          <w:sz w:val="24"/>
          <w:szCs w:val="24"/>
        </w:rPr>
      </w:pP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DECRETO NÚMERO: </w:t>
      </w:r>
      <w:r w:rsidRPr="00AE0CAB">
        <w:rPr>
          <w:rFonts w:ascii="Times New Roman" w:eastAsia="Calibri" w:hAnsi="Times New Roman" w:cs="Times New Roman"/>
          <w:b/>
          <w:sz w:val="24"/>
          <w:szCs w:val="24"/>
          <w:u w:val="single" w:color="000000"/>
        </w:rPr>
        <w:t xml:space="preserve"> </w:t>
      </w:r>
      <w:r w:rsidRPr="00AE0CAB">
        <w:rPr>
          <w:rFonts w:ascii="Times New Roman" w:eastAsia="Calibri" w:hAnsi="Times New Roman" w:cs="Times New Roman"/>
          <w:b/>
          <w:sz w:val="24"/>
          <w:szCs w:val="24"/>
          <w:u w:val="single" w:color="000000"/>
        </w:rPr>
        <w:tab/>
      </w: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LA H. "LXII" LEGISLATURA DEL ESTADO DE MÉXICO DECRETA:</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b/>
          <w:sz w:val="24"/>
          <w:szCs w:val="24"/>
        </w:rPr>
      </w:pPr>
      <w:r w:rsidRPr="00AE0CAB">
        <w:rPr>
          <w:rFonts w:ascii="Times New Roman" w:eastAsia="Calibri" w:hAnsi="Times New Roman" w:cs="Times New Roman"/>
          <w:b/>
          <w:sz w:val="24"/>
          <w:szCs w:val="24"/>
        </w:rPr>
        <w:t>ARTÍCULO ÚNICO. - Se reforman las fracciones I del artículo 6.2; III del artículo 6.8; I y III y se adiciona la fracción V al artículo 6.9; se adiciona la fracción V recorriéndose las subsecuentes del artículo 6.16; se reforma la fracción II del artículo 6.18; se modifica el artículo 6.20 y se reforma la fracción III del artículo 6.23; se modifica la fracción XII, se agrega la fracción XIII recorriéndose las subsecuentes, se agrega la fracción XVII al artículo 6.24; y se reforman los artículos 6.28, 6.31, 6.40 y 6.68 del Código de Biodiversidad del Estado de México:</w:t>
      </w:r>
    </w:p>
    <w:p w:rsidR="003F7621" w:rsidRPr="00AE0CAB" w:rsidRDefault="003F7621" w:rsidP="003F7621">
      <w:pPr>
        <w:spacing w:after="0" w:line="240" w:lineRule="auto"/>
        <w:jc w:val="both"/>
        <w:rPr>
          <w:rFonts w:ascii="Times New Roman" w:eastAsia="Calibri" w:hAnsi="Times New Roman" w:cs="Times New Roman"/>
          <w:b/>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Artículo 6.2. …</w:t>
      </w:r>
    </w:p>
    <w:p w:rsidR="003F7621" w:rsidRPr="00AE0CAB" w:rsidRDefault="003F7621" w:rsidP="003F7621">
      <w:pPr>
        <w:spacing w:after="0" w:line="240" w:lineRule="auto"/>
        <w:jc w:val="both"/>
        <w:rPr>
          <w:rFonts w:ascii="Times New Roman" w:eastAsia="Calibri"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I. Animales: Las especies domésticas que dependen del ser humano para subsistir y que habitan con éste de forma regular que han sufrido cambios evolutivos en su comportamiento, se han adaptado para convivir con la especie humana y son utilizados para cumplir con diferentes  funciones  como  en  el deporte, el  adiestramiento para trabajos  y  actividades conjuntas con el ser humano, para espectáculos, guías, de terapia, de exhibición o de producción destinados para la </w:t>
      </w:r>
      <w:r w:rsidRPr="00AE0CAB">
        <w:rPr>
          <w:rFonts w:ascii="Times New Roman" w:eastAsia="Calibri" w:hAnsi="Times New Roman" w:cs="Times New Roman"/>
          <w:sz w:val="24"/>
          <w:szCs w:val="24"/>
        </w:rPr>
        <w:lastRenderedPageBreak/>
        <w:t xml:space="preserve">alimentación humana o animal entre otras actividades análogas; </w:t>
      </w:r>
      <w:r w:rsidRPr="00AE0CAB">
        <w:rPr>
          <w:rFonts w:ascii="Times New Roman" w:eastAsia="Calibri" w:hAnsi="Times New Roman" w:cs="Times New Roman"/>
          <w:b/>
          <w:sz w:val="24"/>
          <w:szCs w:val="24"/>
        </w:rPr>
        <w:t>así como los que se encuentran en situación de abandono y/o calle.</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Artículo 6.8.- </w:t>
      </w:r>
      <w:r w:rsidRPr="00AE0CAB">
        <w:rPr>
          <w:rFonts w:ascii="Times New Roman" w:eastAsia="Calibri" w:hAnsi="Times New Roman" w:cs="Times New Roman"/>
          <w:sz w:val="24"/>
          <w:szCs w:val="24"/>
        </w:rPr>
        <w:t>Corresponde a la Secretaría del Medio Ambiente y Desarrollo Sostenible del Estado de México, en el ámbito de su competencia el ejercicio de las siguientes facultades:</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III. </w:t>
      </w:r>
      <w:r w:rsidRPr="00AE0CAB">
        <w:rPr>
          <w:rFonts w:ascii="Times New Roman" w:eastAsia="Calibri" w:hAnsi="Times New Roman" w:cs="Times New Roman"/>
          <w:b/>
          <w:sz w:val="24"/>
          <w:szCs w:val="24"/>
        </w:rPr>
        <w:t xml:space="preserve">Fomentar la adopción responsable de animales, asegurar la asistencia constante a las entidades y asociaciones dedicadas a su protección, y establecer una </w:t>
      </w:r>
      <w:r w:rsidRPr="00AE0CAB">
        <w:rPr>
          <w:rFonts w:ascii="Times New Roman" w:eastAsia="Calibri" w:hAnsi="Times New Roman" w:cs="Times New Roman"/>
          <w:sz w:val="24"/>
          <w:szCs w:val="24"/>
        </w:rPr>
        <w:t xml:space="preserve">regulación </w:t>
      </w:r>
      <w:r w:rsidRPr="00AE0CAB">
        <w:rPr>
          <w:rFonts w:ascii="Times New Roman" w:eastAsia="Calibri" w:hAnsi="Times New Roman" w:cs="Times New Roman"/>
          <w:b/>
          <w:sz w:val="24"/>
          <w:szCs w:val="24"/>
        </w:rPr>
        <w:t xml:space="preserve">efectiva </w:t>
      </w:r>
      <w:r w:rsidRPr="00AE0CAB">
        <w:rPr>
          <w:rFonts w:ascii="Times New Roman" w:eastAsia="Calibri" w:hAnsi="Times New Roman" w:cs="Times New Roman"/>
          <w:sz w:val="24"/>
          <w:szCs w:val="24"/>
        </w:rPr>
        <w:t>para el manejo, control y remediación de la problemática asociada a los animales abandonados y callejeros.</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Artículo 6.9.- </w:t>
      </w:r>
      <w:r w:rsidRPr="00AE0CAB">
        <w:rPr>
          <w:rFonts w:ascii="Times New Roman" w:eastAsia="Calibri" w:hAnsi="Times New Roman" w:cs="Times New Roman"/>
          <w:sz w:val="24"/>
          <w:szCs w:val="24"/>
        </w:rPr>
        <w:t>…</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sz w:val="24"/>
          <w:szCs w:val="24"/>
        </w:rPr>
        <w:t>I.</w:t>
      </w:r>
      <w:r w:rsidRPr="00AE0CAB">
        <w:rPr>
          <w:rFonts w:ascii="Times New Roman" w:eastAsia="Calibri" w:hAnsi="Times New Roman" w:cs="Times New Roman"/>
          <w:sz w:val="24"/>
          <w:szCs w:val="24"/>
        </w:rPr>
        <w:tab/>
        <w:t xml:space="preserve">Establecer, regular </w:t>
      </w:r>
      <w:r w:rsidRPr="00AE0CAB">
        <w:rPr>
          <w:rFonts w:ascii="Times New Roman" w:eastAsia="Calibri" w:hAnsi="Times New Roman" w:cs="Times New Roman"/>
          <w:b/>
          <w:sz w:val="24"/>
          <w:szCs w:val="24"/>
        </w:rPr>
        <w:t xml:space="preserve">y vigilar </w:t>
      </w:r>
      <w:r w:rsidRPr="00AE0CAB">
        <w:rPr>
          <w:rFonts w:ascii="Times New Roman" w:eastAsia="Calibri" w:hAnsi="Times New Roman" w:cs="Times New Roman"/>
          <w:sz w:val="24"/>
          <w:szCs w:val="24"/>
        </w:rPr>
        <w:t>los centros de control animal de su competencia;</w:t>
      </w:r>
    </w:p>
    <w:p w:rsidR="003F7621" w:rsidRPr="00AE0CAB" w:rsidRDefault="003F7621" w:rsidP="003F7621">
      <w:pPr>
        <w:spacing w:after="0" w:line="240" w:lineRule="auto"/>
        <w:rPr>
          <w:rFonts w:ascii="Times New Roman" w:eastAsia="Calibri" w:hAnsi="Times New Roman" w:cs="Times New Roman"/>
          <w:sz w:val="24"/>
          <w:szCs w:val="24"/>
        </w:rPr>
      </w:pPr>
    </w:p>
    <w:p w:rsidR="003F7621" w:rsidRPr="00AE0CAB" w:rsidRDefault="003F7621" w:rsidP="003F7621">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sz w:val="24"/>
          <w:szCs w:val="24"/>
        </w:rPr>
        <w:t>II.</w:t>
      </w:r>
      <w:r w:rsidRPr="00AE0CAB">
        <w:rPr>
          <w:rFonts w:ascii="Times New Roman" w:eastAsia="Calibri" w:hAnsi="Times New Roman" w:cs="Times New Roman"/>
          <w:sz w:val="24"/>
          <w:szCs w:val="24"/>
        </w:rPr>
        <w:tab/>
        <w:t>…</w:t>
      </w:r>
    </w:p>
    <w:p w:rsidR="003F7621" w:rsidRPr="00AE0CAB" w:rsidRDefault="003F7621" w:rsidP="003F7621">
      <w:pPr>
        <w:spacing w:after="0" w:line="240" w:lineRule="auto"/>
        <w:rPr>
          <w:rFonts w:ascii="Times New Roman" w:eastAsia="Calibri"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III.</w:t>
      </w:r>
      <w:r w:rsidRPr="00AE0CAB">
        <w:rPr>
          <w:rFonts w:ascii="Times New Roman" w:eastAsia="Calibri" w:hAnsi="Times New Roman" w:cs="Times New Roman"/>
          <w:sz w:val="24"/>
          <w:szCs w:val="24"/>
        </w:rPr>
        <w:tab/>
        <w:t xml:space="preserve">Proceder a capturar animales abandonados y callejeros en la vía pública o en el campo respectivamente en los términos del presente Libro y canalizarlos a los centros de control animal o a las asociaciones protectoras de animales legalmente constituidas; </w:t>
      </w:r>
      <w:r w:rsidRPr="00AE0CAB">
        <w:rPr>
          <w:rFonts w:ascii="Times New Roman" w:eastAsia="Calibri" w:hAnsi="Times New Roman" w:cs="Times New Roman"/>
          <w:b/>
          <w:sz w:val="24"/>
          <w:szCs w:val="24"/>
        </w:rPr>
        <w:t>y fomentará su adopción.</w:t>
      </w:r>
    </w:p>
    <w:p w:rsidR="003F7621" w:rsidRPr="00AE0CAB" w:rsidRDefault="003F7621" w:rsidP="003F7621">
      <w:pPr>
        <w:spacing w:after="0" w:line="240" w:lineRule="auto"/>
        <w:rPr>
          <w:rFonts w:ascii="Times New Roman" w:eastAsia="Calibri" w:hAnsi="Times New Roman" w:cs="Times New Roman"/>
          <w:sz w:val="24"/>
          <w:szCs w:val="24"/>
        </w:rPr>
      </w:pPr>
    </w:p>
    <w:p w:rsidR="003F7621" w:rsidRPr="00AE0CAB" w:rsidRDefault="003F7621" w:rsidP="003F7621">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sz w:val="24"/>
          <w:szCs w:val="24"/>
        </w:rPr>
        <w:t>IV.</w:t>
      </w:r>
      <w:r w:rsidRPr="00AE0CAB">
        <w:rPr>
          <w:rFonts w:ascii="Times New Roman" w:eastAsia="Calibri" w:hAnsi="Times New Roman" w:cs="Times New Roman"/>
          <w:sz w:val="24"/>
          <w:szCs w:val="24"/>
        </w:rPr>
        <w:tab/>
        <w:t>…</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V.</w:t>
      </w:r>
      <w:r w:rsidRPr="00AE0CAB">
        <w:rPr>
          <w:rFonts w:ascii="Times New Roman" w:eastAsia="Calibri" w:hAnsi="Times New Roman" w:cs="Times New Roman"/>
          <w:b/>
          <w:sz w:val="24"/>
          <w:szCs w:val="24"/>
        </w:rPr>
        <w:tab/>
        <w:t>Colocar botes especiales en lugares estratégicos, como parques, para el depósito de heces de los animales domésticos que salgan de paseo con sus dueños.</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Artículo 6.16.- </w:t>
      </w:r>
      <w:r w:rsidRPr="00AE0CAB">
        <w:rPr>
          <w:rFonts w:ascii="Times New Roman" w:eastAsia="Calibri" w:hAnsi="Times New Roman" w:cs="Times New Roman"/>
          <w:sz w:val="24"/>
          <w:szCs w:val="24"/>
        </w:rPr>
        <w:t>…</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I a IV. …</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V. </w:t>
      </w:r>
      <w:r w:rsidRPr="00AE0CAB">
        <w:rPr>
          <w:rFonts w:ascii="Times New Roman" w:eastAsia="Calibri" w:hAnsi="Times New Roman" w:cs="Times New Roman"/>
          <w:b/>
          <w:sz w:val="24"/>
          <w:szCs w:val="24"/>
        </w:rPr>
        <w:t>Creación y desarrollo de programas que fomenten la adopción de animales en situación de calle o abandono, en cooperación con los Centros de Control Animal y Asociaciones de Protección y Rescate Animal.</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VI. …</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Artículo 6.18.- </w:t>
      </w:r>
      <w:r w:rsidRPr="00AE0CAB">
        <w:rPr>
          <w:rFonts w:ascii="Times New Roman" w:eastAsia="Calibri" w:hAnsi="Times New Roman" w:cs="Times New Roman"/>
          <w:sz w:val="24"/>
          <w:szCs w:val="24"/>
        </w:rPr>
        <w:t>…</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sz w:val="24"/>
          <w:szCs w:val="24"/>
        </w:rPr>
        <w:t>I.</w:t>
      </w:r>
      <w:r w:rsidRPr="00AE0CAB">
        <w:rPr>
          <w:rFonts w:ascii="Times New Roman" w:eastAsia="Calibri" w:hAnsi="Times New Roman" w:cs="Times New Roman"/>
          <w:sz w:val="24"/>
          <w:szCs w:val="24"/>
        </w:rPr>
        <w:tab/>
        <w:t>…</w:t>
      </w:r>
    </w:p>
    <w:p w:rsidR="003F7621" w:rsidRPr="00AE0CAB" w:rsidRDefault="003F7621" w:rsidP="003F7621">
      <w:pPr>
        <w:spacing w:after="0" w:line="240" w:lineRule="auto"/>
        <w:rPr>
          <w:rFonts w:ascii="Times New Roman" w:eastAsia="Calibri"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II.</w:t>
      </w:r>
      <w:r w:rsidRPr="00AE0CAB">
        <w:rPr>
          <w:rFonts w:ascii="Times New Roman" w:eastAsia="Calibri" w:hAnsi="Times New Roman" w:cs="Times New Roman"/>
          <w:sz w:val="24"/>
          <w:szCs w:val="24"/>
        </w:rPr>
        <w:tab/>
        <w:t xml:space="preserve">El control de animales abandonados y callejeros, </w:t>
      </w:r>
      <w:r w:rsidRPr="00AE0CAB">
        <w:rPr>
          <w:rFonts w:ascii="Times New Roman" w:eastAsia="Calibri" w:hAnsi="Times New Roman" w:cs="Times New Roman"/>
          <w:b/>
          <w:sz w:val="24"/>
          <w:szCs w:val="24"/>
        </w:rPr>
        <w:t>priorizando su supervivencia y promoviendo su adopción</w:t>
      </w:r>
      <w:r w:rsidRPr="00AE0CAB">
        <w:rPr>
          <w:rFonts w:ascii="Times New Roman" w:eastAsia="Calibri" w:hAnsi="Times New Roman" w:cs="Times New Roman"/>
          <w:sz w:val="24"/>
          <w:szCs w:val="24"/>
        </w:rPr>
        <w:t>, así como la incineración de animales muertos;</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Times New Roman" w:hAnsi="Times New Roman" w:cs="Times New Roman"/>
          <w:sz w:val="24"/>
          <w:szCs w:val="24"/>
        </w:rPr>
      </w:pPr>
      <w:r w:rsidRPr="00AE0CAB">
        <w:rPr>
          <w:rFonts w:ascii="Times New Roman" w:eastAsia="Calibri" w:hAnsi="Times New Roman" w:cs="Times New Roman"/>
          <w:b/>
          <w:sz w:val="24"/>
          <w:szCs w:val="24"/>
        </w:rPr>
        <w:t xml:space="preserve">Artículo 6.20.- </w:t>
      </w:r>
      <w:r w:rsidRPr="00AE0CAB">
        <w:rPr>
          <w:rFonts w:ascii="Times New Roman" w:eastAsia="Calibri" w:hAnsi="Times New Roman" w:cs="Times New Roman"/>
          <w:sz w:val="24"/>
          <w:szCs w:val="24"/>
        </w:rPr>
        <w:t xml:space="preserve">La Secretaría promoverá con las autoridades competentes que las instituciones de educación básica, media, superior y de investigación cuya jurisdicción sea para el Estado, así como </w:t>
      </w:r>
      <w:r w:rsidRPr="00AE0CAB">
        <w:rPr>
          <w:rFonts w:ascii="Times New Roman" w:eastAsia="Calibri" w:hAnsi="Times New Roman" w:cs="Times New Roman"/>
          <w:sz w:val="24"/>
          <w:szCs w:val="24"/>
        </w:rPr>
        <w:lastRenderedPageBreak/>
        <w:t>con las organizaciones no gubernamentales y asociaciones protectoras de animales, federaciones, asociaciones y colegios de médicos veterinarios zootecnistas legalmente constituidas y registradas en el padrón correspondiente el desarrollo de programas de</w:t>
      </w:r>
      <w:r w:rsidRPr="00AE0CAB">
        <w:rPr>
          <w:rFonts w:ascii="Times New Roman" w:eastAsia="Times New Roman" w:hAnsi="Times New Roman" w:cs="Times New Roman"/>
          <w:sz w:val="24"/>
          <w:szCs w:val="24"/>
        </w:rPr>
        <w:t xml:space="preserve"> </w:t>
      </w:r>
      <w:r w:rsidRPr="00AE0CAB">
        <w:rPr>
          <w:rFonts w:ascii="Times New Roman" w:eastAsia="Calibri" w:hAnsi="Times New Roman" w:cs="Times New Roman"/>
          <w:sz w:val="24"/>
          <w:szCs w:val="24"/>
        </w:rPr>
        <w:t xml:space="preserve">formación educativa en la cultura de protección, cuidado, </w:t>
      </w:r>
      <w:r w:rsidRPr="00AE0CAB">
        <w:rPr>
          <w:rFonts w:ascii="Times New Roman" w:eastAsia="Calibri" w:hAnsi="Times New Roman" w:cs="Times New Roman"/>
          <w:b/>
          <w:sz w:val="24"/>
          <w:szCs w:val="24"/>
        </w:rPr>
        <w:t>adopción</w:t>
      </w:r>
      <w:r w:rsidRPr="00AE0CAB">
        <w:rPr>
          <w:rFonts w:ascii="Times New Roman" w:eastAsia="Calibri" w:hAnsi="Times New Roman" w:cs="Times New Roman"/>
          <w:sz w:val="24"/>
          <w:szCs w:val="24"/>
        </w:rPr>
        <w:t>, y bienestar dirigidos a los animales.</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Artículo 6.23.- </w:t>
      </w:r>
      <w:r w:rsidRPr="00AE0CAB">
        <w:rPr>
          <w:rFonts w:ascii="Times New Roman" w:eastAsia="Calibri" w:hAnsi="Times New Roman" w:cs="Times New Roman"/>
          <w:sz w:val="24"/>
          <w:szCs w:val="24"/>
        </w:rPr>
        <w:t>…</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I. a II…</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III. Cualquier mutilación orgánica grave </w:t>
      </w:r>
      <w:r w:rsidRPr="00AE0CAB">
        <w:rPr>
          <w:rFonts w:ascii="Times New Roman" w:eastAsia="Calibri" w:hAnsi="Times New Roman" w:cs="Times New Roman"/>
          <w:b/>
          <w:sz w:val="24"/>
          <w:szCs w:val="24"/>
        </w:rPr>
        <w:t>o por cuestiones estéticas</w:t>
      </w:r>
      <w:r w:rsidRPr="00AE0CAB">
        <w:rPr>
          <w:rFonts w:ascii="Times New Roman" w:eastAsia="Calibri" w:hAnsi="Times New Roman" w:cs="Times New Roman"/>
          <w:sz w:val="24"/>
          <w:szCs w:val="24"/>
        </w:rPr>
        <w:t>, alteración de la integridad física o modificación negativa de sus instintos naturales que no se efectúe bajo causa justificada y cuidado de un médico veterinario zootecnista con cédula profesional.</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IV a XIII. …</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Artículo 6.24.- </w:t>
      </w:r>
      <w:r w:rsidRPr="00AE0CAB">
        <w:rPr>
          <w:rFonts w:ascii="Times New Roman" w:eastAsia="Calibri" w:hAnsi="Times New Roman" w:cs="Times New Roman"/>
          <w:sz w:val="24"/>
          <w:szCs w:val="24"/>
        </w:rPr>
        <w:t>Queda prohibido por cualquier motivo:</w:t>
      </w:r>
    </w:p>
    <w:p w:rsidR="003F7621" w:rsidRPr="00AE0CAB" w:rsidRDefault="003F7621" w:rsidP="003F7621">
      <w:pPr>
        <w:spacing w:after="0" w:line="240" w:lineRule="auto"/>
        <w:rPr>
          <w:rFonts w:ascii="Times New Roman" w:eastAsia="Calibri" w:hAnsi="Times New Roman" w:cs="Times New Roman"/>
          <w:sz w:val="24"/>
          <w:szCs w:val="24"/>
        </w:rPr>
      </w:pPr>
    </w:p>
    <w:p w:rsidR="003F7621" w:rsidRPr="00AE0CAB" w:rsidRDefault="003F7621" w:rsidP="003F7621">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sz w:val="24"/>
          <w:szCs w:val="24"/>
        </w:rPr>
        <w:t>I a XI. …</w:t>
      </w:r>
    </w:p>
    <w:p w:rsidR="003F7621" w:rsidRPr="00AE0CAB" w:rsidRDefault="003F7621" w:rsidP="003F7621">
      <w:pPr>
        <w:spacing w:after="0" w:line="240" w:lineRule="auto"/>
        <w:rPr>
          <w:rFonts w:ascii="Times New Roman" w:eastAsia="Calibri" w:hAnsi="Times New Roman" w:cs="Times New Roman"/>
          <w:sz w:val="24"/>
          <w:szCs w:val="24"/>
        </w:rPr>
      </w:pPr>
    </w:p>
    <w:p w:rsidR="003F7621" w:rsidRPr="00AE0CAB" w:rsidRDefault="003F7621" w:rsidP="003F7621">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sz w:val="24"/>
          <w:szCs w:val="24"/>
        </w:rPr>
        <w:t>XII. La comercialización de animales enfermos, con lesiones, traumatismos, fracturas o heridas.</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XIII. La comercialización de animales por parte de alguna persona física o jurídica sin estar registrada en la secretaria del Medio Ambiente.</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XIV a XVI. …</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XVII. El daño o aniquilamiento de cualquier animal doméstico con intención deliberada, ya sea de hogar, callejero o en situación de abandono.</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Artículo 6.28.- </w:t>
      </w:r>
      <w:r w:rsidRPr="00AE0CAB">
        <w:rPr>
          <w:rFonts w:ascii="Times New Roman" w:eastAsia="Calibri" w:hAnsi="Times New Roman" w:cs="Times New Roman"/>
          <w:sz w:val="24"/>
          <w:szCs w:val="24"/>
        </w:rPr>
        <w:t xml:space="preserve">Toda persona que sea propietaria, esté encargada o posea una mascota está obligada a procurarle alimentación, cuidados apropiados </w:t>
      </w:r>
      <w:r w:rsidRPr="00AE0CAB">
        <w:rPr>
          <w:rFonts w:ascii="Times New Roman" w:eastAsia="Calibri" w:hAnsi="Times New Roman" w:cs="Times New Roman"/>
          <w:b/>
          <w:sz w:val="24"/>
          <w:szCs w:val="24"/>
        </w:rPr>
        <w:t>y atención médica.</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Artículo 6.31.- </w:t>
      </w:r>
      <w:r w:rsidRPr="00AE0CAB">
        <w:rPr>
          <w:rFonts w:ascii="Times New Roman" w:eastAsia="Calibri" w:hAnsi="Times New Roman" w:cs="Times New Roman"/>
          <w:sz w:val="24"/>
          <w:szCs w:val="24"/>
        </w:rPr>
        <w:t xml:space="preserve">Previa venta de cualquier mascota ésta deberá estar desparasitada y vacunada si lo amerita de acuerdo a la especie y se expedirá un certificado de salud por un médico con cédula profesional haciendo constar que se encuentra libre de enfermedad aparente incluyendo calendario de desparasitación y vacunación correspondientes. </w:t>
      </w:r>
      <w:r w:rsidRPr="00AE0CAB">
        <w:rPr>
          <w:rFonts w:ascii="Times New Roman" w:eastAsia="Calibri" w:hAnsi="Times New Roman" w:cs="Times New Roman"/>
          <w:b/>
          <w:sz w:val="24"/>
          <w:szCs w:val="24"/>
        </w:rPr>
        <w:t>En caso de adopción, será responsabilidad del adoptante la vacunación y desparasitación.</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Artículo 6.40.- </w:t>
      </w:r>
      <w:r w:rsidRPr="00AE0CAB">
        <w:rPr>
          <w:rFonts w:ascii="Times New Roman" w:eastAsia="Calibri" w:hAnsi="Times New Roman" w:cs="Times New Roman"/>
          <w:sz w:val="24"/>
          <w:szCs w:val="24"/>
        </w:rPr>
        <w:t xml:space="preserve">Los parques de exposición de animales domésticos que operen en el Estado deberán mantener a los animales en instalaciones amplias de manera que se les permita la libertad de movimiento y la satisfacción de sus necesidades vitales y asegurar las condiciones de seguridad pública e higiene, </w:t>
      </w:r>
      <w:r w:rsidRPr="00AE0CAB">
        <w:rPr>
          <w:rFonts w:ascii="Times New Roman" w:eastAsia="Calibri" w:hAnsi="Times New Roman" w:cs="Times New Roman"/>
          <w:b/>
          <w:sz w:val="24"/>
          <w:szCs w:val="24"/>
        </w:rPr>
        <w:t>haciéndose responsables de los cuidados médicos y de su cuadro de vacunación correspondiente.</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Artículo 6.68.- </w:t>
      </w:r>
      <w:r w:rsidRPr="00AE0CAB">
        <w:rPr>
          <w:rFonts w:ascii="Times New Roman" w:eastAsia="Calibri" w:hAnsi="Times New Roman" w:cs="Times New Roman"/>
          <w:sz w:val="24"/>
          <w:szCs w:val="24"/>
        </w:rPr>
        <w:t xml:space="preserve">Queda prohibida la venta de animales en la vía pública. Las autoridades administrativas procederán a requisar los animales que se pretendan vender en la vía pública y aplicarán las sanciones correspondientes a quienes infrinjan esta disposición. Los animales </w:t>
      </w:r>
      <w:r w:rsidRPr="00AE0CAB">
        <w:rPr>
          <w:rFonts w:ascii="Times New Roman" w:eastAsia="Calibri" w:hAnsi="Times New Roman" w:cs="Times New Roman"/>
          <w:sz w:val="24"/>
          <w:szCs w:val="24"/>
        </w:rPr>
        <w:lastRenderedPageBreak/>
        <w:t xml:space="preserve">requisados se destinarán a los albergues de asistencia social. </w:t>
      </w:r>
      <w:r w:rsidRPr="00AE0CAB">
        <w:rPr>
          <w:rFonts w:ascii="Times New Roman" w:eastAsia="Calibri" w:hAnsi="Times New Roman" w:cs="Times New Roman"/>
          <w:b/>
          <w:sz w:val="24"/>
          <w:szCs w:val="24"/>
        </w:rPr>
        <w:t>Y queda prohibida la venta de crías de animales domésticos sin certificado médico del veterinario zootecnista con cédula</w:t>
      </w: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profesional</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rPr>
        <w:t>TRANSITORIOS</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PRIMERO. </w:t>
      </w:r>
      <w:r w:rsidRPr="00AE0CAB">
        <w:rPr>
          <w:rFonts w:ascii="Times New Roman" w:eastAsia="Calibri" w:hAnsi="Times New Roman" w:cs="Times New Roman"/>
          <w:sz w:val="24"/>
          <w:szCs w:val="24"/>
        </w:rPr>
        <w:t>Publíquese el presente decreto en el Periódico Oficial del Estado.</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SEGUNDO. </w:t>
      </w:r>
      <w:r w:rsidRPr="00AE0CAB">
        <w:rPr>
          <w:rFonts w:ascii="Times New Roman" w:eastAsia="Calibri" w:hAnsi="Times New Roman" w:cs="Times New Roman"/>
          <w:sz w:val="24"/>
          <w:szCs w:val="24"/>
        </w:rPr>
        <w:t>El presente decreto entrará en vigor al día siguiente de su publicación en el Periódico Oficial del Estado.</w:t>
      </w:r>
    </w:p>
    <w:p w:rsidR="003F7621" w:rsidRPr="00AE0CAB" w:rsidRDefault="003F7621" w:rsidP="003F7621">
      <w:pPr>
        <w:spacing w:after="0" w:line="240" w:lineRule="auto"/>
        <w:rPr>
          <w:rFonts w:ascii="Times New Roman" w:eastAsia="Times New Roman" w:hAnsi="Times New Roman" w:cs="Times New Roman"/>
          <w:sz w:val="24"/>
          <w:szCs w:val="24"/>
        </w:rPr>
      </w:pPr>
    </w:p>
    <w:p w:rsidR="003F7621" w:rsidRPr="00AE0CAB" w:rsidRDefault="003F7621" w:rsidP="003F7621">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TERCERO. </w:t>
      </w:r>
      <w:r w:rsidRPr="00AE0CAB">
        <w:rPr>
          <w:rFonts w:ascii="Times New Roman" w:eastAsia="Calibri" w:hAnsi="Times New Roman" w:cs="Times New Roman"/>
          <w:sz w:val="24"/>
          <w:szCs w:val="24"/>
        </w:rPr>
        <w:t>Se derogan las disposiciones de igual o menos jerarquía que se opongan a las establecidas en el presente decreto.</w:t>
      </w:r>
    </w:p>
    <w:p w:rsidR="003F7621" w:rsidRPr="00AE0CAB" w:rsidRDefault="003F7621" w:rsidP="007974C2">
      <w:pPr>
        <w:spacing w:after="0" w:line="240" w:lineRule="auto"/>
        <w:jc w:val="center"/>
        <w:rPr>
          <w:rFonts w:ascii="Times New Roman" w:hAnsi="Times New Roman"/>
          <w:sz w:val="24"/>
          <w:szCs w:val="24"/>
        </w:rPr>
      </w:pPr>
    </w:p>
    <w:p w:rsidR="003F7621" w:rsidRPr="00AE0CAB" w:rsidRDefault="003F7621" w:rsidP="007974C2">
      <w:pPr>
        <w:spacing w:after="0" w:line="240" w:lineRule="auto"/>
        <w:jc w:val="center"/>
        <w:rPr>
          <w:rFonts w:ascii="Times New Roman" w:hAnsi="Times New Roman"/>
          <w:i/>
          <w:sz w:val="24"/>
          <w:szCs w:val="24"/>
        </w:rPr>
      </w:pPr>
      <w:r w:rsidRPr="00AE0CAB">
        <w:rPr>
          <w:rFonts w:ascii="Times New Roman" w:hAnsi="Times New Roman"/>
          <w:i/>
          <w:sz w:val="24"/>
          <w:szCs w:val="24"/>
        </w:rPr>
        <w:t>(Fin del documento)</w:t>
      </w:r>
    </w:p>
    <w:p w:rsidR="003F7621" w:rsidRPr="00AE0CAB" w:rsidRDefault="003F7621" w:rsidP="007974C2">
      <w:pPr>
        <w:spacing w:after="0" w:line="240" w:lineRule="auto"/>
        <w:jc w:val="center"/>
        <w:rPr>
          <w:rFonts w:ascii="Times New Roman" w:hAnsi="Times New Roman"/>
          <w:sz w:val="24"/>
          <w:szCs w:val="24"/>
        </w:rPr>
      </w:pP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Gracias diputada Araceli Casasola Salazar.</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Se registra la iniciativa y se remite a las Comisiones Legislativas de Procuración y Administración de Justicia y de Protección Ambiental y Cambio Climático para su estudio y dictamen.</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De conformidad con el punto 16, la diputada Yareli Anai Esparza Acevedo presenta, en nombre del Grupo Parlamentario del Partido del Trabajo, la iniciativa con proyecto de decreto por el que se reforma el artículo 79 y se añade el artículo 79 bis de la Ley de Educación del Estado de México, a fin de garantizar la prestación de servicios de atención psicológica en todas las instituciones públicas de educación básica, así como su promoción y permanencia en las instituciones públicas de educación media y superior.</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DIP. YARELI ANAI ESPARZA ACEVEDO. Muchas gracias. Con su venia diputada Presidenta, saludo cordialmente a mis compañeras, compañere y compañeros legisladores de los diferentes grupos parlamentarios, a los medios de comunicación aquí presentes y a la ciudadanía que nos acompaña a través de las redes sociales.</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Todos los seres humanos, sin importar nuestro origen étnico, condición física, orientación sexual, ideología política o cualquier otra diferencia, nos unimos como sociedad en la búsqueda de una aspiración en común, la felicidad. La felicidad puede significar cosas distintas para cada persona, no es un derecho reconocido de manera expresa en los instrumentos jurídicos, pero sí es el horizonte que guía nuestro proyecto de nación; porque cuando construimos instituciones, cuando diseñamos políticas públicas, cuando legislamos, lo hacemos para crear condiciones de bienestar bajo el irrestricto principio de cuidado mutuo, base del contrato social.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Creamos sistemas de salud, impulsamos la cultura, fomentamos el deporte, fortalecemos la justicia y ampliamos el acceso a la educación con un solo propósito que las personas puedan desarrollarse plenamente; sin embargo, la realidad nos confronta, hoy enfrentamos una crisis silenciosa, algunos expertos denominan a la depresión como la enfermedad del siglo XXI, afectando aproximadamente 332 millones de personas a nivel mundial.</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Aunado a esto, también vivimos en una pandemia de ansiedad generalizada, de estrés, trastornos de la conducta alimentaria, entre otras patologías que laceran su calidad de vida, estas condiciones no distinguen género, condición social y en este punto de la historia tampoco distinguen edad. Estas patologías ya han alcanzado a nuestras niñas, niños y adolescentes, quienes apenas están comenzando con su desarrollo psicoemocional en el Estado de México, de acuerdo con el Instituto Mexiquense de Salud Mental y Adicciones CECOSAMA, tan solo en el primer </w:t>
      </w:r>
      <w:r w:rsidRPr="00AE0CAB">
        <w:rPr>
          <w:rFonts w:ascii="Times New Roman" w:hAnsi="Times New Roman" w:cs="Times New Roman"/>
          <w:sz w:val="24"/>
          <w:szCs w:val="24"/>
        </w:rPr>
        <w:lastRenderedPageBreak/>
        <w:t xml:space="preserve">trimestre de 2025 se registraron más de 600 solicitudes de atención psicológica por ansiedad, depresión e ideaciones suicidas en jóvenes de entre 12 y 17 años; además, nuestra Entidad entre 2020 y 2023 ocupó el primer lugar nacional en suicidios de personas de entre 15 y 19 años.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La salud mental es un componente esencial del desarrollo integral, sin salud mental, no hay aprendizaje significativo, sin bienestar emocional, la mente no puede concentrarse en adquirir conocimientos, porque está enfocada en lidiar con su dolor, por eso debemos mirar hacia uno de los espacios más importantes de formación y convivencia de las niñas, niños y adolescentes: “las escuelas”.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La escuela no puede limitarse a transmitir contenidos académicos, debe ser un espacio seguro, un lugar de acompañamiento, inclusión y pertenencia, un espacio donde el Estado garantice no solo el derecho a la educación, sino el derecho al desarrollo integral.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El desarrollo integral no solo es una pugna por el bienestar individual, también atañe al interés colectivo, concretamente en la prevención del delito y tangencialmente en la prevención de adicciones. Este principio de cuidado emocional desde el sistema educativo no solamente es de naturaleza paliativa, también atañe a un interés social preventivo. La resolución A45/112/1990 de la Organización de las Naciones Unidas (ONU) estableció una serie de directrices para los Estados parte con el propósito de prevenir y erradicar las conductas antisociales cometidas por menores. </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El apartado G de la directriz 21, dice a la letra: “Los sistemas de educación, además de sus posibilidades de formación académica y profesional, deberán dedicar especial atención a proporcionar apoyo emocional positivo a los jóvenes y evitar el maltrato psicológico, no es solo una recomendación, es una obligación ética tanto para el alumnado como la sociedad en sí misma”.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En el Estado de México, la Ley de Educación en su artículo 79, ya reconoce la prestación de servicios de atención emocional y psicológica; pero hoy, el reto es garantizar su obligatoriedad, permanencia y profesionalización en todos los planteles de educación, empezando por todos los planteles de educación básica de nuestra Entidad.</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Por ello, desde el Grupo Parlamentario del Partido del Trabajo proponemos fortalecer los mecanismos institucionales para que todas las escuelas de nivel básico implementen estrategias permanentes de prevención, diagnóstico e intervención psicológica y que en los niveles medio superior y superior se promuevan de manera continua el acceso profesional a la atención emocional. La atención temprana salva vidas, previene conductas autodestructivas, fortalece la cohesión social y, sobre todo, evita el ciclo de violencia, el ciclo de violencia que muchas veces se repite. </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Legislar en favor de la salud mental no es un lujo, es una urgencia para nuestra Entidad; educar no es solamente transmitir información, también es formar personas capaces de levantarse frente a la adversidad para construir una sociedad con dignidad y empatía.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Es cuanto Presidenta, muchas gracias.</w:t>
      </w:r>
    </w:p>
    <w:p w:rsidR="008D3DBA" w:rsidRPr="00AE0CAB" w:rsidRDefault="008D3DBA" w:rsidP="007974C2">
      <w:pPr>
        <w:pStyle w:val="Sinespaciado"/>
        <w:jc w:val="both"/>
        <w:rPr>
          <w:rFonts w:ascii="Times New Roman" w:hAnsi="Times New Roman" w:cs="Times New Roman"/>
          <w:sz w:val="24"/>
          <w:szCs w:val="24"/>
        </w:rPr>
      </w:pPr>
    </w:p>
    <w:p w:rsidR="008D3DBA" w:rsidRPr="00AE0CAB" w:rsidRDefault="008D3DBA" w:rsidP="007974C2">
      <w:pPr>
        <w:spacing w:after="0" w:line="240" w:lineRule="auto"/>
        <w:jc w:val="center"/>
        <w:rPr>
          <w:rFonts w:ascii="Times New Roman" w:hAnsi="Times New Roman"/>
          <w:i/>
          <w:sz w:val="24"/>
          <w:szCs w:val="24"/>
        </w:rPr>
      </w:pPr>
      <w:r w:rsidRPr="00AE0CAB">
        <w:rPr>
          <w:rFonts w:ascii="Times New Roman" w:hAnsi="Times New Roman"/>
          <w:i/>
          <w:sz w:val="24"/>
          <w:szCs w:val="24"/>
        </w:rPr>
        <w:t>(Se inserta documento)</w:t>
      </w:r>
    </w:p>
    <w:p w:rsidR="008D3DBA" w:rsidRPr="00AE0CAB" w:rsidRDefault="008D3DBA" w:rsidP="007974C2">
      <w:pPr>
        <w:spacing w:after="0" w:line="240" w:lineRule="auto"/>
        <w:jc w:val="center"/>
        <w:rPr>
          <w:rFonts w:ascii="Times New Roman" w:hAnsi="Times New Roman"/>
          <w:sz w:val="24"/>
          <w:szCs w:val="24"/>
        </w:rPr>
      </w:pPr>
    </w:p>
    <w:p w:rsidR="00303B31" w:rsidRPr="00AE0CAB" w:rsidRDefault="00303B31" w:rsidP="00303B31">
      <w:pPr>
        <w:spacing w:after="0" w:line="240" w:lineRule="auto"/>
        <w:ind w:left="-18" w:right="-18"/>
        <w:jc w:val="center"/>
        <w:rPr>
          <w:rFonts w:ascii="Times New Roman" w:eastAsia="Tahoma" w:hAnsi="Times New Roman" w:cs="Times New Roman"/>
          <w:sz w:val="24"/>
          <w:szCs w:val="24"/>
        </w:rPr>
      </w:pPr>
      <w:r w:rsidRPr="00AE0CAB">
        <w:rPr>
          <w:rFonts w:ascii="Times New Roman" w:eastAsia="Tahoma" w:hAnsi="Times New Roman" w:cs="Times New Roman"/>
          <w:b/>
          <w:sz w:val="24"/>
          <w:szCs w:val="24"/>
        </w:rPr>
        <w:t>DIP. YARELI ANAI ESPARZA ACEVEDO</w:t>
      </w:r>
    </w:p>
    <w:p w:rsidR="00303B31" w:rsidRPr="00AE0CAB" w:rsidRDefault="00303B31" w:rsidP="00303B31">
      <w:pPr>
        <w:spacing w:after="0" w:line="240" w:lineRule="auto"/>
        <w:ind w:left="-18" w:right="-18"/>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Presidenta de la Comisión Legislativa de Apoyo y Atención a las Personas Migrantes</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center"/>
        <w:rPr>
          <w:rFonts w:ascii="Times New Roman" w:eastAsia="Tahoma" w:hAnsi="Times New Roman" w:cs="Times New Roman"/>
          <w:sz w:val="24"/>
          <w:szCs w:val="24"/>
        </w:rPr>
      </w:pPr>
      <w:r w:rsidRPr="00AE0CAB">
        <w:rPr>
          <w:rFonts w:ascii="Times New Roman" w:eastAsia="Tahoma" w:hAnsi="Times New Roman" w:cs="Times New Roman"/>
          <w:b/>
          <w:sz w:val="24"/>
          <w:szCs w:val="24"/>
        </w:rPr>
        <w:t>“2026. Año del Humanismo Mexicano en el Estado de México”.</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right"/>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Toluca de Lerdo, México, </w:t>
      </w:r>
      <w:r w:rsidRPr="00AE0CAB">
        <w:rPr>
          <w:rFonts w:ascii="Times New Roman" w:eastAsia="Arial" w:hAnsi="Times New Roman" w:cs="Times New Roman"/>
          <w:b/>
          <w:sz w:val="24"/>
          <w:szCs w:val="24"/>
          <w:u w:val="thick" w:color="000000"/>
        </w:rPr>
        <w:t xml:space="preserve">          </w:t>
      </w:r>
      <w:r w:rsidRPr="00AE0CAB">
        <w:rPr>
          <w:rFonts w:ascii="Times New Roman" w:eastAsia="Arial" w:hAnsi="Times New Roman" w:cs="Times New Roman"/>
          <w:b/>
          <w:sz w:val="24"/>
          <w:szCs w:val="24"/>
        </w:rPr>
        <w:t xml:space="preserve"> de febrero del 2026.</w:t>
      </w:r>
    </w:p>
    <w:p w:rsidR="00303B31" w:rsidRPr="00AE0CAB" w:rsidRDefault="00303B31" w:rsidP="00303B31">
      <w:pPr>
        <w:spacing w:after="0" w:line="240" w:lineRule="auto"/>
        <w:ind w:left="-18" w:right="-18"/>
        <w:rPr>
          <w:rFonts w:ascii="Times New Roman" w:eastAsia="Arial" w:hAnsi="Times New Roman" w:cs="Times New Roman"/>
          <w:b/>
          <w:sz w:val="24"/>
          <w:szCs w:val="24"/>
        </w:rPr>
      </w:pPr>
    </w:p>
    <w:p w:rsidR="00303B31" w:rsidRPr="00AE0CAB" w:rsidRDefault="00303B31" w:rsidP="00303B31">
      <w:pPr>
        <w:spacing w:after="0" w:line="240" w:lineRule="auto"/>
        <w:ind w:left="-18" w:right="-18"/>
        <w:rPr>
          <w:rFonts w:ascii="Times New Roman" w:eastAsia="Arial" w:hAnsi="Times New Roman" w:cs="Times New Roman"/>
          <w:sz w:val="24"/>
          <w:szCs w:val="24"/>
        </w:rPr>
      </w:pPr>
      <w:r w:rsidRPr="00AE0CAB">
        <w:rPr>
          <w:rFonts w:ascii="Times New Roman" w:eastAsia="Arial" w:hAnsi="Times New Roman" w:cs="Times New Roman"/>
          <w:b/>
          <w:sz w:val="24"/>
          <w:szCs w:val="24"/>
        </w:rPr>
        <w:t>DIPUTADA</w:t>
      </w:r>
    </w:p>
    <w:p w:rsidR="00303B31" w:rsidRPr="00AE0CAB" w:rsidRDefault="00303B31" w:rsidP="00303B31">
      <w:pPr>
        <w:spacing w:after="0" w:line="240" w:lineRule="auto"/>
        <w:ind w:left="-18" w:right="-18"/>
        <w:rPr>
          <w:rFonts w:ascii="Times New Roman" w:eastAsia="Arial" w:hAnsi="Times New Roman" w:cs="Times New Roman"/>
          <w:b/>
          <w:sz w:val="24"/>
          <w:szCs w:val="24"/>
        </w:rPr>
      </w:pPr>
      <w:r w:rsidRPr="00AE0CAB">
        <w:rPr>
          <w:rFonts w:ascii="Times New Roman" w:eastAsia="Arial" w:hAnsi="Times New Roman" w:cs="Times New Roman"/>
          <w:b/>
          <w:sz w:val="24"/>
          <w:szCs w:val="24"/>
        </w:rPr>
        <w:t>MARTHA AZUCENA CAMACHO REYNOSO</w:t>
      </w:r>
    </w:p>
    <w:p w:rsidR="00303B31" w:rsidRPr="00AE0CAB" w:rsidRDefault="00303B31" w:rsidP="00303B31">
      <w:pPr>
        <w:spacing w:after="0" w:line="240" w:lineRule="auto"/>
        <w:ind w:left="-18" w:right="-18"/>
        <w:rPr>
          <w:rFonts w:ascii="Times New Roman" w:eastAsia="Arial" w:hAnsi="Times New Roman" w:cs="Times New Roman"/>
          <w:sz w:val="24"/>
          <w:szCs w:val="24"/>
        </w:rPr>
      </w:pPr>
      <w:r w:rsidRPr="00AE0CAB">
        <w:rPr>
          <w:rFonts w:ascii="Times New Roman" w:eastAsia="Arial" w:hAnsi="Times New Roman" w:cs="Times New Roman"/>
          <w:b/>
          <w:sz w:val="24"/>
          <w:szCs w:val="24"/>
        </w:rPr>
        <w:t>PRESIDENTA DE LA MESA DIRECTIVA DE LA</w:t>
      </w:r>
    </w:p>
    <w:p w:rsidR="00303B31" w:rsidRPr="00AE0CAB" w:rsidRDefault="00303B31" w:rsidP="00303B31">
      <w:pPr>
        <w:spacing w:after="0" w:line="240" w:lineRule="auto"/>
        <w:ind w:left="-18" w:right="-18"/>
        <w:rPr>
          <w:rFonts w:ascii="Times New Roman" w:eastAsia="Arial" w:hAnsi="Times New Roman" w:cs="Times New Roman"/>
          <w:b/>
          <w:sz w:val="24"/>
          <w:szCs w:val="24"/>
        </w:rPr>
      </w:pPr>
      <w:r w:rsidRPr="00AE0CAB">
        <w:rPr>
          <w:rFonts w:ascii="Times New Roman" w:eastAsia="Arial" w:hAnsi="Times New Roman" w:cs="Times New Roman"/>
          <w:b/>
          <w:sz w:val="24"/>
          <w:szCs w:val="24"/>
        </w:rPr>
        <w:lastRenderedPageBreak/>
        <w:t>H. LXII LEGISLATURA DEL ESTADO LIBRE</w:t>
      </w:r>
    </w:p>
    <w:p w:rsidR="00303B31" w:rsidRPr="00AE0CAB" w:rsidRDefault="00303B31" w:rsidP="00303B31">
      <w:pPr>
        <w:spacing w:after="0" w:line="240" w:lineRule="auto"/>
        <w:ind w:left="-18" w:right="-18"/>
        <w:rPr>
          <w:rFonts w:ascii="Times New Roman" w:eastAsia="Arial" w:hAnsi="Times New Roman" w:cs="Times New Roman"/>
          <w:b/>
          <w:sz w:val="24"/>
          <w:szCs w:val="24"/>
        </w:rPr>
      </w:pPr>
      <w:r w:rsidRPr="00AE0CAB">
        <w:rPr>
          <w:rFonts w:ascii="Times New Roman" w:eastAsia="Arial" w:hAnsi="Times New Roman" w:cs="Times New Roman"/>
          <w:b/>
          <w:sz w:val="24"/>
          <w:szCs w:val="24"/>
        </w:rPr>
        <w:t>Y SOBERANO DE MÉXICO</w:t>
      </w:r>
    </w:p>
    <w:p w:rsidR="00303B31" w:rsidRPr="00AE0CAB" w:rsidRDefault="00303B31" w:rsidP="00303B31">
      <w:pPr>
        <w:spacing w:after="0" w:line="240" w:lineRule="auto"/>
        <w:ind w:left="-18" w:right="-18"/>
        <w:rPr>
          <w:rFonts w:ascii="Times New Roman" w:eastAsia="Arial" w:hAnsi="Times New Roman" w:cs="Times New Roman"/>
          <w:b/>
          <w:sz w:val="24"/>
          <w:szCs w:val="24"/>
        </w:rPr>
      </w:pPr>
    </w:p>
    <w:p w:rsidR="00303B31" w:rsidRPr="00AE0CAB" w:rsidRDefault="00303B31" w:rsidP="00303B31">
      <w:pPr>
        <w:spacing w:after="0" w:line="240" w:lineRule="auto"/>
        <w:ind w:left="-18" w:right="-18"/>
        <w:rPr>
          <w:rFonts w:ascii="Times New Roman" w:eastAsia="Arial" w:hAnsi="Times New Roman" w:cs="Times New Roman"/>
          <w:b/>
          <w:sz w:val="24"/>
          <w:szCs w:val="24"/>
        </w:rPr>
      </w:pPr>
      <w:r w:rsidRPr="00AE0CAB">
        <w:rPr>
          <w:rFonts w:ascii="Times New Roman" w:eastAsia="Arial" w:hAnsi="Times New Roman" w:cs="Times New Roman"/>
          <w:b/>
          <w:sz w:val="24"/>
          <w:szCs w:val="24"/>
        </w:rPr>
        <w:t>P R E S E N T E .</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DIPUTADA YARELI ANAI ESPARZA ACEVEDO</w:t>
      </w:r>
      <w:r w:rsidRPr="00AE0CAB">
        <w:rPr>
          <w:rFonts w:ascii="Times New Roman" w:eastAsia="Arial" w:hAnsi="Times New Roman" w:cs="Times New Roman"/>
          <w:sz w:val="24"/>
          <w:szCs w:val="24"/>
        </w:rPr>
        <w:t xml:space="preserve">, integrante del Grupo Parlamentario del Partido del Trabajo de la H. “LXII” Legislatura del Estado Libre y Soberano de México, con fundamento en los artículos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la consideración de esta H. Asamblea, la presente </w:t>
      </w:r>
      <w:r w:rsidRPr="00AE0CAB">
        <w:rPr>
          <w:rFonts w:ascii="Times New Roman" w:eastAsia="Arial" w:hAnsi="Times New Roman" w:cs="Times New Roman"/>
          <w:b/>
          <w:sz w:val="24"/>
          <w:szCs w:val="24"/>
        </w:rPr>
        <w:t xml:space="preserve">Iniciativa con Proyecto de Decreto por la que se reforma el artículo 79 y añade el artículo 79 bis de la Ley de Educación del Estado de México, a fin de garantizar la prestación de servicios de atención psicológica en todas las instituciones públicas de educación básica, así como de su promoción y permanencia en las instituciones públicas de educación media superior y superior </w:t>
      </w:r>
      <w:r w:rsidRPr="00AE0CAB">
        <w:rPr>
          <w:rFonts w:ascii="Times New Roman" w:eastAsia="Arial" w:hAnsi="Times New Roman" w:cs="Times New Roman"/>
          <w:sz w:val="24"/>
          <w:szCs w:val="24"/>
        </w:rPr>
        <w:t>con sustento en lo siguiente:</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EXPOSICIÓN DE MOTIVOS</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Todos los seres humanos, sin importar nuestro origen étnico, condición física, orientación sexual, ideología política u otra diversa soñamos con un común objetivo: la felicidad. El concepto de lo que esta palabra significa varía en función de lo que cada persona, desde su autonomía desee adjudicarle, por ello no se le reconoce como un derecho humano por sí mismo, sin embargo, nos unimos en conjunto a través de un contrato social o proyecto de Nación para crear los mecanismos e instituciones que generen las condiciones necesarias para alcanzar esta aspiración. Ideamos sistemas de salud, formas de entretenimiento, fomentamos la cultura o el deporte, definimos ramas del conocimiento o establecemos mecanismos de impartición de justicia con el propósito de alcanzar el bienestar.</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Desafortunadamente las condiciones personales e interpersonales no siempre resultan fructíferas para alcanzar ese bienestar. Algunos expertos denominan a la depresión como la enfermedad del Siglo XXI, afectando a aproximadamente 332 millones de personas</w:t>
      </w:r>
      <w:r w:rsidRPr="00AE0CAB">
        <w:rPr>
          <w:rFonts w:ascii="Times New Roman" w:eastAsia="Arial" w:hAnsi="Times New Roman" w:cs="Times New Roman"/>
          <w:sz w:val="24"/>
          <w:szCs w:val="24"/>
          <w:vertAlign w:val="superscript"/>
        </w:rPr>
        <w:t>1</w:t>
      </w:r>
      <w:r w:rsidRPr="00AE0CAB">
        <w:rPr>
          <w:rFonts w:ascii="Times New Roman" w:eastAsia="Arial" w:hAnsi="Times New Roman" w:cs="Times New Roman"/>
          <w:sz w:val="24"/>
          <w:szCs w:val="24"/>
        </w:rPr>
        <w:t xml:space="preserve"> a nivel mundial. Aunado a esto también vivimos en una pandemia de ansiedad generalizada, de estrés e inclusive de trastornos de la conducta alimentaria. Estas patologías no distinguen edades, y sus efectos son especialmente preocupantes en niñas, niños y adolescentes que apenas están comenzando con su desarrollo psicoemocional. La salud mental es un elemento esencial del desarrollo integral de niñas, niños, adolescentes y jóvenes adultos, producto de las condiciones interpersonales de cada individuo, y cuyos efectos determinan su desarrollo y conducción en sociedad.</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Una de las principales tareas y retos de la Cuarta Transformación es implementar los mecanismos institucionales y redes de apoyo para que los habitantes del Pueblo Mexicano puedan estar en la línea de bienestar, y si bien una red de apoyo familiar y/o afectiva son prioritarias para la salud mental, también es necesario voltear a ver a las redes institucionales que pueden aportar en el bienestar emocional de las niñas, niños, adolescentes e inclusive jóvenes adultos: las escuelas.</w:t>
      </w: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p>
    <w:p w:rsidR="00303B31" w:rsidRPr="00AE0CAB" w:rsidRDefault="00303B31" w:rsidP="00303B31">
      <w:pPr>
        <w:spacing w:after="0" w:line="240" w:lineRule="auto"/>
        <w:ind w:left="-18" w:right="-18"/>
        <w:jc w:val="both"/>
        <w:rPr>
          <w:rFonts w:ascii="Times New Roman" w:eastAsia="Calibri" w:hAnsi="Times New Roman" w:cs="Times New Roman"/>
          <w:sz w:val="20"/>
          <w:szCs w:val="24"/>
          <w:u w:val="single" w:color="0462C1"/>
        </w:rPr>
      </w:pPr>
      <w:r w:rsidRPr="00AE0CAB">
        <w:rPr>
          <w:rFonts w:ascii="Times New Roman" w:eastAsia="Calibri" w:hAnsi="Times New Roman" w:cs="Times New Roman"/>
          <w:sz w:val="20"/>
          <w:szCs w:val="24"/>
          <w:vertAlign w:val="superscript"/>
        </w:rPr>
        <w:t>1</w:t>
      </w:r>
      <w:r w:rsidRPr="00AE0CAB">
        <w:rPr>
          <w:rFonts w:ascii="Times New Roman" w:eastAsia="Calibri" w:hAnsi="Times New Roman" w:cs="Times New Roman"/>
          <w:sz w:val="20"/>
          <w:szCs w:val="24"/>
        </w:rPr>
        <w:t xml:space="preserve"> Trastorno depresivo (depresión): Datos y Cifras. 29 de agosto del 2025. Organización Mundial de la Salud. Disponible en  </w:t>
      </w:r>
      <w:hyperlink r:id="rId110" w:anchor=":~:text=aproximadamente%20332%20millones%20de%20personas%20sufren%20depresi%C3%B3n">
        <w:r w:rsidRPr="00AE0CAB">
          <w:rPr>
            <w:rFonts w:ascii="Times New Roman" w:eastAsia="Calibri" w:hAnsi="Times New Roman" w:cs="Times New Roman"/>
            <w:sz w:val="20"/>
            <w:szCs w:val="24"/>
            <w:u w:val="single" w:color="0462C1"/>
          </w:rPr>
          <w:t>https://www.who.int/es/news-room/</w:t>
        </w:r>
      </w:hyperlink>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E255F">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lastRenderedPageBreak/>
        <w:t>Este principio de cuidado emocional desde el sistema educativo no solamente es de naturaleza paliativa, también atañe a un interés social preventivo. La resolución A45/112 de 1990 de la Organización de las Naciones Unidas (ONU) estableció una serie de directrices para los Estados Parte, con el propósito de prevenir y erradicar las conductas antisociales cometidas por menores. El apartado G de la directriz 21 dice a la letra:</w:t>
      </w:r>
    </w:p>
    <w:p w:rsidR="00303B31" w:rsidRPr="00AE0CAB" w:rsidRDefault="00303B31" w:rsidP="003E255F">
      <w:pPr>
        <w:spacing w:after="0" w:line="240" w:lineRule="auto"/>
        <w:ind w:left="-18" w:right="-18"/>
        <w:jc w:val="both"/>
        <w:rPr>
          <w:rFonts w:ascii="Times New Roman" w:eastAsia="Times New Roman" w:hAnsi="Times New Roman" w:cs="Times New Roman"/>
          <w:sz w:val="24"/>
          <w:szCs w:val="24"/>
        </w:rPr>
      </w:pPr>
    </w:p>
    <w:p w:rsidR="00303B31" w:rsidRPr="00AE0CAB" w:rsidRDefault="00303B31" w:rsidP="003E255F">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21. Los sistemas de educación, además de sus posibilidades de formación académica y profesional, deberán dedicar especial atención a:</w:t>
      </w:r>
    </w:p>
    <w:p w:rsidR="00303B31" w:rsidRPr="00AE0CAB" w:rsidRDefault="00303B31" w:rsidP="003E255F">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w:t>
      </w:r>
    </w:p>
    <w:p w:rsidR="00303B31" w:rsidRPr="00AE0CAB" w:rsidRDefault="00303B31" w:rsidP="003E255F">
      <w:pPr>
        <w:spacing w:after="0" w:line="240" w:lineRule="auto"/>
        <w:ind w:left="-18" w:right="-18"/>
        <w:jc w:val="both"/>
        <w:rPr>
          <w:rFonts w:ascii="Times New Roman" w:eastAsia="Times New Roman" w:hAnsi="Times New Roman" w:cs="Times New Roman"/>
          <w:sz w:val="24"/>
          <w:szCs w:val="24"/>
        </w:rPr>
      </w:pPr>
    </w:p>
    <w:p w:rsidR="00303B31" w:rsidRPr="00AE0CAB" w:rsidRDefault="00303B31" w:rsidP="003E255F">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g. Proporcionar apoyo emocional positivo a los jóvenes y evitar el maltrato psicológico.</w:t>
      </w:r>
      <w:r w:rsidRPr="00AE0CAB">
        <w:rPr>
          <w:rFonts w:ascii="Times New Roman" w:eastAsia="Arial" w:hAnsi="Times New Roman" w:cs="Times New Roman"/>
          <w:sz w:val="24"/>
          <w:szCs w:val="24"/>
          <w:vertAlign w:val="superscript"/>
        </w:rPr>
        <w:t>2</w:t>
      </w:r>
    </w:p>
    <w:p w:rsidR="00303B31" w:rsidRPr="00AE0CAB" w:rsidRDefault="00303B31" w:rsidP="003E255F">
      <w:pPr>
        <w:spacing w:after="0" w:line="240" w:lineRule="auto"/>
        <w:ind w:left="-18" w:right="-18"/>
        <w:jc w:val="both"/>
        <w:rPr>
          <w:rFonts w:ascii="Times New Roman" w:eastAsia="Times New Roman" w:hAnsi="Times New Roman" w:cs="Times New Roman"/>
          <w:sz w:val="24"/>
          <w:szCs w:val="24"/>
        </w:rPr>
      </w:pPr>
    </w:p>
    <w:p w:rsidR="00303B31" w:rsidRPr="00AE0CAB" w:rsidRDefault="00303B31" w:rsidP="003E255F">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aplicación de esta directriz es de suma importancia, ya que las instituciones del Estado deben ser espacios seguros donde contrarrestar entornos de violencia. Cuando la familia, las conexiones sociales y la comunidad fracasan en su deber de cuidado para con las niñas, niños y adolescentes, es deber del Estado intervenir para garantizar su pleno desarrollo.</w:t>
      </w:r>
    </w:p>
    <w:p w:rsidR="00303B31" w:rsidRPr="00AE0CAB" w:rsidRDefault="00303B31" w:rsidP="003E255F">
      <w:pPr>
        <w:spacing w:after="0" w:line="240" w:lineRule="auto"/>
        <w:ind w:left="-18" w:right="-18"/>
        <w:jc w:val="both"/>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En los últimos años estos padecimientos han alcanzado al sector joven e inclusive infantil de la población mexiquense. De acuerdo con datos proporcionados por el Instituto Mexiquense de Salud Mental y Adicciones, tan sólo durante el primer trimestre del 2025 se recibieron 608 solicitudes de atención psicológica o emocional por ansiedad, depresión e idealizaciones suicidas donde la edad del solicitante oscilaba entre los 12 y los 17 años de edad</w:t>
      </w:r>
      <w:r w:rsidRPr="00AE0CAB">
        <w:rPr>
          <w:rFonts w:ascii="Times New Roman" w:eastAsia="Arial" w:hAnsi="Times New Roman" w:cs="Times New Roman"/>
          <w:sz w:val="24"/>
          <w:szCs w:val="24"/>
          <w:vertAlign w:val="superscript"/>
        </w:rPr>
        <w:t>3</w:t>
      </w:r>
      <w:r w:rsidRPr="00AE0CAB">
        <w:rPr>
          <w:rFonts w:ascii="Times New Roman" w:eastAsia="Arial" w:hAnsi="Times New Roman" w:cs="Times New Roman"/>
          <w:sz w:val="24"/>
          <w:szCs w:val="24"/>
        </w:rPr>
        <w:t>. Esta situación se torna aún más preocupante ya que, de acuerdo con el INEGI el Estado de México, desde el 2020 al 2023 ocupó el primer lugar nacional en suicidios de personas de entre los 15 a los 19 años.</w:t>
      </w:r>
      <w:r w:rsidRPr="00AE0CAB">
        <w:rPr>
          <w:rFonts w:ascii="Times New Roman" w:eastAsia="Arial" w:hAnsi="Times New Roman" w:cs="Times New Roman"/>
          <w:sz w:val="24"/>
          <w:szCs w:val="24"/>
          <w:vertAlign w:val="superscript"/>
        </w:rPr>
        <w:t>4</w:t>
      </w: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p>
    <w:p w:rsidR="00303B31" w:rsidRPr="00AE0CAB" w:rsidRDefault="00303B31" w:rsidP="00303B31">
      <w:pPr>
        <w:spacing w:after="0" w:line="240" w:lineRule="auto"/>
        <w:ind w:left="-18" w:right="-18"/>
        <w:rPr>
          <w:rFonts w:ascii="Times New Roman" w:eastAsia="Calibri" w:hAnsi="Times New Roman" w:cs="Times New Roman"/>
          <w:sz w:val="20"/>
          <w:szCs w:val="24"/>
          <w:u w:val="single" w:color="1154CC"/>
        </w:rPr>
      </w:pPr>
      <w:r w:rsidRPr="00AE0CAB">
        <w:rPr>
          <w:rFonts w:ascii="Times New Roman" w:eastAsia="Calibri" w:hAnsi="Times New Roman" w:cs="Times New Roman"/>
          <w:sz w:val="20"/>
          <w:szCs w:val="24"/>
          <w:vertAlign w:val="superscript"/>
        </w:rPr>
        <w:t>2</w:t>
      </w:r>
      <w:r w:rsidRPr="00AE0CAB">
        <w:rPr>
          <w:rFonts w:ascii="Times New Roman" w:eastAsia="Calibri" w:hAnsi="Times New Roman" w:cs="Times New Roman"/>
          <w:sz w:val="20"/>
          <w:szCs w:val="24"/>
        </w:rPr>
        <w:t xml:space="preserve"> </w:t>
      </w:r>
      <w:r w:rsidRPr="00AE0CAB">
        <w:rPr>
          <w:rFonts w:ascii="Times New Roman" w:eastAsia="Calibri" w:hAnsi="Times New Roman" w:cs="Times New Roman"/>
          <w:i/>
          <w:sz w:val="20"/>
          <w:szCs w:val="24"/>
        </w:rPr>
        <w:t>Directrices de las Naciones Unidas para la Prevención de la Delincuencia Juvenil</w:t>
      </w:r>
      <w:r w:rsidRPr="00AE0CAB">
        <w:rPr>
          <w:rFonts w:ascii="Times New Roman" w:eastAsia="Calibri" w:hAnsi="Times New Roman" w:cs="Times New Roman"/>
          <w:sz w:val="20"/>
          <w:szCs w:val="24"/>
        </w:rPr>
        <w:t xml:space="preserve">, Resolución de la Asamblea General. A/RES/45/112, 1990. Disponible en  </w:t>
      </w:r>
      <w:hyperlink r:id="rId111">
        <w:r w:rsidRPr="00AE0CAB">
          <w:rPr>
            <w:rFonts w:ascii="Times New Roman" w:eastAsia="Calibri" w:hAnsi="Times New Roman" w:cs="Times New Roman"/>
            <w:sz w:val="20"/>
            <w:szCs w:val="24"/>
            <w:u w:val="single" w:color="1154CC"/>
          </w:rPr>
          <w:t>https://docs.un.org/es/A/RES/45/112</w:t>
        </w:r>
      </w:hyperlink>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educación es un instrumento que garantiza el derecho a las niñas, niños y adolescentes a una formación laica, gratuita y de calidad, con el propósito de formarlos como nuevos ciudadanos en plenitud de sus conocimientos, pero también en plenitud de su espíritu. La verdadera educación humanista comienza cuando tanto instituciones como autoridades dejan de ver al estudiante como un receptor de conocimiento para apreciarlo como una persona que está descubriéndose a sí misma en el mundo. Una persona que crea y descubre, pero que también tiene necesidades emocionales que deben ser atendidas por profesionales de la salud mental, desde una óptica de comprensión más allá de cualquier connotación académica.</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La prestación de servicios de atención emocional y psicológica es un derecho ya reconocido en el artículo 79 de la Ley de Educación del Estado de México, sin embargo, es apremiante recalcar la obligatoriedad y permanencia de estos servicios en los planteles escolares.</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Sin salud mental es difícil que un estudiante almacene información, pueda asimilar, obtenga habilidades porque su pensamiento y su mente completa, igual que todo el sistema emocional, estaría enfocado en resolver una situación conflictiva en lugar de estar aprendiendo</w:t>
      </w:r>
      <w:r w:rsidRPr="00AE0CAB">
        <w:rPr>
          <w:rFonts w:ascii="Times New Roman" w:eastAsia="Arial" w:hAnsi="Times New Roman" w:cs="Times New Roman"/>
          <w:sz w:val="24"/>
          <w:szCs w:val="24"/>
          <w:vertAlign w:val="superscript"/>
        </w:rPr>
        <w:t>5</w:t>
      </w:r>
      <w:r w:rsidRPr="00AE0CAB">
        <w:rPr>
          <w:rFonts w:ascii="Times New Roman" w:eastAsia="Arial" w:hAnsi="Times New Roman" w:cs="Times New Roman"/>
          <w:sz w:val="24"/>
          <w:szCs w:val="24"/>
        </w:rPr>
        <w:t xml:space="preserve">. Aprender no es únicamente acumular conocimientos, es también construir la capacidad de levantarse frente a la adversidad. Reconocer la importancia de la salud mental en la educación es apostar por un futuro más humano, donde cada joven pueda crecer no solo como estudiante, sino como persona, por ello, resulta imperativo impulsar una estrategia que garantice atención psicológica permanente y </w:t>
      </w:r>
      <w:r w:rsidRPr="00AE0CAB">
        <w:rPr>
          <w:rFonts w:ascii="Times New Roman" w:eastAsia="Arial" w:hAnsi="Times New Roman" w:cs="Times New Roman"/>
          <w:sz w:val="24"/>
          <w:szCs w:val="24"/>
        </w:rPr>
        <w:lastRenderedPageBreak/>
        <w:t>profesional en todas las escuelas públicas del Estado de México hasta el nivel superior, y establecer la obligatoriedad de este servicio para la educación básica.</w:t>
      </w: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p>
    <w:p w:rsidR="00303B31" w:rsidRPr="00AE0CAB" w:rsidRDefault="00303B31" w:rsidP="00303B31">
      <w:pPr>
        <w:spacing w:after="0" w:line="240" w:lineRule="auto"/>
        <w:ind w:left="-18" w:right="-18"/>
        <w:jc w:val="both"/>
        <w:rPr>
          <w:rFonts w:ascii="Times New Roman" w:eastAsia="Calibri" w:hAnsi="Times New Roman" w:cs="Times New Roman"/>
          <w:sz w:val="20"/>
          <w:szCs w:val="24"/>
        </w:rPr>
      </w:pPr>
      <w:r w:rsidRPr="00AE0CAB">
        <w:rPr>
          <w:rFonts w:ascii="Times New Roman" w:eastAsia="Calibri" w:hAnsi="Times New Roman" w:cs="Times New Roman"/>
          <w:sz w:val="20"/>
          <w:szCs w:val="24"/>
          <w:vertAlign w:val="superscript"/>
        </w:rPr>
        <w:t>3</w:t>
      </w:r>
      <w:r w:rsidRPr="00AE0CAB">
        <w:rPr>
          <w:rFonts w:ascii="Times New Roman" w:eastAsia="Calibri" w:hAnsi="Times New Roman" w:cs="Times New Roman"/>
          <w:sz w:val="20"/>
          <w:szCs w:val="24"/>
        </w:rPr>
        <w:t xml:space="preserve"> Elaboración propia con datos proporcionados en el Apartado Estadístico sobre demanda de atención en los Centros Comunitarios de Salud Mental y Adicciones (CECOSAMA). Disponible en </w:t>
      </w:r>
      <w:hyperlink r:id="rId112">
        <w:r w:rsidRPr="00AE0CAB">
          <w:rPr>
            <w:rFonts w:ascii="Times New Roman" w:eastAsia="Calibri" w:hAnsi="Times New Roman" w:cs="Times New Roman"/>
            <w:sz w:val="20"/>
            <w:szCs w:val="24"/>
            <w:u w:val="single" w:color="0462C1"/>
          </w:rPr>
          <w:t>https://imsama.edomex.gob.mx/demanda-tratamiento-cecosama-edomex</w:t>
        </w:r>
      </w:hyperlink>
    </w:p>
    <w:p w:rsidR="00303B31" w:rsidRPr="00AE0CAB" w:rsidRDefault="00303B31" w:rsidP="00303B31">
      <w:pPr>
        <w:spacing w:after="0" w:line="240" w:lineRule="auto"/>
        <w:ind w:left="-18" w:right="-18"/>
        <w:jc w:val="both"/>
        <w:rPr>
          <w:rFonts w:ascii="Times New Roman" w:eastAsia="Calibri" w:hAnsi="Times New Roman" w:cs="Times New Roman"/>
          <w:sz w:val="20"/>
          <w:szCs w:val="24"/>
        </w:rPr>
      </w:pPr>
      <w:r w:rsidRPr="00AE0CAB">
        <w:rPr>
          <w:rFonts w:ascii="Times New Roman" w:eastAsia="Calibri" w:hAnsi="Times New Roman" w:cs="Times New Roman"/>
          <w:sz w:val="20"/>
          <w:szCs w:val="24"/>
          <w:vertAlign w:val="superscript"/>
        </w:rPr>
        <w:t>4</w:t>
      </w:r>
      <w:r w:rsidRPr="00AE0CAB">
        <w:rPr>
          <w:rFonts w:ascii="Times New Roman" w:eastAsia="Calibri" w:hAnsi="Times New Roman" w:cs="Times New Roman"/>
          <w:sz w:val="20"/>
          <w:szCs w:val="24"/>
        </w:rPr>
        <w:t xml:space="preserve"> Elaboración propia con datos del Tabulador </w:t>
      </w:r>
      <w:r w:rsidRPr="00AE0CAB">
        <w:rPr>
          <w:rFonts w:ascii="Times New Roman" w:eastAsia="Calibri" w:hAnsi="Times New Roman" w:cs="Times New Roman"/>
          <w:i/>
          <w:sz w:val="20"/>
          <w:szCs w:val="24"/>
        </w:rPr>
        <w:t xml:space="preserve">“Defunciones registradas por suicidio por entidad federativa y grupos de edad según sexo, serie anual de 2020 a 2024” </w:t>
      </w:r>
      <w:r w:rsidRPr="00AE0CAB">
        <w:rPr>
          <w:rFonts w:ascii="Times New Roman" w:eastAsia="Calibri" w:hAnsi="Times New Roman" w:cs="Times New Roman"/>
          <w:sz w:val="20"/>
          <w:szCs w:val="24"/>
        </w:rPr>
        <w:t>del INEGI. Disponible en</w:t>
      </w:r>
    </w:p>
    <w:p w:rsidR="00303B31" w:rsidRPr="00AE0CAB" w:rsidRDefault="003165F0" w:rsidP="00303B31">
      <w:pPr>
        <w:spacing w:after="0" w:line="240" w:lineRule="auto"/>
        <w:ind w:left="-18" w:right="-18"/>
        <w:jc w:val="both"/>
        <w:rPr>
          <w:rFonts w:ascii="Times New Roman" w:eastAsia="Calibri" w:hAnsi="Times New Roman" w:cs="Times New Roman"/>
          <w:sz w:val="20"/>
          <w:szCs w:val="24"/>
        </w:rPr>
      </w:pPr>
      <w:hyperlink r:id="rId113">
        <w:r w:rsidR="00303B31" w:rsidRPr="00AE0CAB">
          <w:rPr>
            <w:rFonts w:ascii="Times New Roman" w:eastAsia="Calibri" w:hAnsi="Times New Roman" w:cs="Times New Roman"/>
            <w:sz w:val="20"/>
            <w:szCs w:val="24"/>
            <w:u w:val="single" w:color="0462C1"/>
          </w:rPr>
          <w:t>https://www.inegi.org.mx/app/tabulados/interactivos/?pxq=Salud_Mental_06_0ce246dc-784f-4198-807b-</w:t>
        </w:r>
      </w:hyperlink>
    </w:p>
    <w:p w:rsidR="00303B31" w:rsidRPr="00AE0CAB" w:rsidRDefault="003165F0" w:rsidP="00303B31">
      <w:pPr>
        <w:spacing w:after="0" w:line="240" w:lineRule="auto"/>
        <w:ind w:left="-18" w:right="-18"/>
        <w:jc w:val="both"/>
        <w:rPr>
          <w:rFonts w:ascii="Times New Roman" w:eastAsia="Calibri" w:hAnsi="Times New Roman" w:cs="Times New Roman"/>
          <w:sz w:val="20"/>
          <w:szCs w:val="24"/>
          <w:u w:val="single" w:color="0462C1"/>
        </w:rPr>
      </w:pPr>
      <w:hyperlink r:id="rId114">
        <w:r w:rsidR="00303B31" w:rsidRPr="00AE0CAB">
          <w:rPr>
            <w:rFonts w:ascii="Times New Roman" w:eastAsia="Calibri" w:hAnsi="Times New Roman" w:cs="Times New Roman"/>
            <w:sz w:val="20"/>
            <w:szCs w:val="24"/>
            <w:u w:val="single" w:color="0462C1"/>
          </w:rPr>
          <w:t>4375a1612693</w:t>
        </w:r>
      </w:hyperlink>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El entorno escolar no puede limitarse a contenidos académicos: debe garantizar desarrollo integral, bienestar emocional, acompañamiento socioafectivo con el propósito de crear un ambiente de inclusión, equidad y pertenencia social en las instituciones educativas. Una atención psicológica temprana evita tendencias autodestructivas, propicia la cohesión social, y en lo subsecuente evita que un problema emocional se replique en forma de violencia, tanto de los cercanos al individuo como a la sociedad.</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Por lo anteriormente expuesto, desde el Grupo Parlamentario del Partido del Trabajo buscamos implementar mecanismos eficientes para qué, todas las instituciones educativas de nivel básico ejecuten estrategias de prevención, diagnóstico e intervención en materia de psicología de manera permanente, y se promuevan de forma continua en las instituciones educativas de nivel medio superior y superior para facilitarles a los estudiantes un correcto acceso al cuidado de su salud mental.</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Todos los seres humanos tenemos derecho a la felicidad, a ser plenos y disfrutar de la vida, condición que se consigue a través de la justicia social, además de una salud integral y mecanismos de autocuidado. Es nuestra responsabilidad como sus representantes legislar para que todas, </w:t>
      </w:r>
      <w:proofErr w:type="spellStart"/>
      <w:r w:rsidRPr="00AE0CAB">
        <w:rPr>
          <w:rFonts w:ascii="Times New Roman" w:eastAsia="Arial" w:hAnsi="Times New Roman" w:cs="Times New Roman"/>
          <w:sz w:val="24"/>
          <w:szCs w:val="24"/>
        </w:rPr>
        <w:t>todes</w:t>
      </w:r>
      <w:proofErr w:type="spellEnd"/>
      <w:r w:rsidRPr="00AE0CAB">
        <w:rPr>
          <w:rFonts w:ascii="Times New Roman" w:eastAsia="Arial" w:hAnsi="Times New Roman" w:cs="Times New Roman"/>
          <w:sz w:val="24"/>
          <w:szCs w:val="24"/>
        </w:rPr>
        <w:t xml:space="preserve"> y todos se acerquen lo mejor posible a este derecho.</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rPr>
          <w:rFonts w:ascii="Times New Roman" w:eastAsia="Calibri" w:hAnsi="Times New Roman" w:cs="Times New Roman"/>
          <w:sz w:val="20"/>
          <w:szCs w:val="24"/>
        </w:rPr>
      </w:pPr>
      <w:r w:rsidRPr="00AE0CAB">
        <w:rPr>
          <w:rFonts w:ascii="Times New Roman" w:eastAsia="Calibri" w:hAnsi="Times New Roman" w:cs="Times New Roman"/>
          <w:sz w:val="20"/>
          <w:szCs w:val="24"/>
          <w:vertAlign w:val="superscript"/>
        </w:rPr>
        <w:t>5</w:t>
      </w:r>
      <w:r w:rsidRPr="00AE0CAB">
        <w:rPr>
          <w:rFonts w:ascii="Times New Roman" w:eastAsia="Calibri" w:hAnsi="Times New Roman" w:cs="Times New Roman"/>
          <w:sz w:val="20"/>
          <w:szCs w:val="24"/>
        </w:rPr>
        <w:t xml:space="preserve"> Cómo afecta la salud mental al rendimiento escolar, Santillán María Luisa. Citando a la Dra. Guadalupe</w:t>
      </w:r>
    </w:p>
    <w:p w:rsidR="00303B31" w:rsidRPr="00AE0CAB" w:rsidRDefault="00303B31" w:rsidP="00303B31">
      <w:pPr>
        <w:spacing w:after="0" w:line="240" w:lineRule="auto"/>
        <w:ind w:left="-18" w:right="-18"/>
        <w:rPr>
          <w:rFonts w:ascii="Times New Roman" w:eastAsia="Calibri" w:hAnsi="Times New Roman" w:cs="Times New Roman"/>
          <w:sz w:val="20"/>
          <w:szCs w:val="24"/>
          <w:u w:val="single" w:color="0462C1"/>
        </w:rPr>
      </w:pPr>
      <w:r w:rsidRPr="00AE0CAB">
        <w:rPr>
          <w:rFonts w:ascii="Times New Roman" w:eastAsia="Calibri" w:hAnsi="Times New Roman" w:cs="Times New Roman"/>
          <w:sz w:val="20"/>
          <w:szCs w:val="24"/>
        </w:rPr>
        <w:t xml:space="preserve">Elizabeth. Ciencia UNAM  </w:t>
      </w:r>
      <w:hyperlink r:id="rId115" w:anchor=":~:text=%E2%80%9CSin%20salud%20mental%20es%20dif%C3%ADcil%20que%20un%20estudiante%20almacene%20informaci%C3%B3n%2C%20pueda%20asimilar%2C%20obtenga%20habilidades%20porque%20su%20pensamiento%20y%20su%20mente%20completa%2C%20igual%20que%20todo%20el%20sistema%20emocional%2C%20estar%C3%ADa%20enfocado%20en%20resolver%20una%20situaci%C3%B3n%20conflictiva%20en%20lugar%20de%20estar%20aprendiendo%E2%80%9D%2C">
        <w:r w:rsidRPr="00AE0CAB">
          <w:rPr>
            <w:rFonts w:ascii="Times New Roman" w:eastAsia="Calibri" w:hAnsi="Times New Roman" w:cs="Times New Roman"/>
            <w:sz w:val="20"/>
            <w:szCs w:val="24"/>
            <w:u w:val="single" w:color="0462C1"/>
          </w:rPr>
          <w:t>https://ciencia.unam.mx/leer/1412/</w:t>
        </w:r>
      </w:hyperlink>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C O M P A R A T I V O</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5"/>
        <w:gridCol w:w="4415"/>
      </w:tblGrid>
      <w:tr w:rsidR="00303B31" w:rsidRPr="00AE0CAB" w:rsidTr="007974C2">
        <w:trPr>
          <w:trHeight w:val="20"/>
          <w:jc w:val="center"/>
        </w:trPr>
        <w:tc>
          <w:tcPr>
            <w:tcW w:w="8830" w:type="dxa"/>
            <w:gridSpan w:val="2"/>
            <w:tcBorders>
              <w:top w:val="single" w:sz="5" w:space="0" w:color="000000"/>
              <w:left w:val="single" w:sz="5" w:space="0" w:color="000000"/>
              <w:bottom w:val="single" w:sz="5" w:space="0" w:color="000000"/>
              <w:right w:val="single" w:sz="5" w:space="0" w:color="000000"/>
            </w:tcBorders>
            <w:shd w:val="clear" w:color="auto" w:fill="000000"/>
          </w:tcPr>
          <w:p w:rsidR="00303B31" w:rsidRPr="00AE0CAB" w:rsidRDefault="00303B31" w:rsidP="00303B31">
            <w:pPr>
              <w:spacing w:after="0" w:line="240" w:lineRule="auto"/>
              <w:ind w:left="-18" w:right="-18"/>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Ley de Educación del Estado de México</w:t>
            </w:r>
          </w:p>
        </w:tc>
      </w:tr>
      <w:tr w:rsidR="00303B31" w:rsidRPr="00AE0CAB" w:rsidTr="007974C2">
        <w:trPr>
          <w:trHeight w:val="20"/>
          <w:jc w:val="center"/>
        </w:trPr>
        <w:tc>
          <w:tcPr>
            <w:tcW w:w="4415" w:type="dxa"/>
            <w:tcBorders>
              <w:top w:val="single" w:sz="5" w:space="0" w:color="000000"/>
              <w:left w:val="single" w:sz="5" w:space="0" w:color="000000"/>
              <w:bottom w:val="single" w:sz="5" w:space="0" w:color="000000"/>
              <w:right w:val="single" w:sz="5" w:space="0" w:color="000000"/>
            </w:tcBorders>
            <w:shd w:val="clear" w:color="auto" w:fill="FF0000"/>
          </w:tcPr>
          <w:p w:rsidR="00303B31" w:rsidRPr="00AE0CAB" w:rsidRDefault="00303B31" w:rsidP="00303B31">
            <w:pPr>
              <w:spacing w:after="0" w:line="240" w:lineRule="auto"/>
              <w:ind w:left="-18" w:right="-18"/>
              <w:rPr>
                <w:rFonts w:ascii="Times New Roman" w:eastAsia="Arial" w:hAnsi="Times New Roman" w:cs="Times New Roman"/>
                <w:b/>
                <w:sz w:val="24"/>
                <w:szCs w:val="24"/>
              </w:rPr>
            </w:pPr>
          </w:p>
        </w:tc>
        <w:tc>
          <w:tcPr>
            <w:tcW w:w="4415" w:type="dxa"/>
            <w:tcBorders>
              <w:top w:val="single" w:sz="5" w:space="0" w:color="000000"/>
              <w:left w:val="single" w:sz="5" w:space="0" w:color="000000"/>
              <w:bottom w:val="single" w:sz="5" w:space="0" w:color="000000"/>
              <w:right w:val="single" w:sz="5" w:space="0" w:color="000000"/>
            </w:tcBorders>
            <w:shd w:val="clear" w:color="auto" w:fill="FF0000"/>
          </w:tcPr>
          <w:p w:rsidR="00303B31" w:rsidRPr="00AE0CAB" w:rsidRDefault="00303B31" w:rsidP="00303B31">
            <w:pPr>
              <w:spacing w:after="0" w:line="240" w:lineRule="auto"/>
              <w:ind w:left="-18" w:right="-18"/>
              <w:rPr>
                <w:rFonts w:ascii="Times New Roman" w:eastAsia="Arial" w:hAnsi="Times New Roman" w:cs="Times New Roman"/>
                <w:b/>
                <w:sz w:val="24"/>
                <w:szCs w:val="24"/>
              </w:rPr>
            </w:pPr>
          </w:p>
        </w:tc>
      </w:tr>
      <w:tr w:rsidR="00303B31" w:rsidRPr="00AE0CAB" w:rsidTr="007974C2">
        <w:trPr>
          <w:trHeight w:val="20"/>
          <w:jc w:val="center"/>
        </w:trPr>
        <w:tc>
          <w:tcPr>
            <w:tcW w:w="4415" w:type="dxa"/>
            <w:tcBorders>
              <w:top w:val="single" w:sz="5" w:space="0" w:color="000000"/>
              <w:left w:val="single" w:sz="5" w:space="0" w:color="000000"/>
              <w:bottom w:val="single" w:sz="5" w:space="0" w:color="000000"/>
              <w:right w:val="single" w:sz="5" w:space="0" w:color="000000"/>
            </w:tcBorders>
            <w:shd w:val="clear" w:color="auto" w:fill="FF0000"/>
          </w:tcPr>
          <w:p w:rsidR="00303B31" w:rsidRPr="00AE0CAB" w:rsidRDefault="00303B31" w:rsidP="00303B31">
            <w:pPr>
              <w:spacing w:after="0" w:line="240" w:lineRule="auto"/>
              <w:ind w:left="-18" w:right="-18"/>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5" w:space="0" w:color="000000"/>
              <w:right w:val="single" w:sz="5" w:space="0" w:color="000000"/>
            </w:tcBorders>
            <w:shd w:val="clear" w:color="auto" w:fill="FF0000"/>
          </w:tcPr>
          <w:p w:rsidR="00303B31" w:rsidRPr="00AE0CAB" w:rsidRDefault="00303B31" w:rsidP="00303B31">
            <w:pPr>
              <w:spacing w:after="0" w:line="240" w:lineRule="auto"/>
              <w:ind w:left="-18" w:right="-18"/>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PROPUESTA</w:t>
            </w:r>
          </w:p>
        </w:tc>
      </w:tr>
      <w:tr w:rsidR="00303B31" w:rsidRPr="00AE0CAB" w:rsidTr="007974C2">
        <w:trPr>
          <w:trHeight w:val="20"/>
          <w:jc w:val="center"/>
        </w:trPr>
        <w:tc>
          <w:tcPr>
            <w:tcW w:w="4415" w:type="dxa"/>
            <w:tcBorders>
              <w:top w:val="single" w:sz="5" w:space="0" w:color="000000"/>
              <w:left w:val="single" w:sz="5" w:space="0" w:color="000000"/>
              <w:right w:val="single" w:sz="5" w:space="0" w:color="000000"/>
            </w:tcBorders>
          </w:tcPr>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Artículo 79.- El Estado ofrecerá servicios de orientación educativa, de trabajo social y de psicología desde la educación básica hasta la educación superior, de acuerdo con la suficiencia presupuestal y a las necesidades de cada plantel, a fin de fomentar una conciencia crítica que perfile a los educandos   en la selección de su formación a lo largo de la vida para su desarrollo personal y   contribuir al bienestar de sus comunidades.</w:t>
            </w:r>
          </w:p>
        </w:tc>
        <w:tc>
          <w:tcPr>
            <w:tcW w:w="4415" w:type="dxa"/>
            <w:tcBorders>
              <w:top w:val="single" w:sz="5" w:space="0" w:color="000000"/>
              <w:left w:val="single" w:sz="5" w:space="0" w:color="000000"/>
              <w:bottom w:val="nil"/>
              <w:right w:val="single" w:sz="5" w:space="0" w:color="000000"/>
            </w:tcBorders>
          </w:tcPr>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Artículo 79.- El Estado ofrecerá </w:t>
            </w:r>
            <w:r w:rsidRPr="00AE0CAB">
              <w:rPr>
                <w:rFonts w:ascii="Times New Roman" w:eastAsia="Arial" w:hAnsi="Times New Roman" w:cs="Times New Roman"/>
                <w:b/>
                <w:sz w:val="24"/>
                <w:szCs w:val="24"/>
              </w:rPr>
              <w:t xml:space="preserve">y garantizará </w:t>
            </w:r>
            <w:r w:rsidRPr="00AE0CAB">
              <w:rPr>
                <w:rFonts w:ascii="Times New Roman" w:eastAsia="Arial" w:hAnsi="Times New Roman" w:cs="Times New Roman"/>
                <w:sz w:val="24"/>
                <w:szCs w:val="24"/>
              </w:rPr>
              <w:t xml:space="preserve">servicios de orientación educativa, de trabajo social y de psicología desde la educación básica hasta la educación superior, de acuerdo con la suficiencia presupuestal y a las necesidades del </w:t>
            </w:r>
            <w:r w:rsidRPr="00AE0CAB">
              <w:rPr>
                <w:rFonts w:ascii="Times New Roman" w:eastAsia="Arial" w:hAnsi="Times New Roman" w:cs="Times New Roman"/>
                <w:b/>
                <w:sz w:val="24"/>
                <w:szCs w:val="24"/>
              </w:rPr>
              <w:t xml:space="preserve">alumnado, docentes, administrativos, directivos y demás personal del plantel </w:t>
            </w:r>
            <w:r w:rsidRPr="00AE0CAB">
              <w:rPr>
                <w:rFonts w:ascii="Times New Roman" w:eastAsia="Arial" w:hAnsi="Times New Roman" w:cs="Times New Roman"/>
                <w:sz w:val="24"/>
                <w:szCs w:val="24"/>
              </w:rPr>
              <w:t>a fin de fomentar una conciencia crítica que perfile a los educandos en la selección de su formación a lo largo de la vida para su desarrollo personal y contribuir al bienestar de sus comunidades.</w:t>
            </w: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El servicio de atención emocional y psicológica deberá ser permanente y realizado por personal especializado en la materia.</w:t>
            </w:r>
          </w:p>
        </w:tc>
      </w:tr>
      <w:tr w:rsidR="00303B31" w:rsidRPr="00AE0CAB" w:rsidTr="007974C2">
        <w:trPr>
          <w:trHeight w:val="276"/>
          <w:jc w:val="center"/>
        </w:trPr>
        <w:tc>
          <w:tcPr>
            <w:tcW w:w="4415" w:type="dxa"/>
            <w:vMerge w:val="restart"/>
            <w:tcBorders>
              <w:top w:val="single" w:sz="5" w:space="0" w:color="000000"/>
              <w:left w:val="single" w:sz="5" w:space="0" w:color="000000"/>
              <w:right w:val="single" w:sz="5" w:space="0" w:color="000000"/>
            </w:tcBorders>
          </w:tcPr>
          <w:p w:rsidR="00303B31" w:rsidRPr="00AE0CAB" w:rsidRDefault="00303B31" w:rsidP="00303B31">
            <w:pPr>
              <w:spacing w:after="0" w:line="240" w:lineRule="auto"/>
              <w:ind w:left="-18" w:right="-18"/>
              <w:rPr>
                <w:rFonts w:ascii="Times New Roman" w:eastAsia="Arial" w:hAnsi="Times New Roman" w:cs="Times New Roman"/>
                <w:sz w:val="24"/>
                <w:szCs w:val="24"/>
              </w:rPr>
            </w:pPr>
            <w:r w:rsidRPr="00AE0CAB">
              <w:rPr>
                <w:rFonts w:ascii="Times New Roman" w:eastAsia="Arial" w:hAnsi="Times New Roman" w:cs="Times New Roman"/>
                <w:b/>
                <w:sz w:val="24"/>
                <w:szCs w:val="24"/>
              </w:rPr>
              <w:lastRenderedPageBreak/>
              <w:t>Sin Correlativo.</w:t>
            </w:r>
          </w:p>
        </w:tc>
        <w:tc>
          <w:tcPr>
            <w:tcW w:w="4415" w:type="dxa"/>
            <w:vMerge w:val="restart"/>
            <w:tcBorders>
              <w:top w:val="single" w:sz="5" w:space="0" w:color="000000"/>
              <w:left w:val="single" w:sz="5" w:space="0" w:color="000000"/>
              <w:right w:val="single" w:sz="5" w:space="0" w:color="000000"/>
            </w:tcBorders>
          </w:tcPr>
          <w:p w:rsidR="00303B31" w:rsidRPr="00AE0CAB" w:rsidRDefault="00303B31" w:rsidP="00303B31">
            <w:pPr>
              <w:spacing w:after="0" w:line="240" w:lineRule="auto"/>
              <w:ind w:left="-18" w:right="-18"/>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Artículo 79 bis.- El Estado garantizará un servicio de atención psicológica gratuito en todos los planteles de educación básica, brindado por profesionales de la salud mental.</w:t>
            </w:r>
          </w:p>
          <w:p w:rsidR="00303B31" w:rsidRPr="00AE0CAB" w:rsidRDefault="00303B31" w:rsidP="00303B31">
            <w:pPr>
              <w:spacing w:after="0" w:line="240" w:lineRule="auto"/>
              <w:ind w:left="-18" w:right="-18"/>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El profesionista adscrito a cada plantel educativo deberá ejecutar de manera constante mecanismos y estrategias de vinculación con las alumnas y alumnos, especialmente con aquellos que, a su criterio profesional requieran atención especializada. Sus estrategias y mecanismos de vinculación deberán tener, además, un enfoque de prevención del delito, del suicidio y de las adicciones.</w:t>
            </w:r>
          </w:p>
          <w:p w:rsidR="00303B31" w:rsidRPr="00AE0CAB" w:rsidRDefault="00303B31" w:rsidP="00303B31">
            <w:pPr>
              <w:spacing w:after="0" w:line="240" w:lineRule="auto"/>
              <w:ind w:left="-18" w:right="-18"/>
              <w:rPr>
                <w:rFonts w:ascii="Times New Roman" w:eastAsia="Arial" w:hAnsi="Times New Roman" w:cs="Times New Roman"/>
                <w:sz w:val="24"/>
                <w:szCs w:val="24"/>
              </w:rPr>
            </w:pPr>
          </w:p>
        </w:tc>
      </w:tr>
      <w:tr w:rsidR="00303B31" w:rsidRPr="00AE0CAB" w:rsidTr="007974C2">
        <w:trPr>
          <w:trHeight w:val="276"/>
          <w:jc w:val="center"/>
        </w:trPr>
        <w:tc>
          <w:tcPr>
            <w:tcW w:w="4415" w:type="dxa"/>
            <w:vMerge/>
            <w:tcBorders>
              <w:left w:val="single" w:sz="5" w:space="0" w:color="000000"/>
              <w:right w:val="single" w:sz="5" w:space="0" w:color="000000"/>
            </w:tcBorders>
          </w:tcPr>
          <w:p w:rsidR="00303B31" w:rsidRPr="00AE0CAB" w:rsidRDefault="00303B31" w:rsidP="00303B31">
            <w:pPr>
              <w:spacing w:after="0" w:line="240" w:lineRule="auto"/>
              <w:ind w:left="-18" w:right="-18"/>
              <w:rPr>
                <w:rFonts w:ascii="Times New Roman" w:eastAsia="Times New Roman" w:hAnsi="Times New Roman" w:cs="Times New Roman"/>
                <w:sz w:val="24"/>
                <w:szCs w:val="24"/>
              </w:rPr>
            </w:pPr>
          </w:p>
        </w:tc>
        <w:tc>
          <w:tcPr>
            <w:tcW w:w="4415" w:type="dxa"/>
            <w:vMerge/>
            <w:tcBorders>
              <w:left w:val="single" w:sz="5" w:space="0" w:color="000000"/>
              <w:right w:val="single" w:sz="5" w:space="0" w:color="000000"/>
            </w:tcBorders>
          </w:tcPr>
          <w:p w:rsidR="00303B31" w:rsidRPr="00AE0CAB" w:rsidRDefault="00303B31" w:rsidP="00303B31">
            <w:pPr>
              <w:spacing w:after="0" w:line="240" w:lineRule="auto"/>
              <w:ind w:left="-18" w:right="-18"/>
              <w:rPr>
                <w:rFonts w:ascii="Times New Roman" w:eastAsia="Times New Roman" w:hAnsi="Times New Roman" w:cs="Times New Roman"/>
                <w:sz w:val="24"/>
                <w:szCs w:val="24"/>
              </w:rPr>
            </w:pPr>
          </w:p>
        </w:tc>
      </w:tr>
    </w:tbl>
    <w:p w:rsidR="00303B31" w:rsidRPr="00AE0CAB" w:rsidRDefault="00303B31" w:rsidP="00303B31">
      <w:pPr>
        <w:spacing w:after="0" w:line="240" w:lineRule="auto"/>
        <w:ind w:left="-18" w:right="-18"/>
        <w:jc w:val="center"/>
        <w:rPr>
          <w:rFonts w:ascii="Times New Roman" w:eastAsia="Arial" w:hAnsi="Times New Roman" w:cs="Times New Roman"/>
          <w:b/>
          <w:sz w:val="24"/>
          <w:szCs w:val="24"/>
        </w:rPr>
      </w:pPr>
    </w:p>
    <w:p w:rsidR="00303B31" w:rsidRPr="00AE0CAB" w:rsidRDefault="00303B31" w:rsidP="00303B31">
      <w:pPr>
        <w:spacing w:after="0" w:line="240" w:lineRule="auto"/>
        <w:ind w:left="-18" w:right="-18"/>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A T E N T A M E N T E .</w:t>
      </w:r>
    </w:p>
    <w:p w:rsidR="00303B31" w:rsidRPr="00AE0CAB" w:rsidRDefault="00303B31" w:rsidP="00303B31">
      <w:pPr>
        <w:spacing w:after="0" w:line="240" w:lineRule="auto"/>
        <w:ind w:left="-18" w:right="-18"/>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DIP. YARELI ANAI ESPARZA ACEVEDO</w:t>
      </w:r>
    </w:p>
    <w:p w:rsidR="00303B31" w:rsidRPr="00AE0CAB" w:rsidRDefault="00303B31" w:rsidP="00303B31">
      <w:pPr>
        <w:spacing w:after="0" w:line="240" w:lineRule="auto"/>
        <w:ind w:left="-18" w:right="-18"/>
        <w:jc w:val="center"/>
        <w:rPr>
          <w:rFonts w:ascii="Times New Roman" w:eastAsia="Arial" w:hAnsi="Times New Roman" w:cs="Times New Roman"/>
          <w:b/>
          <w:sz w:val="24"/>
          <w:szCs w:val="24"/>
        </w:rPr>
      </w:pPr>
      <w:r w:rsidRPr="00AE0CAB">
        <w:rPr>
          <w:rFonts w:ascii="Times New Roman" w:eastAsia="Arial" w:hAnsi="Times New Roman" w:cs="Times New Roman"/>
          <w:b/>
          <w:sz w:val="24"/>
          <w:szCs w:val="24"/>
        </w:rPr>
        <w:t>GRUPO PARLAMENTARIO DEL PARTIDO DEL TRABAJO</w:t>
      </w:r>
    </w:p>
    <w:p w:rsidR="00303B31" w:rsidRPr="00AE0CAB" w:rsidRDefault="00303B31" w:rsidP="00303B31">
      <w:pPr>
        <w:spacing w:after="0" w:line="240" w:lineRule="auto"/>
        <w:ind w:left="-18" w:right="-18"/>
        <w:jc w:val="center"/>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center"/>
        <w:rPr>
          <w:rFonts w:ascii="Times New Roman" w:eastAsia="Times New Roman" w:hAnsi="Times New Roman" w:cs="Times New Roman"/>
          <w:sz w:val="24"/>
          <w:szCs w:val="24"/>
        </w:rPr>
      </w:pPr>
    </w:p>
    <w:p w:rsidR="00303B31" w:rsidRPr="00AE0CAB" w:rsidRDefault="00303B31" w:rsidP="00303B31">
      <w:pPr>
        <w:spacing w:after="0" w:line="240" w:lineRule="auto"/>
        <w:ind w:left="-18" w:right="-18"/>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DECRETO NÚMERO: </w:t>
      </w:r>
      <w:r w:rsidRPr="00AE0CAB">
        <w:rPr>
          <w:rFonts w:ascii="Times New Roman" w:eastAsia="Arial" w:hAnsi="Times New Roman" w:cs="Times New Roman"/>
          <w:b/>
          <w:sz w:val="24"/>
          <w:szCs w:val="24"/>
          <w:u w:val="thick" w:color="000000"/>
        </w:rPr>
        <w:t xml:space="preserve"> </w:t>
      </w:r>
      <w:r w:rsidRPr="00AE0CAB">
        <w:rPr>
          <w:rFonts w:ascii="Times New Roman" w:eastAsia="Arial" w:hAnsi="Times New Roman" w:cs="Times New Roman"/>
          <w:b/>
          <w:sz w:val="24"/>
          <w:szCs w:val="24"/>
          <w:u w:val="thick" w:color="000000"/>
        </w:rPr>
        <w:tab/>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556F50" w:rsidRPr="00AE0CAB" w:rsidRDefault="00303B31" w:rsidP="00303B31">
      <w:pPr>
        <w:spacing w:after="0" w:line="240" w:lineRule="auto"/>
        <w:ind w:left="-18" w:right="-18"/>
        <w:jc w:val="both"/>
        <w:rPr>
          <w:rFonts w:ascii="Times New Roman" w:eastAsia="Arial" w:hAnsi="Times New Roman" w:cs="Times New Roman"/>
          <w:b/>
          <w:sz w:val="24"/>
          <w:szCs w:val="24"/>
        </w:rPr>
      </w:pPr>
      <w:r w:rsidRPr="00AE0CAB">
        <w:rPr>
          <w:rFonts w:ascii="Times New Roman" w:eastAsia="Arial" w:hAnsi="Times New Roman" w:cs="Times New Roman"/>
          <w:b/>
          <w:sz w:val="24"/>
          <w:szCs w:val="24"/>
        </w:rPr>
        <w:t>LA H. "LXII" LEGISLATURA DEL ESTADO DE MÉXICO</w:t>
      </w: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DECRETA</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ARTÍCULO PRIMERO. </w:t>
      </w:r>
      <w:r w:rsidRPr="00AE0CAB">
        <w:rPr>
          <w:rFonts w:ascii="Times New Roman" w:eastAsia="Arial" w:hAnsi="Times New Roman" w:cs="Times New Roman"/>
          <w:sz w:val="24"/>
          <w:szCs w:val="24"/>
        </w:rPr>
        <w:t>Se reforma el artículo 79 de la Ley de Educación del Estado de México para quedar como sigue:</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Artículo 79.- El Estado ofrecerá </w:t>
      </w:r>
      <w:r w:rsidRPr="00AE0CAB">
        <w:rPr>
          <w:rFonts w:ascii="Times New Roman" w:eastAsia="Arial" w:hAnsi="Times New Roman" w:cs="Times New Roman"/>
          <w:b/>
          <w:sz w:val="24"/>
          <w:szCs w:val="24"/>
        </w:rPr>
        <w:t xml:space="preserve">y garantizará </w:t>
      </w:r>
      <w:r w:rsidRPr="00AE0CAB">
        <w:rPr>
          <w:rFonts w:ascii="Times New Roman" w:eastAsia="Arial" w:hAnsi="Times New Roman" w:cs="Times New Roman"/>
          <w:sz w:val="24"/>
          <w:szCs w:val="24"/>
        </w:rPr>
        <w:t xml:space="preserve">servicios de orientación educativa, de trabajo social y de psicología desde la educación básica hasta la educación superior, de acuerdo con la  suficiencia presupuestal y a las necesidades del </w:t>
      </w:r>
      <w:r w:rsidRPr="00AE0CAB">
        <w:rPr>
          <w:rFonts w:ascii="Times New Roman" w:eastAsia="Arial" w:hAnsi="Times New Roman" w:cs="Times New Roman"/>
          <w:b/>
          <w:sz w:val="24"/>
          <w:szCs w:val="24"/>
        </w:rPr>
        <w:t>alumnado, docentes, administrativos, directivos y demás personal del plantel</w:t>
      </w:r>
      <w:r w:rsidRPr="00AE0CAB">
        <w:rPr>
          <w:rFonts w:ascii="Times New Roman" w:eastAsia="Arial" w:hAnsi="Times New Roman" w:cs="Times New Roman"/>
          <w:sz w:val="24"/>
          <w:szCs w:val="24"/>
        </w:rPr>
        <w:t>, a fin de fomentar una conciencia crítica que perfile a los educandos en la selección de su formación a lo largo de la vida para su desarrollo personal y contribuir al bienestar de sus comunidades.</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El servicio de atención emocional y psicológica deberá ser permanente y gratuito, así como realizado por personal especializado en la materia.</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Artículo 79 bis. - El Estado garantizará un servicio de atención psicológica gratuito en todos los planteles de educación básica, brindado por profesionales de la salud mental.</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Times New Roman" w:hAnsi="Times New Roman" w:cs="Times New Roman"/>
          <w:sz w:val="24"/>
          <w:szCs w:val="24"/>
        </w:rPr>
      </w:pPr>
      <w:r w:rsidRPr="00AE0CAB">
        <w:rPr>
          <w:rFonts w:ascii="Times New Roman" w:eastAsia="Arial" w:hAnsi="Times New Roman" w:cs="Times New Roman"/>
          <w:b/>
          <w:sz w:val="24"/>
          <w:szCs w:val="24"/>
        </w:rPr>
        <w:lastRenderedPageBreak/>
        <w:t>El profesionista adscrito a cada plantel educativo deberá ejecutar de manera constante mecanismos y estrategias de vinculación con las alumnas y alumnos, especialmente con aquellos que, a su criterio profesional requieran atención especializada. Sus estrategias y mecanismos de vinculación deberán tener, además, un enfoque de prevención del delito, del suicidio y de las adicciones.</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center"/>
        <w:rPr>
          <w:rFonts w:ascii="Times New Roman" w:eastAsia="Arial" w:hAnsi="Times New Roman" w:cs="Times New Roman"/>
          <w:sz w:val="24"/>
          <w:szCs w:val="24"/>
        </w:rPr>
      </w:pPr>
      <w:r w:rsidRPr="00AE0CAB">
        <w:rPr>
          <w:rFonts w:ascii="Times New Roman" w:eastAsia="Arial" w:hAnsi="Times New Roman" w:cs="Times New Roman"/>
          <w:b/>
          <w:sz w:val="24"/>
          <w:szCs w:val="24"/>
        </w:rPr>
        <w:t>TRANSITORIOS</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rPr>
          <w:rFonts w:ascii="Times New Roman" w:eastAsia="Arial" w:hAnsi="Times New Roman" w:cs="Times New Roman"/>
          <w:sz w:val="24"/>
          <w:szCs w:val="24"/>
        </w:rPr>
      </w:pPr>
      <w:r w:rsidRPr="00AE0CAB">
        <w:rPr>
          <w:rFonts w:ascii="Times New Roman" w:eastAsia="Arial" w:hAnsi="Times New Roman" w:cs="Times New Roman"/>
          <w:b/>
          <w:sz w:val="24"/>
          <w:szCs w:val="24"/>
        </w:rPr>
        <w:t xml:space="preserve">PRIMERO. </w:t>
      </w:r>
      <w:r w:rsidRPr="00AE0CAB">
        <w:rPr>
          <w:rFonts w:ascii="Times New Roman" w:eastAsia="Arial" w:hAnsi="Times New Roman" w:cs="Times New Roman"/>
          <w:sz w:val="24"/>
          <w:szCs w:val="24"/>
        </w:rPr>
        <w:t>Publíquese el presente Decreto en el periódico oficial "Gaceta del Gobierno".</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b/>
          <w:sz w:val="24"/>
          <w:szCs w:val="24"/>
        </w:rPr>
        <w:t>SEGUNDO</w:t>
      </w:r>
      <w:r w:rsidRPr="00AE0CAB">
        <w:rPr>
          <w:rFonts w:ascii="Times New Roman" w:eastAsia="Arial" w:hAnsi="Times New Roman" w:cs="Times New Roman"/>
          <w:sz w:val="24"/>
          <w:szCs w:val="24"/>
        </w:rPr>
        <w:t>. El presente Decreto entrará en vigor al día siguiente de su publicación en el periódico oficial "Gaceta del Gobierno".</w:t>
      </w:r>
    </w:p>
    <w:p w:rsidR="00303B31" w:rsidRPr="00AE0CAB" w:rsidRDefault="00303B31" w:rsidP="00303B31">
      <w:pPr>
        <w:spacing w:after="0" w:line="240" w:lineRule="auto"/>
        <w:ind w:left="-18" w:right="-18"/>
        <w:rPr>
          <w:rFonts w:ascii="Times New Roman" w:eastAsia="Times New Roman" w:hAnsi="Times New Roman" w:cs="Times New Roman"/>
          <w:sz w:val="24"/>
          <w:szCs w:val="24"/>
        </w:rPr>
      </w:pPr>
    </w:p>
    <w:p w:rsidR="00303B31" w:rsidRPr="00AE0CAB" w:rsidRDefault="00303B31" w:rsidP="00303B31">
      <w:pPr>
        <w:spacing w:after="0" w:line="240" w:lineRule="auto"/>
        <w:ind w:left="-18" w:right="-18"/>
        <w:jc w:val="both"/>
        <w:rPr>
          <w:rFonts w:ascii="Times New Roman" w:eastAsia="Arial" w:hAnsi="Times New Roman" w:cs="Times New Roman"/>
          <w:sz w:val="24"/>
          <w:szCs w:val="24"/>
        </w:rPr>
      </w:pPr>
      <w:r w:rsidRPr="00AE0CAB">
        <w:rPr>
          <w:rFonts w:ascii="Times New Roman" w:eastAsia="Arial" w:hAnsi="Times New Roman" w:cs="Times New Roman"/>
          <w:sz w:val="24"/>
          <w:szCs w:val="24"/>
        </w:rPr>
        <w:t xml:space="preserve">Dado en el Palacio del Poder Legislativo en Toluca de Lerdo, Estado de México a los </w:t>
      </w:r>
      <w:r w:rsidRPr="00AE0CAB">
        <w:rPr>
          <w:rFonts w:ascii="Times New Roman" w:eastAsia="Arial" w:hAnsi="Times New Roman" w:cs="Times New Roman"/>
          <w:sz w:val="24"/>
          <w:szCs w:val="24"/>
          <w:u w:val="single" w:color="000000"/>
        </w:rPr>
        <w:t xml:space="preserve">    </w:t>
      </w:r>
      <w:r w:rsidRPr="00AE0CAB">
        <w:rPr>
          <w:rFonts w:ascii="Times New Roman" w:eastAsia="Arial" w:hAnsi="Times New Roman" w:cs="Times New Roman"/>
          <w:sz w:val="24"/>
          <w:szCs w:val="24"/>
        </w:rPr>
        <w:t xml:space="preserve"> días del mes de </w:t>
      </w:r>
      <w:r w:rsidRPr="00AE0CAB">
        <w:rPr>
          <w:rFonts w:ascii="Times New Roman" w:eastAsia="Arial" w:hAnsi="Times New Roman" w:cs="Times New Roman"/>
          <w:sz w:val="24"/>
          <w:szCs w:val="24"/>
          <w:u w:val="single" w:color="000000"/>
        </w:rPr>
        <w:t xml:space="preserve">              </w:t>
      </w:r>
      <w:r w:rsidRPr="00AE0CAB">
        <w:rPr>
          <w:rFonts w:ascii="Times New Roman" w:eastAsia="Arial" w:hAnsi="Times New Roman" w:cs="Times New Roman"/>
          <w:sz w:val="24"/>
          <w:szCs w:val="24"/>
        </w:rPr>
        <w:t xml:space="preserve"> del año dos mil veintiséis.</w:t>
      </w:r>
    </w:p>
    <w:p w:rsidR="008D3DBA" w:rsidRPr="00AE0CAB" w:rsidRDefault="008D3DBA" w:rsidP="007974C2">
      <w:pPr>
        <w:spacing w:after="0" w:line="240" w:lineRule="auto"/>
        <w:jc w:val="center"/>
        <w:rPr>
          <w:rFonts w:ascii="Times New Roman" w:hAnsi="Times New Roman"/>
          <w:sz w:val="24"/>
          <w:szCs w:val="24"/>
        </w:rPr>
      </w:pPr>
    </w:p>
    <w:p w:rsidR="008D3DBA" w:rsidRPr="00AE0CAB" w:rsidRDefault="008D3DBA" w:rsidP="007974C2">
      <w:pPr>
        <w:spacing w:after="0" w:line="240" w:lineRule="auto"/>
        <w:jc w:val="center"/>
        <w:rPr>
          <w:rFonts w:ascii="Times New Roman" w:hAnsi="Times New Roman"/>
          <w:i/>
          <w:sz w:val="24"/>
          <w:szCs w:val="24"/>
        </w:rPr>
      </w:pPr>
      <w:r w:rsidRPr="00AE0CAB">
        <w:rPr>
          <w:rFonts w:ascii="Times New Roman" w:hAnsi="Times New Roman"/>
          <w:i/>
          <w:sz w:val="24"/>
          <w:szCs w:val="24"/>
        </w:rPr>
        <w:t>(Fin del documento)</w:t>
      </w:r>
    </w:p>
    <w:p w:rsidR="008D3DBA" w:rsidRPr="00AE0CAB" w:rsidRDefault="008D3DBA" w:rsidP="007974C2">
      <w:pPr>
        <w:spacing w:after="0" w:line="240" w:lineRule="auto"/>
        <w:jc w:val="center"/>
        <w:rPr>
          <w:rFonts w:ascii="Times New Roman" w:hAnsi="Times New Roman"/>
          <w:sz w:val="24"/>
          <w:szCs w:val="24"/>
        </w:rPr>
      </w:pP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PRESIDENTA DIP. MARTHA AZUCENA CAMACHO REYNOSO. Gracias diputada </w:t>
      </w:r>
      <w:r w:rsidRPr="00AE0CAB">
        <w:rPr>
          <w:rFonts w:ascii="Times New Roman" w:hAnsi="Times New Roman" w:cs="Times New Roman"/>
          <w:kern w:val="2"/>
          <w:sz w:val="24"/>
          <w:szCs w:val="24"/>
          <w:lang w:eastAsia="es-MX"/>
        </w:rPr>
        <w:t>Yareli Anai Esparza Acevedo</w:t>
      </w:r>
      <w:r w:rsidRPr="00AE0CAB">
        <w:rPr>
          <w:rFonts w:ascii="Times New Roman" w:hAnsi="Times New Roman" w:cs="Times New Roman"/>
          <w:sz w:val="24"/>
          <w:szCs w:val="24"/>
        </w:rPr>
        <w:t>.</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Se registra la iniciativa y se remite a las Comisiones Legislativas de Educación, Cultura, Ciencia, Tecnología e Innovación y de Salud y Asistencia y Bienestar Social para su estudio y dictamen.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 xml:space="preserve">En acatamiento del punto 17, la diputada Ana Yurixi Leyva Piñón, presenta en nombre del Grupo Parlamentario del Partido del Trabajo, la Iniciativa con Proyecto de Decreto por el que se Adiciona una fracción XVI, recorriéndose las ya establecidas al artículo 4 de la Ley en </w:t>
      </w:r>
      <w:r w:rsidR="0012659C" w:rsidRPr="00AE0CAB">
        <w:rPr>
          <w:rFonts w:ascii="Times New Roman" w:hAnsi="Times New Roman" w:cs="Times New Roman"/>
          <w:sz w:val="24"/>
          <w:szCs w:val="24"/>
        </w:rPr>
        <w:t xml:space="preserve">materia </w:t>
      </w:r>
      <w:r w:rsidRPr="00AE0CAB">
        <w:rPr>
          <w:rFonts w:ascii="Times New Roman" w:hAnsi="Times New Roman" w:cs="Times New Roman"/>
          <w:sz w:val="24"/>
          <w:szCs w:val="24"/>
        </w:rPr>
        <w:t>de Desaparición Forzada de Personas y Desaparición Cometida por Particulares para el Estado Libre y Soberano de México.</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 xml:space="preserve">DIP. ANA YURIXI LEYVA PIÑÓN. Gracias Presidenta. </w:t>
      </w:r>
    </w:p>
    <w:p w:rsidR="000E0101" w:rsidRPr="00AE0CAB" w:rsidRDefault="000E0101" w:rsidP="00D71801">
      <w:pPr>
        <w:pStyle w:val="Sinespaciado"/>
        <w:jc w:val="both"/>
        <w:rPr>
          <w:rFonts w:ascii="Times New Roman" w:hAnsi="Times New Roman" w:cs="Times New Roman"/>
          <w:sz w:val="24"/>
          <w:szCs w:val="24"/>
        </w:rPr>
      </w:pPr>
      <w:r w:rsidRPr="00AE0CAB">
        <w:rPr>
          <w:rFonts w:ascii="Times New Roman" w:hAnsi="Times New Roman" w:cs="Times New Roman"/>
          <w:sz w:val="24"/>
          <w:szCs w:val="24"/>
        </w:rPr>
        <w:tab/>
        <w:t>Subo a esta tribuna para hablar de un tema que atraviesa corazones, que rompe familias. Y que no admite más silencio; la ausencia de quienes aún no regresan a casa, son ustedes, las madres, los padres que salieron a buscar con sus propias manos, con palas, con fotografía al pecho, con la esperanza quebrada, pero siempre viva, han hecho el trabajo que no debería de recaer en una familia; buscar a quienes el Estado no buscó.</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Es el caso de Norma Andrade, Maestra de profesión, su vida transcurría normal entre las aulas, tareas, festivales escolares, hasta que le arrebataron la vida a su hija, el feminicidio de Alejandra Andrade obligó a Norma a convertirse en algo que nunca imaginó, a ser defensora de los derechos humanos, la circunstancia la orilló a jubilarse, quedó al cuidado de sus dos nietos, pero al mismo tiempo aprendió de derecho, de tratados internacionales, de procedimientos y audiencias judiciales, fue la voz de su propia hija en tribunales internacionales y después de 24 años de lucha, de haber sufrido dos atentados que casi le cuesta la vida y de la mano del Grupo de Acción por los Derechos Humanos y la Justicia Social, logró que la Corte Interamericana de Derechos Humanos emitiera la segunda sentencia en contra del Estado mexicano, nuevamente por casos de feminicidio. Esta notificación se dio a conocer el pasado 19 de diciembre del 2025. Caso García Andrade contra México.</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Otra sentencia que cambió el rumbo de México en materia de feminicidios fue gracias a la lucha de la señora </w:t>
      </w:r>
      <w:proofErr w:type="spellStart"/>
      <w:r w:rsidRPr="00AE0CAB">
        <w:rPr>
          <w:rFonts w:ascii="Times New Roman" w:hAnsi="Times New Roman" w:cs="Times New Roman"/>
          <w:sz w:val="24"/>
          <w:szCs w:val="24"/>
        </w:rPr>
        <w:t>Irinea</w:t>
      </w:r>
      <w:proofErr w:type="spellEnd"/>
      <w:r w:rsidRPr="00AE0CAB">
        <w:rPr>
          <w:rFonts w:ascii="Times New Roman" w:hAnsi="Times New Roman" w:cs="Times New Roman"/>
          <w:sz w:val="24"/>
          <w:szCs w:val="24"/>
        </w:rPr>
        <w:t xml:space="preserve"> Buendía, madre de Mariana Lima Buendía, quien enfrentó a un sistema que intentó cerrar el caso clasificándolo como suicidio, sin una investigación profunda y sin perspectiva de género, sin verdad; pero sobre todo, sin justicia, pero ella, esa madre nunca aceptó </w:t>
      </w:r>
      <w:r w:rsidRPr="00AE0CAB">
        <w:rPr>
          <w:rFonts w:ascii="Times New Roman" w:hAnsi="Times New Roman" w:cs="Times New Roman"/>
          <w:sz w:val="24"/>
          <w:szCs w:val="24"/>
        </w:rPr>
        <w:lastRenderedPageBreak/>
        <w:t xml:space="preserve">que su hija se quitara la vida, estaba estudiando en la Facultad de Derecho de la UNAM, ella nunca creyó en esa investigación que cerraba y clasificaba el caso como suicidio, se formó, se capacitó, estudió Derecho y llevó el caso de su hija hasta la Suprema Corte de Justicia de la Nación, que emitió una sentencia histórica. Toda muerte violenta de mujer debe investigarse con perspectiva de género y como feminicidio, este criterio hoy salva investigaciones, este criterio hoy evita que la violencia feminicida se disfrace de accidente. </w:t>
      </w:r>
    </w:p>
    <w:p w:rsidR="000E0101" w:rsidRPr="00AE0CAB" w:rsidRDefault="000E0101" w:rsidP="00D71801">
      <w:pPr>
        <w:pStyle w:val="Sinespaciado"/>
        <w:ind w:firstLine="709"/>
        <w:jc w:val="both"/>
        <w:rPr>
          <w:rFonts w:ascii="Times New Roman" w:hAnsi="Times New Roman" w:cs="Times New Roman"/>
          <w:sz w:val="24"/>
          <w:szCs w:val="24"/>
        </w:rPr>
      </w:pPr>
      <w:r w:rsidRPr="00AE0CAB">
        <w:rPr>
          <w:rFonts w:ascii="Times New Roman" w:hAnsi="Times New Roman" w:cs="Times New Roman"/>
          <w:sz w:val="24"/>
          <w:szCs w:val="24"/>
        </w:rPr>
        <w:t xml:space="preserve">Un caso más; el del señor José Luis Castillo, padre de Esmeralda Castillo, quien hasta la fecha no se ha rendido en la búsqueda de su hija, ha caminado, ha tocado las puertas de la Fiscalía de instancias internacionales y él se ha enfrentado a esa violencia institucional y a la burocracia que tanto lacera a nuestro sistema judicial, José Luis Castillo estuvo preso casi un año al lado de su hijo por simplemente exigir respuestas ¿En dónde está su hija? Él ha transformado su desesperación en acción, ellos, los padres y madres buscadoras, no eligieron esta ruta, la realidad se las impuso, decidieron no guardar silencio, decidieron convertir el dolor en una herramienta, la indignación en conocimiento, la ausencia en exigencia, y como ellos, miles de padres y madres buscadoras en México se han convertido en expertos, se han convertido en un referente, se han convertido en verdaderos defensores de los derechos humanos.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Esta iniciativa que presento ante esta Soberanía se deriva del análisis de la sentencia emitida por la Corte Interamericana de Derechos Humanos en el caso García Andrade contra México, una sentencia que establece responsabilidades y obligaciones, que fija criterios fundamentales que modificarán lo que se entiende hoy por tortura sexual y que vuelve a colocar sobre la mesa el debate urgente de las infancias en orfandad por violencia feminicida o desaparición.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El cumplimiento de las sentencias internacionales no puede quedarse solo en el discurso, debe traducirse en acciones legislativas concretas; la crisis que vivimos en materia de desaparición y violencia contra las mujeres no admite indiferencia, exige responsabilidad, exige su cumplimiento, exige estar a la altura de los estándares internacionales que México ha aceptado y ha firmado, pero sobre todo, exige humanidad. </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La lucha de los padres y madres buscadoras debe ser reconocida porque han enfrentado el dolor más devastador la incertidumbre que lacera, la violencia institucional, la revictimización constante, la indiferencia que lastima tanto como la ausencia y aun así no se detuvieron, transformaron todo esto en conocimiento, en precedentes jurídicos, en sentencias nacionales e internacionales, en estándares que hoy obligan al Estado a actuar de una mejor manera, han llevado el dolor a los tribunales, han hecho que los nombres de sus hijas se escuchen en las más altas corte, han convertido su amor en una forma de defensa colectiva.</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Esta iniciativa es para ellas y ellos para quienes no se rindieron, para quienes aprendieron de leyes cuando lo único que querían era abrazar a sus hijas, para quienes han hecho que su lucha trascienda fronteras es también un acto de memoria; es honrar a las hijas que no están, sus nombres, su dignidad, su historia y reconoce a quienes allá fuera siguen buscando, siguen exigiendo, siguen luchando, siguen esperando respuestas, siguen pidiendo que sus hijas regresen a casa.</w:t>
      </w:r>
    </w:p>
    <w:p w:rsidR="000E0101" w:rsidRPr="00AE0CAB" w:rsidRDefault="000E0101" w:rsidP="00D71801">
      <w:pPr>
        <w:pStyle w:val="Sinespaciado"/>
        <w:ind w:firstLine="708"/>
        <w:jc w:val="both"/>
        <w:rPr>
          <w:rFonts w:ascii="Times New Roman" w:hAnsi="Times New Roman" w:cs="Times New Roman"/>
          <w:sz w:val="24"/>
          <w:szCs w:val="24"/>
        </w:rPr>
      </w:pPr>
      <w:r w:rsidRPr="00AE0CAB">
        <w:rPr>
          <w:rFonts w:ascii="Times New Roman" w:hAnsi="Times New Roman" w:cs="Times New Roman"/>
          <w:sz w:val="24"/>
          <w:szCs w:val="24"/>
        </w:rPr>
        <w:t xml:space="preserve">Por eso hoy presento esta iniciativa que busca incorporar en la </w:t>
      </w:r>
      <w:r w:rsidR="0057156E" w:rsidRPr="00AE0CAB">
        <w:rPr>
          <w:rFonts w:ascii="Times New Roman" w:hAnsi="Times New Roman" w:cs="Times New Roman"/>
          <w:sz w:val="24"/>
          <w:szCs w:val="24"/>
        </w:rPr>
        <w:t xml:space="preserve">Ley Estatal </w:t>
      </w:r>
      <w:r w:rsidRPr="00AE0CAB">
        <w:rPr>
          <w:rFonts w:ascii="Times New Roman" w:hAnsi="Times New Roman" w:cs="Times New Roman"/>
          <w:sz w:val="24"/>
          <w:szCs w:val="24"/>
        </w:rPr>
        <w:t xml:space="preserve">en materia de </w:t>
      </w:r>
      <w:r w:rsidR="0057156E" w:rsidRPr="00AE0CAB">
        <w:rPr>
          <w:rFonts w:ascii="Times New Roman" w:hAnsi="Times New Roman" w:cs="Times New Roman"/>
          <w:sz w:val="24"/>
          <w:szCs w:val="24"/>
        </w:rPr>
        <w:t xml:space="preserve">Desaparición Forzada </w:t>
      </w:r>
      <w:r w:rsidRPr="00AE0CAB">
        <w:rPr>
          <w:rFonts w:ascii="Times New Roman" w:hAnsi="Times New Roman" w:cs="Times New Roman"/>
          <w:sz w:val="24"/>
          <w:szCs w:val="24"/>
        </w:rPr>
        <w:t xml:space="preserve">de </w:t>
      </w:r>
      <w:r w:rsidR="0057156E" w:rsidRPr="00AE0CAB">
        <w:rPr>
          <w:rFonts w:ascii="Times New Roman" w:hAnsi="Times New Roman" w:cs="Times New Roman"/>
          <w:sz w:val="24"/>
          <w:szCs w:val="24"/>
        </w:rPr>
        <w:t xml:space="preserve">Personas </w:t>
      </w:r>
      <w:r w:rsidRPr="00AE0CAB">
        <w:rPr>
          <w:rFonts w:ascii="Times New Roman" w:hAnsi="Times New Roman" w:cs="Times New Roman"/>
          <w:sz w:val="24"/>
          <w:szCs w:val="24"/>
        </w:rPr>
        <w:t xml:space="preserve">y </w:t>
      </w:r>
      <w:r w:rsidR="006C3B1D" w:rsidRPr="00AE0CAB">
        <w:rPr>
          <w:rFonts w:ascii="Times New Roman" w:hAnsi="Times New Roman" w:cs="Times New Roman"/>
          <w:sz w:val="24"/>
          <w:szCs w:val="24"/>
        </w:rPr>
        <w:t xml:space="preserve">Desaparición </w:t>
      </w:r>
      <w:r w:rsidRPr="00AE0CAB">
        <w:rPr>
          <w:rFonts w:ascii="Times New Roman" w:hAnsi="Times New Roman" w:cs="Times New Roman"/>
          <w:sz w:val="24"/>
          <w:szCs w:val="24"/>
        </w:rPr>
        <w:t xml:space="preserve">cometida por </w:t>
      </w:r>
      <w:r w:rsidR="006C3B1D" w:rsidRPr="00AE0CAB">
        <w:rPr>
          <w:rFonts w:ascii="Times New Roman" w:hAnsi="Times New Roman" w:cs="Times New Roman"/>
          <w:sz w:val="24"/>
          <w:szCs w:val="24"/>
        </w:rPr>
        <w:t>Particulares</w:t>
      </w:r>
      <w:r w:rsidRPr="00AE0CAB">
        <w:rPr>
          <w:rFonts w:ascii="Times New Roman" w:hAnsi="Times New Roman" w:cs="Times New Roman"/>
          <w:sz w:val="24"/>
          <w:szCs w:val="24"/>
        </w:rPr>
        <w:t>, el término de padres y madres buscadoras y sean reconocidos en la ley como defensores de derechos humanos como una forma de honrar su incansable lucha, porque nombrar es reconocer y reconocer es dignificar.</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¡Vivas se las llevaron, vivas las queremos!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Muchas gracias.</w:t>
      </w:r>
    </w:p>
    <w:p w:rsidR="00820633" w:rsidRPr="00AE0CAB" w:rsidRDefault="00820633" w:rsidP="00811204">
      <w:pPr>
        <w:pStyle w:val="Sinespaciado"/>
        <w:jc w:val="both"/>
        <w:rPr>
          <w:rFonts w:ascii="Times New Roman" w:hAnsi="Times New Roman" w:cs="Times New Roman"/>
          <w:sz w:val="24"/>
          <w:szCs w:val="24"/>
        </w:rPr>
      </w:pPr>
    </w:p>
    <w:p w:rsidR="00820633" w:rsidRPr="00AE0CAB" w:rsidRDefault="00820633" w:rsidP="00811204">
      <w:pPr>
        <w:spacing w:after="0" w:line="240" w:lineRule="auto"/>
        <w:jc w:val="center"/>
        <w:rPr>
          <w:rFonts w:ascii="Times New Roman" w:hAnsi="Times New Roman" w:cs="Times New Roman"/>
          <w:i/>
          <w:sz w:val="24"/>
          <w:szCs w:val="24"/>
        </w:rPr>
      </w:pPr>
      <w:r w:rsidRPr="00AE0CAB">
        <w:rPr>
          <w:rFonts w:ascii="Times New Roman" w:hAnsi="Times New Roman" w:cs="Times New Roman"/>
          <w:i/>
          <w:sz w:val="24"/>
          <w:szCs w:val="24"/>
        </w:rPr>
        <w:t>(Se inserta documento)</w:t>
      </w:r>
    </w:p>
    <w:p w:rsidR="00820633" w:rsidRPr="00AE0CAB" w:rsidRDefault="00820633" w:rsidP="00811204">
      <w:pPr>
        <w:spacing w:after="0" w:line="240" w:lineRule="auto"/>
        <w:jc w:val="center"/>
        <w:rPr>
          <w:rFonts w:ascii="Times New Roman" w:hAnsi="Times New Roman" w:cs="Times New Roman"/>
          <w:sz w:val="24"/>
          <w:szCs w:val="24"/>
        </w:rPr>
      </w:pPr>
    </w:p>
    <w:p w:rsidR="00820633" w:rsidRPr="00AE0CAB" w:rsidRDefault="00820633" w:rsidP="00811204">
      <w:pPr>
        <w:spacing w:after="0" w:line="240" w:lineRule="auto"/>
        <w:ind w:left="-17" w:right="-17"/>
        <w:jc w:val="center"/>
        <w:rPr>
          <w:rFonts w:ascii="Times New Roman" w:eastAsia="Tahoma" w:hAnsi="Times New Roman" w:cs="Times New Roman"/>
          <w:sz w:val="24"/>
          <w:szCs w:val="24"/>
        </w:rPr>
      </w:pPr>
      <w:r w:rsidRPr="00AE0CAB">
        <w:rPr>
          <w:rFonts w:ascii="Times New Roman" w:eastAsia="Tahoma" w:hAnsi="Times New Roman" w:cs="Times New Roman"/>
          <w:sz w:val="24"/>
          <w:szCs w:val="24"/>
        </w:rPr>
        <w:t>Presidenta de la Comisión Para las Declaratorias de</w:t>
      </w:r>
    </w:p>
    <w:p w:rsidR="00820633" w:rsidRPr="00AE0CAB" w:rsidRDefault="00820633" w:rsidP="00811204">
      <w:pPr>
        <w:spacing w:after="0" w:line="240" w:lineRule="auto"/>
        <w:ind w:left="125" w:right="129"/>
        <w:jc w:val="center"/>
        <w:rPr>
          <w:rFonts w:ascii="Times New Roman" w:eastAsia="Tahoma" w:hAnsi="Times New Roman" w:cs="Times New Roman"/>
          <w:sz w:val="24"/>
          <w:szCs w:val="24"/>
        </w:rPr>
      </w:pPr>
      <w:r w:rsidRPr="00AE0CAB">
        <w:rPr>
          <w:rFonts w:ascii="Times New Roman" w:eastAsia="Tahoma" w:hAnsi="Times New Roman" w:cs="Times New Roman"/>
          <w:sz w:val="24"/>
          <w:szCs w:val="24"/>
        </w:rPr>
        <w:t>Alerta de Violencia de Género contra las Mujeres por Feminicidio y Desaparición</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center"/>
        <w:rPr>
          <w:rFonts w:ascii="Times New Roman" w:eastAsia="Tahoma" w:hAnsi="Times New Roman" w:cs="Times New Roman"/>
          <w:sz w:val="24"/>
          <w:szCs w:val="24"/>
        </w:rPr>
      </w:pPr>
      <w:r w:rsidRPr="00AE0CAB">
        <w:rPr>
          <w:rFonts w:ascii="Times New Roman" w:eastAsia="Tahoma" w:hAnsi="Times New Roman" w:cs="Times New Roman"/>
          <w:sz w:val="24"/>
          <w:szCs w:val="24"/>
        </w:rPr>
        <w:t>Dip. Ana Yurixi Leyva Piñón</w:t>
      </w:r>
    </w:p>
    <w:p w:rsidR="00820633" w:rsidRPr="00AE0CAB" w:rsidRDefault="00820633" w:rsidP="00811204">
      <w:pPr>
        <w:spacing w:after="0" w:line="240" w:lineRule="auto"/>
        <w:jc w:val="center"/>
        <w:rPr>
          <w:rFonts w:ascii="Times New Roman" w:eastAsia="Tahoma" w:hAnsi="Times New Roman" w:cs="Times New Roman"/>
          <w:sz w:val="24"/>
          <w:szCs w:val="24"/>
        </w:rPr>
      </w:pPr>
      <w:r w:rsidRPr="00AE0CAB">
        <w:rPr>
          <w:rFonts w:ascii="Times New Roman" w:eastAsia="Tahoma" w:hAnsi="Times New Roman" w:cs="Times New Roman"/>
          <w:sz w:val="24"/>
          <w:szCs w:val="24"/>
        </w:rPr>
        <w:t>Distrito II Toluca</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center"/>
        <w:rPr>
          <w:rFonts w:ascii="Times New Roman" w:hAnsi="Times New Roman" w:cs="Times New Roman"/>
          <w:sz w:val="24"/>
          <w:szCs w:val="24"/>
        </w:rPr>
      </w:pPr>
      <w:r w:rsidRPr="00AE0CAB">
        <w:rPr>
          <w:rFonts w:ascii="Times New Roman" w:hAnsi="Times New Roman" w:cs="Times New Roman"/>
          <w:sz w:val="24"/>
          <w:szCs w:val="24"/>
        </w:rPr>
        <w:t>“2026. Año del Humanismo Mexicano en el Estado de México”.</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right"/>
        <w:rPr>
          <w:rFonts w:ascii="Times New Roman" w:eastAsia="Calibri" w:hAnsi="Times New Roman" w:cs="Times New Roman"/>
          <w:sz w:val="24"/>
          <w:szCs w:val="24"/>
        </w:rPr>
      </w:pPr>
      <w:r w:rsidRPr="00AE0CAB">
        <w:rPr>
          <w:rFonts w:ascii="Times New Roman" w:eastAsia="Calibri" w:hAnsi="Times New Roman" w:cs="Times New Roman"/>
          <w:sz w:val="24"/>
          <w:szCs w:val="24"/>
        </w:rPr>
        <w:t>Toluca de Lerdo, México a 17 de febrero de 2026</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rPr>
          <w:rFonts w:ascii="Times New Roman" w:eastAsia="Calibri" w:hAnsi="Times New Roman" w:cs="Times New Roman"/>
          <w:b/>
          <w:sz w:val="24"/>
          <w:szCs w:val="24"/>
        </w:rPr>
      </w:pPr>
      <w:r w:rsidRPr="00AE0CAB">
        <w:rPr>
          <w:rFonts w:ascii="Times New Roman" w:eastAsia="Calibri" w:hAnsi="Times New Roman" w:cs="Times New Roman"/>
          <w:b/>
          <w:sz w:val="24"/>
          <w:szCs w:val="24"/>
        </w:rPr>
        <w:t>DIP. MARTHA AZUCENA CAMACHO REYNOSO</w:t>
      </w:r>
    </w:p>
    <w:p w:rsidR="00820633" w:rsidRPr="00AE0CAB" w:rsidRDefault="00820633" w:rsidP="00811204">
      <w:pPr>
        <w:spacing w:after="0" w:line="240" w:lineRule="auto"/>
        <w:rPr>
          <w:rFonts w:ascii="Times New Roman" w:eastAsia="Calibri" w:hAnsi="Times New Roman" w:cs="Times New Roman"/>
          <w:b/>
          <w:sz w:val="24"/>
          <w:szCs w:val="24"/>
        </w:rPr>
      </w:pPr>
      <w:r w:rsidRPr="00AE0CAB">
        <w:rPr>
          <w:rFonts w:ascii="Times New Roman" w:eastAsia="Calibri" w:hAnsi="Times New Roman" w:cs="Times New Roman"/>
          <w:b/>
          <w:sz w:val="24"/>
          <w:szCs w:val="24"/>
        </w:rPr>
        <w:t>PRESIDENTA DE LA MESA DIRECTIVA DE LA</w:t>
      </w:r>
    </w:p>
    <w:p w:rsidR="00820633" w:rsidRPr="00AE0CAB" w:rsidRDefault="00820633" w:rsidP="00811204">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b/>
          <w:sz w:val="24"/>
          <w:szCs w:val="24"/>
        </w:rPr>
        <w:t>LXII LEGISLATURA DEL ESTADO DE MÉXICO</w:t>
      </w: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P R E S E N T E</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hAnsi="Times New Roman" w:cs="Times New Roman"/>
          <w:sz w:val="24"/>
          <w:szCs w:val="24"/>
        </w:rPr>
      </w:pPr>
      <w:r w:rsidRPr="00AE0CAB">
        <w:rPr>
          <w:rFonts w:ascii="Times New Roman" w:eastAsia="Calibri" w:hAnsi="Times New Roman" w:cs="Times New Roman"/>
          <w:sz w:val="24"/>
          <w:szCs w:val="24"/>
        </w:rPr>
        <w:t xml:space="preserve">La que suscribe Diputada Ana Yurixi Leyva Piñón, integrante de la LXII Legislatura Local y del Grupo Parlamentario del PT, con fundamento en lo dispuesto en los artículos 51 fracción II de la Constitución Política del Estado Libre y Soberano de México y 28 fracción I, de la Ley Orgánica del Poder Legislativo del Estado Libre y Soberano de México, someto a la consideración de esta Asamblea, la siguiente </w:t>
      </w:r>
      <w:r w:rsidRPr="00AE0CAB">
        <w:rPr>
          <w:rFonts w:ascii="Times New Roman" w:eastAsia="Calibri" w:hAnsi="Times New Roman" w:cs="Times New Roman"/>
          <w:b/>
          <w:i/>
          <w:sz w:val="24"/>
          <w:szCs w:val="24"/>
        </w:rPr>
        <w:t>Iniciativa con Proyecto de Decreto por el que se adiciona una fracción XVI</w:t>
      </w:r>
      <w:r w:rsidRPr="00AE0CAB">
        <w:rPr>
          <w:rFonts w:ascii="Times New Roman" w:eastAsia="Calibri" w:hAnsi="Times New Roman" w:cs="Times New Roman"/>
          <w:i/>
          <w:sz w:val="24"/>
          <w:szCs w:val="24"/>
        </w:rPr>
        <w:t xml:space="preserve">, </w:t>
      </w:r>
      <w:r w:rsidRPr="00AE0CAB">
        <w:rPr>
          <w:rFonts w:ascii="Times New Roman" w:eastAsia="Calibri" w:hAnsi="Times New Roman" w:cs="Times New Roman"/>
          <w:b/>
          <w:i/>
          <w:sz w:val="24"/>
          <w:szCs w:val="24"/>
        </w:rPr>
        <w:t xml:space="preserve">recorriéndose las ya establecidas al artículo 4 de la Ley en Materia de Desaparición Forzada de Personas y Desaparición cometida por Particulares para el Estado Libre y Soberano de México, </w:t>
      </w:r>
      <w:r w:rsidRPr="00AE0CAB">
        <w:rPr>
          <w:rFonts w:ascii="Times New Roman" w:eastAsia="Calibri" w:hAnsi="Times New Roman" w:cs="Times New Roman"/>
          <w:sz w:val="24"/>
          <w:szCs w:val="24"/>
        </w:rPr>
        <w:t>al tenor de la siguiente:</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rPr>
        <w:t>EXPOSICIÓN DE MOTIVOS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De acuerdo con lo que señala el Plan de Desarrollo del Estado de México 2023-2029, en su Eje Transversal 2. “Construcción de la Paz y Seguridad,” es importante alinear la Estrategia de Seguridad Estatal a la Nacional, a través del establecimiento de la seguridad ciudadana, colocando en el centro de las Políticas Públicas la Protección de los Derechos Humanos, la justicia restaurativa y la atención integral a las víctimas.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Lo anterior, en concordancia con las demandas sociales y con la obligación y el deber del estado de garantizar la vida, la dignidad y la seguridad de sus habitantes.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este orden de ideas, uno de los objetos de la legislación local en el Estado de México en materia de Desaparición de Personas,  es garantizar la participación de los familiares en el diseño, implementación, monitoreo y evaluación de las acciones de búsqueda e identificación de Personas Desaparecidas; así como garantizar la coadyuvancia en las etapas de Investigación, como en el proceso, de manera que puedan verter sus opiniones, recibir información, aportar indicios o evidencias, de acuerdo a los lineamientos y protocolos emitidos por el Sistema Nacional de Búsqueda de Personas.</w:t>
      </w:r>
      <w:r w:rsidRPr="00AE0CAB">
        <w:rPr>
          <w:rFonts w:ascii="Times New Roman" w:eastAsia="Calibri" w:hAnsi="Times New Roman" w:cs="Times New Roman"/>
          <w:sz w:val="24"/>
          <w:szCs w:val="24"/>
          <w:vertAlign w:val="superscript"/>
        </w:rPr>
        <w:t>1</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Con base en las recientes exigencias y propuestas de colectivos a nivel estatal y federal en México, se busca la incorporación formal de </w:t>
      </w:r>
      <w:r w:rsidRPr="00AE0CAB">
        <w:rPr>
          <w:rFonts w:ascii="Times New Roman" w:eastAsia="Calibri" w:hAnsi="Times New Roman" w:cs="Times New Roman"/>
          <w:b/>
          <w:sz w:val="24"/>
          <w:szCs w:val="24"/>
        </w:rPr>
        <w:t xml:space="preserve">"Padres y Madres Buscadoras" </w:t>
      </w:r>
      <w:r w:rsidRPr="00AE0CAB">
        <w:rPr>
          <w:rFonts w:ascii="Times New Roman" w:eastAsia="Calibri" w:hAnsi="Times New Roman" w:cs="Times New Roman"/>
          <w:sz w:val="24"/>
          <w:szCs w:val="24"/>
        </w:rPr>
        <w:t>en el glosario de las leyes de desaparición para reconocer a los padres y a las madres como defensores de derechos humanos.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Aunque es un proceso en desarrollo, se han destacado esfuerzos en los siguientes estados: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Verdana" w:hAnsi="Times New Roman" w:cs="Times New Roman"/>
          <w:sz w:val="24"/>
          <w:szCs w:val="24"/>
        </w:rPr>
        <w:lastRenderedPageBreak/>
        <w:t>•</w:t>
      </w:r>
      <w:r w:rsidRPr="00AE0CAB">
        <w:rPr>
          <w:rFonts w:ascii="Times New Roman" w:eastAsia="Verdana" w:hAnsi="Times New Roman" w:cs="Times New Roman"/>
          <w:sz w:val="24"/>
          <w:szCs w:val="24"/>
        </w:rPr>
        <w:tab/>
      </w:r>
      <w:r w:rsidRPr="00AE0CAB">
        <w:rPr>
          <w:rFonts w:ascii="Times New Roman" w:eastAsia="Calibri" w:hAnsi="Times New Roman" w:cs="Times New Roman"/>
          <w:b/>
          <w:sz w:val="24"/>
          <w:szCs w:val="24"/>
        </w:rPr>
        <w:t xml:space="preserve">Chihuahua: </w:t>
      </w:r>
      <w:r w:rsidRPr="00AE0CAB">
        <w:rPr>
          <w:rFonts w:ascii="Times New Roman" w:eastAsia="Calibri" w:hAnsi="Times New Roman" w:cs="Times New Roman"/>
          <w:sz w:val="24"/>
          <w:szCs w:val="24"/>
        </w:rPr>
        <w:t>Madres buscadoras de diversos estados solicitaron en octubre de 2025 al Congreso local incluir el término y a las familias en la elaboración de la futura Ley Estatal en Materia de Desaparición.</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Verdana" w:hAnsi="Times New Roman" w:cs="Times New Roman"/>
          <w:sz w:val="24"/>
          <w:szCs w:val="24"/>
        </w:rPr>
        <w:t>•</w:t>
      </w:r>
      <w:r w:rsidRPr="00AE0CAB">
        <w:rPr>
          <w:rFonts w:ascii="Times New Roman" w:eastAsia="Verdana" w:hAnsi="Times New Roman" w:cs="Times New Roman"/>
          <w:sz w:val="24"/>
          <w:szCs w:val="24"/>
        </w:rPr>
        <w:tab/>
      </w:r>
      <w:r w:rsidRPr="00AE0CAB">
        <w:rPr>
          <w:rFonts w:ascii="Times New Roman" w:eastAsia="Calibri" w:hAnsi="Times New Roman" w:cs="Times New Roman"/>
          <w:b/>
          <w:sz w:val="24"/>
          <w:szCs w:val="24"/>
        </w:rPr>
        <w:t xml:space="preserve">Sonora, Baja California, Jalisco, Quintana Roo: </w:t>
      </w:r>
      <w:r w:rsidRPr="00AE0CAB">
        <w:rPr>
          <w:rFonts w:ascii="Times New Roman" w:eastAsia="Calibri" w:hAnsi="Times New Roman" w:cs="Times New Roman"/>
          <w:sz w:val="24"/>
          <w:szCs w:val="24"/>
        </w:rPr>
        <w:t>Representantes de colectivos de estas entidades han impulsado la inclusión directa de las madres buscadoras y sus colectivos en los mecanismos de búsqueda de las leyes locales.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hAnsi="Times New Roman" w:cs="Times New Roman"/>
          <w:sz w:val="24"/>
          <w:szCs w:val="24"/>
        </w:rPr>
      </w:pPr>
      <w:r w:rsidRPr="00AE0CAB">
        <w:rPr>
          <w:rFonts w:ascii="Times New Roman" w:eastAsia="Calibri" w:hAnsi="Times New Roman" w:cs="Times New Roman"/>
          <w:sz w:val="24"/>
          <w:szCs w:val="24"/>
          <w:vertAlign w:val="superscript"/>
        </w:rPr>
        <w:t>1</w:t>
      </w:r>
      <w:r w:rsidRPr="00AE0CAB">
        <w:rPr>
          <w:rFonts w:ascii="Times New Roman" w:eastAsia="Calibri" w:hAnsi="Times New Roman" w:cs="Times New Roman"/>
          <w:sz w:val="24"/>
          <w:szCs w:val="24"/>
        </w:rPr>
        <w:t xml:space="preserve"> Ley en materia de Desaparición Forzada de Personas y Desaparición cometida por Particulares para el Estado Libre y Soberano de México.</w:t>
      </w:r>
    </w:p>
    <w:p w:rsidR="00820633" w:rsidRPr="00AE0CAB" w:rsidRDefault="00820633" w:rsidP="00811204">
      <w:pPr>
        <w:spacing w:after="0" w:line="240" w:lineRule="auto"/>
        <w:jc w:val="both"/>
        <w:rPr>
          <w:rFonts w:ascii="Times New Roman" w:eastAsia="Verdana"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Verdana" w:hAnsi="Times New Roman" w:cs="Times New Roman"/>
          <w:sz w:val="24"/>
          <w:szCs w:val="24"/>
        </w:rPr>
        <w:t>•</w:t>
      </w:r>
      <w:r w:rsidRPr="00AE0CAB">
        <w:rPr>
          <w:rFonts w:ascii="Times New Roman" w:eastAsia="Verdana" w:hAnsi="Times New Roman" w:cs="Times New Roman"/>
          <w:sz w:val="24"/>
          <w:szCs w:val="24"/>
        </w:rPr>
        <w:tab/>
      </w:r>
      <w:r w:rsidRPr="00AE0CAB">
        <w:rPr>
          <w:rFonts w:ascii="Times New Roman" w:eastAsia="Calibri" w:hAnsi="Times New Roman" w:cs="Times New Roman"/>
          <w:b/>
          <w:sz w:val="24"/>
          <w:szCs w:val="24"/>
        </w:rPr>
        <w:t xml:space="preserve">Zacatecas: </w:t>
      </w:r>
      <w:r w:rsidRPr="00AE0CAB">
        <w:rPr>
          <w:rFonts w:ascii="Times New Roman" w:eastAsia="Calibri" w:hAnsi="Times New Roman" w:cs="Times New Roman"/>
          <w:sz w:val="24"/>
          <w:szCs w:val="24"/>
        </w:rPr>
        <w:t>Se han generado análisis para el reconocimiento legal de las madres buscadoras en el contexto de las leyes de búsqueda.</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La tendencia es la armonización de las leyes estatales con la Ley General en Materia de Desaparición Forzada, incluyendo las propuestas de los Colectivos para definir su papel y derechos en el glosario de dichos instrumentos.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México enfrenta una crisis de derechos humanos sin precedentes: más de 128,000 personas han sido reportadas como desaparecidas desde 1952. </w:t>
      </w:r>
      <w:r w:rsidRPr="00AE0CAB">
        <w:rPr>
          <w:rFonts w:ascii="Times New Roman" w:eastAsia="Calibri" w:hAnsi="Times New Roman" w:cs="Times New Roman"/>
          <w:sz w:val="24"/>
          <w:szCs w:val="24"/>
        </w:rPr>
        <w:t>Esta crisis no ha sido enfrentada con la responsabilidad que exige, las autoridades mexicanas, usualmente, no han sido eficientes en su labor de búsqueda y protección.</w:t>
      </w:r>
      <w:r w:rsidRPr="00AE0CAB">
        <w:rPr>
          <w:rFonts w:ascii="Times New Roman" w:eastAsia="Calibri" w:hAnsi="Times New Roman" w:cs="Times New Roman"/>
          <w:sz w:val="24"/>
          <w:szCs w:val="24"/>
          <w:vertAlign w:val="superscript"/>
        </w:rPr>
        <w:t>2</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muchos casos, han dejado vacíos que han obligado a las propias familias, principalmente mujeres, a asumir la dolorosa y peligrosa tarea de buscar a sus seres queridos.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rPr>
          <w:rFonts w:ascii="Times New Roman" w:hAnsi="Times New Roman" w:cs="Times New Roman"/>
          <w:sz w:val="24"/>
          <w:szCs w:val="24"/>
        </w:rPr>
      </w:pPr>
      <w:r w:rsidRPr="00AE0CAB">
        <w:rPr>
          <w:rFonts w:ascii="Times New Roman" w:eastAsia="Calibri" w:hAnsi="Times New Roman" w:cs="Times New Roman"/>
          <w:sz w:val="24"/>
          <w:szCs w:val="24"/>
          <w:vertAlign w:val="superscript"/>
        </w:rPr>
        <w:t>2</w:t>
      </w:r>
      <w:r w:rsidRPr="00AE0CAB">
        <w:rPr>
          <w:rFonts w:ascii="Times New Roman" w:eastAsia="Calibri" w:hAnsi="Times New Roman" w:cs="Times New Roman"/>
          <w:sz w:val="24"/>
          <w:szCs w:val="24"/>
        </w:rPr>
        <w:t xml:space="preserve"> Reporte Amnistía Internacional. Mujeres Buscadoras. https://amnistia.org.mx/contenido/index.php/peticion- mujeres-buscadoras/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Estas mujeres, madres, hermanas, hijas y esposas, salen a rastrear fosas, recorren territorios controlados por el crimen organizado, enfrentando amenazas, ataques y estigmatización.</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Esta problemática ha orillado a que hoy en día se sumen los padres de familia en las acciones de búsqueda, lo anterior derivado de la falta de atención e indiferencia de las autoridades.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Lo hacen sin garantías mínimas de seguridad, muchas veces sin apoyo legal ni psicológico. Mientras tanto, las autoridades ignoran sus necesidades, incumplen la ley y, en algunos casos, las revictimizan o criminalizan.</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Por otra parte, Amnistía Internacional documentó, con base en más de 600 testimonios y cuestionarios aplicados a mujeres buscadoras en 30 estados de México y en países de Centroamérica, que </w:t>
      </w:r>
      <w:r w:rsidRPr="00AE0CAB">
        <w:rPr>
          <w:rFonts w:ascii="Times New Roman" w:eastAsia="Calibri" w:hAnsi="Times New Roman" w:cs="Times New Roman"/>
          <w:b/>
          <w:sz w:val="24"/>
          <w:szCs w:val="24"/>
        </w:rPr>
        <w:t>el 97% ha enfrentado al menos una forma de violencia</w:t>
      </w:r>
      <w:r w:rsidRPr="00AE0CAB">
        <w:rPr>
          <w:rFonts w:ascii="Times New Roman" w:eastAsia="Calibri" w:hAnsi="Times New Roman" w:cs="Times New Roman"/>
          <w:sz w:val="24"/>
          <w:szCs w:val="24"/>
        </w:rPr>
        <w:t>. Estas agresiones incluyen amenazas, extorsión, acoso, tentativa de secuestro, y en casos extremos, asesinato o desaparición.</w:t>
      </w:r>
      <w:r w:rsidRPr="00AE0CAB">
        <w:rPr>
          <w:rFonts w:ascii="Times New Roman" w:eastAsia="Calibri" w:hAnsi="Times New Roman" w:cs="Times New Roman"/>
          <w:sz w:val="24"/>
          <w:szCs w:val="24"/>
          <w:vertAlign w:val="superscript"/>
        </w:rPr>
        <w:t>3</w:t>
      </w:r>
    </w:p>
    <w:p w:rsidR="00820633" w:rsidRPr="00AE0CAB" w:rsidRDefault="00820633" w:rsidP="00811204">
      <w:pPr>
        <w:spacing w:after="0" w:line="240" w:lineRule="auto"/>
        <w:jc w:val="both"/>
        <w:rPr>
          <w:rFonts w:ascii="Times New Roman" w:eastAsia="Calibri"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Además, muchas han perdido su trabajo, sus bienes y su salud. Viven con insomnio, ansiedad, enfermedades crónicas y el aislamiento social que implica su lucha. Pese a ello, siguen buscando, y se siguen enfrentando a instituciones y burocracias que no las protegen, no las escuchan y, muchas veces, ni siquiera las reconocen.</w:t>
      </w:r>
    </w:p>
    <w:p w:rsidR="00820633" w:rsidRPr="00AE0CAB" w:rsidRDefault="00820633" w:rsidP="00811204">
      <w:pPr>
        <w:spacing w:after="0" w:line="240" w:lineRule="auto"/>
        <w:jc w:val="both"/>
        <w:rPr>
          <w:rFonts w:ascii="Times New Roman" w:eastAsia="Calibri" w:hAnsi="Times New Roman" w:cs="Times New Roman"/>
          <w:sz w:val="24"/>
          <w:szCs w:val="24"/>
        </w:rPr>
      </w:pPr>
    </w:p>
    <w:p w:rsidR="00820633" w:rsidRPr="00AE0CAB" w:rsidRDefault="00820633" w:rsidP="00811204">
      <w:pPr>
        <w:spacing w:after="0" w:line="240" w:lineRule="auto"/>
        <w:jc w:val="both"/>
        <w:rPr>
          <w:rFonts w:ascii="Times New Roman" w:hAnsi="Times New Roman" w:cs="Times New Roman"/>
          <w:sz w:val="24"/>
          <w:szCs w:val="24"/>
        </w:rPr>
      </w:pPr>
      <w:r w:rsidRPr="00AE0CAB">
        <w:rPr>
          <w:rFonts w:ascii="Times New Roman" w:eastAsia="Calibri" w:hAnsi="Times New Roman" w:cs="Times New Roman"/>
          <w:sz w:val="24"/>
          <w:szCs w:val="24"/>
          <w:vertAlign w:val="superscript"/>
        </w:rPr>
        <w:t>3</w:t>
      </w:r>
      <w:r w:rsidRPr="00AE0CAB">
        <w:rPr>
          <w:rFonts w:ascii="Times New Roman" w:eastAsia="Calibri" w:hAnsi="Times New Roman" w:cs="Times New Roman"/>
          <w:sz w:val="24"/>
          <w:szCs w:val="24"/>
        </w:rPr>
        <w:t xml:space="preserve"> Reporte Amnistía Internacional. Mujeres Buscadoras. https://amnistia.org.mx/contenido/index.php/peticion- mujeres-buscadoras/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el Plano Internacional, es importante hacer mención que el 22 de agosto de 2025, la Corte Interamericana de Derechos Humanos emitió la Sentencia en el caso García Andrade y otros VS. México.</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Para dar contexto a la problemática que se planteó a la Corte Interamericana de derechos Humanos, a continuación, se transcribe de manera íntegra la parte Introductoria de la Causa y el Objeto de la Controversia:</w:t>
      </w:r>
      <w:r w:rsidRPr="00AE0CAB">
        <w:rPr>
          <w:rFonts w:ascii="Times New Roman" w:eastAsia="Calibri" w:hAnsi="Times New Roman" w:cs="Times New Roman"/>
          <w:sz w:val="24"/>
          <w:szCs w:val="24"/>
          <w:vertAlign w:val="superscript"/>
        </w:rPr>
        <w:t>4</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i/>
          <w:sz w:val="24"/>
          <w:szCs w:val="24"/>
        </w:rPr>
        <w:t>“”INTRODUCCIÓN DE LA CAUSA Y OBJETO DE LA CONTROVERSIA””</w:t>
      </w: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i/>
          <w:sz w:val="24"/>
          <w:szCs w:val="24"/>
        </w:rPr>
        <w:t>1. El caso sometido a la Corte. - El 28 de diciembre de 2023 la Comisión Interamericana de Derechos Humanos (en adelante “la Comisión Interamericana” o “la Comisión”) sometió a la jurisdicción de la Corte el caso “Lilia Alejandra García Andrade y otras” en contra de los Estados Unidos Mexicanos (en adelante también “México” o “el Estado”). De acuerdo con la Comisión, el caso se relaciona con la alegada responsabilidad estatal por la desaparición y posterior hallazgo sin vida de Lilia Alejandra García Andrade en 2001 en un contexto de violencia contra la mujer en Ciudad Juárez, estado de Chihuahua, y por la falta de debida diligencia en la investigación. Asimismo, la Comisión consideró la responsabilidad del Estado por la violación al derecho a la integridad personal de Norma Esther Andrade, madre de Lilia Alejandra, por las amenazas y hostigamientos en su contra como consecuencia del impulso constante a la investigación por la desaparición y muerte de su hija. Destacó, además, el impacto de la desaparición y muerte de Lilia Alejandra en sus hijos y su madre, afectando su derecho a la protección a la familia. De esta forma concluyó que el Estado es responsable por la violación de los derechos a la vida, a la integridad personal, a la libertad personal, derechos de la niñez y a la igualdad, en  relación  con la obligación  de  respetar  los derechos y  el  deber de  adoptar  disposiciones de  derecho  interno,  consagrados  en  la Convención Americana, así como por la violación al deber de prevenir la violencia contra la mujer establecido en la Convención Interamericana para Prevenir, Sancionar y Erradicar la Violencia contra la Mujer (en adelante “Convención de Belém do Pará”) en perjuicio de Lilia Alejandra García Andrade. Además, consideró que el Estado es responsable por la violación de los artículos 1, 6 y 8 de la Convención Interamericana para Prevenir y Sancionar la Tortura (en adelante “CIPST”) en perjuicio de Lilia Alejandra García Andrade. Finalmente, consideró que el Estado es responsable por la violación de los derechos a la integridad personal, las garantías judiciales, protección de la familia y protección judicial, en relación con la obligación de respetar los derechos y el deber de adoptar disposiciones de derecho interno, consagrados en la Convención Americana, así como el deber de sancionar y erradicar la violencia contra la mujer establecido en la Convención de Belém do Pará en perjuicio de Norma Esther Andrade y de los hijos de Lilia Alejandra García Andrade.</w:t>
      </w:r>
    </w:p>
    <w:p w:rsidR="00820633" w:rsidRPr="00AE0CAB" w:rsidRDefault="00820633" w:rsidP="00811204">
      <w:pPr>
        <w:spacing w:after="0" w:line="240" w:lineRule="auto"/>
        <w:jc w:val="both"/>
        <w:rPr>
          <w:rFonts w:ascii="Times New Roman" w:hAnsi="Times New Roman" w:cs="Times New Roman"/>
          <w:sz w:val="24"/>
          <w:szCs w:val="24"/>
        </w:rPr>
      </w:pPr>
    </w:p>
    <w:p w:rsidR="00820633" w:rsidRPr="00AE0CAB" w:rsidRDefault="00820633" w:rsidP="00811204">
      <w:pPr>
        <w:spacing w:after="0" w:line="240" w:lineRule="auto"/>
        <w:rPr>
          <w:rFonts w:ascii="Times New Roman" w:eastAsia="Segoe UI" w:hAnsi="Times New Roman" w:cs="Times New Roman"/>
          <w:sz w:val="24"/>
          <w:szCs w:val="24"/>
        </w:rPr>
      </w:pPr>
      <w:r w:rsidRPr="00AE0CAB">
        <w:rPr>
          <w:rFonts w:ascii="Times New Roman" w:hAnsi="Times New Roman" w:cs="Times New Roman"/>
          <w:b/>
          <w:sz w:val="24"/>
          <w:szCs w:val="24"/>
          <w:vertAlign w:val="superscript"/>
        </w:rPr>
        <w:t>4</w:t>
      </w:r>
      <w:r w:rsidRPr="00AE0CAB">
        <w:rPr>
          <w:rFonts w:ascii="Times New Roman" w:hAnsi="Times New Roman" w:cs="Times New Roman"/>
          <w:b/>
          <w:sz w:val="24"/>
          <w:szCs w:val="24"/>
        </w:rPr>
        <w:t xml:space="preserve"> https://jurisprudencia.corteidh.or.cr/es/vid/1090148510. </w:t>
      </w:r>
      <w:r w:rsidRPr="00AE0CAB">
        <w:rPr>
          <w:rFonts w:ascii="Times New Roman" w:eastAsia="Segoe UI" w:hAnsi="Times New Roman" w:cs="Times New Roman"/>
          <w:sz w:val="24"/>
          <w:szCs w:val="24"/>
        </w:rPr>
        <w:t>Corte IDH. Caso García Andrade y otros Vs. México. Excepción Preliminar, Fondo, Reparaciones y Costas. Sentencia de 22 de agosto de 2025. Serie C No. 563.</w:t>
      </w:r>
    </w:p>
    <w:p w:rsidR="00820633" w:rsidRPr="00AE0CAB" w:rsidRDefault="00820633" w:rsidP="00811204">
      <w:pPr>
        <w:spacing w:after="0" w:line="240" w:lineRule="auto"/>
        <w:rPr>
          <w:rFonts w:ascii="Times New Roman" w:eastAsia="Segoe UI"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i/>
          <w:sz w:val="24"/>
          <w:szCs w:val="24"/>
        </w:rPr>
        <w:t>El fondo de la Sentencia en el numeral IX refiere lo siguiente:</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i/>
          <w:sz w:val="24"/>
          <w:szCs w:val="24"/>
        </w:rPr>
        <w:lastRenderedPageBreak/>
        <w:t>IX-1.- Derechos a la vida, Integridad personal, Derechos de la niñez, Derecho a la Igualdad, Derecho a vivir una vida libre de Violencia, Derecho a prevenir la Tortura.</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i/>
          <w:sz w:val="24"/>
          <w:szCs w:val="24"/>
        </w:rPr>
        <w:t>IX-2.- Derecho a las Garantías Judiciales, a la Protección Judicial, a la Igualdad, y Deberes de Investigar la Violencia contra la Mujer y la Tortura y de adoptar Medidas para brindar Mecanismos Judiciales Efectivos ante casos de Violencia contra las Mujeres.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i/>
          <w:sz w:val="24"/>
          <w:szCs w:val="24"/>
        </w:rPr>
        <w:t>IX-3.- Derecho a la Integridad Personal, Protección de la Familia, Protección de la niñez, y Circulación y Residencia respecto de los Familiares de la víctima Lilia Alejandra García Andrade.</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hAnsi="Times New Roman" w:cs="Times New Roman"/>
          <w:sz w:val="24"/>
          <w:szCs w:val="24"/>
        </w:rPr>
      </w:pPr>
      <w:r w:rsidRPr="00AE0CAB">
        <w:rPr>
          <w:rFonts w:ascii="Times New Roman" w:eastAsia="Calibri" w:hAnsi="Times New Roman" w:cs="Times New Roman"/>
          <w:sz w:val="24"/>
          <w:szCs w:val="24"/>
        </w:rPr>
        <w:t xml:space="preserve">Derivado de lo anterior, es importante que las autoridades en México, reconozcan públicamente el derecho a buscar y que a los </w:t>
      </w:r>
      <w:r w:rsidRPr="00AE0CAB">
        <w:rPr>
          <w:rFonts w:ascii="Times New Roman" w:eastAsia="Calibri" w:hAnsi="Times New Roman" w:cs="Times New Roman"/>
          <w:b/>
          <w:sz w:val="24"/>
          <w:szCs w:val="24"/>
        </w:rPr>
        <w:t xml:space="preserve">hombres </w:t>
      </w:r>
      <w:r w:rsidRPr="00AE0CAB">
        <w:rPr>
          <w:rFonts w:ascii="Times New Roman" w:eastAsia="Calibri" w:hAnsi="Times New Roman" w:cs="Times New Roman"/>
          <w:sz w:val="24"/>
          <w:szCs w:val="24"/>
        </w:rPr>
        <w:t xml:space="preserve">y </w:t>
      </w:r>
      <w:r w:rsidRPr="00AE0CAB">
        <w:rPr>
          <w:rFonts w:ascii="Times New Roman" w:eastAsia="Calibri" w:hAnsi="Times New Roman" w:cs="Times New Roman"/>
          <w:b/>
          <w:sz w:val="24"/>
          <w:szCs w:val="24"/>
        </w:rPr>
        <w:t>mujeres buscadoras (madres buscadoras) sean reconocidos por las Instituciones de Gobierno como defensores y defensoras de derechos humanos</w:t>
      </w:r>
      <w:r w:rsidRPr="00AE0CAB">
        <w:rPr>
          <w:rFonts w:ascii="Times New Roman" w:eastAsia="Calibri" w:hAnsi="Times New Roman" w:cs="Times New Roman"/>
          <w:sz w:val="24"/>
          <w:szCs w:val="24"/>
        </w:rPr>
        <w:t>.</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Así mismo, es importante que a las personas que participan en acciones de búsqueda y localización de personas desaparecidas se les brinde la protección del Estado para:</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Que se garantice su seguridad e integridad física, </w:t>
      </w:r>
      <w:r w:rsidRPr="00AE0CAB">
        <w:rPr>
          <w:rFonts w:ascii="Times New Roman" w:eastAsia="Calibri" w:hAnsi="Times New Roman" w:cs="Times New Roman"/>
          <w:sz w:val="24"/>
          <w:szCs w:val="24"/>
        </w:rPr>
        <w:t>psicológica y emocional durante las labores de búsqueda, y se les brinde acceso a medidas de protección y reparación integral.</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Que se investiguen y sancionen todas las formas de violencia </w:t>
      </w:r>
      <w:r w:rsidRPr="00AE0CAB">
        <w:rPr>
          <w:rFonts w:ascii="Times New Roman" w:eastAsia="Calibri" w:hAnsi="Times New Roman" w:cs="Times New Roman"/>
          <w:sz w:val="24"/>
          <w:szCs w:val="24"/>
        </w:rPr>
        <w:t>contra hombres y mujeres buscadoras.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Que se adopten </w:t>
      </w:r>
      <w:r w:rsidRPr="00AE0CAB">
        <w:rPr>
          <w:rFonts w:ascii="Times New Roman" w:eastAsia="Calibri" w:hAnsi="Times New Roman" w:cs="Times New Roman"/>
          <w:b/>
          <w:sz w:val="24"/>
          <w:szCs w:val="24"/>
        </w:rPr>
        <w:t xml:space="preserve">políticas públicas con enfoque de género e interseccionalidad </w:t>
      </w:r>
      <w:r w:rsidRPr="00AE0CAB">
        <w:rPr>
          <w:rFonts w:ascii="Times New Roman" w:eastAsia="Calibri" w:hAnsi="Times New Roman" w:cs="Times New Roman"/>
          <w:sz w:val="24"/>
          <w:szCs w:val="24"/>
        </w:rPr>
        <w:t>que aseguren condiciones dignas para la búsqueda.</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Que se les brinden apoyos reales</w:t>
      </w:r>
      <w:r w:rsidRPr="00AE0CAB">
        <w:rPr>
          <w:rFonts w:ascii="Times New Roman" w:eastAsia="Calibri" w:hAnsi="Times New Roman" w:cs="Times New Roman"/>
          <w:sz w:val="24"/>
          <w:szCs w:val="24"/>
        </w:rPr>
        <w:t>: atención médica, psicológica, legal y medidas de reparación integral.</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hAnsi="Times New Roman" w:cs="Times New Roman"/>
          <w:sz w:val="24"/>
          <w:szCs w:val="24"/>
        </w:rPr>
      </w:pPr>
      <w:r w:rsidRPr="00AE0CAB">
        <w:rPr>
          <w:rFonts w:ascii="Times New Roman" w:eastAsia="Calibri" w:hAnsi="Times New Roman" w:cs="Times New Roman"/>
          <w:sz w:val="24"/>
          <w:szCs w:val="24"/>
        </w:rPr>
        <w:t>Se debe tomar en cuenta que las voces de los padres y las madres y mujeres buscadoras, revelan el alcance de las violencias que enfrentan en su labor de búsqueda, así como los impactos psicosociales diferenciados que estas generan, desde una perspectiva de género y de derechos humanos.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Por lo anteriormente expuesto, someto a la consideración de esta Asamblea la presente </w:t>
      </w:r>
      <w:r w:rsidRPr="00AE0CAB">
        <w:rPr>
          <w:rFonts w:ascii="Times New Roman" w:eastAsia="Calibri" w:hAnsi="Times New Roman" w:cs="Times New Roman"/>
          <w:b/>
          <w:sz w:val="24"/>
          <w:szCs w:val="24"/>
        </w:rPr>
        <w:t xml:space="preserve">Iniciativa con proyecto de Decreto </w:t>
      </w:r>
      <w:r w:rsidRPr="00AE0CAB">
        <w:rPr>
          <w:rFonts w:ascii="Times New Roman" w:eastAsia="Calibri" w:hAnsi="Times New Roman" w:cs="Times New Roman"/>
          <w:b/>
          <w:i/>
          <w:sz w:val="24"/>
          <w:szCs w:val="24"/>
        </w:rPr>
        <w:t>por el que se adiciona una fracción XVI</w:t>
      </w:r>
      <w:r w:rsidRPr="00AE0CAB">
        <w:rPr>
          <w:rFonts w:ascii="Times New Roman" w:eastAsia="Calibri" w:hAnsi="Times New Roman" w:cs="Times New Roman"/>
          <w:i/>
          <w:sz w:val="24"/>
          <w:szCs w:val="24"/>
        </w:rPr>
        <w:t xml:space="preserve">, </w:t>
      </w:r>
      <w:r w:rsidRPr="00AE0CAB">
        <w:rPr>
          <w:rFonts w:ascii="Times New Roman" w:eastAsia="Calibri" w:hAnsi="Times New Roman" w:cs="Times New Roman"/>
          <w:b/>
          <w:i/>
          <w:sz w:val="24"/>
          <w:szCs w:val="24"/>
        </w:rPr>
        <w:t>recorriéndose las ya establecidas al artículo 4 de la Ley en Materia de Desaparición Forzada de Personas y Desaparición cometida por Particulares para el Estado Libre y Soberano de México, para que se incluya en el Glosario del citado ordenamiento jurídico el término de “Padres y Madres buscadoras”.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center"/>
        <w:rPr>
          <w:rFonts w:ascii="Times New Roman" w:hAnsi="Times New Roman" w:cs="Times New Roman"/>
          <w:sz w:val="24"/>
          <w:szCs w:val="24"/>
        </w:rPr>
      </w:pPr>
      <w:r w:rsidRPr="00AE0CAB">
        <w:rPr>
          <w:rFonts w:ascii="Times New Roman" w:eastAsia="Calibri" w:hAnsi="Times New Roman" w:cs="Times New Roman"/>
          <w:b/>
          <w:sz w:val="24"/>
          <w:szCs w:val="24"/>
        </w:rPr>
        <w:t>ATENTAMENTE</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60134">
      <w:pPr>
        <w:spacing w:after="0" w:line="240" w:lineRule="auto"/>
        <w:jc w:val="center"/>
        <w:rPr>
          <w:rFonts w:ascii="Times New Roman" w:eastAsia="Segoe UI" w:hAnsi="Times New Roman" w:cs="Times New Roman"/>
          <w:sz w:val="24"/>
          <w:szCs w:val="24"/>
        </w:rPr>
      </w:pPr>
      <w:r w:rsidRPr="00AE0CAB">
        <w:rPr>
          <w:rFonts w:ascii="Times New Roman" w:eastAsia="Segoe UI" w:hAnsi="Times New Roman" w:cs="Times New Roman"/>
          <w:b/>
          <w:sz w:val="24"/>
          <w:szCs w:val="24"/>
        </w:rPr>
        <w:t>PROYECTO DE DECRETO</w:t>
      </w:r>
    </w:p>
    <w:p w:rsidR="00820633" w:rsidRPr="00AE0CAB" w:rsidRDefault="00820633" w:rsidP="00811204">
      <w:pPr>
        <w:spacing w:after="0" w:line="240" w:lineRule="auto"/>
        <w:jc w:val="both"/>
        <w:rPr>
          <w:rFonts w:ascii="Times New Roman" w:eastAsia="Calibri"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b/>
          <w:sz w:val="24"/>
          <w:szCs w:val="24"/>
        </w:rPr>
      </w:pPr>
      <w:r w:rsidRPr="00AE0CAB">
        <w:rPr>
          <w:rFonts w:ascii="Times New Roman" w:eastAsia="Calibri" w:hAnsi="Times New Roman" w:cs="Times New Roman"/>
          <w:b/>
          <w:sz w:val="24"/>
          <w:szCs w:val="24"/>
        </w:rPr>
        <w:t>Decreto núm._____</w:t>
      </w:r>
    </w:p>
    <w:p w:rsidR="00820633" w:rsidRPr="00AE0CAB" w:rsidRDefault="00820633" w:rsidP="00811204">
      <w:pPr>
        <w:spacing w:after="0" w:line="240" w:lineRule="auto"/>
        <w:jc w:val="both"/>
        <w:rPr>
          <w:rFonts w:ascii="Times New Roman" w:eastAsia="Calibri" w:hAnsi="Times New Roman" w:cs="Times New Roman"/>
          <w:b/>
          <w:sz w:val="24"/>
          <w:szCs w:val="24"/>
        </w:rPr>
      </w:pPr>
      <w:r w:rsidRPr="00AE0CAB">
        <w:rPr>
          <w:rFonts w:ascii="Times New Roman" w:eastAsia="Calibri" w:hAnsi="Times New Roman" w:cs="Times New Roman"/>
          <w:b/>
          <w:sz w:val="24"/>
          <w:szCs w:val="24"/>
        </w:rPr>
        <w:lastRenderedPageBreak/>
        <w:t>La LXII Legislatura del Estado de México</w:t>
      </w:r>
    </w:p>
    <w:p w:rsidR="00820633" w:rsidRPr="00AE0CAB" w:rsidRDefault="00820633" w:rsidP="00811204">
      <w:pPr>
        <w:spacing w:after="0" w:line="240" w:lineRule="auto"/>
        <w:jc w:val="both"/>
        <w:rPr>
          <w:rFonts w:ascii="Times New Roman" w:eastAsia="Calibri" w:hAnsi="Times New Roman" w:cs="Times New Roman"/>
          <w:b/>
          <w:sz w:val="24"/>
          <w:szCs w:val="24"/>
        </w:rPr>
      </w:pPr>
      <w:r w:rsidRPr="00AE0CAB">
        <w:rPr>
          <w:rFonts w:ascii="Times New Roman" w:eastAsia="Calibri" w:hAnsi="Times New Roman" w:cs="Times New Roman"/>
          <w:b/>
          <w:sz w:val="24"/>
          <w:szCs w:val="24"/>
        </w:rPr>
        <w:t>Decreta:</w:t>
      </w:r>
    </w:p>
    <w:p w:rsidR="00820633" w:rsidRPr="00AE0CAB" w:rsidRDefault="00820633" w:rsidP="00811204">
      <w:pPr>
        <w:spacing w:after="0" w:line="240" w:lineRule="auto"/>
        <w:jc w:val="both"/>
        <w:rPr>
          <w:rFonts w:ascii="Times New Roman" w:eastAsia="Calibri" w:hAnsi="Times New Roman" w:cs="Times New Roman"/>
          <w:b/>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ÚNICO. </w:t>
      </w:r>
      <w:r w:rsidRPr="00AE0CAB">
        <w:rPr>
          <w:rFonts w:ascii="Times New Roman" w:eastAsia="Calibri" w:hAnsi="Times New Roman" w:cs="Times New Roman"/>
          <w:sz w:val="24"/>
          <w:szCs w:val="24"/>
        </w:rPr>
        <w:t>Se adiciona la fracción XVI, recorriéndose las ya establecidas al artículo 4 de la Ley en Materia de Desaparición Forzada de Personas y Desaparición cometida por Particulares para el Estado Libre y Soberano de México, para que se incluya en el Glosario del citado ordenamiento jurídico el término de “Padres y Madres buscadoras”, para quedar como sigue:</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Art. 4. …</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fracciones I a XV …</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hAnsi="Times New Roman" w:cs="Times New Roman"/>
          <w:sz w:val="24"/>
          <w:szCs w:val="24"/>
        </w:rPr>
      </w:pPr>
      <w:r w:rsidRPr="00AE0CAB">
        <w:rPr>
          <w:rFonts w:ascii="Times New Roman" w:eastAsia="Calibri" w:hAnsi="Times New Roman" w:cs="Times New Roman"/>
          <w:sz w:val="24"/>
          <w:szCs w:val="24"/>
        </w:rPr>
        <w:t>XVI. Padres y Madres buscadoras: Todo padre, mujer o grupo de mujeres que buscan de manera individual o colectiva a sus familiares desaparecidos en contextos de violencia, ante la posible omisión del Estado, convirtiéndose en defensores y defensoras de Derechos Humanos.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XVII a XXXIV. …</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center"/>
        <w:rPr>
          <w:rFonts w:ascii="Times New Roman" w:eastAsia="Segoe UI" w:hAnsi="Times New Roman" w:cs="Times New Roman"/>
          <w:sz w:val="24"/>
          <w:szCs w:val="24"/>
        </w:rPr>
      </w:pPr>
      <w:r w:rsidRPr="00AE0CAB">
        <w:rPr>
          <w:rFonts w:ascii="Times New Roman" w:eastAsia="Segoe UI" w:hAnsi="Times New Roman" w:cs="Times New Roman"/>
          <w:b/>
          <w:sz w:val="24"/>
          <w:szCs w:val="24"/>
        </w:rPr>
        <w:t>T R A N S I T O R I O S</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Segoe UI" w:hAnsi="Times New Roman" w:cs="Times New Roman"/>
          <w:sz w:val="24"/>
          <w:szCs w:val="24"/>
        </w:rPr>
      </w:pPr>
      <w:r w:rsidRPr="00AE0CAB">
        <w:rPr>
          <w:rFonts w:ascii="Times New Roman" w:eastAsia="Segoe UI" w:hAnsi="Times New Roman" w:cs="Times New Roman"/>
          <w:b/>
          <w:sz w:val="24"/>
          <w:szCs w:val="24"/>
        </w:rPr>
        <w:t xml:space="preserve">PRIMERO. </w:t>
      </w:r>
      <w:r w:rsidRPr="00AE0CAB">
        <w:rPr>
          <w:rFonts w:ascii="Times New Roman" w:eastAsia="Segoe UI" w:hAnsi="Times New Roman" w:cs="Times New Roman"/>
          <w:sz w:val="24"/>
          <w:szCs w:val="24"/>
        </w:rPr>
        <w:t>Publíquese el presente Decreto en el Periódico Oficial “Gaceta del Gobierno” del Estado de México.</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Segoe UI" w:hAnsi="Times New Roman" w:cs="Times New Roman"/>
          <w:sz w:val="24"/>
          <w:szCs w:val="24"/>
        </w:rPr>
      </w:pPr>
      <w:r w:rsidRPr="00AE0CAB">
        <w:rPr>
          <w:rFonts w:ascii="Times New Roman" w:eastAsia="Segoe UI" w:hAnsi="Times New Roman" w:cs="Times New Roman"/>
          <w:b/>
          <w:sz w:val="24"/>
          <w:szCs w:val="24"/>
        </w:rPr>
        <w:t xml:space="preserve">SEGUNDO. </w:t>
      </w:r>
      <w:r w:rsidRPr="00AE0CAB">
        <w:rPr>
          <w:rFonts w:ascii="Times New Roman" w:eastAsia="Segoe UI" w:hAnsi="Times New Roman" w:cs="Times New Roman"/>
          <w:sz w:val="24"/>
          <w:szCs w:val="24"/>
        </w:rPr>
        <w:t>El presente Decreto, entrará en vigor al día siguiente de su publicación en la “Gaceta del Gobierno” del Estado de México.</w:t>
      </w:r>
    </w:p>
    <w:p w:rsidR="00820633" w:rsidRPr="00AE0CAB" w:rsidRDefault="00820633" w:rsidP="00811204">
      <w:pPr>
        <w:spacing w:after="0" w:line="240" w:lineRule="auto"/>
        <w:rPr>
          <w:rFonts w:ascii="Times New Roman" w:hAnsi="Times New Roman" w:cs="Times New Roman"/>
          <w:sz w:val="24"/>
          <w:szCs w:val="24"/>
        </w:rPr>
      </w:pPr>
    </w:p>
    <w:p w:rsidR="00820633" w:rsidRPr="00AE0CAB" w:rsidRDefault="00820633" w:rsidP="00811204">
      <w:pPr>
        <w:spacing w:after="0" w:line="240" w:lineRule="auto"/>
        <w:jc w:val="both"/>
        <w:rPr>
          <w:rFonts w:ascii="Times New Roman" w:eastAsia="Segoe UI" w:hAnsi="Times New Roman" w:cs="Times New Roman"/>
          <w:sz w:val="24"/>
          <w:szCs w:val="24"/>
        </w:rPr>
      </w:pPr>
      <w:r w:rsidRPr="00AE0CAB">
        <w:rPr>
          <w:rFonts w:ascii="Times New Roman" w:eastAsia="Segoe UI" w:hAnsi="Times New Roman" w:cs="Times New Roman"/>
          <w:sz w:val="24"/>
          <w:szCs w:val="24"/>
        </w:rPr>
        <w:t xml:space="preserve">Dado en el Palacio del Poder Legislativo en la Ciudad de Toluca de Lerdo, Capital del Estado de México a los </w:t>
      </w:r>
      <w:r w:rsidRPr="00AE0CAB">
        <w:rPr>
          <w:rFonts w:ascii="Times New Roman" w:eastAsia="Segoe UI" w:hAnsi="Times New Roman" w:cs="Times New Roman"/>
          <w:sz w:val="24"/>
          <w:szCs w:val="24"/>
          <w:u w:val="single" w:color="000000"/>
        </w:rPr>
        <w:t xml:space="preserve">      </w:t>
      </w:r>
      <w:r w:rsidRPr="00AE0CAB">
        <w:rPr>
          <w:rFonts w:ascii="Times New Roman" w:eastAsia="Segoe UI" w:hAnsi="Times New Roman" w:cs="Times New Roman"/>
          <w:sz w:val="24"/>
          <w:szCs w:val="24"/>
        </w:rPr>
        <w:t xml:space="preserve"> días del mes de </w:t>
      </w:r>
      <w:r w:rsidRPr="00AE0CAB">
        <w:rPr>
          <w:rFonts w:ascii="Times New Roman" w:eastAsia="Segoe UI" w:hAnsi="Times New Roman" w:cs="Times New Roman"/>
          <w:sz w:val="24"/>
          <w:szCs w:val="24"/>
          <w:u w:val="single" w:color="000000"/>
        </w:rPr>
        <w:t xml:space="preserve">                   </w:t>
      </w:r>
      <w:r w:rsidRPr="00AE0CAB">
        <w:rPr>
          <w:rFonts w:ascii="Times New Roman" w:eastAsia="Segoe UI" w:hAnsi="Times New Roman" w:cs="Times New Roman"/>
          <w:sz w:val="24"/>
          <w:szCs w:val="24"/>
        </w:rPr>
        <w:t>del año dos mil veintiséis.</w:t>
      </w:r>
    </w:p>
    <w:p w:rsidR="00820633" w:rsidRPr="00AE0CAB" w:rsidRDefault="00820633" w:rsidP="00811204">
      <w:pPr>
        <w:spacing w:after="0" w:line="240" w:lineRule="auto"/>
        <w:jc w:val="center"/>
        <w:rPr>
          <w:rFonts w:ascii="Times New Roman" w:hAnsi="Times New Roman" w:cs="Times New Roman"/>
          <w:sz w:val="24"/>
          <w:szCs w:val="24"/>
        </w:rPr>
      </w:pPr>
    </w:p>
    <w:p w:rsidR="00820633" w:rsidRPr="00AE0CAB" w:rsidRDefault="00820633" w:rsidP="00811204">
      <w:pPr>
        <w:spacing w:after="0" w:line="240" w:lineRule="auto"/>
        <w:jc w:val="center"/>
        <w:rPr>
          <w:rFonts w:ascii="Times New Roman" w:hAnsi="Times New Roman"/>
          <w:i/>
          <w:sz w:val="24"/>
          <w:szCs w:val="24"/>
        </w:rPr>
      </w:pPr>
      <w:r w:rsidRPr="00AE0CAB">
        <w:rPr>
          <w:rFonts w:ascii="Times New Roman" w:hAnsi="Times New Roman" w:cs="Times New Roman"/>
          <w:i/>
          <w:sz w:val="24"/>
          <w:szCs w:val="24"/>
        </w:rPr>
        <w:t>(Fin del documento</w:t>
      </w:r>
      <w:r w:rsidRPr="00AE0CAB">
        <w:rPr>
          <w:rFonts w:ascii="Times New Roman" w:hAnsi="Times New Roman"/>
          <w:i/>
          <w:sz w:val="24"/>
          <w:szCs w:val="24"/>
        </w:rPr>
        <w:t>)</w:t>
      </w:r>
    </w:p>
    <w:p w:rsidR="00820633" w:rsidRPr="00AE0CAB" w:rsidRDefault="00820633" w:rsidP="007974C2">
      <w:pPr>
        <w:spacing w:after="0" w:line="240" w:lineRule="auto"/>
        <w:jc w:val="center"/>
        <w:rPr>
          <w:rFonts w:ascii="Times New Roman" w:hAnsi="Times New Roman"/>
          <w:sz w:val="24"/>
          <w:szCs w:val="24"/>
        </w:rPr>
      </w:pP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Se registra la iniciativa de la diputada Ana Yurixi Leyva Piñón y se remite a la Comisión Legislativa Para las Declaratorias de Alerta de Violencia de Género contra las Mujeres por Feminicidio y Desaparición, para su estudio y dictamen.</w:t>
      </w:r>
    </w:p>
    <w:p w:rsidR="000E0101" w:rsidRPr="00AE0CAB" w:rsidRDefault="000E0101" w:rsidP="00666B4C">
      <w:pPr>
        <w:spacing w:after="0" w:line="240" w:lineRule="auto"/>
        <w:rPr>
          <w:rFonts w:ascii="Times New Roman" w:hAnsi="Times New Roman" w:cs="Times New Roman"/>
          <w:sz w:val="24"/>
          <w:szCs w:val="24"/>
        </w:rPr>
      </w:pPr>
      <w:r w:rsidRPr="00AE0CAB">
        <w:rPr>
          <w:rFonts w:ascii="Times New Roman" w:hAnsi="Times New Roman" w:cs="Times New Roman"/>
          <w:sz w:val="24"/>
          <w:szCs w:val="24"/>
        </w:rPr>
        <w:t>VICEPRESIDENTA DIP. ITZEL GUADALUPE PÉREZ CORREA. Toluca de Lerdo, Estado de México, febrero 17 de 2026.</w:t>
      </w:r>
    </w:p>
    <w:p w:rsidR="000E0101" w:rsidRPr="00AE0CAB" w:rsidRDefault="000E0101" w:rsidP="00D71801">
      <w:pPr>
        <w:spacing w:after="0" w:line="240" w:lineRule="auto"/>
        <w:jc w:val="right"/>
        <w:rPr>
          <w:rFonts w:ascii="Times New Roman" w:hAnsi="Times New Roman" w:cs="Times New Roman"/>
          <w:sz w:val="24"/>
          <w:szCs w:val="24"/>
        </w:rPr>
      </w:pPr>
      <w:r w:rsidRPr="00AE0CAB">
        <w:rPr>
          <w:rFonts w:ascii="Times New Roman" w:hAnsi="Times New Roman" w:cs="Times New Roman"/>
          <w:sz w:val="24"/>
          <w:szCs w:val="24"/>
        </w:rPr>
        <w:t>Oficio número OSFEM-AS-492-2026</w:t>
      </w:r>
    </w:p>
    <w:p w:rsidR="000E0101" w:rsidRPr="00AE0CAB" w:rsidRDefault="000E0101" w:rsidP="00D71801">
      <w:pPr>
        <w:spacing w:after="0" w:line="240" w:lineRule="auto"/>
        <w:jc w:val="right"/>
        <w:rPr>
          <w:rFonts w:ascii="Times New Roman" w:hAnsi="Times New Roman" w:cs="Times New Roman"/>
          <w:sz w:val="24"/>
          <w:szCs w:val="24"/>
        </w:rPr>
      </w:pPr>
      <w:r w:rsidRPr="00AE0CAB">
        <w:rPr>
          <w:rFonts w:ascii="Times New Roman" w:hAnsi="Times New Roman" w:cs="Times New Roman"/>
          <w:sz w:val="24"/>
          <w:szCs w:val="24"/>
        </w:rPr>
        <w:t>Asunto: Entrega del Primer Informe Anual de Gestión 2025-2032</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DIPUTADA ARLETH STEPHANIE GRIMALDO OSORIO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DE LA COMISIÓN DE VIGILANCIA DEL</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ÓRGANO SUPERIOR DE FISCALIZACIÓN DEL ESTADO DE MÉXICO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PRESENTE</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Aprovecho la ocasión para enviarle un cordial y respetuoso saludo y al mismo tiempo me permito hacer de su conocimiento que se hace la entrega del Primer Informe Anual de Gestión 2025-2032 a la Honorable LX Legislatura del Estado de México, por conducto de la Comisión de Vigilancia del órgano superior de fiscalización emitido por el Órgano Superior de Fiscalización del Estado de México.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lastRenderedPageBreak/>
        <w:tab/>
        <w:t>Lo anterior, en cumplimiento a lo dispuesto en los artículos 61 fracción XXXII de la Constitución Política del Estado Libre y Soberano de México, 13 fracción XXIII de la Ley de Fiscalización Superior del Estado de México, 3 fracción XV del Reglamento Interior del Órgano Superior de Fiscalización del Estado de México y 13 fracción XXIII del Manual General de Organización del Órgano Superior de Fiscalización del Estado de México.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Agradeciendo de antemano la atención que sirva dar al presente le reitero las muestras de mi distinguida consideración.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Firma.</w:t>
      </w:r>
    </w:p>
    <w:p w:rsidR="000E0101" w:rsidRPr="00AE0CAB" w:rsidRDefault="000E0101" w:rsidP="00D71801">
      <w:pPr>
        <w:spacing w:after="0" w:line="240" w:lineRule="auto"/>
        <w:jc w:val="center"/>
        <w:rPr>
          <w:rFonts w:ascii="Times New Roman" w:hAnsi="Times New Roman" w:cs="Times New Roman"/>
          <w:sz w:val="24"/>
          <w:szCs w:val="24"/>
        </w:rPr>
      </w:pPr>
      <w:r w:rsidRPr="00AE0CAB">
        <w:rPr>
          <w:rFonts w:ascii="Times New Roman" w:hAnsi="Times New Roman" w:cs="Times New Roman"/>
          <w:sz w:val="24"/>
          <w:szCs w:val="24"/>
        </w:rPr>
        <w:t>Atentamente</w:t>
      </w:r>
    </w:p>
    <w:p w:rsidR="000E0101" w:rsidRPr="00AE0CAB" w:rsidRDefault="000E0101" w:rsidP="00D71801">
      <w:pPr>
        <w:spacing w:after="0" w:line="240" w:lineRule="auto"/>
        <w:jc w:val="center"/>
        <w:rPr>
          <w:rFonts w:ascii="Times New Roman" w:hAnsi="Times New Roman" w:cs="Times New Roman"/>
          <w:sz w:val="24"/>
          <w:szCs w:val="24"/>
        </w:rPr>
      </w:pPr>
      <w:r w:rsidRPr="00AE0CAB">
        <w:rPr>
          <w:rFonts w:ascii="Times New Roman" w:hAnsi="Times New Roman" w:cs="Times New Roman"/>
          <w:sz w:val="24"/>
          <w:szCs w:val="24"/>
        </w:rPr>
        <w:t xml:space="preserve">Mtra. En D. Liliana Dávalos </w:t>
      </w:r>
      <w:proofErr w:type="spellStart"/>
      <w:r w:rsidRPr="00AE0CAB">
        <w:rPr>
          <w:rFonts w:ascii="Times New Roman" w:hAnsi="Times New Roman" w:cs="Times New Roman"/>
          <w:sz w:val="24"/>
          <w:szCs w:val="24"/>
        </w:rPr>
        <w:t>Ham</w:t>
      </w:r>
      <w:proofErr w:type="spellEnd"/>
    </w:p>
    <w:p w:rsidR="000E0101" w:rsidRPr="00AE0CAB" w:rsidRDefault="000E0101" w:rsidP="00D71801">
      <w:pPr>
        <w:spacing w:after="0" w:line="240" w:lineRule="auto"/>
        <w:jc w:val="center"/>
        <w:rPr>
          <w:rFonts w:ascii="Times New Roman" w:hAnsi="Times New Roman" w:cs="Times New Roman"/>
          <w:sz w:val="24"/>
          <w:szCs w:val="24"/>
        </w:rPr>
      </w:pPr>
      <w:r w:rsidRPr="00AE0CAB">
        <w:rPr>
          <w:rFonts w:ascii="Times New Roman" w:hAnsi="Times New Roman" w:cs="Times New Roman"/>
          <w:sz w:val="24"/>
          <w:szCs w:val="24"/>
        </w:rPr>
        <w:t>Auditora Superior de Fiscalización.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Es cuanto Presidenta.</w:t>
      </w:r>
    </w:p>
    <w:p w:rsidR="004E4B01" w:rsidRPr="00AE0CAB" w:rsidRDefault="004E4B01" w:rsidP="007974C2">
      <w:pPr>
        <w:pStyle w:val="Sinespaciado"/>
        <w:jc w:val="both"/>
        <w:rPr>
          <w:rFonts w:ascii="Times New Roman" w:hAnsi="Times New Roman" w:cs="Times New Roman"/>
          <w:sz w:val="24"/>
          <w:szCs w:val="24"/>
        </w:rPr>
      </w:pPr>
    </w:p>
    <w:p w:rsidR="004E4B01" w:rsidRPr="00AE0CAB" w:rsidRDefault="004E4B01" w:rsidP="007974C2">
      <w:pPr>
        <w:spacing w:after="0" w:line="240" w:lineRule="auto"/>
        <w:jc w:val="center"/>
        <w:rPr>
          <w:rFonts w:ascii="Times New Roman" w:hAnsi="Times New Roman"/>
          <w:i/>
          <w:sz w:val="24"/>
          <w:szCs w:val="24"/>
        </w:rPr>
      </w:pPr>
      <w:r w:rsidRPr="00AE0CAB">
        <w:rPr>
          <w:rFonts w:ascii="Times New Roman" w:hAnsi="Times New Roman"/>
          <w:i/>
          <w:sz w:val="24"/>
          <w:szCs w:val="24"/>
        </w:rPr>
        <w:t>(Se inserta documento)</w:t>
      </w:r>
    </w:p>
    <w:p w:rsidR="004E4B01" w:rsidRPr="00AE0CAB" w:rsidRDefault="004E4B01" w:rsidP="007974C2">
      <w:pPr>
        <w:spacing w:after="0" w:line="240" w:lineRule="auto"/>
        <w:jc w:val="center"/>
        <w:rPr>
          <w:rFonts w:ascii="Times New Roman" w:hAnsi="Times New Roman"/>
          <w:sz w:val="24"/>
          <w:szCs w:val="24"/>
        </w:rPr>
      </w:pPr>
    </w:p>
    <w:p w:rsidR="004E4B01" w:rsidRPr="00AE0CAB" w:rsidRDefault="004E4B01" w:rsidP="004E4B01">
      <w:pPr>
        <w:spacing w:after="0" w:line="240" w:lineRule="auto"/>
        <w:ind w:left="4254"/>
        <w:jc w:val="both"/>
        <w:rPr>
          <w:rFonts w:ascii="Times New Roman" w:hAnsi="Times New Roman" w:cs="Times New Roman"/>
          <w:b/>
          <w:sz w:val="24"/>
          <w:szCs w:val="24"/>
          <w:u w:val="single"/>
        </w:rPr>
      </w:pPr>
      <w:r w:rsidRPr="00AE0CAB">
        <w:rPr>
          <w:rFonts w:ascii="Times New Roman" w:hAnsi="Times New Roman" w:cs="Times New Roman"/>
          <w:b/>
          <w:sz w:val="24"/>
          <w:szCs w:val="24"/>
          <w:u w:val="single"/>
        </w:rPr>
        <w:t>OSFEM</w:t>
      </w:r>
    </w:p>
    <w:p w:rsidR="004E4B01" w:rsidRPr="00AE0CAB" w:rsidRDefault="004E4B01" w:rsidP="004E4B01">
      <w:pPr>
        <w:spacing w:after="0" w:line="240" w:lineRule="auto"/>
        <w:ind w:left="4254"/>
        <w:jc w:val="both"/>
        <w:rPr>
          <w:rFonts w:ascii="Times New Roman" w:hAnsi="Times New Roman" w:cs="Times New Roman"/>
          <w:b/>
          <w:sz w:val="24"/>
          <w:szCs w:val="24"/>
        </w:rPr>
      </w:pPr>
      <w:r w:rsidRPr="00AE0CAB">
        <w:rPr>
          <w:rFonts w:ascii="Times New Roman" w:hAnsi="Times New Roman" w:cs="Times New Roman"/>
          <w:b/>
          <w:sz w:val="24"/>
          <w:szCs w:val="24"/>
        </w:rPr>
        <w:t>Órgano Superior de Fiscalización</w:t>
      </w:r>
    </w:p>
    <w:p w:rsidR="004E4B01" w:rsidRPr="00AE0CAB" w:rsidRDefault="004E4B01" w:rsidP="004E4B01">
      <w:pPr>
        <w:spacing w:after="0" w:line="240" w:lineRule="auto"/>
        <w:ind w:left="4254"/>
        <w:jc w:val="both"/>
        <w:rPr>
          <w:rFonts w:ascii="Times New Roman" w:hAnsi="Times New Roman" w:cs="Times New Roman"/>
          <w:b/>
          <w:sz w:val="24"/>
          <w:szCs w:val="24"/>
        </w:rPr>
      </w:pPr>
      <w:r w:rsidRPr="00AE0CAB">
        <w:rPr>
          <w:rFonts w:ascii="Times New Roman" w:hAnsi="Times New Roman" w:cs="Times New Roman"/>
          <w:b/>
          <w:sz w:val="24"/>
          <w:szCs w:val="24"/>
        </w:rPr>
        <w:t>Del Estado de México</w:t>
      </w:r>
    </w:p>
    <w:p w:rsidR="004E4B01" w:rsidRPr="00AE0CAB" w:rsidRDefault="004E4B01" w:rsidP="004E4B01">
      <w:pPr>
        <w:spacing w:after="0" w:line="240" w:lineRule="auto"/>
        <w:ind w:left="4254"/>
        <w:jc w:val="both"/>
        <w:rPr>
          <w:rFonts w:ascii="Times New Roman" w:hAnsi="Times New Roman" w:cs="Times New Roman"/>
          <w:sz w:val="24"/>
          <w:szCs w:val="24"/>
        </w:rPr>
      </w:pPr>
      <w:r w:rsidRPr="00AE0CAB">
        <w:rPr>
          <w:rFonts w:ascii="Times New Roman" w:hAnsi="Times New Roman" w:cs="Times New Roman"/>
          <w:sz w:val="24"/>
          <w:szCs w:val="24"/>
        </w:rPr>
        <w:t>- PODER LEGISLATIVO -</w:t>
      </w:r>
    </w:p>
    <w:p w:rsidR="004E4B01" w:rsidRPr="00AE0CAB" w:rsidRDefault="004E4B01" w:rsidP="004E4B01">
      <w:pPr>
        <w:spacing w:after="0" w:line="240" w:lineRule="auto"/>
        <w:ind w:left="4254"/>
        <w:jc w:val="both"/>
        <w:rPr>
          <w:rFonts w:ascii="Times New Roman" w:hAnsi="Times New Roman" w:cs="Times New Roman"/>
          <w:sz w:val="24"/>
          <w:szCs w:val="24"/>
        </w:rPr>
      </w:pPr>
      <w:r w:rsidRPr="00AE0CAB">
        <w:rPr>
          <w:rFonts w:ascii="Times New Roman" w:hAnsi="Times New Roman" w:cs="Times New Roman"/>
          <w:sz w:val="24"/>
          <w:szCs w:val="24"/>
        </w:rPr>
        <w:t>Cuentas claras, Mejores Gobiernos</w:t>
      </w:r>
    </w:p>
    <w:p w:rsidR="004E4B01" w:rsidRPr="00AE0CAB" w:rsidRDefault="004E4B01" w:rsidP="004E4B01">
      <w:pPr>
        <w:spacing w:after="0" w:line="240" w:lineRule="auto"/>
        <w:jc w:val="both"/>
        <w:rPr>
          <w:rFonts w:ascii="Times New Roman" w:hAnsi="Times New Roman" w:cs="Times New Roman"/>
          <w:sz w:val="24"/>
          <w:szCs w:val="24"/>
        </w:rPr>
      </w:pPr>
    </w:p>
    <w:p w:rsidR="004E4B01" w:rsidRPr="00AE0CAB" w:rsidRDefault="004E4B01" w:rsidP="004E4B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CONGRESO</w:t>
      </w:r>
    </w:p>
    <w:p w:rsidR="004E4B01" w:rsidRPr="00AE0CAB" w:rsidRDefault="004E4B01" w:rsidP="004E4B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ESTADO DE MÉXICO</w:t>
      </w:r>
    </w:p>
    <w:p w:rsidR="004E4B01" w:rsidRPr="00AE0CAB" w:rsidRDefault="004E4B01" w:rsidP="004E4B01">
      <w:pPr>
        <w:spacing w:after="0" w:line="240" w:lineRule="auto"/>
        <w:jc w:val="both"/>
        <w:rPr>
          <w:rFonts w:ascii="Times New Roman" w:hAnsi="Times New Roman" w:cs="Times New Roman"/>
          <w:sz w:val="24"/>
          <w:szCs w:val="24"/>
        </w:rPr>
      </w:pPr>
    </w:p>
    <w:p w:rsidR="004E4B01" w:rsidRPr="00AE0CAB" w:rsidRDefault="004E4B01" w:rsidP="004E4B01">
      <w:pPr>
        <w:spacing w:after="0" w:line="240" w:lineRule="auto"/>
        <w:jc w:val="center"/>
        <w:rPr>
          <w:rFonts w:ascii="Times New Roman" w:hAnsi="Times New Roman" w:cs="Times New Roman"/>
          <w:sz w:val="24"/>
          <w:szCs w:val="24"/>
        </w:rPr>
      </w:pPr>
      <w:r w:rsidRPr="00AE0CAB">
        <w:rPr>
          <w:rFonts w:ascii="Times New Roman" w:hAnsi="Times New Roman" w:cs="Times New Roman"/>
          <w:sz w:val="24"/>
          <w:szCs w:val="24"/>
        </w:rPr>
        <w:t>"2026. Año del Humanismo Mexicano en el Estado de México".</w:t>
      </w:r>
    </w:p>
    <w:p w:rsidR="004E4B01" w:rsidRPr="00AE0CAB" w:rsidRDefault="004E4B01" w:rsidP="004E4B01">
      <w:pPr>
        <w:spacing w:after="0" w:line="240" w:lineRule="auto"/>
        <w:jc w:val="both"/>
        <w:rPr>
          <w:rFonts w:ascii="Times New Roman" w:hAnsi="Times New Roman" w:cs="Times New Roman"/>
          <w:sz w:val="24"/>
          <w:szCs w:val="24"/>
        </w:rPr>
      </w:pPr>
    </w:p>
    <w:p w:rsidR="004E4B01" w:rsidRPr="00AE0CAB" w:rsidRDefault="004E4B01" w:rsidP="004E4B01">
      <w:pPr>
        <w:spacing w:after="0" w:line="240" w:lineRule="auto"/>
        <w:jc w:val="center"/>
        <w:rPr>
          <w:rFonts w:ascii="Times New Roman" w:hAnsi="Times New Roman" w:cs="Times New Roman"/>
          <w:sz w:val="24"/>
          <w:szCs w:val="24"/>
        </w:rPr>
      </w:pPr>
      <w:r w:rsidRPr="00AE0CAB">
        <w:rPr>
          <w:rFonts w:ascii="Times New Roman" w:hAnsi="Times New Roman" w:cs="Times New Roman"/>
          <w:sz w:val="24"/>
          <w:szCs w:val="24"/>
        </w:rPr>
        <w:t>Auditoría Superior</w:t>
      </w:r>
    </w:p>
    <w:p w:rsidR="004E4B01" w:rsidRPr="00AE0CAB" w:rsidRDefault="004E4B01" w:rsidP="004E4B01">
      <w:pPr>
        <w:spacing w:after="0" w:line="240" w:lineRule="auto"/>
        <w:jc w:val="both"/>
        <w:rPr>
          <w:rFonts w:ascii="Times New Roman" w:hAnsi="Times New Roman" w:cs="Times New Roman"/>
          <w:sz w:val="24"/>
          <w:szCs w:val="24"/>
        </w:rPr>
      </w:pPr>
    </w:p>
    <w:p w:rsidR="004E4B01" w:rsidRPr="00AE0CAB" w:rsidRDefault="004E4B01" w:rsidP="004E4B01">
      <w:pPr>
        <w:spacing w:after="0" w:line="240" w:lineRule="auto"/>
        <w:jc w:val="right"/>
        <w:rPr>
          <w:rFonts w:ascii="Times New Roman" w:hAnsi="Times New Roman" w:cs="Times New Roman"/>
          <w:sz w:val="24"/>
          <w:szCs w:val="24"/>
        </w:rPr>
      </w:pPr>
      <w:r w:rsidRPr="00AE0CAB">
        <w:rPr>
          <w:rFonts w:ascii="Times New Roman" w:hAnsi="Times New Roman" w:cs="Times New Roman"/>
          <w:sz w:val="24"/>
          <w:szCs w:val="24"/>
        </w:rPr>
        <w:t>Toluca de Lerdo, Estado de México; febrero 17 de 2026</w:t>
      </w:r>
    </w:p>
    <w:p w:rsidR="004E4B01" w:rsidRPr="00AE0CAB" w:rsidRDefault="004E4B01" w:rsidP="004E4B01">
      <w:pPr>
        <w:spacing w:after="0" w:line="240" w:lineRule="auto"/>
        <w:jc w:val="right"/>
        <w:rPr>
          <w:rFonts w:ascii="Times New Roman" w:hAnsi="Times New Roman" w:cs="Times New Roman"/>
          <w:sz w:val="24"/>
          <w:szCs w:val="24"/>
        </w:rPr>
      </w:pPr>
      <w:r w:rsidRPr="00AE0CAB">
        <w:rPr>
          <w:rFonts w:ascii="Times New Roman" w:hAnsi="Times New Roman" w:cs="Times New Roman"/>
          <w:sz w:val="24"/>
          <w:szCs w:val="24"/>
        </w:rPr>
        <w:t>Oficio Núm. OSFEWAS/492/2026</w:t>
      </w:r>
    </w:p>
    <w:p w:rsidR="004E4B01" w:rsidRPr="00AE0CAB" w:rsidRDefault="004E4B01" w:rsidP="004E4B01">
      <w:pPr>
        <w:spacing w:after="0" w:line="240" w:lineRule="auto"/>
        <w:jc w:val="both"/>
        <w:rPr>
          <w:rFonts w:ascii="Times New Roman" w:hAnsi="Times New Roman" w:cs="Times New Roman"/>
          <w:sz w:val="24"/>
          <w:szCs w:val="24"/>
        </w:rPr>
      </w:pPr>
    </w:p>
    <w:p w:rsidR="004E4B01" w:rsidRPr="00AE0CAB" w:rsidRDefault="004E4B01" w:rsidP="004E4B01">
      <w:pPr>
        <w:spacing w:after="0" w:line="240" w:lineRule="auto"/>
        <w:jc w:val="right"/>
        <w:rPr>
          <w:rFonts w:ascii="Times New Roman" w:hAnsi="Times New Roman" w:cs="Times New Roman"/>
          <w:b/>
          <w:sz w:val="24"/>
          <w:szCs w:val="24"/>
        </w:rPr>
      </w:pPr>
      <w:r w:rsidRPr="00AE0CAB">
        <w:rPr>
          <w:rFonts w:ascii="Times New Roman" w:hAnsi="Times New Roman" w:cs="Times New Roman"/>
          <w:b/>
          <w:sz w:val="24"/>
          <w:szCs w:val="24"/>
        </w:rPr>
        <w:t>Asunto: Entrega del Primer Informe Anual de Gestión 2025-2032</w:t>
      </w:r>
    </w:p>
    <w:p w:rsidR="004E4B01" w:rsidRPr="00AE0CAB" w:rsidRDefault="004E4B01" w:rsidP="004E4B01">
      <w:pPr>
        <w:spacing w:after="0" w:line="240" w:lineRule="auto"/>
        <w:jc w:val="both"/>
        <w:rPr>
          <w:rFonts w:ascii="Times New Roman" w:hAnsi="Times New Roman" w:cs="Times New Roman"/>
          <w:sz w:val="24"/>
          <w:szCs w:val="24"/>
        </w:rPr>
      </w:pPr>
    </w:p>
    <w:p w:rsidR="004E4B01" w:rsidRPr="00AE0CAB" w:rsidRDefault="004E4B01" w:rsidP="004E4B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Diputada</w:t>
      </w:r>
    </w:p>
    <w:p w:rsidR="004E4B01" w:rsidRPr="00AE0CAB" w:rsidRDefault="004E4B01" w:rsidP="004E4B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Arleth Stephanie Grimaldo Osorio</w:t>
      </w:r>
    </w:p>
    <w:p w:rsidR="004E4B01" w:rsidRPr="00AE0CAB" w:rsidRDefault="004E4B01" w:rsidP="004E4B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Presidenta de la Comisión de Vigilancia del</w:t>
      </w:r>
    </w:p>
    <w:p w:rsidR="004E4B01" w:rsidRPr="00AE0CAB" w:rsidRDefault="004E4B01" w:rsidP="004E4B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Órgano Superior de Fiscalización del Estado de México</w:t>
      </w:r>
    </w:p>
    <w:p w:rsidR="004E4B01" w:rsidRPr="00AE0CAB" w:rsidRDefault="004E4B01" w:rsidP="004E4B01">
      <w:pPr>
        <w:spacing w:after="0" w:line="240" w:lineRule="auto"/>
        <w:jc w:val="both"/>
        <w:rPr>
          <w:rFonts w:ascii="Times New Roman" w:hAnsi="Times New Roman" w:cs="Times New Roman"/>
          <w:b/>
          <w:sz w:val="24"/>
          <w:szCs w:val="24"/>
        </w:rPr>
      </w:pPr>
      <w:r w:rsidRPr="00AE0CAB">
        <w:rPr>
          <w:rFonts w:ascii="Times New Roman" w:hAnsi="Times New Roman" w:cs="Times New Roman"/>
          <w:b/>
          <w:sz w:val="24"/>
          <w:szCs w:val="24"/>
        </w:rPr>
        <w:t>Presente</w:t>
      </w:r>
    </w:p>
    <w:p w:rsidR="004E4B01" w:rsidRPr="00AE0CAB" w:rsidRDefault="004E4B01" w:rsidP="004E4B01">
      <w:pPr>
        <w:spacing w:after="0" w:line="240" w:lineRule="auto"/>
        <w:jc w:val="both"/>
        <w:rPr>
          <w:rFonts w:ascii="Times New Roman" w:hAnsi="Times New Roman" w:cs="Times New Roman"/>
          <w:sz w:val="24"/>
          <w:szCs w:val="24"/>
        </w:rPr>
      </w:pPr>
    </w:p>
    <w:p w:rsidR="004E4B01" w:rsidRPr="00AE0CAB" w:rsidRDefault="004E4B01" w:rsidP="004E4B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Aprovecho la ocasión para enviarle un cordial y respetuoso saludo y al mismo tiempo, me permito hacer de conocimiento que, se hace la entrega del Primer Informe Anual de Gestión 2025 - 2032 a la H. LXII Legislatura del Estado de México, por conducto de la Comisión de Vigilancia del Órgano Superior de Fiscalización, emitido por el Órgano Superior de Fiscalización del Estado de México; lo anterior, en cumplimiento a lo dispuesto en los artículos 61 fracción XXXII de la Constitución Política del Estado Libre y Soberano de México; 13 fracción XXIII de la Ley de Fiscalización Superior del Estado de México; 3 fracción XV del Reglamento Interior del Órgano Superior de Fiscalización del Estado de México; y 13 fracción XXIII del Manual General de Organización del Órgano Superior de Fiscalización del Estado de México.</w:t>
      </w:r>
    </w:p>
    <w:p w:rsidR="004E4B01" w:rsidRPr="00AE0CAB" w:rsidRDefault="004E4B01" w:rsidP="004E4B01">
      <w:pPr>
        <w:spacing w:after="0" w:line="240" w:lineRule="auto"/>
        <w:jc w:val="both"/>
        <w:rPr>
          <w:rFonts w:ascii="Times New Roman" w:hAnsi="Times New Roman" w:cs="Times New Roman"/>
          <w:sz w:val="24"/>
          <w:szCs w:val="24"/>
        </w:rPr>
      </w:pPr>
    </w:p>
    <w:p w:rsidR="004E4B01" w:rsidRPr="00AE0CAB" w:rsidRDefault="004E4B01" w:rsidP="004E4B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lastRenderedPageBreak/>
        <w:t>Agradeciendo de antemano la atención que sirva dar al presente, le reitero las muestras de mi distinguida consideración.</w:t>
      </w:r>
    </w:p>
    <w:p w:rsidR="004E4B01" w:rsidRPr="00AE0CAB" w:rsidRDefault="004E4B01" w:rsidP="004E4B01">
      <w:pPr>
        <w:spacing w:after="0" w:line="240" w:lineRule="auto"/>
        <w:jc w:val="both"/>
        <w:rPr>
          <w:rFonts w:ascii="Times New Roman" w:hAnsi="Times New Roman" w:cs="Times New Roman"/>
          <w:sz w:val="24"/>
          <w:szCs w:val="24"/>
        </w:rPr>
      </w:pPr>
    </w:p>
    <w:p w:rsidR="004E4B01" w:rsidRPr="00AE0CAB" w:rsidRDefault="004E4B01" w:rsidP="004E4B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Atentamente</w:t>
      </w:r>
    </w:p>
    <w:p w:rsidR="004E4B01" w:rsidRPr="00AE0CAB" w:rsidRDefault="004E4B01" w:rsidP="004E4B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 xml:space="preserve">Liliana Dávalos </w:t>
      </w:r>
      <w:proofErr w:type="spellStart"/>
      <w:r w:rsidRPr="00AE0CAB">
        <w:rPr>
          <w:rFonts w:ascii="Times New Roman" w:hAnsi="Times New Roman" w:cs="Times New Roman"/>
          <w:b/>
          <w:sz w:val="24"/>
          <w:szCs w:val="24"/>
        </w:rPr>
        <w:t>Ham</w:t>
      </w:r>
      <w:proofErr w:type="spellEnd"/>
    </w:p>
    <w:p w:rsidR="004E4B01" w:rsidRPr="00AE0CAB" w:rsidRDefault="004E4B01" w:rsidP="004E4B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Auditora Superior de Fiscalización</w:t>
      </w:r>
    </w:p>
    <w:p w:rsidR="004E4B01" w:rsidRPr="00AE0CAB" w:rsidRDefault="004E4B01" w:rsidP="004E4B01">
      <w:pPr>
        <w:spacing w:after="0" w:line="240" w:lineRule="auto"/>
        <w:jc w:val="center"/>
        <w:rPr>
          <w:rFonts w:ascii="Times New Roman" w:hAnsi="Times New Roman" w:cs="Times New Roman"/>
          <w:b/>
          <w:sz w:val="24"/>
          <w:szCs w:val="24"/>
        </w:rPr>
      </w:pPr>
      <w:r w:rsidRPr="00AE0CAB">
        <w:rPr>
          <w:rFonts w:ascii="Times New Roman" w:hAnsi="Times New Roman" w:cs="Times New Roman"/>
          <w:b/>
          <w:sz w:val="24"/>
          <w:szCs w:val="24"/>
        </w:rPr>
        <w:t>(Rúbrica)</w:t>
      </w:r>
    </w:p>
    <w:p w:rsidR="004E4B01" w:rsidRPr="00AE0CAB" w:rsidRDefault="004E4B01" w:rsidP="004E4B01">
      <w:pPr>
        <w:spacing w:after="0" w:line="240" w:lineRule="auto"/>
        <w:jc w:val="both"/>
        <w:rPr>
          <w:rFonts w:ascii="Times New Roman" w:hAnsi="Times New Roman" w:cs="Times New Roman"/>
          <w:sz w:val="24"/>
          <w:szCs w:val="24"/>
        </w:rPr>
      </w:pPr>
    </w:p>
    <w:p w:rsidR="004E4B01" w:rsidRPr="00AE0CAB" w:rsidRDefault="004E4B01" w:rsidP="004E4B01">
      <w:pPr>
        <w:spacing w:after="0" w:line="240" w:lineRule="auto"/>
        <w:ind w:left="709" w:hanging="709"/>
        <w:jc w:val="both"/>
        <w:rPr>
          <w:rFonts w:ascii="Times New Roman" w:hAnsi="Times New Roman" w:cs="Times New Roman"/>
          <w:sz w:val="24"/>
          <w:szCs w:val="24"/>
        </w:rPr>
      </w:pPr>
      <w:r w:rsidRPr="00AE0CAB">
        <w:rPr>
          <w:rFonts w:ascii="Times New Roman" w:hAnsi="Times New Roman" w:cs="Times New Roman"/>
          <w:sz w:val="24"/>
          <w:szCs w:val="24"/>
        </w:rPr>
        <w:t>C.c.p. Dip. Dr. José Francisco Vázquez, Presidente de la Junta de Coordinación Política de la LXII Legislatura del Estado de México.</w:t>
      </w:r>
    </w:p>
    <w:p w:rsidR="004E4B01" w:rsidRPr="00AE0CAB" w:rsidRDefault="004E4B01" w:rsidP="004E4B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Archivo</w:t>
      </w:r>
    </w:p>
    <w:p w:rsidR="004E4B01" w:rsidRPr="00AE0CAB" w:rsidRDefault="004E4B01" w:rsidP="004E4B01">
      <w:pPr>
        <w:spacing w:after="0" w:line="240" w:lineRule="auto"/>
        <w:jc w:val="both"/>
        <w:rPr>
          <w:rFonts w:ascii="Times New Roman" w:hAnsi="Times New Roman" w:cs="Times New Roman"/>
          <w:sz w:val="24"/>
          <w:szCs w:val="24"/>
        </w:rPr>
      </w:pPr>
    </w:p>
    <w:p w:rsidR="004E4B01" w:rsidRPr="00AE0CAB" w:rsidRDefault="004E4B01" w:rsidP="004E4B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Elaboró: ELD</w:t>
      </w:r>
      <w:r w:rsidRPr="00AE0CAB">
        <w:rPr>
          <w:rFonts w:ascii="Times New Roman" w:hAnsi="Times New Roman" w:cs="Times New Roman"/>
          <w:sz w:val="24"/>
          <w:szCs w:val="24"/>
        </w:rPr>
        <w:tab/>
      </w:r>
      <w:r w:rsidRPr="00AE0CAB">
        <w:rPr>
          <w:rFonts w:ascii="Times New Roman" w:hAnsi="Times New Roman" w:cs="Times New Roman"/>
          <w:sz w:val="24"/>
          <w:szCs w:val="24"/>
        </w:rPr>
        <w:tab/>
      </w:r>
      <w:r w:rsidRPr="00AE0CAB">
        <w:rPr>
          <w:rFonts w:ascii="Times New Roman" w:hAnsi="Times New Roman" w:cs="Times New Roman"/>
          <w:sz w:val="24"/>
          <w:szCs w:val="24"/>
        </w:rPr>
        <w:tab/>
        <w:t>Revisó: ELD</w:t>
      </w:r>
      <w:r w:rsidRPr="00AE0CAB">
        <w:rPr>
          <w:rFonts w:ascii="Times New Roman" w:hAnsi="Times New Roman" w:cs="Times New Roman"/>
          <w:sz w:val="24"/>
          <w:szCs w:val="24"/>
        </w:rPr>
        <w:tab/>
      </w:r>
      <w:r w:rsidRPr="00AE0CAB">
        <w:rPr>
          <w:rFonts w:ascii="Times New Roman" w:hAnsi="Times New Roman" w:cs="Times New Roman"/>
          <w:sz w:val="24"/>
          <w:szCs w:val="24"/>
        </w:rPr>
        <w:tab/>
      </w:r>
      <w:r w:rsidRPr="00AE0CAB">
        <w:rPr>
          <w:rFonts w:ascii="Times New Roman" w:hAnsi="Times New Roman" w:cs="Times New Roman"/>
          <w:sz w:val="24"/>
          <w:szCs w:val="24"/>
        </w:rPr>
        <w:tab/>
        <w:t>Validó: ELD</w:t>
      </w:r>
    </w:p>
    <w:p w:rsidR="004E4B01" w:rsidRPr="00AE0CAB" w:rsidRDefault="004E4B01" w:rsidP="007974C2">
      <w:pPr>
        <w:spacing w:after="0" w:line="240" w:lineRule="auto"/>
        <w:jc w:val="center"/>
        <w:rPr>
          <w:rFonts w:ascii="Times New Roman" w:hAnsi="Times New Roman"/>
          <w:sz w:val="24"/>
          <w:szCs w:val="24"/>
        </w:rPr>
      </w:pPr>
    </w:p>
    <w:p w:rsidR="00E81823" w:rsidRPr="00AE0CAB" w:rsidRDefault="00E81823" w:rsidP="007974C2">
      <w:pPr>
        <w:spacing w:after="0" w:line="240" w:lineRule="auto"/>
        <w:jc w:val="center"/>
        <w:rPr>
          <w:rFonts w:ascii="Times New Roman" w:hAnsi="Times New Roman"/>
          <w:i/>
          <w:sz w:val="24"/>
          <w:szCs w:val="24"/>
        </w:rPr>
      </w:pPr>
      <w:r w:rsidRPr="00AE0CAB">
        <w:rPr>
          <w:rFonts w:ascii="Times New Roman" w:hAnsi="Times New Roman"/>
          <w:i/>
          <w:sz w:val="24"/>
          <w:szCs w:val="24"/>
        </w:rPr>
        <w:t>(El informe se encuentra para consulta en el Archivo del Poder Legislativo)</w:t>
      </w:r>
    </w:p>
    <w:p w:rsidR="00E81823" w:rsidRPr="00AE0CAB" w:rsidRDefault="00E81823" w:rsidP="007974C2">
      <w:pPr>
        <w:spacing w:after="0" w:line="240" w:lineRule="auto"/>
        <w:jc w:val="center"/>
        <w:rPr>
          <w:rFonts w:ascii="Times New Roman" w:hAnsi="Times New Roman"/>
          <w:sz w:val="24"/>
          <w:szCs w:val="24"/>
        </w:rPr>
      </w:pPr>
    </w:p>
    <w:p w:rsidR="004E4B01" w:rsidRPr="00AE0CAB" w:rsidRDefault="004E4B01" w:rsidP="007974C2">
      <w:pPr>
        <w:spacing w:after="0" w:line="240" w:lineRule="auto"/>
        <w:jc w:val="center"/>
        <w:rPr>
          <w:rFonts w:ascii="Times New Roman" w:hAnsi="Times New Roman"/>
          <w:i/>
          <w:sz w:val="24"/>
          <w:szCs w:val="24"/>
        </w:rPr>
      </w:pPr>
      <w:r w:rsidRPr="00AE0CAB">
        <w:rPr>
          <w:rFonts w:ascii="Times New Roman" w:hAnsi="Times New Roman"/>
          <w:i/>
          <w:sz w:val="24"/>
          <w:szCs w:val="24"/>
        </w:rPr>
        <w:t>(Fin del documento)</w:t>
      </w:r>
    </w:p>
    <w:p w:rsidR="004E4B01" w:rsidRPr="00AE0CAB" w:rsidRDefault="004E4B01" w:rsidP="007974C2">
      <w:pPr>
        <w:spacing w:after="0" w:line="240" w:lineRule="auto"/>
        <w:jc w:val="center"/>
        <w:rPr>
          <w:rFonts w:ascii="Times New Roman" w:hAnsi="Times New Roman"/>
          <w:sz w:val="24"/>
          <w:szCs w:val="24"/>
        </w:rPr>
      </w:pPr>
    </w:p>
    <w:p w:rsidR="004E4B01" w:rsidRPr="00AE0CAB" w:rsidRDefault="004E4B01" w:rsidP="00D71801">
      <w:pPr>
        <w:spacing w:after="0" w:line="240" w:lineRule="auto"/>
        <w:jc w:val="both"/>
        <w:rPr>
          <w:rFonts w:ascii="Times New Roman" w:hAnsi="Times New Roman" w:cs="Times New Roman"/>
          <w:sz w:val="24"/>
          <w:szCs w:val="24"/>
        </w:rPr>
      </w:pP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Gracias diputada Vicepresidenta Itzel Guadalupe Pérez Correa.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Se da por presentado y entregado el oficio de gestión del Órgano Superior de Fiscalización del Estado de México, en cumplimiento del artículo 13 fracción XXIII de la Ley de Fiscalización del Estado de México; se tiene por enterada la LXII Legislatura del Informe y por cumplido en el mandato establecido en el artículo 13 fracción XXIII de la Ley de Fiscalización Superior del Estado de México para los efectos correspondientes.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En cuanto al siguiente punto la diputada Ruth Salinas Reyes leerá la Iniciativa con Proyecto de Decreto por el que se adiciona el inciso d) a la fracción II del artículo 11 de la Ley de Educación del Estado de México, en materia de uniformes neutros, presentada por las y los integrantes del Grupo Parlamentario de Movimiento Ciudadano.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DIP. RUTH SALINAS REYES. Muchas gracias Presidenta.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 xml:space="preserve">Con su permiso, con el permiso de las diputadas, </w:t>
      </w:r>
      <w:proofErr w:type="spellStart"/>
      <w:r w:rsidRPr="00AE0CAB">
        <w:rPr>
          <w:rFonts w:ascii="Times New Roman" w:hAnsi="Times New Roman" w:cs="Times New Roman"/>
          <w:sz w:val="24"/>
          <w:szCs w:val="24"/>
        </w:rPr>
        <w:t>diputade</w:t>
      </w:r>
      <w:proofErr w:type="spellEnd"/>
      <w:r w:rsidRPr="00AE0CAB">
        <w:rPr>
          <w:rFonts w:ascii="Times New Roman" w:hAnsi="Times New Roman" w:cs="Times New Roman"/>
          <w:sz w:val="24"/>
          <w:szCs w:val="24"/>
        </w:rPr>
        <w:t>, diputados, ciudadanas y ciudadanos.</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En nuestro Estado las infancias acuden a la escuela con la intención de aprender, de convivir y desarrollarse plenamente, pero en muchos casos se enfrentan a reglas que limitan su libertad, refuerzan estereotipos y generan discriminación.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En México el uniforme escolar ha sido durante décadas una norma casi incuestionable, en la mayoría de las escuelas públicas los estudiantes deben vestir ropa específica todos los días lo que</w:t>
      </w:r>
      <w:r w:rsidRPr="00AE0CAB">
        <w:rPr>
          <w:rFonts w:ascii="Times New Roman" w:hAnsi="Times New Roman" w:cs="Times New Roman"/>
          <w:sz w:val="24"/>
          <w:szCs w:val="24"/>
          <w:lang w:eastAsia="es-MX"/>
        </w:rPr>
        <w:t xml:space="preserve"> implica gastos adicionales para millones de familias cada ciclo escolar, en gran parte del país, el uniforme escolar es obligatorio desde nivel básico y su uso suele justificarse como una forma de promover orden, disciplina e igualdad entre los estudiantes. </w:t>
      </w:r>
    </w:p>
    <w:p w:rsidR="000E0101" w:rsidRPr="00AE0CAB" w:rsidRDefault="000E0101"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Sin embargo, la Suprema Corte de la Nación ya se ha pronunciado reconociendo que el libre desarrollo de la personalidad deriva directamente de la dignidad humana y que el Estado tiene la obligación de no imponer modelos únicos de identidad, expresión o apariencia, limitar la forma en que una persona se presenta ante los demás, incluyendo su vestimenta, es una forma de restricción injustificada de ese derecho, los uniformes diferenciados por género son un claro ejemplo de estereotipos que siguen normalizándose desde la infancia, en las escuelas, estos estereotipos no solo generan incomodidad, generan exclusión, acoso y discriminación.</w:t>
      </w:r>
    </w:p>
    <w:p w:rsidR="000E0101" w:rsidRPr="00AE0CAB" w:rsidRDefault="000E0101"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lastRenderedPageBreak/>
        <w:t>Por lo tanto, esta iniciativa beneficia en mayor medida a las niñas, facilitando su participación en actividades físicas, reduciendo situaciones de exposición corporal no deseada y fortaleciendo su autonomía sobre su propio cuerpo, es una medida que proviene que pueda ella misma sentirse cómoda evitando el acoso escolar y el hostigamiento sexual y que contribuya a generar entornos escolares más seguros.</w:t>
      </w:r>
    </w:p>
    <w:p w:rsidR="000E0101" w:rsidRPr="00AE0CAB" w:rsidRDefault="000E0101"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Recordemos el caso de Oaxaca, donde una menor fue excluida de la escuela por negarse a usar falda y esto nos recuerda que la ausencia de reglas claras abre la puerta a la violencia institucional, ninguna costumbre, ninguna decisión administrativa, puede estar por encima del interés superior de la niñez.</w:t>
      </w:r>
    </w:p>
    <w:p w:rsidR="000E0101" w:rsidRPr="00AE0CAB" w:rsidRDefault="000E0101"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Y además tenemos casos ya de éxito porque desde 2019 la Ciudad de México implementó el uso de uniformes neutros y posteriormente lo incorporó en su legislación educativa, demostrando que sí es posible avanzar sin afectar el orden escolar, sin generar conflictos o fortaleciendo la inclusión, el Estado de México como la Entidad más poblada del país y una de las más diversas, no puede quedarse atrás, es momento de poner el ejemplo, porque nuestras escuelas son el primer reflejo de pluralidad, de convertir espacios donde todas y todos pueden aprender sin miedo, sin estigmas y sin exclusiones.</w:t>
      </w:r>
    </w:p>
    <w:p w:rsidR="000E0101" w:rsidRPr="00AE0CAB" w:rsidRDefault="000E0101"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Por lo tanto, legislar sobre uniformes neutros no es legislar sobre ideología, es legislar sobre derechos, igualdad y dignidad, por tal motivo, se propone adicionar el artículo 45 Bis a la Ley de Educación del Estado de México, para reconocer de manera expresa el derecho al uso de uniformes neutros en los centros escolares públicos y privados, permitiendo que el alumnado elija libremente entre pantalón o falda, sin sanciones ni condicionamientos. Porque la educación se vive con libertad, respeto e inclusión, colocando en el centro el bienestar, la dignidad y los derechos de la niñez mexiquense.</w:t>
      </w:r>
    </w:p>
    <w:p w:rsidR="000E0101" w:rsidRPr="00AE0CAB" w:rsidRDefault="000E0101"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Por último Presidenta, solicito se inserte el texto íntegro de la presente iniciativa al Diario de Debates y la Gaceta Parlamentaria.</w:t>
      </w:r>
    </w:p>
    <w:p w:rsidR="000E0101" w:rsidRPr="00AE0CAB" w:rsidRDefault="000E0101"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Es cuanto. Muchas gracias.</w:t>
      </w:r>
    </w:p>
    <w:p w:rsidR="007974C2" w:rsidRPr="00AE0CAB" w:rsidRDefault="007974C2" w:rsidP="007974C2">
      <w:pPr>
        <w:pStyle w:val="Sinespaciado"/>
        <w:jc w:val="both"/>
        <w:rPr>
          <w:rFonts w:ascii="Times New Roman" w:hAnsi="Times New Roman" w:cs="Times New Roman"/>
          <w:sz w:val="24"/>
          <w:szCs w:val="24"/>
        </w:rPr>
      </w:pPr>
    </w:p>
    <w:p w:rsidR="007974C2" w:rsidRPr="00AE0CAB" w:rsidRDefault="007974C2" w:rsidP="007974C2">
      <w:pPr>
        <w:spacing w:after="0" w:line="240" w:lineRule="auto"/>
        <w:jc w:val="center"/>
        <w:rPr>
          <w:rFonts w:ascii="Times New Roman" w:hAnsi="Times New Roman"/>
          <w:i/>
          <w:sz w:val="24"/>
          <w:szCs w:val="24"/>
        </w:rPr>
      </w:pPr>
      <w:r w:rsidRPr="00AE0CAB">
        <w:rPr>
          <w:rFonts w:ascii="Times New Roman" w:hAnsi="Times New Roman"/>
          <w:i/>
          <w:sz w:val="24"/>
          <w:szCs w:val="24"/>
        </w:rPr>
        <w:t>(Se inserta documento)</w:t>
      </w:r>
    </w:p>
    <w:p w:rsidR="007974C2" w:rsidRPr="00AE0CAB" w:rsidRDefault="007974C2" w:rsidP="007974C2">
      <w:pPr>
        <w:spacing w:after="0" w:line="240" w:lineRule="auto"/>
        <w:jc w:val="center"/>
        <w:rPr>
          <w:rFonts w:ascii="Times New Roman" w:hAnsi="Times New Roman"/>
          <w:sz w:val="24"/>
          <w:szCs w:val="24"/>
        </w:rPr>
      </w:pPr>
    </w:p>
    <w:p w:rsidR="007974C2" w:rsidRPr="00AE0CAB" w:rsidRDefault="007974C2" w:rsidP="007974C2">
      <w:pPr>
        <w:spacing w:after="0" w:line="240" w:lineRule="auto"/>
        <w:jc w:val="center"/>
        <w:rPr>
          <w:rFonts w:ascii="Times New Roman" w:eastAsia="Times New Roman" w:hAnsi="Times New Roman" w:cs="Times New Roman"/>
          <w:sz w:val="24"/>
          <w:szCs w:val="24"/>
        </w:rPr>
      </w:pPr>
      <w:r w:rsidRPr="00AE0CAB">
        <w:rPr>
          <w:rFonts w:ascii="Times New Roman" w:eastAsia="Times New Roman" w:hAnsi="Times New Roman" w:cs="Times New Roman"/>
          <w:sz w:val="24"/>
          <w:szCs w:val="24"/>
        </w:rPr>
        <w:t>Bancada Naranja</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right"/>
        <w:rPr>
          <w:rFonts w:ascii="Times New Roman" w:eastAsia="Arial" w:hAnsi="Times New Roman" w:cs="Times New Roman"/>
          <w:sz w:val="24"/>
          <w:szCs w:val="24"/>
        </w:rPr>
      </w:pPr>
      <w:r w:rsidRPr="00AE0CAB">
        <w:rPr>
          <w:rFonts w:ascii="Times New Roman" w:eastAsia="Arial" w:hAnsi="Times New Roman" w:cs="Times New Roman"/>
          <w:sz w:val="24"/>
          <w:szCs w:val="24"/>
        </w:rPr>
        <w:t>Toluca de Lerdo, Estado de México, 18 de febrero, 2026.</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DIPUTADA</w:t>
      </w:r>
    </w:p>
    <w:p w:rsidR="007974C2" w:rsidRPr="00AE0CAB" w:rsidRDefault="007974C2" w:rsidP="007974C2">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MARTHA AZUCENA CAMACHO REYNOSO</w:t>
      </w:r>
    </w:p>
    <w:p w:rsidR="007974C2" w:rsidRPr="00AE0CAB" w:rsidRDefault="007974C2" w:rsidP="007974C2">
      <w:pPr>
        <w:spacing w:after="0" w:line="240" w:lineRule="auto"/>
        <w:rPr>
          <w:rFonts w:ascii="Times New Roman" w:eastAsia="Arial" w:hAnsi="Times New Roman" w:cs="Times New Roman"/>
          <w:b/>
          <w:sz w:val="24"/>
          <w:szCs w:val="24"/>
        </w:rPr>
      </w:pPr>
      <w:r w:rsidRPr="00AE0CAB">
        <w:rPr>
          <w:rFonts w:ascii="Times New Roman" w:eastAsia="Arial" w:hAnsi="Times New Roman" w:cs="Times New Roman"/>
          <w:b/>
          <w:sz w:val="24"/>
          <w:szCs w:val="24"/>
        </w:rPr>
        <w:t>PRESIDENTA DE LA LXII LEGISLATURA</w:t>
      </w:r>
    </w:p>
    <w:p w:rsidR="007974C2" w:rsidRPr="00AE0CAB" w:rsidRDefault="007974C2" w:rsidP="007974C2">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DEL ESTADO DE MÉXICO</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rPr>
          <w:rFonts w:ascii="Times New Roman" w:eastAsia="Arial" w:hAnsi="Times New Roman" w:cs="Times New Roman"/>
          <w:sz w:val="24"/>
          <w:szCs w:val="24"/>
        </w:rPr>
      </w:pPr>
      <w:r w:rsidRPr="00AE0CAB">
        <w:rPr>
          <w:rFonts w:ascii="Times New Roman" w:eastAsia="Arial" w:hAnsi="Times New Roman" w:cs="Times New Roman"/>
          <w:b/>
          <w:sz w:val="24"/>
          <w:szCs w:val="24"/>
        </w:rPr>
        <w:t>P R E S E N T E</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AE0CAB">
        <w:rPr>
          <w:rFonts w:ascii="Times New Roman" w:eastAsia="Calibri" w:hAnsi="Times New Roman" w:cs="Times New Roman"/>
          <w:b/>
          <w:sz w:val="24"/>
          <w:szCs w:val="24"/>
        </w:rPr>
        <w:t xml:space="preserve">Iniciativa con Proyecto de Decreto que adiciona el Artículo 45 Bis de la Ley de Educación  del Estado de México en materia de Uniformes Neutros, </w:t>
      </w:r>
      <w:r w:rsidRPr="00AE0CAB">
        <w:rPr>
          <w:rFonts w:ascii="Times New Roman" w:eastAsia="Calibri" w:hAnsi="Times New Roman" w:cs="Times New Roman"/>
          <w:sz w:val="24"/>
          <w:szCs w:val="24"/>
        </w:rPr>
        <w:t>de conformidad con la siguiente:</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u w:val="single" w:color="000000"/>
        </w:rPr>
        <w:lastRenderedPageBreak/>
        <w:t>EXPOSICIÓN DE MOTIVOS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Times New Roman" w:hAnsi="Times New Roman" w:cs="Times New Roman"/>
          <w:sz w:val="24"/>
          <w:szCs w:val="24"/>
        </w:rPr>
      </w:pPr>
      <w:r w:rsidRPr="00AE0CAB">
        <w:rPr>
          <w:rFonts w:ascii="Times New Roman" w:eastAsia="Calibri" w:hAnsi="Times New Roman" w:cs="Times New Roman"/>
          <w:b/>
          <w:sz w:val="24"/>
          <w:szCs w:val="24"/>
        </w:rPr>
        <w:t xml:space="preserve">I. </w:t>
      </w:r>
      <w:r w:rsidRPr="00AE0CAB">
        <w:rPr>
          <w:rFonts w:ascii="Times New Roman" w:eastAsia="Calibri" w:hAnsi="Times New Roman" w:cs="Times New Roman"/>
          <w:sz w:val="24"/>
          <w:szCs w:val="24"/>
        </w:rPr>
        <w:t>La Suprema Corte de Justicia de la Nación, a través del amparo directo 6/2008 advirtió que, aunque el derecho al libre desarrollo de la personalidad no se encuentra consagrado expresamente en la Constitución, este derecho deriva del reconocimiento de una dignidad humana.</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Para la Corte, este derecho es personalísimo, y se ejerce en la disposición de la libertad de cada persona, mientras que, constituye una obligación de los demás de respeto a este derecho y, por lo tanto, se configura como un derecho de defensa y garantía esencial para la condición humana, en tanto pueden reclamarse.</w:t>
      </w:r>
      <w:r w:rsidRPr="00AE0CAB">
        <w:rPr>
          <w:rFonts w:ascii="Times New Roman" w:eastAsia="Calibri" w:hAnsi="Times New Roman" w:cs="Times New Roman"/>
          <w:sz w:val="24"/>
          <w:szCs w:val="24"/>
          <w:vertAlign w:val="superscript"/>
        </w:rPr>
        <w:t>1</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ese sentido, de acuerdo con la SCJN “resulta contrario a tales derechos fundamentales – libre desarrollo de la personalidad e identidad sexual – mantener legalmente a una persona en su sexo que no siente como propio, o que le ha llevado a adecuar su físico a su psique, ya sea en sus hábitos, vestimenta e, incluso, recurriendo a los avances médicos que le permitan aproximarse a los caracteres morfológicos típicos del sexo con el que psicológicamente y emocionalmente se identifica y que vive como propio, en los distintos ámbitos de su vida social y privada, pues, sólo a partir del respeto a su identidad sexual, es que podrá realizar su propio proyecto vital que, en forma autónoma, tiene derecho de decidir”.</w:t>
      </w:r>
      <w:r w:rsidRPr="00AE0CAB">
        <w:rPr>
          <w:rFonts w:ascii="Times New Roman" w:eastAsia="Calibri" w:hAnsi="Times New Roman" w:cs="Times New Roman"/>
          <w:sz w:val="24"/>
          <w:szCs w:val="24"/>
          <w:vertAlign w:val="superscript"/>
        </w:rPr>
        <w:t>2</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materia internacional, la Declaración Universal de Derechos Humanos</w:t>
      </w:r>
      <w:r w:rsidRPr="00AE0CAB">
        <w:rPr>
          <w:rFonts w:ascii="Times New Roman" w:eastAsia="Calibri" w:hAnsi="Times New Roman" w:cs="Times New Roman"/>
          <w:sz w:val="24"/>
          <w:szCs w:val="24"/>
          <w:vertAlign w:val="superscript"/>
        </w:rPr>
        <w:t>3</w:t>
      </w:r>
      <w:r w:rsidRPr="00AE0CAB">
        <w:rPr>
          <w:rFonts w:ascii="Times New Roman" w:eastAsia="Calibri" w:hAnsi="Times New Roman" w:cs="Times New Roman"/>
          <w:sz w:val="24"/>
          <w:szCs w:val="24"/>
        </w:rPr>
        <w:t>, en su artículo uno, establece que:</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0"/>
          <w:szCs w:val="20"/>
        </w:rPr>
      </w:pPr>
      <w:r w:rsidRPr="00AE0CAB">
        <w:rPr>
          <w:rFonts w:ascii="Times New Roman" w:eastAsia="Calibri" w:hAnsi="Times New Roman" w:cs="Times New Roman"/>
          <w:sz w:val="20"/>
          <w:szCs w:val="20"/>
          <w:vertAlign w:val="superscript"/>
        </w:rPr>
        <w:t>1</w:t>
      </w:r>
      <w:r w:rsidRPr="00AE0CAB">
        <w:rPr>
          <w:rFonts w:ascii="Times New Roman" w:eastAsia="Calibri" w:hAnsi="Times New Roman" w:cs="Times New Roman"/>
          <w:sz w:val="20"/>
          <w:szCs w:val="20"/>
        </w:rPr>
        <w:t xml:space="preserve"> Cuadernos de Jurisprudencia: Libre Desarrollo de la Personalidad. Suprema Corte de Justicia de la</w:t>
      </w:r>
    </w:p>
    <w:p w:rsidR="007974C2" w:rsidRPr="00AE0CAB" w:rsidRDefault="007974C2" w:rsidP="007974C2">
      <w:pPr>
        <w:spacing w:after="0" w:line="240" w:lineRule="auto"/>
        <w:jc w:val="both"/>
        <w:rPr>
          <w:rFonts w:ascii="Times New Roman" w:eastAsia="Calibri" w:hAnsi="Times New Roman" w:cs="Times New Roman"/>
          <w:sz w:val="20"/>
          <w:szCs w:val="20"/>
        </w:rPr>
      </w:pPr>
      <w:r w:rsidRPr="00AE0CAB">
        <w:rPr>
          <w:rFonts w:ascii="Times New Roman" w:eastAsia="Calibri" w:hAnsi="Times New Roman" w:cs="Times New Roman"/>
          <w:sz w:val="20"/>
          <w:szCs w:val="20"/>
        </w:rPr>
        <w:t>Nación. Recuperado de:</w:t>
      </w:r>
    </w:p>
    <w:p w:rsidR="007974C2" w:rsidRPr="00AE0CAB" w:rsidRDefault="003165F0" w:rsidP="007974C2">
      <w:pPr>
        <w:spacing w:after="0" w:line="240" w:lineRule="auto"/>
        <w:jc w:val="both"/>
        <w:rPr>
          <w:rFonts w:ascii="Times New Roman" w:eastAsia="Calibri" w:hAnsi="Times New Roman" w:cs="Times New Roman"/>
          <w:sz w:val="20"/>
          <w:szCs w:val="20"/>
        </w:rPr>
      </w:pPr>
      <w:hyperlink r:id="rId116">
        <w:r w:rsidR="007974C2" w:rsidRPr="00AE0CAB">
          <w:rPr>
            <w:rFonts w:ascii="Times New Roman" w:eastAsia="Calibri" w:hAnsi="Times New Roman" w:cs="Times New Roman"/>
            <w:sz w:val="20"/>
            <w:szCs w:val="20"/>
            <w:u w:val="single" w:color="467885"/>
          </w:rPr>
          <w:t xml:space="preserve"> https: //w </w:t>
        </w:r>
        <w:proofErr w:type="spellStart"/>
        <w:r w:rsidR="007974C2" w:rsidRPr="00AE0CAB">
          <w:rPr>
            <w:rFonts w:ascii="Times New Roman" w:eastAsia="Calibri" w:hAnsi="Times New Roman" w:cs="Times New Roman"/>
            <w:sz w:val="20"/>
            <w:szCs w:val="20"/>
            <w:u w:val="single" w:color="467885"/>
          </w:rPr>
          <w:t>w</w:t>
        </w:r>
        <w:proofErr w:type="spellEnd"/>
        <w:r w:rsidR="007974C2" w:rsidRPr="00AE0CAB">
          <w:rPr>
            <w:rFonts w:ascii="Times New Roman" w:eastAsia="Calibri" w:hAnsi="Times New Roman" w:cs="Times New Roman"/>
            <w:sz w:val="20"/>
            <w:szCs w:val="20"/>
            <w:u w:val="single" w:color="467885"/>
          </w:rPr>
          <w:t xml:space="preserve"> </w:t>
        </w:r>
        <w:proofErr w:type="spellStart"/>
        <w:r w:rsidR="007974C2" w:rsidRPr="00AE0CAB">
          <w:rPr>
            <w:rFonts w:ascii="Times New Roman" w:eastAsia="Calibri" w:hAnsi="Times New Roman" w:cs="Times New Roman"/>
            <w:sz w:val="20"/>
            <w:szCs w:val="20"/>
            <w:u w:val="single" w:color="467885"/>
          </w:rPr>
          <w:t>w.sitios.scjn.gob</w:t>
        </w:r>
        <w:proofErr w:type="spellEnd"/>
        <w:r w:rsidR="007974C2" w:rsidRPr="00AE0CAB">
          <w:rPr>
            <w:rFonts w:ascii="Times New Roman" w:eastAsia="Calibri" w:hAnsi="Times New Roman" w:cs="Times New Roman"/>
            <w:sz w:val="20"/>
            <w:szCs w:val="20"/>
            <w:u w:val="single" w:color="467885"/>
          </w:rPr>
          <w:t xml:space="preserve">. </w:t>
        </w:r>
        <w:proofErr w:type="spellStart"/>
        <w:r w:rsidR="007974C2" w:rsidRPr="00AE0CAB">
          <w:rPr>
            <w:rFonts w:ascii="Times New Roman" w:eastAsia="Calibri" w:hAnsi="Times New Roman" w:cs="Times New Roman"/>
            <w:sz w:val="20"/>
            <w:szCs w:val="20"/>
            <w:u w:val="single" w:color="467885"/>
          </w:rPr>
          <w:t>mx</w:t>
        </w:r>
        <w:proofErr w:type="spellEnd"/>
        <w:r w:rsidR="007974C2" w:rsidRPr="00AE0CAB">
          <w:rPr>
            <w:rFonts w:ascii="Times New Roman" w:eastAsia="Calibri" w:hAnsi="Times New Roman" w:cs="Times New Roman"/>
            <w:sz w:val="20"/>
            <w:szCs w:val="20"/>
            <w:u w:val="single" w:color="467885"/>
          </w:rPr>
          <w:t>/</w:t>
        </w:r>
        <w:proofErr w:type="spellStart"/>
        <w:r w:rsidR="007974C2" w:rsidRPr="00AE0CAB">
          <w:rPr>
            <w:rFonts w:ascii="Times New Roman" w:eastAsia="Calibri" w:hAnsi="Times New Roman" w:cs="Times New Roman"/>
            <w:sz w:val="20"/>
            <w:szCs w:val="20"/>
            <w:u w:val="single" w:color="467885"/>
          </w:rPr>
          <w:t>cec</w:t>
        </w:r>
        <w:proofErr w:type="spellEnd"/>
        <w:r w:rsidR="007974C2" w:rsidRPr="00AE0CAB">
          <w:rPr>
            <w:rFonts w:ascii="Times New Roman" w:eastAsia="Calibri" w:hAnsi="Times New Roman" w:cs="Times New Roman"/>
            <w:sz w:val="20"/>
            <w:szCs w:val="20"/>
            <w:u w:val="single" w:color="467885"/>
          </w:rPr>
          <w:t>/</w:t>
        </w:r>
        <w:proofErr w:type="spellStart"/>
        <w:r w:rsidR="007974C2" w:rsidRPr="00AE0CAB">
          <w:rPr>
            <w:rFonts w:ascii="Times New Roman" w:eastAsia="Calibri" w:hAnsi="Times New Roman" w:cs="Times New Roman"/>
            <w:sz w:val="20"/>
            <w:szCs w:val="20"/>
            <w:u w:val="single" w:color="467885"/>
          </w:rPr>
          <w:t>sites</w:t>
        </w:r>
        <w:proofErr w:type="spellEnd"/>
        <w:r w:rsidR="007974C2" w:rsidRPr="00AE0CAB">
          <w:rPr>
            <w:rFonts w:ascii="Times New Roman" w:eastAsia="Calibri" w:hAnsi="Times New Roman" w:cs="Times New Roman"/>
            <w:sz w:val="20"/>
            <w:szCs w:val="20"/>
            <w:u w:val="single" w:color="467885"/>
          </w:rPr>
          <w:t xml:space="preserve">/de </w:t>
        </w:r>
        <w:proofErr w:type="spellStart"/>
        <w:r w:rsidR="007974C2" w:rsidRPr="00AE0CAB">
          <w:rPr>
            <w:rFonts w:ascii="Times New Roman" w:eastAsia="Calibri" w:hAnsi="Times New Roman" w:cs="Times New Roman"/>
            <w:sz w:val="20"/>
            <w:szCs w:val="20"/>
            <w:u w:val="single" w:color="467885"/>
          </w:rPr>
          <w:t>fault</w:t>
        </w:r>
        <w:proofErr w:type="spellEnd"/>
        <w:r w:rsidR="007974C2" w:rsidRPr="00AE0CAB">
          <w:rPr>
            <w:rFonts w:ascii="Times New Roman" w:eastAsia="Calibri" w:hAnsi="Times New Roman" w:cs="Times New Roman"/>
            <w:sz w:val="20"/>
            <w:szCs w:val="20"/>
            <w:u w:val="single" w:color="467885"/>
          </w:rPr>
          <w:t>/fil es/</w:t>
        </w:r>
        <w:proofErr w:type="spellStart"/>
        <w:r w:rsidR="007974C2" w:rsidRPr="00AE0CAB">
          <w:rPr>
            <w:rFonts w:ascii="Times New Roman" w:eastAsia="Calibri" w:hAnsi="Times New Roman" w:cs="Times New Roman"/>
            <w:sz w:val="20"/>
            <w:szCs w:val="20"/>
            <w:u w:val="single" w:color="467885"/>
          </w:rPr>
          <w:t>publication</w:t>
        </w:r>
        <w:proofErr w:type="spellEnd"/>
        <w:r w:rsidR="007974C2" w:rsidRPr="00AE0CAB">
          <w:rPr>
            <w:rFonts w:ascii="Times New Roman" w:eastAsia="Calibri" w:hAnsi="Times New Roman" w:cs="Times New Roman"/>
            <w:sz w:val="20"/>
            <w:szCs w:val="20"/>
            <w:u w:val="single" w:color="467885"/>
          </w:rPr>
          <w:t xml:space="preserve"> /</w:t>
        </w:r>
        <w:proofErr w:type="spellStart"/>
        <w:r w:rsidR="007974C2" w:rsidRPr="00AE0CAB">
          <w:rPr>
            <w:rFonts w:ascii="Times New Roman" w:eastAsia="Calibri" w:hAnsi="Times New Roman" w:cs="Times New Roman"/>
            <w:sz w:val="20"/>
            <w:szCs w:val="20"/>
            <w:u w:val="single" w:color="467885"/>
          </w:rPr>
          <w:t>docume</w:t>
        </w:r>
        <w:proofErr w:type="spellEnd"/>
        <w:r w:rsidR="007974C2" w:rsidRPr="00AE0CAB">
          <w:rPr>
            <w:rFonts w:ascii="Times New Roman" w:eastAsia="Calibri" w:hAnsi="Times New Roman" w:cs="Times New Roman"/>
            <w:sz w:val="20"/>
            <w:szCs w:val="20"/>
            <w:u w:val="single" w:color="467885"/>
          </w:rPr>
          <w:t xml:space="preserve"> </w:t>
        </w:r>
        <w:proofErr w:type="spellStart"/>
        <w:r w:rsidR="007974C2" w:rsidRPr="00AE0CAB">
          <w:rPr>
            <w:rFonts w:ascii="Times New Roman" w:eastAsia="Calibri" w:hAnsi="Times New Roman" w:cs="Times New Roman"/>
            <w:sz w:val="20"/>
            <w:szCs w:val="20"/>
            <w:u w:val="single" w:color="467885"/>
          </w:rPr>
          <w:t>nts</w:t>
        </w:r>
        <w:proofErr w:type="spellEnd"/>
        <w:r w:rsidR="007974C2" w:rsidRPr="00AE0CAB">
          <w:rPr>
            <w:rFonts w:ascii="Times New Roman" w:eastAsia="Calibri" w:hAnsi="Times New Roman" w:cs="Times New Roman"/>
            <w:sz w:val="20"/>
            <w:szCs w:val="20"/>
            <w:u w:val="single" w:color="467885"/>
          </w:rPr>
          <w:t>/2023 -</w:t>
        </w:r>
      </w:hyperlink>
      <w:hyperlink r:id="rId117">
        <w:r w:rsidR="007974C2" w:rsidRPr="00AE0CAB">
          <w:rPr>
            <w:rFonts w:ascii="Times New Roman" w:eastAsia="Calibri" w:hAnsi="Times New Roman" w:cs="Times New Roman"/>
            <w:sz w:val="20"/>
            <w:szCs w:val="20"/>
            <w:u w:val="single" w:color="467885"/>
          </w:rPr>
          <w:t xml:space="preserve"> 01/CUADERNO% 20NUM%2016% 20DH_LI BRE%20DESARROLLO_FINAL% 20DIGITAL. </w:t>
        </w:r>
        <w:proofErr w:type="spellStart"/>
        <w:r w:rsidR="007974C2" w:rsidRPr="00AE0CAB">
          <w:rPr>
            <w:rFonts w:ascii="Times New Roman" w:eastAsia="Calibri" w:hAnsi="Times New Roman" w:cs="Times New Roman"/>
            <w:sz w:val="20"/>
            <w:szCs w:val="20"/>
            <w:u w:val="single" w:color="467885"/>
          </w:rPr>
          <w:t>pdf</w:t>
        </w:r>
        <w:proofErr w:type="spellEnd"/>
        <w:r w:rsidR="007974C2" w:rsidRPr="00AE0CAB">
          <w:rPr>
            <w:rFonts w:ascii="Times New Roman" w:eastAsia="Calibri" w:hAnsi="Times New Roman" w:cs="Times New Roman"/>
            <w:sz w:val="20"/>
            <w:szCs w:val="20"/>
            <w:u w:val="single" w:color="467885"/>
          </w:rPr>
          <w:t xml:space="preserve"> </w:t>
        </w:r>
      </w:hyperlink>
    </w:p>
    <w:p w:rsidR="007974C2" w:rsidRPr="00AE0CAB" w:rsidRDefault="007974C2" w:rsidP="007974C2">
      <w:pPr>
        <w:spacing w:after="0" w:line="240" w:lineRule="auto"/>
        <w:rPr>
          <w:rFonts w:ascii="Times New Roman" w:eastAsia="Calibri" w:hAnsi="Times New Roman" w:cs="Times New Roman"/>
          <w:sz w:val="20"/>
          <w:szCs w:val="20"/>
        </w:rPr>
      </w:pPr>
      <w:r w:rsidRPr="00AE0CAB">
        <w:rPr>
          <w:rFonts w:ascii="Times New Roman" w:eastAsia="Calibri" w:hAnsi="Times New Roman" w:cs="Times New Roman"/>
          <w:sz w:val="20"/>
          <w:szCs w:val="20"/>
          <w:vertAlign w:val="superscript"/>
        </w:rPr>
        <w:t>2</w:t>
      </w:r>
      <w:r w:rsidRPr="00AE0CAB">
        <w:rPr>
          <w:rFonts w:ascii="Times New Roman" w:eastAsia="Calibri" w:hAnsi="Times New Roman" w:cs="Times New Roman"/>
          <w:sz w:val="20"/>
          <w:szCs w:val="20"/>
        </w:rPr>
        <w:t xml:space="preserve"> Ibidem.</w:t>
      </w:r>
    </w:p>
    <w:p w:rsidR="007974C2" w:rsidRPr="00AE0CAB" w:rsidRDefault="007974C2" w:rsidP="007974C2">
      <w:pPr>
        <w:spacing w:after="0" w:line="240" w:lineRule="auto"/>
        <w:rPr>
          <w:rFonts w:ascii="Times New Roman" w:eastAsia="Times New Roman" w:hAnsi="Times New Roman" w:cs="Times New Roman"/>
          <w:sz w:val="20"/>
          <w:szCs w:val="24"/>
        </w:rPr>
      </w:pPr>
      <w:r w:rsidRPr="00AE0CAB">
        <w:rPr>
          <w:rFonts w:ascii="Times New Roman" w:eastAsia="Trebuchet MS" w:hAnsi="Times New Roman" w:cs="Times New Roman"/>
          <w:sz w:val="20"/>
          <w:szCs w:val="24"/>
        </w:rPr>
        <w:t xml:space="preserve">3 </w:t>
      </w:r>
      <w:r w:rsidRPr="00AE0CAB">
        <w:rPr>
          <w:rFonts w:ascii="Times New Roman" w:eastAsia="Calibri" w:hAnsi="Times New Roman" w:cs="Times New Roman"/>
          <w:sz w:val="20"/>
          <w:szCs w:val="24"/>
        </w:rPr>
        <w:t xml:space="preserve">Declaración Universal de los Derechos Humanos. </w:t>
      </w:r>
      <w:r w:rsidRPr="00AE0CAB">
        <w:rPr>
          <w:rFonts w:ascii="Times New Roman" w:eastAsia="Calibri" w:hAnsi="Times New Roman" w:cs="Times New Roman"/>
          <w:i/>
          <w:sz w:val="20"/>
          <w:szCs w:val="24"/>
        </w:rPr>
        <w:t>Naciones Unidas</w:t>
      </w:r>
      <w:r w:rsidRPr="00AE0CAB">
        <w:rPr>
          <w:rFonts w:ascii="Times New Roman" w:eastAsia="Calibri" w:hAnsi="Times New Roman" w:cs="Times New Roman"/>
          <w:sz w:val="20"/>
          <w:szCs w:val="24"/>
        </w:rPr>
        <w:t>. Recuperado de:</w:t>
      </w:r>
      <w:hyperlink r:id="rId118" w:history="1">
        <w:r w:rsidRPr="00AE0CAB">
          <w:rPr>
            <w:rFonts w:ascii="Times New Roman" w:eastAsia="Calibri" w:hAnsi="Times New Roman" w:cs="Times New Roman"/>
            <w:sz w:val="20"/>
            <w:szCs w:val="24"/>
            <w:u w:val="single"/>
          </w:rPr>
          <w:t xml:space="preserve"> https://www.un.org/es/about-</w:t>
        </w:r>
      </w:hyperlink>
      <w:hyperlink r:id="rId119">
        <w:r w:rsidRPr="00AE0CAB">
          <w:rPr>
            <w:rFonts w:ascii="Times New Roman" w:eastAsia="Calibri" w:hAnsi="Times New Roman" w:cs="Times New Roman"/>
            <w:sz w:val="20"/>
            <w:szCs w:val="24"/>
            <w:u w:val="single" w:color="467885"/>
          </w:rPr>
          <w:t>u</w:t>
        </w:r>
      </w:hyperlink>
      <w:r w:rsidRPr="00AE0CAB">
        <w:rPr>
          <w:rFonts w:ascii="Times New Roman" w:eastAsia="Calibri" w:hAnsi="Times New Roman" w:cs="Times New Roman"/>
          <w:sz w:val="20"/>
          <w:szCs w:val="24"/>
          <w:u w:val="single" w:color="467885"/>
        </w:rPr>
        <w:t>s/universal-declaration-of-human-rights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rPr>
          <w:rFonts w:ascii="Times New Roman" w:eastAsia="Calibri" w:hAnsi="Times New Roman" w:cs="Times New Roman"/>
          <w:sz w:val="24"/>
          <w:szCs w:val="24"/>
        </w:rPr>
      </w:pPr>
      <w:r w:rsidRPr="00AE0CAB">
        <w:rPr>
          <w:rFonts w:ascii="Times New Roman" w:eastAsia="Calibri" w:hAnsi="Times New Roman" w:cs="Times New Roman"/>
          <w:i/>
          <w:sz w:val="24"/>
          <w:szCs w:val="24"/>
        </w:rPr>
        <w:t>Todos los seres humanos nacen libres e iguales en dignidad y derechos y, dotados como están de razón y conciencia, deben comportarse fraternalmente los unos con los otros.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ese sentido, el Estado mexicano demuestra un claro compromiso con el respeto a la dignidad humana y la libertad individual, incluyendo el derecho de cada persona de expresar su género conforme a su identidad. El derecho al libre desarrollo de la personalidad y a la dignidad humana se encuentra garantizado a cada individuo, reconociéndole el derecho a decidir sobre su identidad, expresión y apariencia, sin imposiciones ni discriminación.</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II. </w:t>
      </w:r>
      <w:r w:rsidRPr="00AE0CAB">
        <w:rPr>
          <w:rFonts w:ascii="Times New Roman" w:eastAsia="Calibri" w:hAnsi="Times New Roman" w:cs="Times New Roman"/>
          <w:sz w:val="24"/>
          <w:szCs w:val="24"/>
        </w:rPr>
        <w:t>De acuerdo con las Naciones Unidas, un estereotipo de género es una visión generalizada o una idea preconcebida sobre los atributos o las características, o los papeles que poseen o deberían poseer o desempeñar las mujeres y los hombres. Un estereotipo de género es perjudicial cuando limita la capacidad de las mujeres y los hombres para desarrollar sus capacidades personales, seguir sus carreras profesionales y/o tomar decisiones sobre sus vidas.</w:t>
      </w:r>
      <w:r w:rsidRPr="00AE0CAB">
        <w:rPr>
          <w:rFonts w:ascii="Times New Roman" w:eastAsia="Calibri" w:hAnsi="Times New Roman" w:cs="Times New Roman"/>
          <w:sz w:val="24"/>
          <w:szCs w:val="24"/>
          <w:vertAlign w:val="superscript"/>
        </w:rPr>
        <w:t>3</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el caso concreto, el estereotipo de género se manifiesta como una idea preconcebida sobre la forma en la que se deberían vestir los hombres o las mujeres en las escuelas.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lastRenderedPageBreak/>
        <w:t>Otro concepto importante a explicar, es la expresión de género, la cual se entiende como la manifestación externa de los rasgos culturales que permiten identificar a una persona como masculina o femenina conforme a los patrones considerados propios de cada género por una determinada sociedad en un momento histórico determinado.</w:t>
      </w:r>
      <w:r w:rsidRPr="00AE0CAB">
        <w:rPr>
          <w:rFonts w:ascii="Times New Roman" w:eastAsia="Calibri" w:hAnsi="Times New Roman" w:cs="Times New Roman"/>
          <w:sz w:val="24"/>
          <w:szCs w:val="24"/>
          <w:vertAlign w:val="superscript"/>
        </w:rPr>
        <w:t>4</w:t>
      </w:r>
    </w:p>
    <w:p w:rsidR="007974C2" w:rsidRPr="00AE0CAB" w:rsidRDefault="007974C2" w:rsidP="007974C2">
      <w:pPr>
        <w:spacing w:after="0" w:line="240" w:lineRule="auto"/>
        <w:jc w:val="both"/>
        <w:rPr>
          <w:rFonts w:ascii="Times New Roman" w:eastAsia="Calibri" w:hAnsi="Times New Roman" w:cs="Times New Roman"/>
          <w:sz w:val="24"/>
          <w:szCs w:val="24"/>
        </w:rPr>
      </w:pPr>
    </w:p>
    <w:p w:rsidR="007974C2" w:rsidRPr="00AE0CAB" w:rsidRDefault="007974C2" w:rsidP="007974C2">
      <w:pPr>
        <w:spacing w:after="0" w:line="240" w:lineRule="auto"/>
        <w:rPr>
          <w:rFonts w:ascii="Times New Roman" w:eastAsia="Times New Roman" w:hAnsi="Times New Roman" w:cs="Times New Roman"/>
          <w:sz w:val="20"/>
          <w:szCs w:val="20"/>
        </w:rPr>
      </w:pPr>
      <w:r w:rsidRPr="00AE0CAB">
        <w:rPr>
          <w:rFonts w:ascii="Times New Roman" w:eastAsia="Calibri" w:hAnsi="Times New Roman" w:cs="Times New Roman"/>
          <w:sz w:val="20"/>
          <w:szCs w:val="20"/>
          <w:vertAlign w:val="superscript"/>
        </w:rPr>
        <w:t>3</w:t>
      </w:r>
      <w:r w:rsidRPr="00AE0CAB">
        <w:rPr>
          <w:rFonts w:ascii="Times New Roman" w:eastAsia="Calibri" w:hAnsi="Times New Roman" w:cs="Times New Roman"/>
          <w:sz w:val="20"/>
          <w:szCs w:val="20"/>
        </w:rPr>
        <w:t xml:space="preserve"> Estereotipos de género. Naciones Unidas. Recuperado de:</w:t>
      </w:r>
      <w:hyperlink r:id="rId120" w:history="1">
        <w:r w:rsidRPr="00AE0CAB">
          <w:rPr>
            <w:rFonts w:ascii="Times New Roman" w:eastAsia="Calibri" w:hAnsi="Times New Roman" w:cs="Times New Roman"/>
            <w:sz w:val="20"/>
            <w:szCs w:val="20"/>
            <w:u w:val="single"/>
          </w:rPr>
          <w:t xml:space="preserve"> https://www.ohchr.org/es/women/gender-</w:t>
        </w:r>
      </w:hyperlink>
      <w:hyperlink r:id="rId121">
        <w:r w:rsidRPr="00AE0CAB">
          <w:rPr>
            <w:rFonts w:ascii="Times New Roman" w:eastAsia="Calibri" w:hAnsi="Times New Roman" w:cs="Times New Roman"/>
            <w:sz w:val="20"/>
            <w:szCs w:val="20"/>
            <w:u w:val="single" w:color="467885"/>
          </w:rPr>
          <w:t xml:space="preserve">stereotyping </w:t>
        </w:r>
      </w:hyperlink>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Si bien el uso de un uniforme distinto al asignado tradicionalmente según el género no implica necesariamente una identidad dentro de la población LGBTTTIQA+, es un hecho que este grupo es el más vulnerable ante la imposición de estereotipos de género y, por tanto, uno de los grupos que más se beneficiaría de esta propuesta.</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Esta propuesta beneficia también a las niñas, facilitando su integración en actividades físicas y deportivas en condiciones de mayor comodidad y libertad de movimiento, eliminando barreras prácticas que históricamente han limitado su participación. Además, contribuye a la prevención del acoso escolar y del hostigamiento sexual, al reducir la exposición involuntaria del cuerpo.</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III. </w:t>
      </w:r>
      <w:r w:rsidRPr="00AE0CAB">
        <w:rPr>
          <w:rFonts w:ascii="Times New Roman" w:eastAsia="Calibri" w:hAnsi="Times New Roman" w:cs="Times New Roman"/>
          <w:sz w:val="24"/>
          <w:szCs w:val="24"/>
        </w:rPr>
        <w:t>De acuerdo con datos de la Encuesta Nacional sobre Diversidad Sexual y Género (ENDISEG) 2021, en suma, el 28.7% de la población LGBTTTIQA+ reportaron alguna vez haber pensado en suicidarse o haberlo intentado, lo que representa 1.4 millones de personas. El 20.3% de estas personas, reportaron que la causa principal de la idea o intento fueron problemas en la escuela.</w:t>
      </w:r>
      <w:r w:rsidRPr="00AE0CAB">
        <w:rPr>
          <w:rFonts w:ascii="Times New Roman" w:eastAsia="Calibri" w:hAnsi="Times New Roman" w:cs="Times New Roman"/>
          <w:sz w:val="24"/>
          <w:szCs w:val="24"/>
          <w:vertAlign w:val="superscript"/>
        </w:rPr>
        <w:t>5</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ese sentido, para más de 280 mil personas el acoso escolar, o la discriminación en la escuela fue la razón para pensar en suicidarse o haberlo intentado. Una cifra que lastima, y refleja la realidad que viven las personas LGBTTTIQA+ en sus centros educativos.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0"/>
          <w:szCs w:val="24"/>
        </w:rPr>
      </w:pPr>
      <w:r w:rsidRPr="00AE0CAB">
        <w:rPr>
          <w:rFonts w:ascii="Times New Roman" w:eastAsia="Calibri" w:hAnsi="Times New Roman" w:cs="Times New Roman"/>
          <w:sz w:val="20"/>
          <w:szCs w:val="24"/>
          <w:vertAlign w:val="superscript"/>
        </w:rPr>
        <w:t>4</w:t>
      </w:r>
      <w:r w:rsidRPr="00AE0CAB">
        <w:rPr>
          <w:rFonts w:ascii="Times New Roman" w:eastAsia="Calibri" w:hAnsi="Times New Roman" w:cs="Times New Roman"/>
          <w:sz w:val="20"/>
          <w:szCs w:val="24"/>
        </w:rPr>
        <w:t xml:space="preserve"> Principios de Yogyakarta. Principios sobre la aplicación de la legislación internacional de derechos humanos en relación con la orientación sexual y la identidad de género. Recuperado de:</w:t>
      </w:r>
      <w:hyperlink r:id="rId122" w:history="1">
        <w:r w:rsidRPr="00AE0CAB">
          <w:rPr>
            <w:rFonts w:ascii="Times New Roman" w:eastAsia="Calibri" w:hAnsi="Times New Roman" w:cs="Times New Roman"/>
            <w:sz w:val="20"/>
            <w:szCs w:val="24"/>
            <w:u w:val="single"/>
          </w:rPr>
          <w:t xml:space="preserve"> https://yogyakartaprinciples.org/wp-</w:t>
        </w:r>
      </w:hyperlink>
      <w:hyperlink r:id="rId123">
        <w:r w:rsidRPr="00AE0CAB">
          <w:rPr>
            <w:rFonts w:ascii="Times New Roman" w:eastAsia="Calibri" w:hAnsi="Times New Roman" w:cs="Times New Roman"/>
            <w:sz w:val="20"/>
            <w:szCs w:val="24"/>
            <w:u w:val="single" w:color="467885"/>
          </w:rPr>
          <w:t>c</w:t>
        </w:r>
      </w:hyperlink>
      <w:r w:rsidRPr="00AE0CAB">
        <w:rPr>
          <w:rFonts w:ascii="Times New Roman" w:eastAsia="Calibri" w:hAnsi="Times New Roman" w:cs="Times New Roman"/>
          <w:sz w:val="20"/>
          <w:szCs w:val="24"/>
          <w:u w:val="single" w:color="467885"/>
        </w:rPr>
        <w:t xml:space="preserve">ontent/uploads/2016/08/principles_sp.pdf </w:t>
      </w:r>
    </w:p>
    <w:p w:rsidR="007974C2" w:rsidRPr="00AE0CAB" w:rsidRDefault="007974C2" w:rsidP="007974C2">
      <w:pPr>
        <w:spacing w:after="0" w:line="240" w:lineRule="auto"/>
        <w:jc w:val="both"/>
        <w:rPr>
          <w:rFonts w:ascii="Times New Roman" w:eastAsia="Times New Roman" w:hAnsi="Times New Roman" w:cs="Times New Roman"/>
          <w:sz w:val="20"/>
          <w:szCs w:val="24"/>
        </w:rPr>
      </w:pPr>
      <w:r w:rsidRPr="00AE0CAB">
        <w:rPr>
          <w:rFonts w:ascii="Times New Roman" w:eastAsia="Calibri" w:hAnsi="Times New Roman" w:cs="Times New Roman"/>
          <w:sz w:val="20"/>
          <w:szCs w:val="24"/>
          <w:vertAlign w:val="superscript"/>
        </w:rPr>
        <w:t>5</w:t>
      </w:r>
      <w:r w:rsidRPr="00AE0CAB">
        <w:rPr>
          <w:rFonts w:ascii="Times New Roman" w:eastAsia="Calibri" w:hAnsi="Times New Roman" w:cs="Times New Roman"/>
          <w:sz w:val="20"/>
          <w:szCs w:val="24"/>
        </w:rPr>
        <w:t xml:space="preserve"> Encuesta Nacional sobre Diversidad Sexual y de Género (ENDISEG) 2021. </w:t>
      </w:r>
      <w:r w:rsidRPr="00AE0CAB">
        <w:rPr>
          <w:rFonts w:ascii="Times New Roman" w:eastAsia="Calibri" w:hAnsi="Times New Roman" w:cs="Times New Roman"/>
          <w:i/>
          <w:sz w:val="20"/>
          <w:szCs w:val="24"/>
        </w:rPr>
        <w:t>INEGI</w:t>
      </w:r>
      <w:r w:rsidRPr="00AE0CAB">
        <w:rPr>
          <w:rFonts w:ascii="Times New Roman" w:eastAsia="Calibri" w:hAnsi="Times New Roman" w:cs="Times New Roman"/>
          <w:sz w:val="20"/>
          <w:szCs w:val="24"/>
        </w:rPr>
        <w:t>. Recuperado de:</w:t>
      </w:r>
      <w:hyperlink r:id="rId124" w:history="1">
        <w:r w:rsidRPr="00AE0CAB">
          <w:rPr>
            <w:rFonts w:ascii="Times New Roman" w:eastAsia="Calibri" w:hAnsi="Times New Roman" w:cs="Times New Roman"/>
            <w:sz w:val="20"/>
            <w:szCs w:val="24"/>
            <w:u w:val="single"/>
          </w:rPr>
          <w:t xml:space="preserve"> https://www.inegi.org.mx/programas/endiseg/2021/ </w:t>
        </w:r>
      </w:hyperlink>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Por su parte, la Encuesta Nacional sobre Discriminación 2022 (ENADIS), refleja que el 37.3% de la población de 18 años y más de la diversidad sexual y de género declaró haber sido discriminada en los últimos 12 meses. De este, el 41.8% declaró haberlo sido por su forma de vestir o arreglo personal, siendo la razón más común de discriminación</w:t>
      </w:r>
      <w:r w:rsidRPr="00AE0CAB">
        <w:rPr>
          <w:rFonts w:ascii="Times New Roman" w:eastAsia="Calibri" w:hAnsi="Times New Roman" w:cs="Times New Roman"/>
          <w:sz w:val="24"/>
          <w:szCs w:val="24"/>
          <w:vertAlign w:val="superscript"/>
        </w:rPr>
        <w:t>6</w:t>
      </w:r>
      <w:r w:rsidRPr="00AE0CAB">
        <w:rPr>
          <w:rFonts w:ascii="Times New Roman" w:eastAsia="Calibri" w:hAnsi="Times New Roman" w:cs="Times New Roman"/>
          <w:sz w:val="24"/>
          <w:szCs w:val="24"/>
        </w:rPr>
        <w:t>.</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IV. </w:t>
      </w:r>
      <w:r w:rsidRPr="00AE0CAB">
        <w:rPr>
          <w:rFonts w:ascii="Times New Roman" w:eastAsia="Calibri" w:hAnsi="Times New Roman" w:cs="Times New Roman"/>
          <w:sz w:val="24"/>
          <w:szCs w:val="24"/>
        </w:rPr>
        <w:t>En 2023 en el municipio de Villa de Tututepec en Oaxaca, una estudiante de 12 años solicitó apoyo para que la dejaran ingresar al colegio con uniforme neutro, motivo por el cual durante una reunión entre autoridades estatales y municipales con padres de familia de la escuela telesecundaria de la comunidad San José Malinaltepec, se determinó que la menor no podía acudir al centro educativo por negarse a utilizar falda como uniforme</w:t>
      </w:r>
      <w:r w:rsidRPr="00AE0CAB">
        <w:rPr>
          <w:rFonts w:ascii="Times New Roman" w:eastAsia="Calibri" w:hAnsi="Times New Roman" w:cs="Times New Roman"/>
          <w:sz w:val="24"/>
          <w:szCs w:val="24"/>
          <w:vertAlign w:val="superscript"/>
        </w:rPr>
        <w:t>7</w:t>
      </w:r>
      <w:r w:rsidRPr="00AE0CAB">
        <w:rPr>
          <w:rFonts w:ascii="Times New Roman" w:eastAsia="Calibri" w:hAnsi="Times New Roman" w:cs="Times New Roman"/>
          <w:sz w:val="24"/>
          <w:szCs w:val="24"/>
        </w:rPr>
        <w:t>.</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Esta decisión de los padres de familia demuestra la profunda discriminación sistemática que viven las niñas, niños y adolescentes en sus escuelas por no ajustarse al estereotipo de género en la forma de vestir. Este tipo de determinaciones no pueden estar por encima de los derechos humanos de niñas, niños y adolescentes, reconocidos tanto en la Constitución Política de los Estados Unidos Mexicanos como en tratados internacionales firmados por el Estado mexicano.</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lastRenderedPageBreak/>
        <w:t>Impedir a una menor asistir a clases por su forma de vestir constituye una forma de violencia institucional que no debe tolerarse ni repetirse. Por ello, resulta urgente establecer en la legislación criterios claros que garanticen la libertad de elección sobre los uniformes escolares desde una perspectiva de derechos, sin que ello implique sanciones, exclusiones o represalias.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rPr>
          <w:rFonts w:ascii="Times New Roman" w:eastAsia="Calibri" w:hAnsi="Times New Roman" w:cs="Times New Roman"/>
          <w:sz w:val="20"/>
          <w:szCs w:val="24"/>
        </w:rPr>
      </w:pPr>
      <w:r w:rsidRPr="00AE0CAB">
        <w:rPr>
          <w:rFonts w:ascii="Times New Roman" w:eastAsia="Calibri" w:hAnsi="Times New Roman" w:cs="Times New Roman"/>
          <w:sz w:val="20"/>
          <w:szCs w:val="24"/>
          <w:vertAlign w:val="superscript"/>
        </w:rPr>
        <w:t>6</w:t>
      </w:r>
      <w:r w:rsidRPr="00AE0CAB">
        <w:rPr>
          <w:rFonts w:ascii="Times New Roman" w:eastAsia="Calibri" w:hAnsi="Times New Roman" w:cs="Times New Roman"/>
          <w:sz w:val="20"/>
          <w:szCs w:val="24"/>
        </w:rPr>
        <w:t xml:space="preserve"> Encuesta Nacional sobre Discriminación (ENADIS) 2022. </w:t>
      </w:r>
      <w:r w:rsidRPr="00AE0CAB">
        <w:rPr>
          <w:rFonts w:ascii="Times New Roman" w:eastAsia="Calibri" w:hAnsi="Times New Roman" w:cs="Times New Roman"/>
          <w:i/>
          <w:sz w:val="20"/>
          <w:szCs w:val="24"/>
        </w:rPr>
        <w:t>INEGI</w:t>
      </w:r>
      <w:r w:rsidRPr="00AE0CAB">
        <w:rPr>
          <w:rFonts w:ascii="Times New Roman" w:eastAsia="Calibri" w:hAnsi="Times New Roman" w:cs="Times New Roman"/>
          <w:sz w:val="20"/>
          <w:szCs w:val="24"/>
        </w:rPr>
        <w:t xml:space="preserve">. Recupero de: </w:t>
      </w:r>
      <w:hyperlink r:id="rId125" w:history="1">
        <w:r w:rsidRPr="00AE0CAB">
          <w:rPr>
            <w:rFonts w:ascii="Times New Roman" w:eastAsia="Calibri" w:hAnsi="Times New Roman" w:cs="Times New Roman"/>
            <w:sz w:val="20"/>
            <w:szCs w:val="24"/>
            <w:u w:val="single"/>
          </w:rPr>
          <w:t xml:space="preserve">https://www.inegi.org.mx/programas/enadis/2022/ </w:t>
        </w:r>
      </w:hyperlink>
    </w:p>
    <w:p w:rsidR="007974C2" w:rsidRPr="00AE0CAB" w:rsidRDefault="007974C2" w:rsidP="007974C2">
      <w:pPr>
        <w:spacing w:after="0" w:line="240" w:lineRule="auto"/>
        <w:jc w:val="both"/>
        <w:rPr>
          <w:rFonts w:ascii="Times New Roman" w:eastAsia="Times New Roman" w:hAnsi="Times New Roman" w:cs="Times New Roman"/>
          <w:sz w:val="20"/>
          <w:szCs w:val="20"/>
        </w:rPr>
      </w:pPr>
      <w:r w:rsidRPr="00AE0CAB">
        <w:rPr>
          <w:rFonts w:ascii="Times New Roman" w:eastAsia="Calibri" w:hAnsi="Times New Roman" w:cs="Times New Roman"/>
          <w:sz w:val="20"/>
          <w:szCs w:val="20"/>
          <w:vertAlign w:val="superscript"/>
        </w:rPr>
        <w:t>7</w:t>
      </w:r>
      <w:r w:rsidRPr="00AE0CAB">
        <w:rPr>
          <w:rFonts w:ascii="Times New Roman" w:eastAsia="Calibri" w:hAnsi="Times New Roman" w:cs="Times New Roman"/>
          <w:sz w:val="20"/>
          <w:szCs w:val="20"/>
        </w:rPr>
        <w:t xml:space="preserve"> Niña No Volverá a Escuela en Oaxaca por Usar Pantalón. </w:t>
      </w:r>
      <w:r w:rsidRPr="00AE0CAB">
        <w:rPr>
          <w:rFonts w:ascii="Times New Roman" w:eastAsia="Calibri" w:hAnsi="Times New Roman" w:cs="Times New Roman"/>
          <w:i/>
          <w:sz w:val="20"/>
          <w:szCs w:val="20"/>
        </w:rPr>
        <w:t>N más</w:t>
      </w:r>
      <w:r w:rsidRPr="00AE0CAB">
        <w:rPr>
          <w:rFonts w:ascii="Times New Roman" w:eastAsia="Calibri" w:hAnsi="Times New Roman" w:cs="Times New Roman"/>
          <w:sz w:val="20"/>
          <w:szCs w:val="20"/>
        </w:rPr>
        <w:t>. Recuperado de:</w:t>
      </w:r>
      <w:hyperlink r:id="rId126" w:history="1">
        <w:r w:rsidRPr="00AE0CAB">
          <w:rPr>
            <w:rFonts w:ascii="Times New Roman" w:eastAsia="Calibri" w:hAnsi="Times New Roman" w:cs="Times New Roman"/>
            <w:sz w:val="20"/>
            <w:szCs w:val="20"/>
            <w:u w:val="single"/>
          </w:rPr>
          <w:t xml:space="preserve"> https://www.nmas.com.mx/estados/nina-</w:t>
        </w:r>
      </w:hyperlink>
      <w:hyperlink r:id="rId127">
        <w:r w:rsidRPr="00AE0CAB">
          <w:rPr>
            <w:rFonts w:ascii="Times New Roman" w:eastAsia="Calibri" w:hAnsi="Times New Roman" w:cs="Times New Roman"/>
            <w:sz w:val="20"/>
            <w:szCs w:val="20"/>
            <w:u w:val="single" w:color="467885"/>
          </w:rPr>
          <w:t>d</w:t>
        </w:r>
      </w:hyperlink>
      <w:r w:rsidRPr="00AE0CAB">
        <w:rPr>
          <w:rFonts w:ascii="Times New Roman" w:eastAsia="Calibri" w:hAnsi="Times New Roman" w:cs="Times New Roman"/>
          <w:sz w:val="20"/>
          <w:szCs w:val="20"/>
          <w:u w:val="single" w:color="467885"/>
        </w:rPr>
        <w:t>iscriminada-en-oaxaca-por-usar-pantalon-no -</w:t>
      </w:r>
      <w:proofErr w:type="spellStart"/>
      <w:r w:rsidRPr="00AE0CAB">
        <w:rPr>
          <w:rFonts w:ascii="Times New Roman" w:eastAsia="Calibri" w:hAnsi="Times New Roman" w:cs="Times New Roman"/>
          <w:sz w:val="20"/>
          <w:szCs w:val="20"/>
          <w:u w:val="single" w:color="467885"/>
        </w:rPr>
        <w:t>volvera</w:t>
      </w:r>
      <w:proofErr w:type="spellEnd"/>
      <w:r w:rsidRPr="00AE0CAB">
        <w:rPr>
          <w:rFonts w:ascii="Times New Roman" w:eastAsia="Calibri" w:hAnsi="Times New Roman" w:cs="Times New Roman"/>
          <w:sz w:val="20"/>
          <w:szCs w:val="20"/>
          <w:u w:val="single" w:color="467885"/>
        </w:rPr>
        <w:t>-a-la-</w:t>
      </w:r>
      <w:hyperlink r:id="rId128">
        <w:r w:rsidRPr="00AE0CAB">
          <w:rPr>
            <w:rFonts w:ascii="Times New Roman" w:eastAsia="Calibri" w:hAnsi="Times New Roman" w:cs="Times New Roman"/>
            <w:sz w:val="20"/>
            <w:szCs w:val="20"/>
            <w:u w:val="single" w:color="467885"/>
          </w:rPr>
          <w:t>escuela/</w:t>
        </w:r>
      </w:hyperlink>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V. </w:t>
      </w:r>
      <w:r w:rsidRPr="00AE0CAB">
        <w:rPr>
          <w:rFonts w:ascii="Times New Roman" w:eastAsia="Calibri" w:hAnsi="Times New Roman" w:cs="Times New Roman"/>
          <w:sz w:val="24"/>
          <w:szCs w:val="24"/>
        </w:rPr>
        <w:t>En 2019, la Ciudad de México, implementó los uniformes neutros, lo cual consistía en que las niñas y niños elegirían libremente si desean usar pantalón o falda para asistir a clases</w:t>
      </w:r>
      <w:r w:rsidRPr="00AE0CAB">
        <w:rPr>
          <w:rFonts w:ascii="Times New Roman" w:eastAsia="Calibri" w:hAnsi="Times New Roman" w:cs="Times New Roman"/>
          <w:sz w:val="24"/>
          <w:szCs w:val="24"/>
          <w:vertAlign w:val="superscript"/>
        </w:rPr>
        <w:t>8</w:t>
      </w:r>
      <w:r w:rsidRPr="00AE0CAB">
        <w:rPr>
          <w:rFonts w:ascii="Times New Roman" w:eastAsia="Calibri" w:hAnsi="Times New Roman" w:cs="Times New Roman"/>
          <w:sz w:val="24"/>
          <w:szCs w:val="24"/>
        </w:rPr>
        <w:t>.</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En 2023, el Congreso de la Ciudad de México aprobó reformas a la Ley de Educación de la CDMX para garantizar este derecho de las niñas, niños y adolescentes al uniforme neutro en la Ley.</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El antecedente establecido en la Ciudad de México demuestra un compromiso claro con la construcción de nuevas realidades, con la inclusión y los derechos de la infancia.</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VI. </w:t>
      </w:r>
      <w:r w:rsidRPr="00AE0CAB">
        <w:rPr>
          <w:rFonts w:ascii="Times New Roman" w:eastAsia="Calibri" w:hAnsi="Times New Roman" w:cs="Times New Roman"/>
          <w:sz w:val="24"/>
          <w:szCs w:val="24"/>
        </w:rPr>
        <w:t>Es imprescindible que las instituciones educativas, lejos de replicar prejuicios, se conviertan en espacios seguros, incluyentes y respetuosos de la diversidad. El reconocimiento de los uniformes neutros en la legislación es un paso fundamental para garantizar entornos escolares inclusivos, respetuosos y libres de discriminación.</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Esta medida no solo protege el derecho de niñas, niños y adolescentes a expresar su identidad y ejercer su libertad personal, sino que también combate la imposición de estereotipos de género que históricamente han limitado su desarrollo pleno. Incorporar en la norma el derecho a elegir un uniforme neutro es reconocer la diversidad que existe en nuestras comunidades y reafirmar el compromiso del Estado con la igualdad sustantiva, la no discriminación y el interés superior de la niñez y la adolescencia. Una educación verdaderamente transformadora no solo transmite conocimientos, sino que enseña a vivir en libertad, con dignidad y respeto hacia todas las personas.</w:t>
      </w:r>
    </w:p>
    <w:p w:rsidR="007974C2" w:rsidRPr="00AE0CAB" w:rsidRDefault="007974C2" w:rsidP="007974C2">
      <w:pPr>
        <w:spacing w:after="0" w:line="240" w:lineRule="auto"/>
        <w:jc w:val="both"/>
        <w:rPr>
          <w:rFonts w:ascii="Times New Roman" w:eastAsia="Calibri" w:hAnsi="Times New Roman" w:cs="Times New Roman"/>
          <w:sz w:val="24"/>
          <w:szCs w:val="24"/>
        </w:rPr>
      </w:pPr>
    </w:p>
    <w:p w:rsidR="007974C2" w:rsidRPr="00AE0CAB" w:rsidRDefault="007974C2" w:rsidP="007974C2">
      <w:pPr>
        <w:spacing w:after="0" w:line="240" w:lineRule="auto"/>
        <w:rPr>
          <w:rFonts w:ascii="Times New Roman" w:eastAsia="Times New Roman" w:hAnsi="Times New Roman" w:cs="Times New Roman"/>
          <w:sz w:val="20"/>
          <w:szCs w:val="24"/>
        </w:rPr>
      </w:pPr>
      <w:r w:rsidRPr="00AE0CAB">
        <w:rPr>
          <w:rFonts w:ascii="Times New Roman" w:eastAsia="Calibri" w:hAnsi="Times New Roman" w:cs="Times New Roman"/>
          <w:sz w:val="20"/>
          <w:szCs w:val="24"/>
          <w:vertAlign w:val="superscript"/>
        </w:rPr>
        <w:t>8</w:t>
      </w:r>
      <w:r w:rsidRPr="00AE0CAB">
        <w:rPr>
          <w:rFonts w:ascii="Times New Roman" w:eastAsia="Calibri" w:hAnsi="Times New Roman" w:cs="Times New Roman"/>
          <w:sz w:val="20"/>
          <w:szCs w:val="24"/>
        </w:rPr>
        <w:t xml:space="preserve"> Anuncian autoridades locales y federales el “Uniforme Neutro” en las escuelas de nivel básico en la Ciudad de México. Recuperado de:</w:t>
      </w:r>
      <w:hyperlink r:id="rId129" w:history="1">
        <w:r w:rsidRPr="00AE0CAB">
          <w:rPr>
            <w:rFonts w:ascii="Times New Roman" w:eastAsia="Calibri" w:hAnsi="Times New Roman" w:cs="Times New Roman"/>
            <w:sz w:val="20"/>
            <w:szCs w:val="24"/>
            <w:u w:val="single"/>
          </w:rPr>
          <w:t xml:space="preserve"> https://jefaturadegobierno.cdmx.gob.mx/comunicacion/nota/anuncian-autoridades-locales-y- </w:t>
        </w:r>
      </w:hyperlink>
      <w:hyperlink r:id="rId130">
        <w:r w:rsidRPr="00AE0CAB">
          <w:rPr>
            <w:rFonts w:ascii="Times New Roman" w:eastAsia="Calibri" w:hAnsi="Times New Roman" w:cs="Times New Roman"/>
            <w:sz w:val="20"/>
            <w:szCs w:val="24"/>
            <w:u w:val="single" w:color="467885"/>
          </w:rPr>
          <w:t>federales-</w:t>
        </w:r>
      </w:hyperlink>
      <w:hyperlink r:id="rId131">
        <w:r w:rsidRPr="00AE0CAB">
          <w:rPr>
            <w:rFonts w:ascii="Times New Roman" w:eastAsia="Calibri" w:hAnsi="Times New Roman" w:cs="Times New Roman"/>
            <w:sz w:val="20"/>
            <w:szCs w:val="24"/>
            <w:u w:val="single" w:color="467885"/>
          </w:rPr>
          <w:t>el</w:t>
        </w:r>
      </w:hyperlink>
      <w:r w:rsidRPr="00AE0CAB">
        <w:rPr>
          <w:rFonts w:ascii="Times New Roman" w:eastAsia="Calibri" w:hAnsi="Times New Roman" w:cs="Times New Roman"/>
          <w:sz w:val="20"/>
          <w:szCs w:val="24"/>
          <w:u w:val="single" w:color="467885"/>
        </w:rPr>
        <w:t>-uniforme-neutro-en-las-escuelas-de-nivel-basico-en-la-ciudad-de-mexico</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El Estado de México, como la entidad con mayor población del país, concentra una amplia diversidad de niñas, niños y adolescentes que conviven en contextos sociales, culturales y familiares muy distintos. En los espacios escolares mexiquenses confluyen estudiantes de zonas urbanas densamente pobladas, comunidades rurales e indígenas, así como familias con distintos niveles socioeconómicos.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Esta pluralidad plantea la necesidad de que las políticas educativas y administrativas promuevan entornos incluyentes que reconozcan la diversidad de identidades y expresiones, evitando prácticas que refuercen estereotipos o exclusiones desde edades tempranas.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En este contexto, el uso tradicional de uniformes diferenciados por género ha generado, en algunos casos, situaciones de incomodidad, estigmatización o discriminación, particularmente hacia estudiantes cuya identidad o expresión de género no se ajusta a los roles binarios convencionales. En el Estado de México, donde persisten brechas sociales y culturales significativas, estas prácticas </w:t>
      </w:r>
      <w:r w:rsidRPr="00AE0CAB">
        <w:rPr>
          <w:rFonts w:ascii="Times New Roman" w:eastAsia="Calibri" w:hAnsi="Times New Roman" w:cs="Times New Roman"/>
          <w:sz w:val="24"/>
          <w:szCs w:val="24"/>
        </w:rPr>
        <w:lastRenderedPageBreak/>
        <w:t>pueden profundizar dinámicas de exclusión y afectar el bienestar emocional, la permanencia escolar y el pleno desarrollo de niñas, niños y adolescentes.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Times New Roman" w:hAnsi="Times New Roman" w:cs="Times New Roman"/>
          <w:sz w:val="24"/>
          <w:szCs w:val="24"/>
        </w:rPr>
      </w:pPr>
      <w:r w:rsidRPr="00AE0CAB">
        <w:rPr>
          <w:rFonts w:ascii="Times New Roman" w:eastAsia="Calibri" w:hAnsi="Times New Roman" w:cs="Times New Roman"/>
          <w:b/>
          <w:sz w:val="24"/>
          <w:szCs w:val="24"/>
        </w:rPr>
        <w:t xml:space="preserve">VII. </w:t>
      </w:r>
      <w:r w:rsidRPr="00AE0CAB">
        <w:rPr>
          <w:rFonts w:ascii="Times New Roman" w:eastAsia="Calibri" w:hAnsi="Times New Roman" w:cs="Times New Roman"/>
          <w:sz w:val="24"/>
          <w:szCs w:val="24"/>
        </w:rPr>
        <w:t>En Movimiento Ciudadano basándonos en nuestros documentos básicos, buscamos construir una agenda de derechos interseccional, para niñas, niños y adolescentes, que atienda a la diversidad existente entre personas menores de edad. Proponemos que las políticas para menores de edad estén enfocadas también en promover la igualdad y la inclusión en los centros educativos.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Es así que se propone adicionar el Artículo 45 Bis a la Ley de Educación del Estado, el cual establezca que toda niña, niño y adolescente tiene derecho al libre desarrollo de su personalidad, y que en los centros escolares tanto públicos como privados, se permita el uso de uniforme neutro. Dando el derecho a elegir libremente entre pantalón o falda para asistir a clase. De igual manera incluir, que las instituciones educativas deberán abstenerse de imponer reglas que impliquen restricciones a los derechos del alumnado, motivadas por su apariencia física.</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Conforme a lo anteriormente expuesto, sometemos a la consideración de esta honorable Asamblea la siguiente Iniciativa de:</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Decreto que adiciona el Artículo 45 Bis de la Ley de Educación del Estado de México en materia de Uniformes Neutros.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rPr>
        <w:t>A T E N T A M E N T E</w:t>
      </w:r>
    </w:p>
    <w:p w:rsidR="007974C2" w:rsidRPr="00AE0CAB" w:rsidRDefault="007974C2" w:rsidP="007974C2">
      <w:pPr>
        <w:spacing w:after="0" w:line="240" w:lineRule="auto"/>
        <w:rPr>
          <w:rFonts w:ascii="Times New Roman" w:eastAsia="Times New Roman" w:hAnsi="Times New Roman" w:cs="Times New Roman"/>
          <w:sz w:val="24"/>
          <w:szCs w:val="24"/>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7974C2" w:rsidRPr="00AE0CAB" w:rsidTr="007974C2">
        <w:tc>
          <w:tcPr>
            <w:tcW w:w="5355" w:type="dxa"/>
          </w:tcPr>
          <w:p w:rsidR="007974C2" w:rsidRPr="00AE0CAB" w:rsidRDefault="007974C2" w:rsidP="007974C2">
            <w:pPr>
              <w:spacing w:line="240" w:lineRule="auto"/>
              <w:jc w:val="center"/>
              <w:rPr>
                <w:b/>
                <w:sz w:val="24"/>
                <w:szCs w:val="24"/>
              </w:rPr>
            </w:pPr>
            <w:r w:rsidRPr="00AE0CAB">
              <w:rPr>
                <w:b/>
                <w:sz w:val="24"/>
                <w:szCs w:val="24"/>
              </w:rPr>
              <w:t>Dip. Ruth Salinas Reyes</w:t>
            </w:r>
          </w:p>
        </w:tc>
        <w:tc>
          <w:tcPr>
            <w:tcW w:w="5355" w:type="dxa"/>
          </w:tcPr>
          <w:p w:rsidR="007974C2" w:rsidRPr="00AE0CAB" w:rsidRDefault="007974C2" w:rsidP="007974C2">
            <w:pPr>
              <w:spacing w:line="240" w:lineRule="auto"/>
              <w:jc w:val="center"/>
              <w:rPr>
                <w:b/>
                <w:sz w:val="24"/>
                <w:szCs w:val="24"/>
              </w:rPr>
            </w:pPr>
            <w:r w:rsidRPr="00AE0CAB">
              <w:rPr>
                <w:b/>
                <w:sz w:val="24"/>
                <w:szCs w:val="24"/>
              </w:rPr>
              <w:t xml:space="preserve">Dip. Maricela </w:t>
            </w:r>
            <w:proofErr w:type="spellStart"/>
            <w:r w:rsidRPr="00AE0CAB">
              <w:rPr>
                <w:b/>
                <w:sz w:val="24"/>
                <w:szCs w:val="24"/>
              </w:rPr>
              <w:t>Beltrán</w:t>
            </w:r>
            <w:proofErr w:type="spellEnd"/>
            <w:r w:rsidRPr="00AE0CAB">
              <w:rPr>
                <w:b/>
                <w:sz w:val="24"/>
                <w:szCs w:val="24"/>
              </w:rPr>
              <w:t xml:space="preserve"> Sánchez</w:t>
            </w:r>
          </w:p>
          <w:p w:rsidR="007974C2" w:rsidRPr="00AE0CAB" w:rsidRDefault="007974C2" w:rsidP="007974C2">
            <w:pPr>
              <w:spacing w:line="240" w:lineRule="auto"/>
              <w:jc w:val="center"/>
              <w:rPr>
                <w:b/>
                <w:sz w:val="24"/>
                <w:szCs w:val="24"/>
              </w:rPr>
            </w:pPr>
          </w:p>
        </w:tc>
      </w:tr>
      <w:tr w:rsidR="007974C2" w:rsidRPr="00AE0CAB" w:rsidTr="007974C2">
        <w:tc>
          <w:tcPr>
            <w:tcW w:w="5355" w:type="dxa"/>
          </w:tcPr>
          <w:p w:rsidR="007974C2" w:rsidRPr="00AE0CAB" w:rsidRDefault="007974C2" w:rsidP="007974C2">
            <w:pPr>
              <w:spacing w:line="240" w:lineRule="auto"/>
              <w:jc w:val="center"/>
              <w:rPr>
                <w:rFonts w:eastAsia="Calibri"/>
                <w:b/>
                <w:sz w:val="24"/>
                <w:szCs w:val="24"/>
              </w:rPr>
            </w:pPr>
            <w:r w:rsidRPr="00AE0CAB">
              <w:rPr>
                <w:rFonts w:eastAsia="Calibri"/>
                <w:b/>
                <w:sz w:val="24"/>
                <w:szCs w:val="24"/>
              </w:rPr>
              <w:t>Dip. Juan Manuel Zepeda Hernández</w:t>
            </w:r>
          </w:p>
          <w:p w:rsidR="007974C2" w:rsidRPr="00AE0CAB" w:rsidRDefault="007974C2" w:rsidP="007974C2">
            <w:pPr>
              <w:spacing w:line="240" w:lineRule="auto"/>
              <w:jc w:val="center"/>
              <w:rPr>
                <w:b/>
                <w:sz w:val="24"/>
                <w:szCs w:val="24"/>
              </w:rPr>
            </w:pPr>
          </w:p>
        </w:tc>
        <w:tc>
          <w:tcPr>
            <w:tcW w:w="5355" w:type="dxa"/>
          </w:tcPr>
          <w:p w:rsidR="007974C2" w:rsidRPr="00AE0CAB" w:rsidRDefault="007974C2" w:rsidP="007974C2">
            <w:pPr>
              <w:spacing w:line="240" w:lineRule="auto"/>
              <w:jc w:val="center"/>
              <w:rPr>
                <w:rFonts w:eastAsia="Calibri"/>
                <w:sz w:val="24"/>
                <w:szCs w:val="24"/>
              </w:rPr>
            </w:pPr>
            <w:r w:rsidRPr="00AE0CAB">
              <w:rPr>
                <w:rFonts w:eastAsia="Calibri"/>
                <w:b/>
                <w:sz w:val="24"/>
                <w:szCs w:val="24"/>
              </w:rPr>
              <w:t>Dip. Martín Zepeda Hernández</w:t>
            </w:r>
          </w:p>
          <w:p w:rsidR="007974C2" w:rsidRPr="00AE0CAB" w:rsidRDefault="007974C2" w:rsidP="007974C2">
            <w:pPr>
              <w:spacing w:line="240" w:lineRule="auto"/>
              <w:jc w:val="center"/>
              <w:rPr>
                <w:b/>
                <w:sz w:val="24"/>
                <w:szCs w:val="24"/>
              </w:rPr>
            </w:pPr>
          </w:p>
        </w:tc>
      </w:tr>
    </w:tbl>
    <w:p w:rsidR="007974C2" w:rsidRPr="00AE0CAB" w:rsidRDefault="007974C2" w:rsidP="007974C2">
      <w:pPr>
        <w:spacing w:after="0" w:line="240" w:lineRule="auto"/>
        <w:jc w:val="center"/>
        <w:rPr>
          <w:rFonts w:ascii="Times New Roman" w:eastAsia="Calibri" w:hAnsi="Times New Roman" w:cs="Times New Roman"/>
          <w:b/>
          <w:sz w:val="24"/>
          <w:szCs w:val="24"/>
        </w:rPr>
      </w:pPr>
      <w:r w:rsidRPr="00AE0CAB">
        <w:rPr>
          <w:rFonts w:ascii="Times New Roman" w:eastAsia="Calibri" w:hAnsi="Times New Roman" w:cs="Times New Roman"/>
          <w:b/>
          <w:sz w:val="24"/>
          <w:szCs w:val="24"/>
        </w:rPr>
        <w:t>Integrantes del Grupo Parlamentario de Movimiento Ciudadano</w:t>
      </w:r>
    </w:p>
    <w:p w:rsidR="007974C2" w:rsidRPr="00AE0CAB" w:rsidRDefault="007974C2" w:rsidP="007974C2">
      <w:pPr>
        <w:spacing w:after="0" w:line="240" w:lineRule="auto"/>
        <w:jc w:val="center"/>
        <w:rPr>
          <w:rFonts w:ascii="Times New Roman" w:eastAsia="Times New Roman" w:hAnsi="Times New Roman" w:cs="Times New Roman"/>
          <w:sz w:val="24"/>
          <w:szCs w:val="24"/>
        </w:rPr>
      </w:pPr>
      <w:r w:rsidRPr="00AE0CAB">
        <w:rPr>
          <w:rFonts w:ascii="Times New Roman" w:eastAsia="Calibri" w:hAnsi="Times New Roman" w:cs="Times New Roman"/>
          <w:b/>
          <w:sz w:val="24"/>
          <w:szCs w:val="24"/>
        </w:rPr>
        <w:t>de la LXII Legislatura del Estado de México</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E6255B">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rPr>
        <w:t>PROYECTO DE DECRETO</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La H. LXII Legislatura del Estado de México</w:t>
      </w: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Decreta:</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ARTÍCULO ÚNICO; </w:t>
      </w:r>
      <w:r w:rsidRPr="00AE0CAB">
        <w:rPr>
          <w:rFonts w:ascii="Times New Roman" w:eastAsia="Calibri" w:hAnsi="Times New Roman" w:cs="Times New Roman"/>
          <w:sz w:val="24"/>
          <w:szCs w:val="24"/>
        </w:rPr>
        <w:t>Se adiciona el Artículo 45 Bis de la Ley de Educación del Estado de México, para quedar como sigue:</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Artículo 45 Bis. Toda niña, niño y adolescente tiene derecho al libre desarrollo de su personalidad. En los centros escolares públicos y privados, se permitirá el uso de uniforme neutro, los alumnos podrán elegir libremente el uso de pantalón o falda para asistir a clases.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Ninguna autoridad educativa, docente o administrativa podrá condicionar la asistencia a los centros escolares, ni aplicar cualquier restricción al ejercicio del derecho a la educación en razón del tipo de uniforme y/o apariencia física que libremente decida el alumnado.</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center"/>
        <w:rPr>
          <w:rFonts w:ascii="Times New Roman" w:eastAsia="Calibri" w:hAnsi="Times New Roman" w:cs="Times New Roman"/>
          <w:sz w:val="24"/>
          <w:szCs w:val="24"/>
        </w:rPr>
      </w:pPr>
      <w:r w:rsidRPr="00AE0CAB">
        <w:rPr>
          <w:rFonts w:ascii="Times New Roman" w:eastAsia="Calibri" w:hAnsi="Times New Roman" w:cs="Times New Roman"/>
          <w:b/>
          <w:sz w:val="24"/>
          <w:szCs w:val="24"/>
        </w:rPr>
        <w:t>ARTÍCULOS TRANSITORIOS</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lastRenderedPageBreak/>
        <w:t xml:space="preserve">PRIMERO. - </w:t>
      </w:r>
      <w:r w:rsidRPr="00AE0CAB">
        <w:rPr>
          <w:rFonts w:ascii="Times New Roman" w:eastAsia="Calibri" w:hAnsi="Times New Roman" w:cs="Times New Roman"/>
          <w:sz w:val="24"/>
          <w:szCs w:val="24"/>
        </w:rPr>
        <w:t>Publíquese el presente Decreto en el Periódico Oficial “Gaceta del Gobierno”.</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b/>
          <w:sz w:val="24"/>
          <w:szCs w:val="24"/>
        </w:rPr>
        <w:t xml:space="preserve">SEGUNDO. - </w:t>
      </w:r>
      <w:r w:rsidRPr="00AE0CAB">
        <w:rPr>
          <w:rFonts w:ascii="Times New Roman" w:eastAsia="Calibri" w:hAnsi="Times New Roman" w:cs="Times New Roman"/>
          <w:sz w:val="24"/>
          <w:szCs w:val="24"/>
        </w:rPr>
        <w:t>El presente Decreto entrará en vigor al día siguiente de su publicación en el Periódico Oficial “Gaceta del Gobierno”.</w:t>
      </w:r>
    </w:p>
    <w:p w:rsidR="007974C2" w:rsidRPr="00AE0CAB" w:rsidRDefault="007974C2" w:rsidP="007974C2">
      <w:pPr>
        <w:spacing w:after="0" w:line="240" w:lineRule="auto"/>
        <w:rPr>
          <w:rFonts w:ascii="Times New Roman" w:eastAsia="Times New Roman"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Lo tendrá entendido la Gobernadora del Estado, haciendo que se publique y se cumpla.</w:t>
      </w:r>
    </w:p>
    <w:p w:rsidR="007974C2" w:rsidRPr="00AE0CAB" w:rsidRDefault="007974C2" w:rsidP="007974C2">
      <w:pPr>
        <w:spacing w:after="0" w:line="240" w:lineRule="auto"/>
        <w:jc w:val="both"/>
        <w:rPr>
          <w:rFonts w:ascii="Times New Roman" w:eastAsia="Calibri" w:hAnsi="Times New Roman" w:cs="Times New Roman"/>
          <w:sz w:val="24"/>
          <w:szCs w:val="24"/>
        </w:rPr>
      </w:pPr>
    </w:p>
    <w:p w:rsidR="007974C2" w:rsidRPr="00AE0CAB" w:rsidRDefault="007974C2" w:rsidP="007974C2">
      <w:pPr>
        <w:spacing w:after="0" w:line="240" w:lineRule="auto"/>
        <w:jc w:val="both"/>
        <w:rPr>
          <w:rFonts w:ascii="Times New Roman" w:eastAsia="Calibri" w:hAnsi="Times New Roman" w:cs="Times New Roman"/>
          <w:sz w:val="24"/>
          <w:szCs w:val="24"/>
        </w:rPr>
      </w:pPr>
      <w:r w:rsidRPr="00AE0CAB">
        <w:rPr>
          <w:rFonts w:ascii="Times New Roman" w:eastAsia="Calibri" w:hAnsi="Times New Roman" w:cs="Times New Roman"/>
          <w:sz w:val="24"/>
          <w:szCs w:val="24"/>
        </w:rPr>
        <w:t xml:space="preserve">Dado en el Palacio del Poder Legislativo, en la ciudad de Toluca de Lerdo, Capital del Estado de México, a los </w:t>
      </w:r>
      <w:r w:rsidRPr="00AE0CAB">
        <w:rPr>
          <w:rFonts w:ascii="Times New Roman" w:eastAsia="Calibri" w:hAnsi="Times New Roman" w:cs="Times New Roman"/>
          <w:sz w:val="24"/>
          <w:szCs w:val="24"/>
          <w:u w:val="single" w:color="000000"/>
        </w:rPr>
        <w:t xml:space="preserve">       </w:t>
      </w:r>
      <w:r w:rsidRPr="00AE0CAB">
        <w:rPr>
          <w:rFonts w:ascii="Times New Roman" w:eastAsia="Calibri" w:hAnsi="Times New Roman" w:cs="Times New Roman"/>
          <w:sz w:val="24"/>
          <w:szCs w:val="24"/>
        </w:rPr>
        <w:t xml:space="preserve"> días del mes de </w:t>
      </w:r>
      <w:r w:rsidRPr="00AE0CAB">
        <w:rPr>
          <w:rFonts w:ascii="Times New Roman" w:eastAsia="Calibri" w:hAnsi="Times New Roman" w:cs="Times New Roman"/>
          <w:sz w:val="24"/>
          <w:szCs w:val="24"/>
          <w:u w:val="single" w:color="000000"/>
        </w:rPr>
        <w:t xml:space="preserve">        </w:t>
      </w:r>
      <w:r w:rsidRPr="00AE0CAB">
        <w:rPr>
          <w:rFonts w:ascii="Times New Roman" w:eastAsia="Calibri" w:hAnsi="Times New Roman" w:cs="Times New Roman"/>
          <w:sz w:val="24"/>
          <w:szCs w:val="24"/>
        </w:rPr>
        <w:t xml:space="preserve"> del año dos mil veintiséis.</w:t>
      </w:r>
    </w:p>
    <w:p w:rsidR="007974C2" w:rsidRPr="00AE0CAB" w:rsidRDefault="007974C2" w:rsidP="007974C2">
      <w:pPr>
        <w:spacing w:after="0" w:line="240" w:lineRule="auto"/>
        <w:jc w:val="center"/>
        <w:rPr>
          <w:rFonts w:ascii="Times New Roman" w:hAnsi="Times New Roman"/>
          <w:sz w:val="24"/>
          <w:szCs w:val="24"/>
        </w:rPr>
      </w:pPr>
    </w:p>
    <w:p w:rsidR="007974C2" w:rsidRPr="00AE0CAB" w:rsidRDefault="007974C2" w:rsidP="007974C2">
      <w:pPr>
        <w:spacing w:after="0" w:line="240" w:lineRule="auto"/>
        <w:jc w:val="center"/>
        <w:rPr>
          <w:rFonts w:ascii="Times New Roman" w:hAnsi="Times New Roman"/>
          <w:i/>
          <w:sz w:val="24"/>
          <w:szCs w:val="24"/>
        </w:rPr>
      </w:pPr>
      <w:r w:rsidRPr="00AE0CAB">
        <w:rPr>
          <w:rFonts w:ascii="Times New Roman" w:hAnsi="Times New Roman"/>
          <w:i/>
          <w:sz w:val="24"/>
          <w:szCs w:val="24"/>
        </w:rPr>
        <w:t>(Fin del documento)</w:t>
      </w:r>
    </w:p>
    <w:p w:rsidR="007974C2" w:rsidRPr="00AE0CAB" w:rsidRDefault="007974C2" w:rsidP="007974C2">
      <w:pPr>
        <w:spacing w:after="0" w:line="240" w:lineRule="auto"/>
        <w:jc w:val="center"/>
        <w:rPr>
          <w:rFonts w:ascii="Times New Roman" w:hAnsi="Times New Roman"/>
          <w:sz w:val="24"/>
          <w:szCs w:val="24"/>
        </w:rPr>
      </w:pPr>
    </w:p>
    <w:p w:rsidR="000E0101" w:rsidRPr="00AE0CAB" w:rsidRDefault="000E0101" w:rsidP="00D71801">
      <w:pPr>
        <w:pStyle w:val="Sinespaciado"/>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PRESIDENTA DIP. MARTHA AZUCENA CAMACHO REYNOSO. Gracias diputada Ruth Salinas Reyes. </w:t>
      </w:r>
    </w:p>
    <w:p w:rsidR="000E0101" w:rsidRPr="00AE0CAB" w:rsidRDefault="000E0101" w:rsidP="00D71801">
      <w:pPr>
        <w:pStyle w:val="Sinespaciado"/>
        <w:ind w:firstLine="708"/>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Se registra la iniciativa y se remite a las Comisiones Legislativas de Educación, Cultura, Ciencia, Tecnología e Innovación para la Igualdad de Género y para su estudio y dictamen. </w:t>
      </w:r>
    </w:p>
    <w:p w:rsidR="000E0101" w:rsidRPr="00AE0CAB" w:rsidRDefault="000E0101" w:rsidP="00D71801">
      <w:pPr>
        <w:pStyle w:val="Sinespaciado"/>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SECRETARIO DIP. EDGAR SAMUEL RÍOS MORENO. Han finalizado los asuntos del orden del día. </w:t>
      </w:r>
    </w:p>
    <w:p w:rsidR="000E0101" w:rsidRPr="00AE0CAB" w:rsidRDefault="000E0101" w:rsidP="00D71801">
      <w:pPr>
        <w:pStyle w:val="Sinespaciado"/>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PRESIDENTA DIP. MARTHA AZUCENA CAMACHO REYNOSO. La vicepresidenta Sara Alicia Ramírez de la O, dará cuenta a los comunicados.</w:t>
      </w:r>
    </w:p>
    <w:p w:rsidR="000E0101" w:rsidRPr="00AE0CAB" w:rsidRDefault="000E0101" w:rsidP="00D71801">
      <w:pPr>
        <w:pStyle w:val="Sinespaciado"/>
        <w:jc w:val="both"/>
        <w:rPr>
          <w:rFonts w:ascii="Times New Roman" w:hAnsi="Times New Roman" w:cs="Times New Roman"/>
          <w:sz w:val="24"/>
          <w:szCs w:val="24"/>
          <w:lang w:eastAsia="es-MX"/>
        </w:rPr>
      </w:pPr>
      <w:r w:rsidRPr="00AE0CAB">
        <w:rPr>
          <w:rFonts w:ascii="Times New Roman" w:hAnsi="Times New Roman" w:cs="Times New Roman"/>
          <w:sz w:val="24"/>
          <w:szCs w:val="24"/>
          <w:lang w:eastAsia="es-MX"/>
        </w:rPr>
        <w:t xml:space="preserve">VICEPRESIDENTA SARA ALICIA RAMÍREZ DE LA O. Autoría diputada Itzel Daniela Ballesteros Lule, Iniciativa con Proyecto de Decreto por el que se reforma el párrafo primero de la fracción II </w:t>
      </w:r>
      <w:r w:rsidRPr="00AE0CAB">
        <w:rPr>
          <w:rFonts w:ascii="Times New Roman" w:hAnsi="Times New Roman" w:cs="Times New Roman"/>
          <w:sz w:val="24"/>
          <w:szCs w:val="24"/>
        </w:rPr>
        <w:t>y su inciso m) del artículo 26 de la Ley de Juventud del Estado de México, jueves 19 de febrero de 2026, a las 11:00 horas, salón protocolo en modalidad mixta, Comisión la Juventud y el Deporte, reunión de trabajo y en su caso, dictaminación.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Para el jueves diecinueve de febrero en el salón protocolo en modalidad mixta, tenemos de la diputada Elena García Martínez, Iniciativa con Proyecto de Decreto por el que se reforman los artículos 3.38 Bis y 3.38 Ter del Código Civil del Estado de México de la Comisión de Procuración y Administración de Justicia, reunión de trabajo y en su caso, dictaminación.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 xml:space="preserve">Para el jueves diecinueve también de febrero a las 13:00 horas en el Salón Narciso Bassols y en modalidad mixta, tenemos de la diputada Susana Estrada Rojas y del Grupo Parlamentario del Partido Verde, iniciativa con proyecto de decreto que reforma la Ley Orgánica Municipal del Estado de México; así como iniciativa con proyecto de decreto por el que se reforma el segundo párrafo de la fracción XXIII del artículo 31, se adicionará la fracción VIII, recorriéndose la subsecuente al artículo 96 </w:t>
      </w:r>
      <w:proofErr w:type="spellStart"/>
      <w:r w:rsidRPr="00AE0CAB">
        <w:rPr>
          <w:rFonts w:ascii="Times New Roman" w:hAnsi="Times New Roman" w:cs="Times New Roman"/>
          <w:sz w:val="24"/>
          <w:szCs w:val="24"/>
        </w:rPr>
        <w:t>Octies</w:t>
      </w:r>
      <w:proofErr w:type="spellEnd"/>
      <w:r w:rsidRPr="00AE0CAB">
        <w:rPr>
          <w:rFonts w:ascii="Times New Roman" w:hAnsi="Times New Roman" w:cs="Times New Roman"/>
          <w:sz w:val="24"/>
          <w:szCs w:val="24"/>
        </w:rPr>
        <w:t xml:space="preserve"> de la Ley Orgánica Municipal del Estado de México, de las Comisiones de Legislación y Administración Municipal y de la Comisión de Desarrollo Agropecuario y Forestal, esta es una reunión de trabajo y en su caso, también dictaminación.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Es cuanto Presidenta.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Gracias diputada Vicepresidenta Sara Alicia Ramírez de la 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ab/>
        <w:t>Registre la Secretaría la asistencia a la sesión.</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SECRETARIO DIP. EDUARDO ZARZOSA SÁNCHEZ. ha sido registrada la asistencia.</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PRESIDENTA DIP. MARTHA AZUCENA CAMACHO REYNOSO. Habiendo agotado los asuntos en cartera, se levanta la sesión deliberante, siendo las catorce horas con treinta y siete minutos del día miércoles dieciocho de febrero del año en curso y se cita a esta Soberanía a la sesión que celebraremos el día 25 de febrero del año en curso, a las 12:00 en este Recinto.</w:t>
      </w:r>
    </w:p>
    <w:p w:rsidR="000E0101" w:rsidRPr="00AE0CAB" w:rsidRDefault="000E0101" w:rsidP="00D71801">
      <w:pPr>
        <w:spacing w:after="0" w:line="240" w:lineRule="auto"/>
        <w:jc w:val="both"/>
        <w:rPr>
          <w:rFonts w:ascii="Times New Roman" w:hAnsi="Times New Roman" w:cs="Times New Roman"/>
          <w:sz w:val="24"/>
          <w:szCs w:val="24"/>
        </w:rPr>
      </w:pPr>
      <w:r w:rsidRPr="00AE0CAB">
        <w:rPr>
          <w:rFonts w:ascii="Times New Roman" w:hAnsi="Times New Roman" w:cs="Times New Roman"/>
          <w:sz w:val="24"/>
          <w:szCs w:val="24"/>
        </w:rPr>
        <w:t>SECRETARIO DIP. EDUARDO ZARZOSA SÁNCHEZ. La sesión ha quedado grabada en la cinta marcada con clave número 104 A-LXII.</w:t>
      </w:r>
    </w:p>
    <w:p w:rsidR="00AE0CAB" w:rsidRPr="00AE0CAB" w:rsidRDefault="00AE0CAB">
      <w:pPr>
        <w:spacing w:after="0" w:line="240" w:lineRule="auto"/>
        <w:jc w:val="both"/>
        <w:rPr>
          <w:rFonts w:ascii="Times New Roman" w:hAnsi="Times New Roman" w:cs="Times New Roman"/>
          <w:sz w:val="24"/>
          <w:szCs w:val="24"/>
        </w:rPr>
      </w:pPr>
    </w:p>
    <w:sectPr w:rsidR="00AE0CAB" w:rsidRPr="00AE0CAB" w:rsidSect="00B21E47">
      <w:footerReference w:type="default" r:id="rId132"/>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1BD2" w:rsidRDefault="00551BD2" w:rsidP="001105DF">
      <w:pPr>
        <w:spacing w:after="0" w:line="240" w:lineRule="auto"/>
      </w:pPr>
      <w:r>
        <w:separator/>
      </w:r>
    </w:p>
  </w:endnote>
  <w:endnote w:type="continuationSeparator" w:id="0">
    <w:p w:rsidR="00551BD2" w:rsidRDefault="00551BD2"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ontserrat SemiBold">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810088"/>
      <w:docPartObj>
        <w:docPartGallery w:val="Page Numbers (Bottom of Page)"/>
        <w:docPartUnique/>
      </w:docPartObj>
    </w:sdtPr>
    <w:sdtContent>
      <w:p w:rsidR="003165F0" w:rsidRDefault="003165F0">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1BD2" w:rsidRDefault="00551BD2" w:rsidP="001105DF">
      <w:pPr>
        <w:spacing w:after="0" w:line="240" w:lineRule="auto"/>
      </w:pPr>
      <w:r>
        <w:separator/>
      </w:r>
    </w:p>
  </w:footnote>
  <w:footnote w:type="continuationSeparator" w:id="0">
    <w:p w:rsidR="00551BD2" w:rsidRDefault="00551BD2"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335A"/>
    <w:multiLevelType w:val="hybridMultilevel"/>
    <w:tmpl w:val="77BCF5AA"/>
    <w:lvl w:ilvl="0" w:tplc="40DC9596">
      <w:start w:val="3"/>
      <w:numFmt w:val="upperRoman"/>
      <w:lvlText w:val="%1."/>
      <w:lvlJc w:val="left"/>
      <w:pPr>
        <w:ind w:left="3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250A886">
      <w:start w:val="1"/>
      <w:numFmt w:val="lowerLetter"/>
      <w:lvlText w:val="%2"/>
      <w:lvlJc w:val="left"/>
      <w:pPr>
        <w:ind w:left="1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07EFC34">
      <w:start w:val="1"/>
      <w:numFmt w:val="lowerRoman"/>
      <w:lvlText w:val="%3"/>
      <w:lvlJc w:val="left"/>
      <w:pPr>
        <w:ind w:left="1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1622E66">
      <w:start w:val="1"/>
      <w:numFmt w:val="decimal"/>
      <w:lvlText w:val="%4"/>
      <w:lvlJc w:val="left"/>
      <w:pPr>
        <w:ind w:left="2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36CABCA">
      <w:start w:val="1"/>
      <w:numFmt w:val="lowerLetter"/>
      <w:lvlText w:val="%5"/>
      <w:lvlJc w:val="left"/>
      <w:pPr>
        <w:ind w:left="3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7AE758">
      <w:start w:val="1"/>
      <w:numFmt w:val="lowerRoman"/>
      <w:lvlText w:val="%6"/>
      <w:lvlJc w:val="left"/>
      <w:pPr>
        <w:ind w:left="39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53653C6">
      <w:start w:val="1"/>
      <w:numFmt w:val="decimal"/>
      <w:lvlText w:val="%7"/>
      <w:lvlJc w:val="left"/>
      <w:pPr>
        <w:ind w:left="4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0EB7B4">
      <w:start w:val="1"/>
      <w:numFmt w:val="lowerLetter"/>
      <w:lvlText w:val="%8"/>
      <w:lvlJc w:val="left"/>
      <w:pPr>
        <w:ind w:left="54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043970">
      <w:start w:val="1"/>
      <w:numFmt w:val="lowerRoman"/>
      <w:lvlText w:val="%9"/>
      <w:lvlJc w:val="left"/>
      <w:pPr>
        <w:ind w:left="6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1A004E9"/>
    <w:multiLevelType w:val="hybridMultilevel"/>
    <w:tmpl w:val="02D2ACD4"/>
    <w:lvl w:ilvl="0" w:tplc="E2B28B32">
      <w:start w:val="3"/>
      <w:numFmt w:val="upperRoman"/>
      <w:lvlText w:val="%1."/>
      <w:lvlJc w:val="left"/>
      <w:pPr>
        <w:ind w:left="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ADCD5C0">
      <w:start w:val="1"/>
      <w:numFmt w:val="lowerLetter"/>
      <w:lvlText w:val="%2"/>
      <w:lvlJc w:val="left"/>
      <w:pPr>
        <w:ind w:left="1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587DD4">
      <w:start w:val="1"/>
      <w:numFmt w:val="lowerRoman"/>
      <w:lvlText w:val="%3"/>
      <w:lvlJc w:val="left"/>
      <w:pPr>
        <w:ind w:left="1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3F2906C">
      <w:start w:val="1"/>
      <w:numFmt w:val="decimal"/>
      <w:lvlText w:val="%4"/>
      <w:lvlJc w:val="left"/>
      <w:pPr>
        <w:ind w:left="2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224483C">
      <w:start w:val="1"/>
      <w:numFmt w:val="lowerLetter"/>
      <w:lvlText w:val="%5"/>
      <w:lvlJc w:val="left"/>
      <w:pPr>
        <w:ind w:left="3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0687BDE">
      <w:start w:val="1"/>
      <w:numFmt w:val="lowerRoman"/>
      <w:lvlText w:val="%6"/>
      <w:lvlJc w:val="left"/>
      <w:pPr>
        <w:ind w:left="3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98AD234">
      <w:start w:val="1"/>
      <w:numFmt w:val="decimal"/>
      <w:lvlText w:val="%7"/>
      <w:lvlJc w:val="left"/>
      <w:pPr>
        <w:ind w:left="4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54ECBF2">
      <w:start w:val="1"/>
      <w:numFmt w:val="lowerLetter"/>
      <w:lvlText w:val="%8"/>
      <w:lvlJc w:val="left"/>
      <w:pPr>
        <w:ind w:left="5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E50DCD4">
      <w:start w:val="1"/>
      <w:numFmt w:val="lowerRoman"/>
      <w:lvlText w:val="%9"/>
      <w:lvlJc w:val="left"/>
      <w:pPr>
        <w:ind w:left="61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1DD1760"/>
    <w:multiLevelType w:val="hybridMultilevel"/>
    <w:tmpl w:val="EF4E2234"/>
    <w:lvl w:ilvl="0" w:tplc="848EA7DC">
      <w:start w:val="3"/>
      <w:numFmt w:val="upperRoman"/>
      <w:lvlText w:val="%1."/>
      <w:lvlJc w:val="left"/>
      <w:pPr>
        <w:ind w:left="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3B250DC">
      <w:start w:val="1"/>
      <w:numFmt w:val="lowerLetter"/>
      <w:lvlText w:val="%2"/>
      <w:lvlJc w:val="left"/>
      <w:pPr>
        <w:ind w:left="1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2940744">
      <w:start w:val="1"/>
      <w:numFmt w:val="lowerRoman"/>
      <w:lvlText w:val="%3"/>
      <w:lvlJc w:val="left"/>
      <w:pPr>
        <w:ind w:left="1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C16CCB4">
      <w:start w:val="1"/>
      <w:numFmt w:val="decimal"/>
      <w:lvlText w:val="%4"/>
      <w:lvlJc w:val="left"/>
      <w:pPr>
        <w:ind w:left="2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548CE82">
      <w:start w:val="1"/>
      <w:numFmt w:val="lowerLetter"/>
      <w:lvlText w:val="%5"/>
      <w:lvlJc w:val="left"/>
      <w:pPr>
        <w:ind w:left="3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2EAF0E2">
      <w:start w:val="1"/>
      <w:numFmt w:val="lowerRoman"/>
      <w:lvlText w:val="%6"/>
      <w:lvlJc w:val="left"/>
      <w:pPr>
        <w:ind w:left="39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D2C8D44">
      <w:start w:val="1"/>
      <w:numFmt w:val="decimal"/>
      <w:lvlText w:val="%7"/>
      <w:lvlJc w:val="left"/>
      <w:pPr>
        <w:ind w:left="46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3A82496">
      <w:start w:val="1"/>
      <w:numFmt w:val="lowerLetter"/>
      <w:lvlText w:val="%8"/>
      <w:lvlJc w:val="left"/>
      <w:pPr>
        <w:ind w:left="54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17A1596">
      <w:start w:val="1"/>
      <w:numFmt w:val="lowerRoman"/>
      <w:lvlText w:val="%9"/>
      <w:lvlJc w:val="left"/>
      <w:pPr>
        <w:ind w:left="6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2262A36"/>
    <w:multiLevelType w:val="hybridMultilevel"/>
    <w:tmpl w:val="AF6094BE"/>
    <w:lvl w:ilvl="0" w:tplc="A6AED8F8">
      <w:start w:val="3"/>
      <w:numFmt w:val="upperRoman"/>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601494">
      <w:start w:val="1"/>
      <w:numFmt w:val="lowerLetter"/>
      <w:lvlText w:val="%2"/>
      <w:lvlJc w:val="left"/>
      <w:pPr>
        <w:ind w:left="1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03400D4">
      <w:start w:val="1"/>
      <w:numFmt w:val="lowerRoman"/>
      <w:lvlText w:val="%3"/>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742B5B4">
      <w:start w:val="1"/>
      <w:numFmt w:val="decimal"/>
      <w:lvlText w:val="%4"/>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064920">
      <w:start w:val="1"/>
      <w:numFmt w:val="lowerLetter"/>
      <w:lvlText w:val="%5"/>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5CC79AE">
      <w:start w:val="1"/>
      <w:numFmt w:val="lowerRoman"/>
      <w:lvlText w:val="%6"/>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1BEF342">
      <w:start w:val="1"/>
      <w:numFmt w:val="decimal"/>
      <w:lvlText w:val="%7"/>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592D95E">
      <w:start w:val="1"/>
      <w:numFmt w:val="lowerLetter"/>
      <w:lvlText w:val="%8"/>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D6A24A">
      <w:start w:val="1"/>
      <w:numFmt w:val="lowerRoman"/>
      <w:lvlText w:val="%9"/>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28A07B0"/>
    <w:multiLevelType w:val="hybridMultilevel"/>
    <w:tmpl w:val="D8B406A4"/>
    <w:lvl w:ilvl="0" w:tplc="066257A0">
      <w:start w:val="3"/>
      <w:numFmt w:val="upperRoman"/>
      <w:lvlText w:val="%1."/>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D6BF70">
      <w:start w:val="1"/>
      <w:numFmt w:val="lowerLetter"/>
      <w:lvlText w:val="%2"/>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0526AE0">
      <w:start w:val="1"/>
      <w:numFmt w:val="lowerRoman"/>
      <w:lvlText w:val="%3"/>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DEA9F9A">
      <w:start w:val="1"/>
      <w:numFmt w:val="decimal"/>
      <w:lvlText w:val="%4"/>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AF2476C">
      <w:start w:val="1"/>
      <w:numFmt w:val="lowerLetter"/>
      <w:lvlText w:val="%5"/>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E005F6A">
      <w:start w:val="1"/>
      <w:numFmt w:val="lowerRoman"/>
      <w:lvlText w:val="%6"/>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5FE1672">
      <w:start w:val="1"/>
      <w:numFmt w:val="decimal"/>
      <w:lvlText w:val="%7"/>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76BBC0">
      <w:start w:val="1"/>
      <w:numFmt w:val="lowerLetter"/>
      <w:lvlText w:val="%8"/>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DC65BBA">
      <w:start w:val="1"/>
      <w:numFmt w:val="lowerRoman"/>
      <w:lvlText w:val="%9"/>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053A2AC9"/>
    <w:multiLevelType w:val="hybridMultilevel"/>
    <w:tmpl w:val="9F8C3B00"/>
    <w:lvl w:ilvl="0" w:tplc="BC98CE54">
      <w:start w:val="3"/>
      <w:numFmt w:val="upperRoman"/>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7E6EEC">
      <w:start w:val="1"/>
      <w:numFmt w:val="lowerLetter"/>
      <w:lvlText w:val="%2"/>
      <w:lvlJc w:val="left"/>
      <w:pPr>
        <w:ind w:left="1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F649940">
      <w:start w:val="1"/>
      <w:numFmt w:val="lowerRoman"/>
      <w:lvlText w:val="%3"/>
      <w:lvlJc w:val="left"/>
      <w:pPr>
        <w:ind w:left="18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4E8E0C0">
      <w:start w:val="1"/>
      <w:numFmt w:val="decimal"/>
      <w:lvlText w:val="%4"/>
      <w:lvlJc w:val="left"/>
      <w:pPr>
        <w:ind w:left="25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F5EC9B4">
      <w:start w:val="1"/>
      <w:numFmt w:val="lowerLetter"/>
      <w:lvlText w:val="%5"/>
      <w:lvlJc w:val="left"/>
      <w:pPr>
        <w:ind w:left="3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0E243D0">
      <w:start w:val="1"/>
      <w:numFmt w:val="lowerRoman"/>
      <w:lvlText w:val="%6"/>
      <w:lvlJc w:val="left"/>
      <w:pPr>
        <w:ind w:left="40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9485930">
      <w:start w:val="1"/>
      <w:numFmt w:val="decimal"/>
      <w:lvlText w:val="%7"/>
      <w:lvlJc w:val="left"/>
      <w:pPr>
        <w:ind w:left="47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BDE3C32">
      <w:start w:val="1"/>
      <w:numFmt w:val="lowerLetter"/>
      <w:lvlText w:val="%8"/>
      <w:lvlJc w:val="left"/>
      <w:pPr>
        <w:ind w:left="54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564BB6C">
      <w:start w:val="1"/>
      <w:numFmt w:val="lowerRoman"/>
      <w:lvlText w:val="%9"/>
      <w:lvlJc w:val="left"/>
      <w:pPr>
        <w:ind w:left="6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7212906"/>
    <w:multiLevelType w:val="hybridMultilevel"/>
    <w:tmpl w:val="E69C6FA0"/>
    <w:lvl w:ilvl="0" w:tplc="DF66D10E">
      <w:start w:val="9"/>
      <w:numFmt w:val="upperRoman"/>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0A418">
      <w:start w:val="1"/>
      <w:numFmt w:val="lowerLetter"/>
      <w:lvlText w:val="%2"/>
      <w:lvlJc w:val="left"/>
      <w:pPr>
        <w:ind w:left="1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582C0E">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E6C9A2">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64CCDC">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F6C45A">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DACE92">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D8F5A2">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94C40E">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79474CA"/>
    <w:multiLevelType w:val="hybridMultilevel"/>
    <w:tmpl w:val="29C6FD98"/>
    <w:lvl w:ilvl="0" w:tplc="5FE432B2">
      <w:start w:val="3"/>
      <w:numFmt w:val="upperRoman"/>
      <w:lvlText w:val="%1."/>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60FD14">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5205C9C">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28433DC">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17C59E8">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01CCFD2">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B523988">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7CBDF4">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E2EBFDE">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07AE515A"/>
    <w:multiLevelType w:val="hybridMultilevel"/>
    <w:tmpl w:val="CB0E4B92"/>
    <w:lvl w:ilvl="0" w:tplc="9B185A8A">
      <w:start w:val="3"/>
      <w:numFmt w:val="upperRoman"/>
      <w:lvlText w:val="%1."/>
      <w:lvlJc w:val="left"/>
      <w:pPr>
        <w:ind w:left="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E5A1C">
      <w:start w:val="1"/>
      <w:numFmt w:val="lowerLetter"/>
      <w:lvlText w:val="%2"/>
      <w:lvlJc w:val="left"/>
      <w:pPr>
        <w:ind w:left="1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416CB52">
      <w:start w:val="1"/>
      <w:numFmt w:val="lowerRoman"/>
      <w:lvlText w:val="%3"/>
      <w:lvlJc w:val="left"/>
      <w:pPr>
        <w:ind w:left="1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3E8A142">
      <w:start w:val="1"/>
      <w:numFmt w:val="decimal"/>
      <w:lvlText w:val="%4"/>
      <w:lvlJc w:val="left"/>
      <w:pPr>
        <w:ind w:left="25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550CCE4">
      <w:start w:val="1"/>
      <w:numFmt w:val="lowerLetter"/>
      <w:lvlText w:val="%5"/>
      <w:lvlJc w:val="left"/>
      <w:pPr>
        <w:ind w:left="32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AC8D562">
      <w:start w:val="1"/>
      <w:numFmt w:val="lowerRoman"/>
      <w:lvlText w:val="%6"/>
      <w:lvlJc w:val="left"/>
      <w:pPr>
        <w:ind w:left="39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6492B4">
      <w:start w:val="1"/>
      <w:numFmt w:val="decimal"/>
      <w:lvlText w:val="%7"/>
      <w:lvlJc w:val="left"/>
      <w:pPr>
        <w:ind w:left="47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6AAA536">
      <w:start w:val="1"/>
      <w:numFmt w:val="lowerLetter"/>
      <w:lvlText w:val="%8"/>
      <w:lvlJc w:val="left"/>
      <w:pPr>
        <w:ind w:left="54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5049C30">
      <w:start w:val="1"/>
      <w:numFmt w:val="lowerRoman"/>
      <w:lvlText w:val="%9"/>
      <w:lvlJc w:val="left"/>
      <w:pPr>
        <w:ind w:left="61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08123BE6"/>
    <w:multiLevelType w:val="hybridMultilevel"/>
    <w:tmpl w:val="44DAB444"/>
    <w:lvl w:ilvl="0" w:tplc="3C3AEA16">
      <w:start w:val="3"/>
      <w:numFmt w:val="upperRoman"/>
      <w:lvlText w:val="%1."/>
      <w:lvlJc w:val="left"/>
      <w:pPr>
        <w:ind w:left="3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75ACD9A">
      <w:start w:val="1"/>
      <w:numFmt w:val="lowerLetter"/>
      <w:lvlText w:val="%2"/>
      <w:lvlJc w:val="left"/>
      <w:pPr>
        <w:ind w:left="1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480566">
      <w:start w:val="1"/>
      <w:numFmt w:val="lowerRoman"/>
      <w:lvlText w:val="%3"/>
      <w:lvlJc w:val="left"/>
      <w:pPr>
        <w:ind w:left="18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D0676C">
      <w:start w:val="1"/>
      <w:numFmt w:val="decimal"/>
      <w:lvlText w:val="%4"/>
      <w:lvlJc w:val="left"/>
      <w:pPr>
        <w:ind w:left="25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C86C39E">
      <w:start w:val="1"/>
      <w:numFmt w:val="lowerLetter"/>
      <w:lvlText w:val="%5"/>
      <w:lvlJc w:val="left"/>
      <w:pPr>
        <w:ind w:left="3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F321ACE">
      <w:start w:val="1"/>
      <w:numFmt w:val="lowerRoman"/>
      <w:lvlText w:val="%6"/>
      <w:lvlJc w:val="left"/>
      <w:pPr>
        <w:ind w:left="40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D3E69E2">
      <w:start w:val="1"/>
      <w:numFmt w:val="decimal"/>
      <w:lvlText w:val="%7"/>
      <w:lvlJc w:val="left"/>
      <w:pPr>
        <w:ind w:left="47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46E0D28">
      <w:start w:val="1"/>
      <w:numFmt w:val="lowerLetter"/>
      <w:lvlText w:val="%8"/>
      <w:lvlJc w:val="left"/>
      <w:pPr>
        <w:ind w:left="54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943B84">
      <w:start w:val="1"/>
      <w:numFmt w:val="lowerRoman"/>
      <w:lvlText w:val="%9"/>
      <w:lvlJc w:val="left"/>
      <w:pPr>
        <w:ind w:left="6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0B0F60F2"/>
    <w:multiLevelType w:val="hybridMultilevel"/>
    <w:tmpl w:val="3E8A8B84"/>
    <w:lvl w:ilvl="0" w:tplc="D6A27CC0">
      <w:start w:val="3"/>
      <w:numFmt w:val="upperRoman"/>
      <w:lvlText w:val="%1."/>
      <w:lvlJc w:val="left"/>
      <w:pPr>
        <w:ind w:left="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16098A">
      <w:start w:val="1"/>
      <w:numFmt w:val="lowerLetter"/>
      <w:lvlText w:val="%2"/>
      <w:lvlJc w:val="left"/>
      <w:pPr>
        <w:ind w:left="1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03827E2">
      <w:start w:val="1"/>
      <w:numFmt w:val="lowerRoman"/>
      <w:lvlText w:val="%3"/>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4FED970">
      <w:start w:val="1"/>
      <w:numFmt w:val="decimal"/>
      <w:lvlText w:val="%4"/>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E3EFE00">
      <w:start w:val="1"/>
      <w:numFmt w:val="lowerLetter"/>
      <w:lvlText w:val="%5"/>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A83B42">
      <w:start w:val="1"/>
      <w:numFmt w:val="lowerRoman"/>
      <w:lvlText w:val="%6"/>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49A2492">
      <w:start w:val="1"/>
      <w:numFmt w:val="decimal"/>
      <w:lvlText w:val="%7"/>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23AA2C6">
      <w:start w:val="1"/>
      <w:numFmt w:val="lowerLetter"/>
      <w:lvlText w:val="%8"/>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7C40F3C">
      <w:start w:val="1"/>
      <w:numFmt w:val="lowerRoman"/>
      <w:lvlText w:val="%9"/>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0BBD08D1"/>
    <w:multiLevelType w:val="hybridMultilevel"/>
    <w:tmpl w:val="C7162C22"/>
    <w:lvl w:ilvl="0" w:tplc="2916A37E">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0D7D27EA"/>
    <w:multiLevelType w:val="hybridMultilevel"/>
    <w:tmpl w:val="06CE7D66"/>
    <w:lvl w:ilvl="0" w:tplc="2572CEA0">
      <w:start w:val="3"/>
      <w:numFmt w:val="upperRoman"/>
      <w:lvlText w:val="%1."/>
      <w:lvlJc w:val="left"/>
      <w:pPr>
        <w:ind w:left="3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B000BC0">
      <w:start w:val="1"/>
      <w:numFmt w:val="lowerLetter"/>
      <w:lvlText w:val="%2"/>
      <w:lvlJc w:val="left"/>
      <w:pPr>
        <w:ind w:left="1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7900868">
      <w:start w:val="1"/>
      <w:numFmt w:val="lowerRoman"/>
      <w:lvlText w:val="%3"/>
      <w:lvlJc w:val="left"/>
      <w:pPr>
        <w:ind w:left="1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574131C">
      <w:start w:val="1"/>
      <w:numFmt w:val="decimal"/>
      <w:lvlText w:val="%4"/>
      <w:lvlJc w:val="left"/>
      <w:pPr>
        <w:ind w:left="2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6761524">
      <w:start w:val="1"/>
      <w:numFmt w:val="lowerLetter"/>
      <w:lvlText w:val="%5"/>
      <w:lvlJc w:val="left"/>
      <w:pPr>
        <w:ind w:left="33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FB846E2">
      <w:start w:val="1"/>
      <w:numFmt w:val="lowerRoman"/>
      <w:lvlText w:val="%6"/>
      <w:lvlJc w:val="left"/>
      <w:pPr>
        <w:ind w:left="40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900119C">
      <w:start w:val="1"/>
      <w:numFmt w:val="decimal"/>
      <w:lvlText w:val="%7"/>
      <w:lvlJc w:val="left"/>
      <w:pPr>
        <w:ind w:left="47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5F439BE">
      <w:start w:val="1"/>
      <w:numFmt w:val="lowerLetter"/>
      <w:lvlText w:val="%8"/>
      <w:lvlJc w:val="left"/>
      <w:pPr>
        <w:ind w:left="54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C282DA2">
      <w:start w:val="1"/>
      <w:numFmt w:val="lowerRoman"/>
      <w:lvlText w:val="%9"/>
      <w:lvlJc w:val="left"/>
      <w:pPr>
        <w:ind w:left="62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0DF40763"/>
    <w:multiLevelType w:val="hybridMultilevel"/>
    <w:tmpl w:val="1F10275C"/>
    <w:lvl w:ilvl="0" w:tplc="79F64F24">
      <w:start w:val="3"/>
      <w:numFmt w:val="upperRoman"/>
      <w:lvlText w:val="%1."/>
      <w:lvlJc w:val="left"/>
      <w:pPr>
        <w:ind w:left="3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2CDBB0">
      <w:start w:val="1"/>
      <w:numFmt w:val="lowerLetter"/>
      <w:lvlText w:val="%2"/>
      <w:lvlJc w:val="left"/>
      <w:pPr>
        <w:ind w:left="1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7200C60">
      <w:start w:val="1"/>
      <w:numFmt w:val="lowerRoman"/>
      <w:lvlText w:val="%3"/>
      <w:lvlJc w:val="left"/>
      <w:pPr>
        <w:ind w:left="1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B1694A4">
      <w:start w:val="1"/>
      <w:numFmt w:val="decimal"/>
      <w:lvlText w:val="%4"/>
      <w:lvlJc w:val="left"/>
      <w:pPr>
        <w:ind w:left="25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5C818CA">
      <w:start w:val="1"/>
      <w:numFmt w:val="lowerLetter"/>
      <w:lvlText w:val="%5"/>
      <w:lvlJc w:val="left"/>
      <w:pPr>
        <w:ind w:left="3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C201896">
      <w:start w:val="1"/>
      <w:numFmt w:val="lowerRoman"/>
      <w:lvlText w:val="%6"/>
      <w:lvlJc w:val="left"/>
      <w:pPr>
        <w:ind w:left="39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6DA9F5C">
      <w:start w:val="1"/>
      <w:numFmt w:val="decimal"/>
      <w:lvlText w:val="%7"/>
      <w:lvlJc w:val="left"/>
      <w:pPr>
        <w:ind w:left="4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9C05B9E">
      <w:start w:val="1"/>
      <w:numFmt w:val="lowerLetter"/>
      <w:lvlText w:val="%8"/>
      <w:lvlJc w:val="left"/>
      <w:pPr>
        <w:ind w:left="54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15A43CA">
      <w:start w:val="1"/>
      <w:numFmt w:val="lowerRoman"/>
      <w:lvlText w:val="%9"/>
      <w:lvlJc w:val="left"/>
      <w:pPr>
        <w:ind w:left="6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0E946F61"/>
    <w:multiLevelType w:val="hybridMultilevel"/>
    <w:tmpl w:val="CB54DCA8"/>
    <w:lvl w:ilvl="0" w:tplc="AF44691A">
      <w:start w:val="2"/>
      <w:numFmt w:val="upperRoman"/>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38820E">
      <w:start w:val="1"/>
      <w:numFmt w:val="lowerLetter"/>
      <w:lvlText w:val="%2"/>
      <w:lvlJc w:val="left"/>
      <w:pPr>
        <w:ind w:left="1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A64B0">
      <w:start w:val="1"/>
      <w:numFmt w:val="lowerRoman"/>
      <w:lvlText w:val="%3"/>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F23328">
      <w:start w:val="1"/>
      <w:numFmt w:val="decimal"/>
      <w:lvlText w:val="%4"/>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FAA2BE">
      <w:start w:val="1"/>
      <w:numFmt w:val="lowerLetter"/>
      <w:lvlText w:val="%5"/>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C2597C">
      <w:start w:val="1"/>
      <w:numFmt w:val="lowerRoman"/>
      <w:lvlText w:val="%6"/>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F4B66C">
      <w:start w:val="1"/>
      <w:numFmt w:val="decimal"/>
      <w:lvlText w:val="%7"/>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10855E">
      <w:start w:val="1"/>
      <w:numFmt w:val="lowerLetter"/>
      <w:lvlText w:val="%8"/>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965FF8">
      <w:start w:val="1"/>
      <w:numFmt w:val="lowerRoman"/>
      <w:lvlText w:val="%9"/>
      <w:lvlJc w:val="left"/>
      <w:pPr>
        <w:ind w:left="6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0A41810"/>
    <w:multiLevelType w:val="hybridMultilevel"/>
    <w:tmpl w:val="943A1EB8"/>
    <w:lvl w:ilvl="0" w:tplc="E9E0C7E0">
      <w:start w:val="3"/>
      <w:numFmt w:val="upperRoman"/>
      <w:lvlText w:val="%1."/>
      <w:lvlJc w:val="left"/>
      <w:pPr>
        <w:ind w:left="3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588B6B4">
      <w:start w:val="1"/>
      <w:numFmt w:val="lowerLetter"/>
      <w:lvlText w:val="%2"/>
      <w:lvlJc w:val="left"/>
      <w:pPr>
        <w:ind w:left="1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9E438B6">
      <w:start w:val="1"/>
      <w:numFmt w:val="lowerRoman"/>
      <w:lvlText w:val="%3"/>
      <w:lvlJc w:val="left"/>
      <w:pPr>
        <w:ind w:left="1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F3ECC36">
      <w:start w:val="1"/>
      <w:numFmt w:val="decimal"/>
      <w:lvlText w:val="%4"/>
      <w:lvlJc w:val="left"/>
      <w:pPr>
        <w:ind w:left="25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46CE300">
      <w:start w:val="1"/>
      <w:numFmt w:val="lowerLetter"/>
      <w:lvlText w:val="%5"/>
      <w:lvlJc w:val="left"/>
      <w:pPr>
        <w:ind w:left="32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554DE4E">
      <w:start w:val="1"/>
      <w:numFmt w:val="lowerRoman"/>
      <w:lvlText w:val="%6"/>
      <w:lvlJc w:val="left"/>
      <w:pPr>
        <w:ind w:left="39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BC6B256">
      <w:start w:val="1"/>
      <w:numFmt w:val="decimal"/>
      <w:lvlText w:val="%7"/>
      <w:lvlJc w:val="left"/>
      <w:pPr>
        <w:ind w:left="47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9ACFA32">
      <w:start w:val="1"/>
      <w:numFmt w:val="lowerLetter"/>
      <w:lvlText w:val="%8"/>
      <w:lvlJc w:val="left"/>
      <w:pPr>
        <w:ind w:left="54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D42F682">
      <w:start w:val="1"/>
      <w:numFmt w:val="lowerRoman"/>
      <w:lvlText w:val="%9"/>
      <w:lvlJc w:val="left"/>
      <w:pPr>
        <w:ind w:left="61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12643D42"/>
    <w:multiLevelType w:val="hybridMultilevel"/>
    <w:tmpl w:val="BA4A38B2"/>
    <w:lvl w:ilvl="0" w:tplc="8846862A">
      <w:start w:val="3"/>
      <w:numFmt w:val="upperRoman"/>
      <w:lvlText w:val="%1."/>
      <w:lvlJc w:val="left"/>
      <w:pPr>
        <w:ind w:left="3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AE9A44">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DF2CEEC">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A9889D6">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F70CC20">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B406F80">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E9A0C84">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DE8CCD2">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8DA24EE">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163F31A4"/>
    <w:multiLevelType w:val="hybridMultilevel"/>
    <w:tmpl w:val="7960E510"/>
    <w:lvl w:ilvl="0" w:tplc="5308EA38">
      <w:start w:val="3"/>
      <w:numFmt w:val="upperRoman"/>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0B56A">
      <w:start w:val="1"/>
      <w:numFmt w:val="lowerLetter"/>
      <w:lvlText w:val="%2"/>
      <w:lvlJc w:val="left"/>
      <w:pPr>
        <w:ind w:left="1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BF463F6">
      <w:start w:val="1"/>
      <w:numFmt w:val="lowerRoman"/>
      <w:lvlText w:val="%3"/>
      <w:lvlJc w:val="left"/>
      <w:pPr>
        <w:ind w:left="1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0506EB8">
      <w:start w:val="1"/>
      <w:numFmt w:val="decimal"/>
      <w:lvlText w:val="%4"/>
      <w:lvlJc w:val="left"/>
      <w:pPr>
        <w:ind w:left="2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0D4B438">
      <w:start w:val="1"/>
      <w:numFmt w:val="lowerLetter"/>
      <w:lvlText w:val="%5"/>
      <w:lvlJc w:val="left"/>
      <w:pPr>
        <w:ind w:left="3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F040D62">
      <w:start w:val="1"/>
      <w:numFmt w:val="lowerRoman"/>
      <w:lvlText w:val="%6"/>
      <w:lvlJc w:val="left"/>
      <w:pPr>
        <w:ind w:left="3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CEC888">
      <w:start w:val="1"/>
      <w:numFmt w:val="decimal"/>
      <w:lvlText w:val="%7"/>
      <w:lvlJc w:val="left"/>
      <w:pPr>
        <w:ind w:left="4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72A7514">
      <w:start w:val="1"/>
      <w:numFmt w:val="lowerLetter"/>
      <w:lvlText w:val="%8"/>
      <w:lvlJc w:val="left"/>
      <w:pPr>
        <w:ind w:left="5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0C8EB1E">
      <w:start w:val="1"/>
      <w:numFmt w:val="lowerRoman"/>
      <w:lvlText w:val="%9"/>
      <w:lvlJc w:val="left"/>
      <w:pPr>
        <w:ind w:left="6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17140911"/>
    <w:multiLevelType w:val="hybridMultilevel"/>
    <w:tmpl w:val="099AD950"/>
    <w:lvl w:ilvl="0" w:tplc="7910F1B2">
      <w:start w:val="4"/>
      <w:numFmt w:val="upperRoman"/>
      <w:lvlText w:val="%1."/>
      <w:lvlJc w:val="left"/>
      <w:pPr>
        <w:ind w:left="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B6F082">
      <w:start w:val="1"/>
      <w:numFmt w:val="lowerLetter"/>
      <w:lvlText w:val="%2"/>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A8A7DA">
      <w:start w:val="1"/>
      <w:numFmt w:val="lowerRoman"/>
      <w:lvlText w:val="%3"/>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E8E05E">
      <w:start w:val="1"/>
      <w:numFmt w:val="decimal"/>
      <w:lvlText w:val="%4"/>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B4B64C">
      <w:start w:val="1"/>
      <w:numFmt w:val="lowerLetter"/>
      <w:lvlText w:val="%5"/>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042FC0">
      <w:start w:val="1"/>
      <w:numFmt w:val="lowerRoman"/>
      <w:lvlText w:val="%6"/>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301248">
      <w:start w:val="1"/>
      <w:numFmt w:val="decimal"/>
      <w:lvlText w:val="%7"/>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FC0A56">
      <w:start w:val="1"/>
      <w:numFmt w:val="lowerLetter"/>
      <w:lvlText w:val="%8"/>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362690">
      <w:start w:val="1"/>
      <w:numFmt w:val="lowerRoman"/>
      <w:lvlText w:val="%9"/>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82E42AF"/>
    <w:multiLevelType w:val="hybridMultilevel"/>
    <w:tmpl w:val="14DA76E4"/>
    <w:lvl w:ilvl="0" w:tplc="6DE087BA">
      <w:start w:val="1"/>
      <w:numFmt w:val="lowerLetter"/>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22C1E8">
      <w:start w:val="1"/>
      <w:numFmt w:val="lowerLetter"/>
      <w:lvlText w:val="%2"/>
      <w:lvlJc w:val="left"/>
      <w:pPr>
        <w:ind w:left="1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358DF9C">
      <w:start w:val="1"/>
      <w:numFmt w:val="lowerRoman"/>
      <w:lvlText w:val="%3"/>
      <w:lvlJc w:val="left"/>
      <w:pPr>
        <w:ind w:left="1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5D283B2">
      <w:start w:val="1"/>
      <w:numFmt w:val="decimal"/>
      <w:lvlText w:val="%4"/>
      <w:lvlJc w:val="left"/>
      <w:pPr>
        <w:ind w:left="2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016D9D2">
      <w:start w:val="1"/>
      <w:numFmt w:val="lowerLetter"/>
      <w:lvlText w:val="%5"/>
      <w:lvlJc w:val="left"/>
      <w:pPr>
        <w:ind w:left="3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AFC228A">
      <w:start w:val="1"/>
      <w:numFmt w:val="lowerRoman"/>
      <w:lvlText w:val="%6"/>
      <w:lvlJc w:val="left"/>
      <w:pPr>
        <w:ind w:left="3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B4BAD0">
      <w:start w:val="1"/>
      <w:numFmt w:val="decimal"/>
      <w:lvlText w:val="%7"/>
      <w:lvlJc w:val="left"/>
      <w:pPr>
        <w:ind w:left="4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6307814">
      <w:start w:val="1"/>
      <w:numFmt w:val="lowerLetter"/>
      <w:lvlText w:val="%8"/>
      <w:lvlJc w:val="left"/>
      <w:pPr>
        <w:ind w:left="5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56CBC7C">
      <w:start w:val="1"/>
      <w:numFmt w:val="lowerRoman"/>
      <w:lvlText w:val="%9"/>
      <w:lvlJc w:val="left"/>
      <w:pPr>
        <w:ind w:left="6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1877315E"/>
    <w:multiLevelType w:val="hybridMultilevel"/>
    <w:tmpl w:val="57C6CB10"/>
    <w:lvl w:ilvl="0" w:tplc="9D5E8EEA">
      <w:start w:val="3"/>
      <w:numFmt w:val="upperRoman"/>
      <w:lvlText w:val="%1."/>
      <w:lvlJc w:val="left"/>
      <w:pPr>
        <w:ind w:left="4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9C85BFE">
      <w:start w:val="1"/>
      <w:numFmt w:val="lowerLetter"/>
      <w:lvlText w:val="%2"/>
      <w:lvlJc w:val="left"/>
      <w:pPr>
        <w:ind w:left="11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4447914">
      <w:start w:val="1"/>
      <w:numFmt w:val="lowerRoman"/>
      <w:lvlText w:val="%3"/>
      <w:lvlJc w:val="left"/>
      <w:pPr>
        <w:ind w:left="18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DF6D1A2">
      <w:start w:val="1"/>
      <w:numFmt w:val="decimal"/>
      <w:lvlText w:val="%4"/>
      <w:lvlJc w:val="left"/>
      <w:pPr>
        <w:ind w:left="25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3D00D4A">
      <w:start w:val="1"/>
      <w:numFmt w:val="lowerLetter"/>
      <w:lvlText w:val="%5"/>
      <w:lvlJc w:val="left"/>
      <w:pPr>
        <w:ind w:left="3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76CC376">
      <w:start w:val="1"/>
      <w:numFmt w:val="lowerRoman"/>
      <w:lvlText w:val="%6"/>
      <w:lvlJc w:val="left"/>
      <w:pPr>
        <w:ind w:left="3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E98C748">
      <w:start w:val="1"/>
      <w:numFmt w:val="decimal"/>
      <w:lvlText w:val="%7"/>
      <w:lvlJc w:val="left"/>
      <w:pPr>
        <w:ind w:left="47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140560">
      <w:start w:val="1"/>
      <w:numFmt w:val="lowerLetter"/>
      <w:lvlText w:val="%8"/>
      <w:lvlJc w:val="left"/>
      <w:pPr>
        <w:ind w:left="54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6AE0780">
      <w:start w:val="1"/>
      <w:numFmt w:val="lowerRoman"/>
      <w:lvlText w:val="%9"/>
      <w:lvlJc w:val="left"/>
      <w:pPr>
        <w:ind w:left="6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189E0C49"/>
    <w:multiLevelType w:val="hybridMultilevel"/>
    <w:tmpl w:val="D4DCA530"/>
    <w:lvl w:ilvl="0" w:tplc="B2EA7234">
      <w:start w:val="2"/>
      <w:numFmt w:val="upperRoman"/>
      <w:lvlText w:val="%1."/>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F8EDE8">
      <w:start w:val="1"/>
      <w:numFmt w:val="lowerLetter"/>
      <w:lvlText w:val="%2"/>
      <w:lvlJc w:val="left"/>
      <w:pPr>
        <w:ind w:left="1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9A70C6">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5817AA">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54DCDA">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5A0544">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2662A8">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0CB90">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CAD33A">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18DF4AE2"/>
    <w:multiLevelType w:val="hybridMultilevel"/>
    <w:tmpl w:val="D4ECF3E4"/>
    <w:lvl w:ilvl="0" w:tplc="0826F9C0">
      <w:start w:val="3"/>
      <w:numFmt w:val="upperRoman"/>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D016C2">
      <w:start w:val="1"/>
      <w:numFmt w:val="lowerLetter"/>
      <w:lvlText w:val="%2"/>
      <w:lvlJc w:val="left"/>
      <w:pPr>
        <w:ind w:left="1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070EBB4">
      <w:start w:val="1"/>
      <w:numFmt w:val="lowerRoman"/>
      <w:lvlText w:val="%3"/>
      <w:lvlJc w:val="left"/>
      <w:pPr>
        <w:ind w:left="1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040C142">
      <w:start w:val="1"/>
      <w:numFmt w:val="decimal"/>
      <w:lvlText w:val="%4"/>
      <w:lvlJc w:val="left"/>
      <w:pPr>
        <w:ind w:left="26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D423002">
      <w:start w:val="1"/>
      <w:numFmt w:val="lowerLetter"/>
      <w:lvlText w:val="%5"/>
      <w:lvlJc w:val="left"/>
      <w:pPr>
        <w:ind w:left="33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B368724">
      <w:start w:val="1"/>
      <w:numFmt w:val="lowerRoman"/>
      <w:lvlText w:val="%6"/>
      <w:lvlJc w:val="left"/>
      <w:pPr>
        <w:ind w:left="40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D26B830">
      <w:start w:val="1"/>
      <w:numFmt w:val="decimal"/>
      <w:lvlText w:val="%7"/>
      <w:lvlJc w:val="left"/>
      <w:pPr>
        <w:ind w:left="4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39AFE32">
      <w:start w:val="1"/>
      <w:numFmt w:val="lowerLetter"/>
      <w:lvlText w:val="%8"/>
      <w:lvlJc w:val="left"/>
      <w:pPr>
        <w:ind w:left="54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09CA66C">
      <w:start w:val="1"/>
      <w:numFmt w:val="lowerRoman"/>
      <w:lvlText w:val="%9"/>
      <w:lvlJc w:val="left"/>
      <w:pPr>
        <w:ind w:left="62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19B15ABC"/>
    <w:multiLevelType w:val="hybridMultilevel"/>
    <w:tmpl w:val="6824C006"/>
    <w:lvl w:ilvl="0" w:tplc="6122D02E">
      <w:start w:val="3"/>
      <w:numFmt w:val="upperRoman"/>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7E7EC2">
      <w:start w:val="1"/>
      <w:numFmt w:val="lowerLetter"/>
      <w:lvlText w:val="%2"/>
      <w:lvlJc w:val="left"/>
      <w:pPr>
        <w:ind w:left="1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08EF00E">
      <w:start w:val="1"/>
      <w:numFmt w:val="lowerRoman"/>
      <w:lvlText w:val="%3"/>
      <w:lvlJc w:val="left"/>
      <w:pPr>
        <w:ind w:left="18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83E57E4">
      <w:start w:val="1"/>
      <w:numFmt w:val="decimal"/>
      <w:lvlText w:val="%4"/>
      <w:lvlJc w:val="left"/>
      <w:pPr>
        <w:ind w:left="25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03241D2">
      <w:start w:val="1"/>
      <w:numFmt w:val="lowerLetter"/>
      <w:lvlText w:val="%5"/>
      <w:lvlJc w:val="left"/>
      <w:pPr>
        <w:ind w:left="3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7F0933C">
      <w:start w:val="1"/>
      <w:numFmt w:val="lowerRoman"/>
      <w:lvlText w:val="%6"/>
      <w:lvlJc w:val="left"/>
      <w:pPr>
        <w:ind w:left="4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92C3D5E">
      <w:start w:val="1"/>
      <w:numFmt w:val="decimal"/>
      <w:lvlText w:val="%7"/>
      <w:lvlJc w:val="left"/>
      <w:pPr>
        <w:ind w:left="4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410C7D0">
      <w:start w:val="1"/>
      <w:numFmt w:val="lowerLetter"/>
      <w:lvlText w:val="%8"/>
      <w:lvlJc w:val="left"/>
      <w:pPr>
        <w:ind w:left="5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58A5EF6">
      <w:start w:val="1"/>
      <w:numFmt w:val="lowerRoman"/>
      <w:lvlText w:val="%9"/>
      <w:lvlJc w:val="left"/>
      <w:pPr>
        <w:ind w:left="61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19DC4484"/>
    <w:multiLevelType w:val="hybridMultilevel"/>
    <w:tmpl w:val="A1222F34"/>
    <w:lvl w:ilvl="0" w:tplc="2EFE18EE">
      <w:start w:val="3"/>
      <w:numFmt w:val="upperRoman"/>
      <w:lvlText w:val="%1."/>
      <w:lvlJc w:val="left"/>
      <w:pPr>
        <w:ind w:left="3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FF41F96">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994BC8E">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D90244E">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E1E94DC">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54A5C86">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5A20990">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97E2C18">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87EDDB4">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1D1B5D28"/>
    <w:multiLevelType w:val="hybridMultilevel"/>
    <w:tmpl w:val="58F8A27E"/>
    <w:lvl w:ilvl="0" w:tplc="5DF04A04">
      <w:start w:val="3"/>
      <w:numFmt w:val="upperRoman"/>
      <w:lvlText w:val="%1."/>
      <w:lvlJc w:val="left"/>
      <w:pPr>
        <w:ind w:left="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9A7FBA">
      <w:start w:val="1"/>
      <w:numFmt w:val="lowerLetter"/>
      <w:lvlText w:val="%2"/>
      <w:lvlJc w:val="left"/>
      <w:pPr>
        <w:ind w:left="1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C0DD64">
      <w:start w:val="1"/>
      <w:numFmt w:val="lowerRoman"/>
      <w:lvlText w:val="%3"/>
      <w:lvlJc w:val="left"/>
      <w:pPr>
        <w:ind w:left="1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040DD34">
      <w:start w:val="1"/>
      <w:numFmt w:val="decimal"/>
      <w:lvlText w:val="%4"/>
      <w:lvlJc w:val="left"/>
      <w:pPr>
        <w:ind w:left="2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BBA95CC">
      <w:start w:val="1"/>
      <w:numFmt w:val="lowerLetter"/>
      <w:lvlText w:val="%5"/>
      <w:lvlJc w:val="left"/>
      <w:pPr>
        <w:ind w:left="3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DB6FC86">
      <w:start w:val="1"/>
      <w:numFmt w:val="lowerRoman"/>
      <w:lvlText w:val="%6"/>
      <w:lvlJc w:val="left"/>
      <w:pPr>
        <w:ind w:left="3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930DEC0">
      <w:start w:val="1"/>
      <w:numFmt w:val="decimal"/>
      <w:lvlText w:val="%7"/>
      <w:lvlJc w:val="left"/>
      <w:pPr>
        <w:ind w:left="4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D8004CC">
      <w:start w:val="1"/>
      <w:numFmt w:val="lowerLetter"/>
      <w:lvlText w:val="%8"/>
      <w:lvlJc w:val="left"/>
      <w:pPr>
        <w:ind w:left="5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0105484">
      <w:start w:val="1"/>
      <w:numFmt w:val="lowerRoman"/>
      <w:lvlText w:val="%9"/>
      <w:lvlJc w:val="left"/>
      <w:pPr>
        <w:ind w:left="6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1D284981"/>
    <w:multiLevelType w:val="hybridMultilevel"/>
    <w:tmpl w:val="1D6C02CA"/>
    <w:lvl w:ilvl="0" w:tplc="57E8B694">
      <w:start w:val="6"/>
      <w:numFmt w:val="upperRoman"/>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C78F6">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98EC71E">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DF6DB3C">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9FEB7E8">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96F374">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97841D2">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854104E">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6262E86">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203F4687"/>
    <w:multiLevelType w:val="hybridMultilevel"/>
    <w:tmpl w:val="DEB8F302"/>
    <w:lvl w:ilvl="0" w:tplc="2398DA3C">
      <w:start w:val="3"/>
      <w:numFmt w:val="upperRoman"/>
      <w:lvlText w:val="%1."/>
      <w:lvlJc w:val="left"/>
      <w:pPr>
        <w:ind w:left="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F0C266">
      <w:start w:val="1"/>
      <w:numFmt w:val="lowerLetter"/>
      <w:lvlText w:val="%2"/>
      <w:lvlJc w:val="left"/>
      <w:pPr>
        <w:ind w:left="1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D061666">
      <w:start w:val="1"/>
      <w:numFmt w:val="lowerRoman"/>
      <w:lvlText w:val="%3"/>
      <w:lvlJc w:val="left"/>
      <w:pPr>
        <w:ind w:left="1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562EAF0">
      <w:start w:val="1"/>
      <w:numFmt w:val="decimal"/>
      <w:lvlText w:val="%4"/>
      <w:lvlJc w:val="left"/>
      <w:pPr>
        <w:ind w:left="2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F806A50">
      <w:start w:val="1"/>
      <w:numFmt w:val="lowerLetter"/>
      <w:lvlText w:val="%5"/>
      <w:lvlJc w:val="left"/>
      <w:pPr>
        <w:ind w:left="3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D67C20">
      <w:start w:val="1"/>
      <w:numFmt w:val="lowerRoman"/>
      <w:lvlText w:val="%6"/>
      <w:lvlJc w:val="left"/>
      <w:pPr>
        <w:ind w:left="3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016DE94">
      <w:start w:val="1"/>
      <w:numFmt w:val="decimal"/>
      <w:lvlText w:val="%7"/>
      <w:lvlJc w:val="left"/>
      <w:pPr>
        <w:ind w:left="4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666E778">
      <w:start w:val="1"/>
      <w:numFmt w:val="lowerLetter"/>
      <w:lvlText w:val="%8"/>
      <w:lvlJc w:val="left"/>
      <w:pPr>
        <w:ind w:left="5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ABA7C6A">
      <w:start w:val="1"/>
      <w:numFmt w:val="lowerRoman"/>
      <w:lvlText w:val="%9"/>
      <w:lvlJc w:val="left"/>
      <w:pPr>
        <w:ind w:left="6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21D40769"/>
    <w:multiLevelType w:val="hybridMultilevel"/>
    <w:tmpl w:val="B6D6A0C8"/>
    <w:lvl w:ilvl="0" w:tplc="B9FEF1A6">
      <w:start w:val="3"/>
      <w:numFmt w:val="upperRoman"/>
      <w:lvlText w:val="%1."/>
      <w:lvlJc w:val="left"/>
      <w:pPr>
        <w:ind w:left="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2EE2D4">
      <w:start w:val="1"/>
      <w:numFmt w:val="lowerLetter"/>
      <w:lvlText w:val="%2"/>
      <w:lvlJc w:val="left"/>
      <w:pPr>
        <w:ind w:left="11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5E696FA">
      <w:start w:val="1"/>
      <w:numFmt w:val="lowerRoman"/>
      <w:lvlText w:val="%3"/>
      <w:lvlJc w:val="left"/>
      <w:pPr>
        <w:ind w:left="18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BEFB6C">
      <w:start w:val="1"/>
      <w:numFmt w:val="decimal"/>
      <w:lvlText w:val="%4"/>
      <w:lvlJc w:val="left"/>
      <w:pPr>
        <w:ind w:left="25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2A97C8">
      <w:start w:val="1"/>
      <w:numFmt w:val="lowerLetter"/>
      <w:lvlText w:val="%5"/>
      <w:lvlJc w:val="left"/>
      <w:pPr>
        <w:ind w:left="33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D1A5F6E">
      <w:start w:val="1"/>
      <w:numFmt w:val="lowerRoman"/>
      <w:lvlText w:val="%6"/>
      <w:lvlJc w:val="left"/>
      <w:pPr>
        <w:ind w:left="40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96617B0">
      <w:start w:val="1"/>
      <w:numFmt w:val="decimal"/>
      <w:lvlText w:val="%7"/>
      <w:lvlJc w:val="left"/>
      <w:pPr>
        <w:ind w:left="4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5A8F88">
      <w:start w:val="1"/>
      <w:numFmt w:val="lowerLetter"/>
      <w:lvlText w:val="%8"/>
      <w:lvlJc w:val="left"/>
      <w:pPr>
        <w:ind w:left="5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58AE44E">
      <w:start w:val="1"/>
      <w:numFmt w:val="lowerRoman"/>
      <w:lvlText w:val="%9"/>
      <w:lvlJc w:val="left"/>
      <w:pPr>
        <w:ind w:left="6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221538CF"/>
    <w:multiLevelType w:val="hybridMultilevel"/>
    <w:tmpl w:val="15C48634"/>
    <w:lvl w:ilvl="0" w:tplc="F4D89B54">
      <w:start w:val="3"/>
      <w:numFmt w:val="upperRoman"/>
      <w:lvlText w:val="%1."/>
      <w:lvlJc w:val="left"/>
      <w:pPr>
        <w:ind w:left="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E00204">
      <w:start w:val="1"/>
      <w:numFmt w:val="lowerLetter"/>
      <w:lvlText w:val="%2"/>
      <w:lvlJc w:val="left"/>
      <w:pPr>
        <w:ind w:left="11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FA790A">
      <w:start w:val="1"/>
      <w:numFmt w:val="lowerRoman"/>
      <w:lvlText w:val="%3"/>
      <w:lvlJc w:val="left"/>
      <w:pPr>
        <w:ind w:left="18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48C946">
      <w:start w:val="1"/>
      <w:numFmt w:val="decimal"/>
      <w:lvlText w:val="%4"/>
      <w:lvlJc w:val="left"/>
      <w:pPr>
        <w:ind w:left="25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F06B6D2">
      <w:start w:val="1"/>
      <w:numFmt w:val="lowerLetter"/>
      <w:lvlText w:val="%5"/>
      <w:lvlJc w:val="left"/>
      <w:pPr>
        <w:ind w:left="3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774B642">
      <w:start w:val="1"/>
      <w:numFmt w:val="lowerRoman"/>
      <w:lvlText w:val="%6"/>
      <w:lvlJc w:val="left"/>
      <w:pPr>
        <w:ind w:left="3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430931E">
      <w:start w:val="1"/>
      <w:numFmt w:val="decimal"/>
      <w:lvlText w:val="%7"/>
      <w:lvlJc w:val="left"/>
      <w:pPr>
        <w:ind w:left="47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95A79EA">
      <w:start w:val="1"/>
      <w:numFmt w:val="lowerLetter"/>
      <w:lvlText w:val="%8"/>
      <w:lvlJc w:val="left"/>
      <w:pPr>
        <w:ind w:left="54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37E96E4">
      <w:start w:val="1"/>
      <w:numFmt w:val="lowerRoman"/>
      <w:lvlText w:val="%9"/>
      <w:lvlJc w:val="left"/>
      <w:pPr>
        <w:ind w:left="6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225269C0"/>
    <w:multiLevelType w:val="hybridMultilevel"/>
    <w:tmpl w:val="5740A028"/>
    <w:lvl w:ilvl="0" w:tplc="CB229694">
      <w:start w:val="1"/>
      <w:numFmt w:val="lowerLetter"/>
      <w:lvlText w:val="%1)"/>
      <w:lvlJc w:val="left"/>
      <w:pPr>
        <w:ind w:left="2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BD23516">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D66FDF6">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0D07DEE">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590886A">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B904F12">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FB4EBDA">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5D6B4B4">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BB61314">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22C04723"/>
    <w:multiLevelType w:val="hybridMultilevel"/>
    <w:tmpl w:val="60F889DC"/>
    <w:lvl w:ilvl="0" w:tplc="4314B4CC">
      <w:start w:val="3"/>
      <w:numFmt w:val="upperRoman"/>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C873F2">
      <w:start w:val="1"/>
      <w:numFmt w:val="lowerLetter"/>
      <w:lvlText w:val="%2"/>
      <w:lvlJc w:val="left"/>
      <w:pPr>
        <w:ind w:left="1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BD87CCE">
      <w:start w:val="1"/>
      <w:numFmt w:val="lowerRoman"/>
      <w:lvlText w:val="%3"/>
      <w:lvlJc w:val="left"/>
      <w:pPr>
        <w:ind w:left="1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D6CFF7A">
      <w:start w:val="1"/>
      <w:numFmt w:val="decimal"/>
      <w:lvlText w:val="%4"/>
      <w:lvlJc w:val="left"/>
      <w:pPr>
        <w:ind w:left="2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850B256">
      <w:start w:val="1"/>
      <w:numFmt w:val="lowerLetter"/>
      <w:lvlText w:val="%5"/>
      <w:lvlJc w:val="left"/>
      <w:pPr>
        <w:ind w:left="32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B82BD88">
      <w:start w:val="1"/>
      <w:numFmt w:val="lowerRoman"/>
      <w:lvlText w:val="%6"/>
      <w:lvlJc w:val="left"/>
      <w:pPr>
        <w:ind w:left="40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73ECC06">
      <w:start w:val="1"/>
      <w:numFmt w:val="decimal"/>
      <w:lvlText w:val="%7"/>
      <w:lvlJc w:val="left"/>
      <w:pPr>
        <w:ind w:left="4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1F4ABC8">
      <w:start w:val="1"/>
      <w:numFmt w:val="lowerLetter"/>
      <w:lvlText w:val="%8"/>
      <w:lvlJc w:val="left"/>
      <w:pPr>
        <w:ind w:left="54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754680C">
      <w:start w:val="1"/>
      <w:numFmt w:val="lowerRoman"/>
      <w:lvlText w:val="%9"/>
      <w:lvlJc w:val="left"/>
      <w:pPr>
        <w:ind w:left="6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230108C3"/>
    <w:multiLevelType w:val="hybridMultilevel"/>
    <w:tmpl w:val="78909F26"/>
    <w:lvl w:ilvl="0" w:tplc="F926C3B6">
      <w:start w:val="3"/>
      <w:numFmt w:val="upperRoman"/>
      <w:lvlText w:val="%1."/>
      <w:lvlJc w:val="left"/>
      <w:pPr>
        <w:ind w:left="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967CCA">
      <w:start w:val="1"/>
      <w:numFmt w:val="lowerLetter"/>
      <w:lvlText w:val="%2"/>
      <w:lvlJc w:val="left"/>
      <w:pPr>
        <w:ind w:left="1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E24D97C">
      <w:start w:val="1"/>
      <w:numFmt w:val="lowerRoman"/>
      <w:lvlText w:val="%3"/>
      <w:lvlJc w:val="left"/>
      <w:pPr>
        <w:ind w:left="1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8DAD26C">
      <w:start w:val="1"/>
      <w:numFmt w:val="decimal"/>
      <w:lvlText w:val="%4"/>
      <w:lvlJc w:val="left"/>
      <w:pPr>
        <w:ind w:left="25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854ADEC">
      <w:start w:val="1"/>
      <w:numFmt w:val="lowerLetter"/>
      <w:lvlText w:val="%5"/>
      <w:lvlJc w:val="left"/>
      <w:pPr>
        <w:ind w:left="32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76C562">
      <w:start w:val="1"/>
      <w:numFmt w:val="lowerRoman"/>
      <w:lvlText w:val="%6"/>
      <w:lvlJc w:val="left"/>
      <w:pPr>
        <w:ind w:left="39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F14F2AE">
      <w:start w:val="1"/>
      <w:numFmt w:val="decimal"/>
      <w:lvlText w:val="%7"/>
      <w:lvlJc w:val="left"/>
      <w:pPr>
        <w:ind w:left="47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9C48E34">
      <w:start w:val="1"/>
      <w:numFmt w:val="lowerLetter"/>
      <w:lvlText w:val="%8"/>
      <w:lvlJc w:val="left"/>
      <w:pPr>
        <w:ind w:left="54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37CBB04">
      <w:start w:val="1"/>
      <w:numFmt w:val="lowerRoman"/>
      <w:lvlText w:val="%9"/>
      <w:lvlJc w:val="left"/>
      <w:pPr>
        <w:ind w:left="61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237A3196"/>
    <w:multiLevelType w:val="hybridMultilevel"/>
    <w:tmpl w:val="6186AB38"/>
    <w:lvl w:ilvl="0" w:tplc="38BC07DA">
      <w:start w:val="2"/>
      <w:numFmt w:val="upperRoman"/>
      <w:lvlText w:val="%1."/>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245CE8">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E4CE8FA">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B88D9E0">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7E24BA4">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BF06A68">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58248FA">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99E5894">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7605956">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25027B7A"/>
    <w:multiLevelType w:val="hybridMultilevel"/>
    <w:tmpl w:val="60BEB962"/>
    <w:lvl w:ilvl="0" w:tplc="963E326A">
      <w:start w:val="3"/>
      <w:numFmt w:val="upperRoman"/>
      <w:lvlText w:val="%1."/>
      <w:lvlJc w:val="left"/>
      <w:pPr>
        <w:ind w:left="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FE2E5E">
      <w:start w:val="1"/>
      <w:numFmt w:val="lowerLetter"/>
      <w:lvlText w:val="%2"/>
      <w:lvlJc w:val="left"/>
      <w:pPr>
        <w:ind w:left="1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236BCC4">
      <w:start w:val="1"/>
      <w:numFmt w:val="lowerRoman"/>
      <w:lvlText w:val="%3"/>
      <w:lvlJc w:val="left"/>
      <w:pPr>
        <w:ind w:left="1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EB4FCDC">
      <w:start w:val="1"/>
      <w:numFmt w:val="decimal"/>
      <w:lvlText w:val="%4"/>
      <w:lvlJc w:val="left"/>
      <w:pPr>
        <w:ind w:left="2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5684FA0">
      <w:start w:val="1"/>
      <w:numFmt w:val="lowerLetter"/>
      <w:lvlText w:val="%5"/>
      <w:lvlJc w:val="left"/>
      <w:pPr>
        <w:ind w:left="3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7123418">
      <w:start w:val="1"/>
      <w:numFmt w:val="lowerRoman"/>
      <w:lvlText w:val="%6"/>
      <w:lvlJc w:val="left"/>
      <w:pPr>
        <w:ind w:left="3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B83142">
      <w:start w:val="1"/>
      <w:numFmt w:val="decimal"/>
      <w:lvlText w:val="%7"/>
      <w:lvlJc w:val="left"/>
      <w:pPr>
        <w:ind w:left="4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17C91B8">
      <w:start w:val="1"/>
      <w:numFmt w:val="lowerLetter"/>
      <w:lvlText w:val="%8"/>
      <w:lvlJc w:val="left"/>
      <w:pPr>
        <w:ind w:left="5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F941836">
      <w:start w:val="1"/>
      <w:numFmt w:val="lowerRoman"/>
      <w:lvlText w:val="%9"/>
      <w:lvlJc w:val="left"/>
      <w:pPr>
        <w:ind w:left="6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15:restartNumberingAfterBreak="0">
    <w:nsid w:val="261E7777"/>
    <w:multiLevelType w:val="hybridMultilevel"/>
    <w:tmpl w:val="C8F88F46"/>
    <w:lvl w:ilvl="0" w:tplc="D47C2512">
      <w:start w:val="6"/>
      <w:numFmt w:val="lowerLetter"/>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64D7DC">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8EF0C">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CCA154">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66B722">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28F5D2">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E240A0">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6BCDA">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224368">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A955D2E"/>
    <w:multiLevelType w:val="hybridMultilevel"/>
    <w:tmpl w:val="EA569848"/>
    <w:lvl w:ilvl="0" w:tplc="A6885024">
      <w:start w:val="3"/>
      <w:numFmt w:val="upperRoman"/>
      <w:lvlText w:val="%1."/>
      <w:lvlJc w:val="left"/>
      <w:pPr>
        <w:ind w:left="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E28696A">
      <w:start w:val="1"/>
      <w:numFmt w:val="lowerLetter"/>
      <w:lvlText w:val="%2"/>
      <w:lvlJc w:val="left"/>
      <w:pPr>
        <w:ind w:left="1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6B49516">
      <w:start w:val="1"/>
      <w:numFmt w:val="lowerRoman"/>
      <w:lvlText w:val="%3"/>
      <w:lvlJc w:val="left"/>
      <w:pPr>
        <w:ind w:left="1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8AA82F6">
      <w:start w:val="1"/>
      <w:numFmt w:val="decimal"/>
      <w:lvlText w:val="%4"/>
      <w:lvlJc w:val="left"/>
      <w:pPr>
        <w:ind w:left="25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D008192">
      <w:start w:val="1"/>
      <w:numFmt w:val="lowerLetter"/>
      <w:lvlText w:val="%5"/>
      <w:lvlJc w:val="left"/>
      <w:pPr>
        <w:ind w:left="3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600D320">
      <w:start w:val="1"/>
      <w:numFmt w:val="lowerRoman"/>
      <w:lvlText w:val="%6"/>
      <w:lvlJc w:val="left"/>
      <w:pPr>
        <w:ind w:left="3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8187A48">
      <w:start w:val="1"/>
      <w:numFmt w:val="decimal"/>
      <w:lvlText w:val="%7"/>
      <w:lvlJc w:val="left"/>
      <w:pPr>
        <w:ind w:left="4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1BA1BFE">
      <w:start w:val="1"/>
      <w:numFmt w:val="lowerLetter"/>
      <w:lvlText w:val="%8"/>
      <w:lvlJc w:val="left"/>
      <w:pPr>
        <w:ind w:left="5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E6676D4">
      <w:start w:val="1"/>
      <w:numFmt w:val="lowerRoman"/>
      <w:lvlText w:val="%9"/>
      <w:lvlJc w:val="left"/>
      <w:pPr>
        <w:ind w:left="6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2AF23E5A"/>
    <w:multiLevelType w:val="hybridMultilevel"/>
    <w:tmpl w:val="3CDAC630"/>
    <w:lvl w:ilvl="0" w:tplc="B47A3EF2">
      <w:start w:val="3"/>
      <w:numFmt w:val="upperRoman"/>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50C990">
      <w:start w:val="1"/>
      <w:numFmt w:val="lowerLetter"/>
      <w:lvlText w:val="%2"/>
      <w:lvlJc w:val="left"/>
      <w:pPr>
        <w:ind w:left="1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AEC9D64">
      <w:start w:val="1"/>
      <w:numFmt w:val="lowerRoman"/>
      <w:lvlText w:val="%3"/>
      <w:lvlJc w:val="left"/>
      <w:pPr>
        <w:ind w:left="1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87C5DB0">
      <w:start w:val="1"/>
      <w:numFmt w:val="decimal"/>
      <w:lvlText w:val="%4"/>
      <w:lvlJc w:val="left"/>
      <w:pPr>
        <w:ind w:left="2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842966C">
      <w:start w:val="1"/>
      <w:numFmt w:val="lowerLetter"/>
      <w:lvlText w:val="%5"/>
      <w:lvlJc w:val="left"/>
      <w:pPr>
        <w:ind w:left="3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A761EEE">
      <w:start w:val="1"/>
      <w:numFmt w:val="lowerRoman"/>
      <w:lvlText w:val="%6"/>
      <w:lvlJc w:val="left"/>
      <w:pPr>
        <w:ind w:left="39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654ABB6">
      <w:start w:val="1"/>
      <w:numFmt w:val="decimal"/>
      <w:lvlText w:val="%7"/>
      <w:lvlJc w:val="left"/>
      <w:pPr>
        <w:ind w:left="46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9286272">
      <w:start w:val="1"/>
      <w:numFmt w:val="lowerLetter"/>
      <w:lvlText w:val="%8"/>
      <w:lvlJc w:val="left"/>
      <w:pPr>
        <w:ind w:left="54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CA8C682">
      <w:start w:val="1"/>
      <w:numFmt w:val="lowerRoman"/>
      <w:lvlText w:val="%9"/>
      <w:lvlJc w:val="left"/>
      <w:pPr>
        <w:ind w:left="6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2B3F54C1"/>
    <w:multiLevelType w:val="hybridMultilevel"/>
    <w:tmpl w:val="4A5407DA"/>
    <w:lvl w:ilvl="0" w:tplc="93161CA0">
      <w:start w:val="3"/>
      <w:numFmt w:val="upperRoman"/>
      <w:lvlText w:val="%1."/>
      <w:lvlJc w:val="left"/>
      <w:pPr>
        <w:ind w:left="3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6ACAB24">
      <w:start w:val="1"/>
      <w:numFmt w:val="lowerLetter"/>
      <w:lvlText w:val="%2"/>
      <w:lvlJc w:val="left"/>
      <w:pPr>
        <w:ind w:left="1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F21D96">
      <w:start w:val="1"/>
      <w:numFmt w:val="lowerRoman"/>
      <w:lvlText w:val="%3"/>
      <w:lvlJc w:val="left"/>
      <w:pPr>
        <w:ind w:left="1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4886116">
      <w:start w:val="1"/>
      <w:numFmt w:val="decimal"/>
      <w:lvlText w:val="%4"/>
      <w:lvlJc w:val="left"/>
      <w:pPr>
        <w:ind w:left="25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7E2D12A">
      <w:start w:val="1"/>
      <w:numFmt w:val="lowerLetter"/>
      <w:lvlText w:val="%5"/>
      <w:lvlJc w:val="left"/>
      <w:pPr>
        <w:ind w:left="32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9089240">
      <w:start w:val="1"/>
      <w:numFmt w:val="lowerRoman"/>
      <w:lvlText w:val="%6"/>
      <w:lvlJc w:val="left"/>
      <w:pPr>
        <w:ind w:left="39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F2EA6B2">
      <w:start w:val="1"/>
      <w:numFmt w:val="decimal"/>
      <w:lvlText w:val="%7"/>
      <w:lvlJc w:val="left"/>
      <w:pPr>
        <w:ind w:left="47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AC8264C">
      <w:start w:val="1"/>
      <w:numFmt w:val="lowerLetter"/>
      <w:lvlText w:val="%8"/>
      <w:lvlJc w:val="left"/>
      <w:pPr>
        <w:ind w:left="5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94C3A9E">
      <w:start w:val="1"/>
      <w:numFmt w:val="lowerRoman"/>
      <w:lvlText w:val="%9"/>
      <w:lvlJc w:val="left"/>
      <w:pPr>
        <w:ind w:left="61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9" w15:restartNumberingAfterBreak="0">
    <w:nsid w:val="2CAE485E"/>
    <w:multiLevelType w:val="hybridMultilevel"/>
    <w:tmpl w:val="0A7A7038"/>
    <w:lvl w:ilvl="0" w:tplc="8FF2D7E6">
      <w:start w:val="24"/>
      <w:numFmt w:val="bullet"/>
      <w:lvlText w:val=""/>
      <w:lvlJc w:val="left"/>
      <w:pPr>
        <w:ind w:left="1997" w:hanging="360"/>
      </w:pPr>
      <w:rPr>
        <w:rFonts w:ascii="Times New Roman" w:eastAsia="Segoe MDL2 Assets" w:hAnsi="Times New Roman" w:cs="Times New Roman" w:hint="default"/>
      </w:rPr>
    </w:lvl>
    <w:lvl w:ilvl="1" w:tplc="080A0003" w:tentative="1">
      <w:start w:val="1"/>
      <w:numFmt w:val="bullet"/>
      <w:lvlText w:val="o"/>
      <w:lvlJc w:val="left"/>
      <w:pPr>
        <w:ind w:left="2717" w:hanging="360"/>
      </w:pPr>
      <w:rPr>
        <w:rFonts w:ascii="Courier New" w:hAnsi="Courier New" w:cs="Courier New" w:hint="default"/>
      </w:rPr>
    </w:lvl>
    <w:lvl w:ilvl="2" w:tplc="080A0005" w:tentative="1">
      <w:start w:val="1"/>
      <w:numFmt w:val="bullet"/>
      <w:lvlText w:val=""/>
      <w:lvlJc w:val="left"/>
      <w:pPr>
        <w:ind w:left="3437" w:hanging="360"/>
      </w:pPr>
      <w:rPr>
        <w:rFonts w:ascii="Wingdings" w:hAnsi="Wingdings" w:hint="default"/>
      </w:rPr>
    </w:lvl>
    <w:lvl w:ilvl="3" w:tplc="080A0001" w:tentative="1">
      <w:start w:val="1"/>
      <w:numFmt w:val="bullet"/>
      <w:lvlText w:val=""/>
      <w:lvlJc w:val="left"/>
      <w:pPr>
        <w:ind w:left="4157" w:hanging="360"/>
      </w:pPr>
      <w:rPr>
        <w:rFonts w:ascii="Symbol" w:hAnsi="Symbol" w:hint="default"/>
      </w:rPr>
    </w:lvl>
    <w:lvl w:ilvl="4" w:tplc="080A0003" w:tentative="1">
      <w:start w:val="1"/>
      <w:numFmt w:val="bullet"/>
      <w:lvlText w:val="o"/>
      <w:lvlJc w:val="left"/>
      <w:pPr>
        <w:ind w:left="4877" w:hanging="360"/>
      </w:pPr>
      <w:rPr>
        <w:rFonts w:ascii="Courier New" w:hAnsi="Courier New" w:cs="Courier New" w:hint="default"/>
      </w:rPr>
    </w:lvl>
    <w:lvl w:ilvl="5" w:tplc="080A0005" w:tentative="1">
      <w:start w:val="1"/>
      <w:numFmt w:val="bullet"/>
      <w:lvlText w:val=""/>
      <w:lvlJc w:val="left"/>
      <w:pPr>
        <w:ind w:left="5597" w:hanging="360"/>
      </w:pPr>
      <w:rPr>
        <w:rFonts w:ascii="Wingdings" w:hAnsi="Wingdings" w:hint="default"/>
      </w:rPr>
    </w:lvl>
    <w:lvl w:ilvl="6" w:tplc="080A0001" w:tentative="1">
      <w:start w:val="1"/>
      <w:numFmt w:val="bullet"/>
      <w:lvlText w:val=""/>
      <w:lvlJc w:val="left"/>
      <w:pPr>
        <w:ind w:left="6317" w:hanging="360"/>
      </w:pPr>
      <w:rPr>
        <w:rFonts w:ascii="Symbol" w:hAnsi="Symbol" w:hint="default"/>
      </w:rPr>
    </w:lvl>
    <w:lvl w:ilvl="7" w:tplc="080A0003" w:tentative="1">
      <w:start w:val="1"/>
      <w:numFmt w:val="bullet"/>
      <w:lvlText w:val="o"/>
      <w:lvlJc w:val="left"/>
      <w:pPr>
        <w:ind w:left="7037" w:hanging="360"/>
      </w:pPr>
      <w:rPr>
        <w:rFonts w:ascii="Courier New" w:hAnsi="Courier New" w:cs="Courier New" w:hint="default"/>
      </w:rPr>
    </w:lvl>
    <w:lvl w:ilvl="8" w:tplc="080A0005" w:tentative="1">
      <w:start w:val="1"/>
      <w:numFmt w:val="bullet"/>
      <w:lvlText w:val=""/>
      <w:lvlJc w:val="left"/>
      <w:pPr>
        <w:ind w:left="7757" w:hanging="360"/>
      </w:pPr>
      <w:rPr>
        <w:rFonts w:ascii="Wingdings" w:hAnsi="Wingdings" w:hint="default"/>
      </w:rPr>
    </w:lvl>
  </w:abstractNum>
  <w:abstractNum w:abstractNumId="40" w15:restartNumberingAfterBreak="0">
    <w:nsid w:val="2CE45E13"/>
    <w:multiLevelType w:val="hybridMultilevel"/>
    <w:tmpl w:val="88081314"/>
    <w:lvl w:ilvl="0" w:tplc="24BA679C">
      <w:start w:val="28"/>
      <w:numFmt w:val="upperRoman"/>
      <w:lvlText w:val="%1."/>
      <w:lvlJc w:val="left"/>
      <w:pPr>
        <w:ind w:left="8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FCB3D8">
      <w:start w:val="1"/>
      <w:numFmt w:val="lowerLetter"/>
      <w:lvlText w:val="%2"/>
      <w:lvlJc w:val="left"/>
      <w:pPr>
        <w:ind w:left="1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D2784C">
      <w:start w:val="1"/>
      <w:numFmt w:val="lowerRoman"/>
      <w:lvlText w:val="%3"/>
      <w:lvlJc w:val="left"/>
      <w:pPr>
        <w:ind w:left="18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07EF0FE">
      <w:start w:val="1"/>
      <w:numFmt w:val="decimal"/>
      <w:lvlText w:val="%4"/>
      <w:lvlJc w:val="left"/>
      <w:pPr>
        <w:ind w:left="25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03AD9FA">
      <w:start w:val="1"/>
      <w:numFmt w:val="lowerLetter"/>
      <w:lvlText w:val="%5"/>
      <w:lvlJc w:val="left"/>
      <w:pPr>
        <w:ind w:left="32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346BF0">
      <w:start w:val="1"/>
      <w:numFmt w:val="lowerRoman"/>
      <w:lvlText w:val="%6"/>
      <w:lvlJc w:val="left"/>
      <w:pPr>
        <w:ind w:left="40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EB0A4BE">
      <w:start w:val="1"/>
      <w:numFmt w:val="decimal"/>
      <w:lvlText w:val="%7"/>
      <w:lvlJc w:val="left"/>
      <w:pPr>
        <w:ind w:left="47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E081186">
      <w:start w:val="1"/>
      <w:numFmt w:val="lowerLetter"/>
      <w:lvlText w:val="%8"/>
      <w:lvlJc w:val="left"/>
      <w:pPr>
        <w:ind w:left="54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900694">
      <w:start w:val="1"/>
      <w:numFmt w:val="lowerRoman"/>
      <w:lvlText w:val="%9"/>
      <w:lvlJc w:val="left"/>
      <w:pPr>
        <w:ind w:left="61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2D8055C2"/>
    <w:multiLevelType w:val="hybridMultilevel"/>
    <w:tmpl w:val="4E4AC616"/>
    <w:lvl w:ilvl="0" w:tplc="EC6A24B8">
      <w:start w:val="20"/>
      <w:numFmt w:val="upperRoman"/>
      <w:lvlText w:val="%1."/>
      <w:lvlJc w:val="left"/>
      <w:pPr>
        <w:ind w:left="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AC3DC0">
      <w:start w:val="1"/>
      <w:numFmt w:val="lowerLetter"/>
      <w:lvlText w:val="%2"/>
      <w:lvlJc w:val="left"/>
      <w:pPr>
        <w:ind w:left="1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301942">
      <w:start w:val="1"/>
      <w:numFmt w:val="lowerRoman"/>
      <w:lvlText w:val="%3"/>
      <w:lvlJc w:val="left"/>
      <w:pPr>
        <w:ind w:left="1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0CE0BC">
      <w:start w:val="1"/>
      <w:numFmt w:val="decimal"/>
      <w:lvlText w:val="%4"/>
      <w:lvlJc w:val="left"/>
      <w:pPr>
        <w:ind w:left="2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C68E9E">
      <w:start w:val="1"/>
      <w:numFmt w:val="lowerLetter"/>
      <w:lvlText w:val="%5"/>
      <w:lvlJc w:val="left"/>
      <w:pPr>
        <w:ind w:left="3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2C13EA">
      <w:start w:val="1"/>
      <w:numFmt w:val="lowerRoman"/>
      <w:lvlText w:val="%6"/>
      <w:lvlJc w:val="left"/>
      <w:pPr>
        <w:ind w:left="3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8A6EDE">
      <w:start w:val="1"/>
      <w:numFmt w:val="decimal"/>
      <w:lvlText w:val="%7"/>
      <w:lvlJc w:val="left"/>
      <w:pPr>
        <w:ind w:left="4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BACA2E">
      <w:start w:val="1"/>
      <w:numFmt w:val="lowerLetter"/>
      <w:lvlText w:val="%8"/>
      <w:lvlJc w:val="left"/>
      <w:pPr>
        <w:ind w:left="5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CEA3F8">
      <w:start w:val="1"/>
      <w:numFmt w:val="lowerRoman"/>
      <w:lvlText w:val="%9"/>
      <w:lvlJc w:val="left"/>
      <w:pPr>
        <w:ind w:left="6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2ECB5558"/>
    <w:multiLevelType w:val="hybridMultilevel"/>
    <w:tmpl w:val="8B48BD0C"/>
    <w:lvl w:ilvl="0" w:tplc="21F4DAC6">
      <w:start w:val="3"/>
      <w:numFmt w:val="upperRoman"/>
      <w:lvlText w:val="%1."/>
      <w:lvlJc w:val="left"/>
      <w:pPr>
        <w:ind w:left="2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E049754">
      <w:start w:val="1"/>
      <w:numFmt w:val="lowerLetter"/>
      <w:lvlText w:val="%2"/>
      <w:lvlJc w:val="left"/>
      <w:pPr>
        <w:ind w:left="1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B6EB4EE">
      <w:start w:val="1"/>
      <w:numFmt w:val="lowerRoman"/>
      <w:lvlText w:val="%3"/>
      <w:lvlJc w:val="left"/>
      <w:pPr>
        <w:ind w:left="1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1385D40">
      <w:start w:val="1"/>
      <w:numFmt w:val="decimal"/>
      <w:lvlText w:val="%4"/>
      <w:lvlJc w:val="left"/>
      <w:pPr>
        <w:ind w:left="2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BA878D8">
      <w:start w:val="1"/>
      <w:numFmt w:val="lowerLetter"/>
      <w:lvlText w:val="%5"/>
      <w:lvlJc w:val="left"/>
      <w:pPr>
        <w:ind w:left="3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B90FF9E">
      <w:start w:val="1"/>
      <w:numFmt w:val="lowerRoman"/>
      <w:lvlText w:val="%6"/>
      <w:lvlJc w:val="left"/>
      <w:pPr>
        <w:ind w:left="40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DF09EC8">
      <w:start w:val="1"/>
      <w:numFmt w:val="decimal"/>
      <w:lvlText w:val="%7"/>
      <w:lvlJc w:val="left"/>
      <w:pPr>
        <w:ind w:left="47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D2EFE66">
      <w:start w:val="1"/>
      <w:numFmt w:val="lowerLetter"/>
      <w:lvlText w:val="%8"/>
      <w:lvlJc w:val="left"/>
      <w:pPr>
        <w:ind w:left="5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4BC3A42">
      <w:start w:val="1"/>
      <w:numFmt w:val="lowerRoman"/>
      <w:lvlText w:val="%9"/>
      <w:lvlJc w:val="left"/>
      <w:pPr>
        <w:ind w:left="61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3" w15:restartNumberingAfterBreak="0">
    <w:nsid w:val="2FE52238"/>
    <w:multiLevelType w:val="hybridMultilevel"/>
    <w:tmpl w:val="53426504"/>
    <w:lvl w:ilvl="0" w:tplc="A0FA1444">
      <w:start w:val="3"/>
      <w:numFmt w:val="upperRoman"/>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9E4392">
      <w:start w:val="1"/>
      <w:numFmt w:val="lowerLetter"/>
      <w:lvlText w:val="%2"/>
      <w:lvlJc w:val="left"/>
      <w:pPr>
        <w:ind w:left="1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C386796">
      <w:start w:val="1"/>
      <w:numFmt w:val="lowerRoman"/>
      <w:lvlText w:val="%3"/>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A6EDF5C">
      <w:start w:val="1"/>
      <w:numFmt w:val="decimal"/>
      <w:lvlText w:val="%4"/>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AE3AC2">
      <w:start w:val="1"/>
      <w:numFmt w:val="lowerLetter"/>
      <w:lvlText w:val="%5"/>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A2FC22">
      <w:start w:val="1"/>
      <w:numFmt w:val="lowerRoman"/>
      <w:lvlText w:val="%6"/>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2983888">
      <w:start w:val="1"/>
      <w:numFmt w:val="decimal"/>
      <w:lvlText w:val="%7"/>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D82F4A">
      <w:start w:val="1"/>
      <w:numFmt w:val="lowerLetter"/>
      <w:lvlText w:val="%8"/>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27C3536">
      <w:start w:val="1"/>
      <w:numFmt w:val="lowerRoman"/>
      <w:lvlText w:val="%9"/>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4" w15:restartNumberingAfterBreak="0">
    <w:nsid w:val="313D3DAA"/>
    <w:multiLevelType w:val="hybridMultilevel"/>
    <w:tmpl w:val="9BFCB62A"/>
    <w:lvl w:ilvl="0" w:tplc="17CA1BA2">
      <w:start w:val="3"/>
      <w:numFmt w:val="upperRoman"/>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229092">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FE6D986">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16C85F0">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6266B12">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BB08FE8">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2436B8">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5E3FD2">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6EA5A16">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31747CEC"/>
    <w:multiLevelType w:val="hybridMultilevel"/>
    <w:tmpl w:val="61E2B118"/>
    <w:lvl w:ilvl="0" w:tplc="6CC06BB0">
      <w:start w:val="3"/>
      <w:numFmt w:val="upperRoman"/>
      <w:lvlText w:val="%1."/>
      <w:lvlJc w:val="left"/>
      <w:pPr>
        <w:ind w:left="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3E0BB3A">
      <w:start w:val="1"/>
      <w:numFmt w:val="lowerLetter"/>
      <w:lvlText w:val="%2"/>
      <w:lvlJc w:val="left"/>
      <w:pPr>
        <w:ind w:left="1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B66764">
      <w:start w:val="1"/>
      <w:numFmt w:val="lowerRoman"/>
      <w:lvlText w:val="%3"/>
      <w:lvlJc w:val="left"/>
      <w:pPr>
        <w:ind w:left="1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70D208">
      <w:start w:val="1"/>
      <w:numFmt w:val="decimal"/>
      <w:lvlText w:val="%4"/>
      <w:lvlJc w:val="left"/>
      <w:pPr>
        <w:ind w:left="25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178A67A">
      <w:start w:val="1"/>
      <w:numFmt w:val="lowerLetter"/>
      <w:lvlText w:val="%5"/>
      <w:lvlJc w:val="left"/>
      <w:pPr>
        <w:ind w:left="32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50A0EDC">
      <w:start w:val="1"/>
      <w:numFmt w:val="lowerRoman"/>
      <w:lvlText w:val="%6"/>
      <w:lvlJc w:val="left"/>
      <w:pPr>
        <w:ind w:left="39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214341C">
      <w:start w:val="1"/>
      <w:numFmt w:val="decimal"/>
      <w:lvlText w:val="%7"/>
      <w:lvlJc w:val="left"/>
      <w:pPr>
        <w:ind w:left="4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4A238EC">
      <w:start w:val="1"/>
      <w:numFmt w:val="lowerLetter"/>
      <w:lvlText w:val="%8"/>
      <w:lvlJc w:val="left"/>
      <w:pPr>
        <w:ind w:left="5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EACAD7A">
      <w:start w:val="1"/>
      <w:numFmt w:val="lowerRoman"/>
      <w:lvlText w:val="%9"/>
      <w:lvlJc w:val="left"/>
      <w:pPr>
        <w:ind w:left="6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6" w15:restartNumberingAfterBreak="0">
    <w:nsid w:val="33823A0C"/>
    <w:multiLevelType w:val="hybridMultilevel"/>
    <w:tmpl w:val="1CF8C298"/>
    <w:lvl w:ilvl="0" w:tplc="D8B2AC9C">
      <w:start w:val="7"/>
      <w:numFmt w:val="upperRoman"/>
      <w:lvlText w:val="%1."/>
      <w:lvlJc w:val="left"/>
      <w:pPr>
        <w:ind w:left="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9A66CFC">
      <w:start w:val="1"/>
      <w:numFmt w:val="lowerLetter"/>
      <w:lvlText w:val="%2"/>
      <w:lvlJc w:val="left"/>
      <w:pPr>
        <w:ind w:left="11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CE2B3E2">
      <w:start w:val="1"/>
      <w:numFmt w:val="lowerRoman"/>
      <w:lvlText w:val="%3"/>
      <w:lvlJc w:val="left"/>
      <w:pPr>
        <w:ind w:left="18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3AFF2A">
      <w:start w:val="1"/>
      <w:numFmt w:val="decimal"/>
      <w:lvlText w:val="%4"/>
      <w:lvlJc w:val="left"/>
      <w:pPr>
        <w:ind w:left="25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AB0F558">
      <w:start w:val="1"/>
      <w:numFmt w:val="lowerLetter"/>
      <w:lvlText w:val="%5"/>
      <w:lvlJc w:val="left"/>
      <w:pPr>
        <w:ind w:left="33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88AC862">
      <w:start w:val="1"/>
      <w:numFmt w:val="lowerRoman"/>
      <w:lvlText w:val="%6"/>
      <w:lvlJc w:val="left"/>
      <w:pPr>
        <w:ind w:left="40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AE4200">
      <w:start w:val="1"/>
      <w:numFmt w:val="decimal"/>
      <w:lvlText w:val="%7"/>
      <w:lvlJc w:val="left"/>
      <w:pPr>
        <w:ind w:left="4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D286632">
      <w:start w:val="1"/>
      <w:numFmt w:val="lowerLetter"/>
      <w:lvlText w:val="%8"/>
      <w:lvlJc w:val="left"/>
      <w:pPr>
        <w:ind w:left="5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AD0212A">
      <w:start w:val="1"/>
      <w:numFmt w:val="lowerRoman"/>
      <w:lvlText w:val="%9"/>
      <w:lvlJc w:val="left"/>
      <w:pPr>
        <w:ind w:left="6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7" w15:restartNumberingAfterBreak="0">
    <w:nsid w:val="349330D4"/>
    <w:multiLevelType w:val="hybridMultilevel"/>
    <w:tmpl w:val="12F49CB0"/>
    <w:lvl w:ilvl="0" w:tplc="937A28F6">
      <w:start w:val="3"/>
      <w:numFmt w:val="upperRoman"/>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D4CA6A">
      <w:start w:val="1"/>
      <w:numFmt w:val="lowerLetter"/>
      <w:lvlText w:val="%2"/>
      <w:lvlJc w:val="left"/>
      <w:pPr>
        <w:ind w:left="1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93AFFB0">
      <w:start w:val="1"/>
      <w:numFmt w:val="lowerRoman"/>
      <w:lvlText w:val="%3"/>
      <w:lvlJc w:val="left"/>
      <w:pPr>
        <w:ind w:left="18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44E0AFC">
      <w:start w:val="1"/>
      <w:numFmt w:val="decimal"/>
      <w:lvlText w:val="%4"/>
      <w:lvlJc w:val="left"/>
      <w:pPr>
        <w:ind w:left="25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ABE809C">
      <w:start w:val="1"/>
      <w:numFmt w:val="lowerLetter"/>
      <w:lvlText w:val="%5"/>
      <w:lvlJc w:val="left"/>
      <w:pPr>
        <w:ind w:left="33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14E4998">
      <w:start w:val="1"/>
      <w:numFmt w:val="lowerRoman"/>
      <w:lvlText w:val="%6"/>
      <w:lvlJc w:val="left"/>
      <w:pPr>
        <w:ind w:left="40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C6CC7E0">
      <w:start w:val="1"/>
      <w:numFmt w:val="decimal"/>
      <w:lvlText w:val="%7"/>
      <w:lvlJc w:val="left"/>
      <w:pPr>
        <w:ind w:left="47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290ED5A">
      <w:start w:val="1"/>
      <w:numFmt w:val="lowerLetter"/>
      <w:lvlText w:val="%8"/>
      <w:lvlJc w:val="left"/>
      <w:pPr>
        <w:ind w:left="54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5C30AC">
      <w:start w:val="1"/>
      <w:numFmt w:val="lowerRoman"/>
      <w:lvlText w:val="%9"/>
      <w:lvlJc w:val="left"/>
      <w:pPr>
        <w:ind w:left="61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8" w15:restartNumberingAfterBreak="0">
    <w:nsid w:val="36C9083B"/>
    <w:multiLevelType w:val="hybridMultilevel"/>
    <w:tmpl w:val="14A2C8C2"/>
    <w:lvl w:ilvl="0" w:tplc="6A9A038E">
      <w:start w:val="2"/>
      <w:numFmt w:val="upperRoman"/>
      <w:lvlText w:val="%1."/>
      <w:lvlJc w:val="left"/>
      <w:pPr>
        <w:ind w:left="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AE1478">
      <w:start w:val="1"/>
      <w:numFmt w:val="lowerLetter"/>
      <w:lvlText w:val="%2"/>
      <w:lvlJc w:val="left"/>
      <w:pPr>
        <w:ind w:left="1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C2E8BB0">
      <w:start w:val="1"/>
      <w:numFmt w:val="lowerRoman"/>
      <w:lvlText w:val="%3"/>
      <w:lvlJc w:val="left"/>
      <w:pPr>
        <w:ind w:left="1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646B7CE">
      <w:start w:val="1"/>
      <w:numFmt w:val="decimal"/>
      <w:lvlText w:val="%4"/>
      <w:lvlJc w:val="left"/>
      <w:pPr>
        <w:ind w:left="25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0E8A960">
      <w:start w:val="1"/>
      <w:numFmt w:val="lowerLetter"/>
      <w:lvlText w:val="%5"/>
      <w:lvlJc w:val="left"/>
      <w:pPr>
        <w:ind w:left="32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3D86632">
      <w:start w:val="1"/>
      <w:numFmt w:val="lowerRoman"/>
      <w:lvlText w:val="%6"/>
      <w:lvlJc w:val="left"/>
      <w:pPr>
        <w:ind w:left="39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7AE909E">
      <w:start w:val="1"/>
      <w:numFmt w:val="decimal"/>
      <w:lvlText w:val="%7"/>
      <w:lvlJc w:val="left"/>
      <w:pPr>
        <w:ind w:left="4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16A1A2">
      <w:start w:val="1"/>
      <w:numFmt w:val="lowerLetter"/>
      <w:lvlText w:val="%8"/>
      <w:lvlJc w:val="left"/>
      <w:pPr>
        <w:ind w:left="5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1CC073A">
      <w:start w:val="1"/>
      <w:numFmt w:val="lowerRoman"/>
      <w:lvlText w:val="%9"/>
      <w:lvlJc w:val="left"/>
      <w:pPr>
        <w:ind w:left="6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9" w15:restartNumberingAfterBreak="0">
    <w:nsid w:val="3719075A"/>
    <w:multiLevelType w:val="hybridMultilevel"/>
    <w:tmpl w:val="94783908"/>
    <w:lvl w:ilvl="0" w:tplc="620254CA">
      <w:start w:val="17"/>
      <w:numFmt w:val="upperRoman"/>
      <w:lvlText w:val="%1."/>
      <w:lvlJc w:val="left"/>
      <w:pPr>
        <w:ind w:left="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5BC9812">
      <w:start w:val="1"/>
      <w:numFmt w:val="lowerLetter"/>
      <w:lvlText w:val="%2"/>
      <w:lvlJc w:val="left"/>
      <w:pPr>
        <w:ind w:left="1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E5AD26C">
      <w:start w:val="1"/>
      <w:numFmt w:val="lowerRoman"/>
      <w:lvlText w:val="%3"/>
      <w:lvlJc w:val="left"/>
      <w:pPr>
        <w:ind w:left="1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5106114">
      <w:start w:val="1"/>
      <w:numFmt w:val="decimal"/>
      <w:lvlText w:val="%4"/>
      <w:lvlJc w:val="left"/>
      <w:pPr>
        <w:ind w:left="2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7E6DFD0">
      <w:start w:val="1"/>
      <w:numFmt w:val="lowerLetter"/>
      <w:lvlText w:val="%5"/>
      <w:lvlJc w:val="left"/>
      <w:pPr>
        <w:ind w:left="3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125776">
      <w:start w:val="1"/>
      <w:numFmt w:val="lowerRoman"/>
      <w:lvlText w:val="%6"/>
      <w:lvlJc w:val="left"/>
      <w:pPr>
        <w:ind w:left="3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330E192">
      <w:start w:val="1"/>
      <w:numFmt w:val="decimal"/>
      <w:lvlText w:val="%7"/>
      <w:lvlJc w:val="left"/>
      <w:pPr>
        <w:ind w:left="4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F888EFC">
      <w:start w:val="1"/>
      <w:numFmt w:val="lowerLetter"/>
      <w:lvlText w:val="%8"/>
      <w:lvlJc w:val="left"/>
      <w:pPr>
        <w:ind w:left="5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CEAC8E">
      <w:start w:val="1"/>
      <w:numFmt w:val="lowerRoman"/>
      <w:lvlText w:val="%9"/>
      <w:lvlJc w:val="left"/>
      <w:pPr>
        <w:ind w:left="6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0" w15:restartNumberingAfterBreak="0">
    <w:nsid w:val="37CD6F70"/>
    <w:multiLevelType w:val="hybridMultilevel"/>
    <w:tmpl w:val="672EDF2C"/>
    <w:lvl w:ilvl="0" w:tplc="45B817AE">
      <w:start w:val="3"/>
      <w:numFmt w:val="upperRoman"/>
      <w:lvlText w:val="%1."/>
      <w:lvlJc w:val="left"/>
      <w:pPr>
        <w:ind w:left="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1667BA">
      <w:start w:val="1"/>
      <w:numFmt w:val="lowerLetter"/>
      <w:lvlText w:val="%2"/>
      <w:lvlJc w:val="left"/>
      <w:pPr>
        <w:ind w:left="1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E4E91A8">
      <w:start w:val="1"/>
      <w:numFmt w:val="lowerRoman"/>
      <w:lvlText w:val="%3"/>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808C3B6">
      <w:start w:val="1"/>
      <w:numFmt w:val="decimal"/>
      <w:lvlText w:val="%4"/>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7861300">
      <w:start w:val="1"/>
      <w:numFmt w:val="lowerLetter"/>
      <w:lvlText w:val="%5"/>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26A6E6">
      <w:start w:val="1"/>
      <w:numFmt w:val="lowerRoman"/>
      <w:lvlText w:val="%6"/>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2681CDA">
      <w:start w:val="1"/>
      <w:numFmt w:val="decimal"/>
      <w:lvlText w:val="%7"/>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0AA53D6">
      <w:start w:val="1"/>
      <w:numFmt w:val="lowerLetter"/>
      <w:lvlText w:val="%8"/>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434A9A8">
      <w:start w:val="1"/>
      <w:numFmt w:val="lowerRoman"/>
      <w:lvlText w:val="%9"/>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1" w15:restartNumberingAfterBreak="0">
    <w:nsid w:val="3A2B350A"/>
    <w:multiLevelType w:val="hybridMultilevel"/>
    <w:tmpl w:val="FE92BA1A"/>
    <w:lvl w:ilvl="0" w:tplc="2E10A696">
      <w:start w:val="8"/>
      <w:numFmt w:val="upperRoman"/>
      <w:lvlText w:val="%1."/>
      <w:lvlJc w:val="left"/>
      <w:pPr>
        <w:ind w:left="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8327F4A">
      <w:start w:val="1"/>
      <w:numFmt w:val="lowerLetter"/>
      <w:lvlText w:val="%2"/>
      <w:lvlJc w:val="left"/>
      <w:pPr>
        <w:ind w:left="1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DDA3586">
      <w:start w:val="1"/>
      <w:numFmt w:val="lowerRoman"/>
      <w:lvlText w:val="%3"/>
      <w:lvlJc w:val="left"/>
      <w:pPr>
        <w:ind w:left="1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9F6C272">
      <w:start w:val="1"/>
      <w:numFmt w:val="decimal"/>
      <w:lvlText w:val="%4"/>
      <w:lvlJc w:val="left"/>
      <w:pPr>
        <w:ind w:left="25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638A976">
      <w:start w:val="1"/>
      <w:numFmt w:val="lowerLetter"/>
      <w:lvlText w:val="%5"/>
      <w:lvlJc w:val="left"/>
      <w:pPr>
        <w:ind w:left="32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C2ED3D6">
      <w:start w:val="1"/>
      <w:numFmt w:val="lowerRoman"/>
      <w:lvlText w:val="%6"/>
      <w:lvlJc w:val="left"/>
      <w:pPr>
        <w:ind w:left="40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BC8EB0E">
      <w:start w:val="1"/>
      <w:numFmt w:val="decimal"/>
      <w:lvlText w:val="%7"/>
      <w:lvlJc w:val="left"/>
      <w:pPr>
        <w:ind w:left="4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C6A530">
      <w:start w:val="1"/>
      <w:numFmt w:val="lowerLetter"/>
      <w:lvlText w:val="%8"/>
      <w:lvlJc w:val="left"/>
      <w:pPr>
        <w:ind w:left="54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0F2C32A">
      <w:start w:val="1"/>
      <w:numFmt w:val="lowerRoman"/>
      <w:lvlText w:val="%9"/>
      <w:lvlJc w:val="left"/>
      <w:pPr>
        <w:ind w:left="6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2" w15:restartNumberingAfterBreak="0">
    <w:nsid w:val="3B3F2F38"/>
    <w:multiLevelType w:val="hybridMultilevel"/>
    <w:tmpl w:val="51AA6A1C"/>
    <w:lvl w:ilvl="0" w:tplc="37984D3A">
      <w:start w:val="1"/>
      <w:numFmt w:val="lowerLetter"/>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9EDBAC">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4A7758">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5E55A6">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769E14">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EC938">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BAC290">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F6B65C">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B01F10">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CA07881"/>
    <w:multiLevelType w:val="hybridMultilevel"/>
    <w:tmpl w:val="6C768B36"/>
    <w:lvl w:ilvl="0" w:tplc="2A765C30">
      <w:start w:val="3"/>
      <w:numFmt w:val="upperRoman"/>
      <w:lvlText w:val="%1."/>
      <w:lvlJc w:val="left"/>
      <w:pPr>
        <w:ind w:left="3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2AA5D5A">
      <w:start w:val="1"/>
      <w:numFmt w:val="lowerLetter"/>
      <w:lvlText w:val="%2"/>
      <w:lvlJc w:val="left"/>
      <w:pPr>
        <w:ind w:left="1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3CE03C4">
      <w:start w:val="1"/>
      <w:numFmt w:val="lowerRoman"/>
      <w:lvlText w:val="%3"/>
      <w:lvlJc w:val="left"/>
      <w:pPr>
        <w:ind w:left="1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8802F9C">
      <w:start w:val="1"/>
      <w:numFmt w:val="decimal"/>
      <w:lvlText w:val="%4"/>
      <w:lvlJc w:val="left"/>
      <w:pPr>
        <w:ind w:left="2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3106EDA">
      <w:start w:val="1"/>
      <w:numFmt w:val="lowerLetter"/>
      <w:lvlText w:val="%5"/>
      <w:lvlJc w:val="left"/>
      <w:pPr>
        <w:ind w:left="3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974D3AE">
      <w:start w:val="1"/>
      <w:numFmt w:val="lowerRoman"/>
      <w:lvlText w:val="%6"/>
      <w:lvlJc w:val="left"/>
      <w:pPr>
        <w:ind w:left="3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4D2A952">
      <w:start w:val="1"/>
      <w:numFmt w:val="decimal"/>
      <w:lvlText w:val="%7"/>
      <w:lvlJc w:val="left"/>
      <w:pPr>
        <w:ind w:left="4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8BE8E3E">
      <w:start w:val="1"/>
      <w:numFmt w:val="lowerLetter"/>
      <w:lvlText w:val="%8"/>
      <w:lvlJc w:val="left"/>
      <w:pPr>
        <w:ind w:left="5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424828E">
      <w:start w:val="1"/>
      <w:numFmt w:val="lowerRoman"/>
      <w:lvlText w:val="%9"/>
      <w:lvlJc w:val="left"/>
      <w:pPr>
        <w:ind w:left="61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4" w15:restartNumberingAfterBreak="0">
    <w:nsid w:val="3CB2401E"/>
    <w:multiLevelType w:val="hybridMultilevel"/>
    <w:tmpl w:val="B1386696"/>
    <w:lvl w:ilvl="0" w:tplc="0F684E02">
      <w:start w:val="2"/>
      <w:numFmt w:val="upperRoman"/>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EEAA58">
      <w:start w:val="1"/>
      <w:numFmt w:val="lowerLetter"/>
      <w:lvlText w:val="%2"/>
      <w:lvlJc w:val="left"/>
      <w:pPr>
        <w:ind w:left="11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FBEB2DA">
      <w:start w:val="1"/>
      <w:numFmt w:val="lowerRoman"/>
      <w:lvlText w:val="%3"/>
      <w:lvlJc w:val="left"/>
      <w:pPr>
        <w:ind w:left="18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D4EC96E">
      <w:start w:val="1"/>
      <w:numFmt w:val="decimal"/>
      <w:lvlText w:val="%4"/>
      <w:lvlJc w:val="left"/>
      <w:pPr>
        <w:ind w:left="25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D8469D4">
      <w:start w:val="1"/>
      <w:numFmt w:val="lowerLetter"/>
      <w:lvlText w:val="%5"/>
      <w:lvlJc w:val="left"/>
      <w:pPr>
        <w:ind w:left="32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F21138">
      <w:start w:val="1"/>
      <w:numFmt w:val="lowerRoman"/>
      <w:lvlText w:val="%6"/>
      <w:lvlJc w:val="left"/>
      <w:pPr>
        <w:ind w:left="39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556D9B6">
      <w:start w:val="1"/>
      <w:numFmt w:val="decimal"/>
      <w:lvlText w:val="%7"/>
      <w:lvlJc w:val="left"/>
      <w:pPr>
        <w:ind w:left="47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FE09308">
      <w:start w:val="1"/>
      <w:numFmt w:val="lowerLetter"/>
      <w:lvlText w:val="%8"/>
      <w:lvlJc w:val="left"/>
      <w:pPr>
        <w:ind w:left="54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DD69074">
      <w:start w:val="1"/>
      <w:numFmt w:val="lowerRoman"/>
      <w:lvlText w:val="%9"/>
      <w:lvlJc w:val="left"/>
      <w:pPr>
        <w:ind w:left="6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5" w15:restartNumberingAfterBreak="0">
    <w:nsid w:val="3D2500FB"/>
    <w:multiLevelType w:val="hybridMultilevel"/>
    <w:tmpl w:val="830261A4"/>
    <w:lvl w:ilvl="0" w:tplc="3D2EA074">
      <w:start w:val="3"/>
      <w:numFmt w:val="upperRoman"/>
      <w:lvlText w:val="%1."/>
      <w:lvlJc w:val="left"/>
      <w:pPr>
        <w:ind w:left="3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D70BEFC">
      <w:start w:val="1"/>
      <w:numFmt w:val="lowerLetter"/>
      <w:lvlText w:val="%2"/>
      <w:lvlJc w:val="left"/>
      <w:pPr>
        <w:ind w:left="1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6FC3940">
      <w:start w:val="1"/>
      <w:numFmt w:val="lowerRoman"/>
      <w:lvlText w:val="%3"/>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FA641B2">
      <w:start w:val="1"/>
      <w:numFmt w:val="decimal"/>
      <w:lvlText w:val="%4"/>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8B2E4E8">
      <w:start w:val="1"/>
      <w:numFmt w:val="lowerLetter"/>
      <w:lvlText w:val="%5"/>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B160E7A">
      <w:start w:val="1"/>
      <w:numFmt w:val="lowerRoman"/>
      <w:lvlText w:val="%6"/>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A4A7968">
      <w:start w:val="1"/>
      <w:numFmt w:val="decimal"/>
      <w:lvlText w:val="%7"/>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020EA6C">
      <w:start w:val="1"/>
      <w:numFmt w:val="lowerLetter"/>
      <w:lvlText w:val="%8"/>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9FE16DC">
      <w:start w:val="1"/>
      <w:numFmt w:val="lowerRoman"/>
      <w:lvlText w:val="%9"/>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6" w15:restartNumberingAfterBreak="0">
    <w:nsid w:val="3DEB27DC"/>
    <w:multiLevelType w:val="hybridMultilevel"/>
    <w:tmpl w:val="26C4B52A"/>
    <w:lvl w:ilvl="0" w:tplc="FE128C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3F351D77"/>
    <w:multiLevelType w:val="hybridMultilevel"/>
    <w:tmpl w:val="706EA3E4"/>
    <w:lvl w:ilvl="0" w:tplc="F47252DE">
      <w:start w:val="3"/>
      <w:numFmt w:val="upperRoman"/>
      <w:lvlText w:val="%1."/>
      <w:lvlJc w:val="left"/>
      <w:pPr>
        <w:ind w:left="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5C72AC">
      <w:start w:val="1"/>
      <w:numFmt w:val="lowerLetter"/>
      <w:lvlText w:val="%2"/>
      <w:lvlJc w:val="left"/>
      <w:pPr>
        <w:ind w:left="1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1A4540E">
      <w:start w:val="1"/>
      <w:numFmt w:val="lowerRoman"/>
      <w:lvlText w:val="%3"/>
      <w:lvlJc w:val="left"/>
      <w:pPr>
        <w:ind w:left="1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D86B830">
      <w:start w:val="1"/>
      <w:numFmt w:val="decimal"/>
      <w:lvlText w:val="%4"/>
      <w:lvlJc w:val="left"/>
      <w:pPr>
        <w:ind w:left="2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334CCAC">
      <w:start w:val="1"/>
      <w:numFmt w:val="lowerLetter"/>
      <w:lvlText w:val="%5"/>
      <w:lvlJc w:val="left"/>
      <w:pPr>
        <w:ind w:left="32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EB6EF98">
      <w:start w:val="1"/>
      <w:numFmt w:val="lowerRoman"/>
      <w:lvlText w:val="%6"/>
      <w:lvlJc w:val="left"/>
      <w:pPr>
        <w:ind w:left="39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6FCCB1A">
      <w:start w:val="1"/>
      <w:numFmt w:val="decimal"/>
      <w:lvlText w:val="%7"/>
      <w:lvlJc w:val="left"/>
      <w:pPr>
        <w:ind w:left="47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ED18A">
      <w:start w:val="1"/>
      <w:numFmt w:val="lowerLetter"/>
      <w:lvlText w:val="%8"/>
      <w:lvlJc w:val="left"/>
      <w:pPr>
        <w:ind w:left="5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BD22B96">
      <w:start w:val="1"/>
      <w:numFmt w:val="lowerRoman"/>
      <w:lvlText w:val="%9"/>
      <w:lvlJc w:val="left"/>
      <w:pPr>
        <w:ind w:left="6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8" w15:restartNumberingAfterBreak="0">
    <w:nsid w:val="41B168FA"/>
    <w:multiLevelType w:val="hybridMultilevel"/>
    <w:tmpl w:val="728863FE"/>
    <w:lvl w:ilvl="0" w:tplc="6174F440">
      <w:start w:val="1"/>
      <w:numFmt w:val="lowerLetter"/>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2CC712">
      <w:start w:val="1"/>
      <w:numFmt w:val="lowerLetter"/>
      <w:lvlText w:val="%2"/>
      <w:lvlJc w:val="left"/>
      <w:pPr>
        <w:ind w:left="10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994FD1C">
      <w:start w:val="1"/>
      <w:numFmt w:val="lowerRoman"/>
      <w:lvlText w:val="%3"/>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F66F78E">
      <w:start w:val="1"/>
      <w:numFmt w:val="decimal"/>
      <w:lvlText w:val="%4"/>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BD01866">
      <w:start w:val="1"/>
      <w:numFmt w:val="lowerLetter"/>
      <w:lvlText w:val="%5"/>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56A5440">
      <w:start w:val="1"/>
      <w:numFmt w:val="lowerRoman"/>
      <w:lvlText w:val="%6"/>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7D8D1B6">
      <w:start w:val="1"/>
      <w:numFmt w:val="decimal"/>
      <w:lvlText w:val="%7"/>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5D26DD2">
      <w:start w:val="1"/>
      <w:numFmt w:val="lowerLetter"/>
      <w:lvlText w:val="%8"/>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E6C0788">
      <w:start w:val="1"/>
      <w:numFmt w:val="lowerRoman"/>
      <w:lvlText w:val="%9"/>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9" w15:restartNumberingAfterBreak="0">
    <w:nsid w:val="44FD6357"/>
    <w:multiLevelType w:val="hybridMultilevel"/>
    <w:tmpl w:val="C28AB33A"/>
    <w:lvl w:ilvl="0" w:tplc="5AAAB3E0">
      <w:start w:val="3"/>
      <w:numFmt w:val="upperRoman"/>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86DF1C">
      <w:start w:val="1"/>
      <w:numFmt w:val="lowerLetter"/>
      <w:lvlText w:val="%2"/>
      <w:lvlJc w:val="left"/>
      <w:pPr>
        <w:ind w:left="1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69AFD8E">
      <w:start w:val="1"/>
      <w:numFmt w:val="lowerRoman"/>
      <w:lvlText w:val="%3"/>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4AB96">
      <w:start w:val="1"/>
      <w:numFmt w:val="decimal"/>
      <w:lvlText w:val="%4"/>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DE8ACA">
      <w:start w:val="1"/>
      <w:numFmt w:val="lowerLetter"/>
      <w:lvlText w:val="%5"/>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6874F2">
      <w:start w:val="1"/>
      <w:numFmt w:val="lowerRoman"/>
      <w:lvlText w:val="%6"/>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04E8CE0">
      <w:start w:val="1"/>
      <w:numFmt w:val="decimal"/>
      <w:lvlText w:val="%7"/>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67A92DE">
      <w:start w:val="1"/>
      <w:numFmt w:val="lowerLetter"/>
      <w:lvlText w:val="%8"/>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45E1254">
      <w:start w:val="1"/>
      <w:numFmt w:val="lowerRoman"/>
      <w:lvlText w:val="%9"/>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0" w15:restartNumberingAfterBreak="0">
    <w:nsid w:val="46613C36"/>
    <w:multiLevelType w:val="hybridMultilevel"/>
    <w:tmpl w:val="25D6F7BE"/>
    <w:lvl w:ilvl="0" w:tplc="F160B284">
      <w:start w:val="3"/>
      <w:numFmt w:val="upperRoman"/>
      <w:lvlText w:val="%1."/>
      <w:lvlJc w:val="left"/>
      <w:pPr>
        <w:ind w:left="3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CBEC270">
      <w:start w:val="1"/>
      <w:numFmt w:val="lowerLetter"/>
      <w:lvlText w:val="%2"/>
      <w:lvlJc w:val="left"/>
      <w:pPr>
        <w:ind w:left="1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4AE9602">
      <w:start w:val="1"/>
      <w:numFmt w:val="lowerRoman"/>
      <w:lvlText w:val="%3"/>
      <w:lvlJc w:val="left"/>
      <w:pPr>
        <w:ind w:left="1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FC83326">
      <w:start w:val="1"/>
      <w:numFmt w:val="decimal"/>
      <w:lvlText w:val="%4"/>
      <w:lvlJc w:val="left"/>
      <w:pPr>
        <w:ind w:left="25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8708EFA">
      <w:start w:val="1"/>
      <w:numFmt w:val="lowerLetter"/>
      <w:lvlText w:val="%5"/>
      <w:lvlJc w:val="left"/>
      <w:pPr>
        <w:ind w:left="3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B866770">
      <w:start w:val="1"/>
      <w:numFmt w:val="lowerRoman"/>
      <w:lvlText w:val="%6"/>
      <w:lvlJc w:val="left"/>
      <w:pPr>
        <w:ind w:left="3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BEE274">
      <w:start w:val="1"/>
      <w:numFmt w:val="decimal"/>
      <w:lvlText w:val="%7"/>
      <w:lvlJc w:val="left"/>
      <w:pPr>
        <w:ind w:left="4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BEC84B6">
      <w:start w:val="1"/>
      <w:numFmt w:val="lowerLetter"/>
      <w:lvlText w:val="%8"/>
      <w:lvlJc w:val="left"/>
      <w:pPr>
        <w:ind w:left="5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7FE012E">
      <w:start w:val="1"/>
      <w:numFmt w:val="lowerRoman"/>
      <w:lvlText w:val="%9"/>
      <w:lvlJc w:val="left"/>
      <w:pPr>
        <w:ind w:left="6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1" w15:restartNumberingAfterBreak="0">
    <w:nsid w:val="48B32FE4"/>
    <w:multiLevelType w:val="hybridMultilevel"/>
    <w:tmpl w:val="CEE476A2"/>
    <w:lvl w:ilvl="0" w:tplc="99B8CC08">
      <w:start w:val="3"/>
      <w:numFmt w:val="upperRoman"/>
      <w:lvlText w:val="%1."/>
      <w:lvlJc w:val="left"/>
      <w:pPr>
        <w:ind w:left="3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A8A849A">
      <w:start w:val="1"/>
      <w:numFmt w:val="lowerLetter"/>
      <w:lvlText w:val="%2"/>
      <w:lvlJc w:val="left"/>
      <w:pPr>
        <w:ind w:left="1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26A29CE">
      <w:start w:val="1"/>
      <w:numFmt w:val="lowerRoman"/>
      <w:lvlText w:val="%3"/>
      <w:lvlJc w:val="left"/>
      <w:pPr>
        <w:ind w:left="1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04DC08">
      <w:start w:val="1"/>
      <w:numFmt w:val="decimal"/>
      <w:lvlText w:val="%4"/>
      <w:lvlJc w:val="left"/>
      <w:pPr>
        <w:ind w:left="25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EAE702C">
      <w:start w:val="1"/>
      <w:numFmt w:val="lowerLetter"/>
      <w:lvlText w:val="%5"/>
      <w:lvlJc w:val="left"/>
      <w:pPr>
        <w:ind w:left="32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F6A1AF8">
      <w:start w:val="1"/>
      <w:numFmt w:val="lowerRoman"/>
      <w:lvlText w:val="%6"/>
      <w:lvlJc w:val="left"/>
      <w:pPr>
        <w:ind w:left="39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F70A37E">
      <w:start w:val="1"/>
      <w:numFmt w:val="decimal"/>
      <w:lvlText w:val="%7"/>
      <w:lvlJc w:val="left"/>
      <w:pPr>
        <w:ind w:left="47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BAA78BE">
      <w:start w:val="1"/>
      <w:numFmt w:val="lowerLetter"/>
      <w:lvlText w:val="%8"/>
      <w:lvlJc w:val="left"/>
      <w:pPr>
        <w:ind w:left="54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BFCA5F0">
      <w:start w:val="1"/>
      <w:numFmt w:val="lowerRoman"/>
      <w:lvlText w:val="%9"/>
      <w:lvlJc w:val="left"/>
      <w:pPr>
        <w:ind w:left="61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2" w15:restartNumberingAfterBreak="0">
    <w:nsid w:val="4B1826C4"/>
    <w:multiLevelType w:val="hybridMultilevel"/>
    <w:tmpl w:val="5B7CFB94"/>
    <w:lvl w:ilvl="0" w:tplc="ECAE69B0">
      <w:start w:val="3"/>
      <w:numFmt w:val="upperRoman"/>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0E23F8">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18E4BDA">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5FEEC4C">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FB670A4">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972852C">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CE6089A">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21C3AEA">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6EEC63C">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3" w15:restartNumberingAfterBreak="0">
    <w:nsid w:val="4BD618F2"/>
    <w:multiLevelType w:val="hybridMultilevel"/>
    <w:tmpl w:val="5BC4D212"/>
    <w:lvl w:ilvl="0" w:tplc="9F7A9A54">
      <w:start w:val="3"/>
      <w:numFmt w:val="upperRoman"/>
      <w:lvlText w:val="%1."/>
      <w:lvlJc w:val="left"/>
      <w:pPr>
        <w:ind w:left="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9D85C54">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AAC068">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A805656">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98C384A">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E5E2B78">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8142036">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1A09074">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B8DEB0">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4" w15:restartNumberingAfterBreak="0">
    <w:nsid w:val="4C940DC6"/>
    <w:multiLevelType w:val="hybridMultilevel"/>
    <w:tmpl w:val="3BA0CC14"/>
    <w:lvl w:ilvl="0" w:tplc="D2102B3C">
      <w:start w:val="3"/>
      <w:numFmt w:val="upperRoman"/>
      <w:lvlText w:val="%1."/>
      <w:lvlJc w:val="left"/>
      <w:pPr>
        <w:ind w:left="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E46E8FC">
      <w:start w:val="1"/>
      <w:numFmt w:val="lowerLetter"/>
      <w:lvlText w:val="%2"/>
      <w:lvlJc w:val="left"/>
      <w:pPr>
        <w:ind w:left="1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EC8D0F4">
      <w:start w:val="1"/>
      <w:numFmt w:val="lowerRoman"/>
      <w:lvlText w:val="%3"/>
      <w:lvlJc w:val="left"/>
      <w:pPr>
        <w:ind w:left="1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DC7CFA">
      <w:start w:val="1"/>
      <w:numFmt w:val="decimal"/>
      <w:lvlText w:val="%4"/>
      <w:lvlJc w:val="left"/>
      <w:pPr>
        <w:ind w:left="2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B5E24F6">
      <w:start w:val="1"/>
      <w:numFmt w:val="lowerLetter"/>
      <w:lvlText w:val="%5"/>
      <w:lvlJc w:val="left"/>
      <w:pPr>
        <w:ind w:left="3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692">
      <w:start w:val="1"/>
      <w:numFmt w:val="lowerRoman"/>
      <w:lvlText w:val="%6"/>
      <w:lvlJc w:val="left"/>
      <w:pPr>
        <w:ind w:left="3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1E21AF0">
      <w:start w:val="1"/>
      <w:numFmt w:val="decimal"/>
      <w:lvlText w:val="%7"/>
      <w:lvlJc w:val="left"/>
      <w:pPr>
        <w:ind w:left="4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ABC8448">
      <w:start w:val="1"/>
      <w:numFmt w:val="lowerLetter"/>
      <w:lvlText w:val="%8"/>
      <w:lvlJc w:val="left"/>
      <w:pPr>
        <w:ind w:left="5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728D08A">
      <w:start w:val="1"/>
      <w:numFmt w:val="lowerRoman"/>
      <w:lvlText w:val="%9"/>
      <w:lvlJc w:val="left"/>
      <w:pPr>
        <w:ind w:left="6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5" w15:restartNumberingAfterBreak="0">
    <w:nsid w:val="4D9875DA"/>
    <w:multiLevelType w:val="hybridMultilevel"/>
    <w:tmpl w:val="648CBF44"/>
    <w:lvl w:ilvl="0" w:tplc="222C5154">
      <w:start w:val="3"/>
      <w:numFmt w:val="upperRoman"/>
      <w:lvlText w:val="%1."/>
      <w:lvlJc w:val="left"/>
      <w:pPr>
        <w:ind w:left="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F651EA">
      <w:start w:val="1"/>
      <w:numFmt w:val="lowerLetter"/>
      <w:lvlText w:val="%2"/>
      <w:lvlJc w:val="left"/>
      <w:pPr>
        <w:ind w:left="1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2646E28">
      <w:start w:val="1"/>
      <w:numFmt w:val="lowerRoman"/>
      <w:lvlText w:val="%3"/>
      <w:lvlJc w:val="left"/>
      <w:pPr>
        <w:ind w:left="1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BA6E578">
      <w:start w:val="1"/>
      <w:numFmt w:val="decimal"/>
      <w:lvlText w:val="%4"/>
      <w:lvlJc w:val="left"/>
      <w:pPr>
        <w:ind w:left="2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B10D79E">
      <w:start w:val="1"/>
      <w:numFmt w:val="lowerLetter"/>
      <w:lvlText w:val="%5"/>
      <w:lvlJc w:val="left"/>
      <w:pPr>
        <w:ind w:left="32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D6E62D2">
      <w:start w:val="1"/>
      <w:numFmt w:val="lowerRoman"/>
      <w:lvlText w:val="%6"/>
      <w:lvlJc w:val="left"/>
      <w:pPr>
        <w:ind w:left="40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21ECF92">
      <w:start w:val="1"/>
      <w:numFmt w:val="decimal"/>
      <w:lvlText w:val="%7"/>
      <w:lvlJc w:val="left"/>
      <w:pPr>
        <w:ind w:left="4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EB49DCE">
      <w:start w:val="1"/>
      <w:numFmt w:val="lowerLetter"/>
      <w:lvlText w:val="%8"/>
      <w:lvlJc w:val="left"/>
      <w:pPr>
        <w:ind w:left="54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AB6F888">
      <w:start w:val="1"/>
      <w:numFmt w:val="lowerRoman"/>
      <w:lvlText w:val="%9"/>
      <w:lvlJc w:val="left"/>
      <w:pPr>
        <w:ind w:left="6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6" w15:restartNumberingAfterBreak="0">
    <w:nsid w:val="502857AA"/>
    <w:multiLevelType w:val="hybridMultilevel"/>
    <w:tmpl w:val="FF700928"/>
    <w:lvl w:ilvl="0" w:tplc="A886B5A8">
      <w:start w:val="2"/>
      <w:numFmt w:val="upperRoman"/>
      <w:lvlText w:val="%1."/>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5A0B9A">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53E8768">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24EE04A">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A7CEFF0">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40092F4">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CDEC040">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F1CD4BE">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BE4498C">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7" w15:restartNumberingAfterBreak="0">
    <w:nsid w:val="5136489B"/>
    <w:multiLevelType w:val="hybridMultilevel"/>
    <w:tmpl w:val="FFEEE7D2"/>
    <w:lvl w:ilvl="0" w:tplc="F2460A24">
      <w:start w:val="12"/>
      <w:numFmt w:val="upperRoman"/>
      <w:lvlText w:val="%1."/>
      <w:lvlJc w:val="left"/>
      <w:pPr>
        <w:ind w:left="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9C83DC">
      <w:start w:val="1"/>
      <w:numFmt w:val="lowerLetter"/>
      <w:lvlText w:val="%2"/>
      <w:lvlJc w:val="left"/>
      <w:pPr>
        <w:ind w:left="1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30CACC2">
      <w:start w:val="1"/>
      <w:numFmt w:val="lowerRoman"/>
      <w:lvlText w:val="%3"/>
      <w:lvlJc w:val="left"/>
      <w:pPr>
        <w:ind w:left="18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8D492A8">
      <w:start w:val="1"/>
      <w:numFmt w:val="decimal"/>
      <w:lvlText w:val="%4"/>
      <w:lvlJc w:val="left"/>
      <w:pPr>
        <w:ind w:left="26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98289E8">
      <w:start w:val="1"/>
      <w:numFmt w:val="lowerLetter"/>
      <w:lvlText w:val="%5"/>
      <w:lvlJc w:val="left"/>
      <w:pPr>
        <w:ind w:left="33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412DEE8">
      <w:start w:val="1"/>
      <w:numFmt w:val="lowerRoman"/>
      <w:lvlText w:val="%6"/>
      <w:lvlJc w:val="left"/>
      <w:pPr>
        <w:ind w:left="4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5E268A">
      <w:start w:val="1"/>
      <w:numFmt w:val="decimal"/>
      <w:lvlText w:val="%7"/>
      <w:lvlJc w:val="left"/>
      <w:pPr>
        <w:ind w:left="4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1A8FB60">
      <w:start w:val="1"/>
      <w:numFmt w:val="lowerLetter"/>
      <w:lvlText w:val="%8"/>
      <w:lvlJc w:val="left"/>
      <w:pPr>
        <w:ind w:left="5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63284F8">
      <w:start w:val="1"/>
      <w:numFmt w:val="lowerRoman"/>
      <w:lvlText w:val="%9"/>
      <w:lvlJc w:val="left"/>
      <w:pPr>
        <w:ind w:left="62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8" w15:restartNumberingAfterBreak="0">
    <w:nsid w:val="517E1F09"/>
    <w:multiLevelType w:val="hybridMultilevel"/>
    <w:tmpl w:val="7526D0B2"/>
    <w:lvl w:ilvl="0" w:tplc="BAD2AB56">
      <w:start w:val="3"/>
      <w:numFmt w:val="upperRoman"/>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BA7464">
      <w:start w:val="1"/>
      <w:numFmt w:val="lowerLetter"/>
      <w:lvlText w:val="%2"/>
      <w:lvlJc w:val="left"/>
      <w:pPr>
        <w:ind w:left="1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2043A7E">
      <w:start w:val="1"/>
      <w:numFmt w:val="lowerRoman"/>
      <w:lvlText w:val="%3"/>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0A067A">
      <w:start w:val="1"/>
      <w:numFmt w:val="decimal"/>
      <w:lvlText w:val="%4"/>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82CC2FA">
      <w:start w:val="1"/>
      <w:numFmt w:val="lowerLetter"/>
      <w:lvlText w:val="%5"/>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BA86190">
      <w:start w:val="1"/>
      <w:numFmt w:val="lowerRoman"/>
      <w:lvlText w:val="%6"/>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ED2391A">
      <w:start w:val="1"/>
      <w:numFmt w:val="decimal"/>
      <w:lvlText w:val="%7"/>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0364540">
      <w:start w:val="1"/>
      <w:numFmt w:val="lowerLetter"/>
      <w:lvlText w:val="%8"/>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4074B8">
      <w:start w:val="1"/>
      <w:numFmt w:val="lowerRoman"/>
      <w:lvlText w:val="%9"/>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9" w15:restartNumberingAfterBreak="0">
    <w:nsid w:val="528330B5"/>
    <w:multiLevelType w:val="hybridMultilevel"/>
    <w:tmpl w:val="A74A4724"/>
    <w:lvl w:ilvl="0" w:tplc="9A0C3A62">
      <w:start w:val="3"/>
      <w:numFmt w:val="upperRoman"/>
      <w:lvlText w:val="%1."/>
      <w:lvlJc w:val="left"/>
      <w:pPr>
        <w:ind w:left="5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6DE42CE">
      <w:start w:val="1"/>
      <w:numFmt w:val="lowerLetter"/>
      <w:lvlText w:val="%2"/>
      <w:lvlJc w:val="left"/>
      <w:pPr>
        <w:ind w:left="1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4C0DE34">
      <w:start w:val="1"/>
      <w:numFmt w:val="lowerRoman"/>
      <w:lvlText w:val="%3"/>
      <w:lvlJc w:val="left"/>
      <w:pPr>
        <w:ind w:left="18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9E86A26">
      <w:start w:val="1"/>
      <w:numFmt w:val="decimal"/>
      <w:lvlText w:val="%4"/>
      <w:lvlJc w:val="left"/>
      <w:pPr>
        <w:ind w:left="26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2C235C0">
      <w:start w:val="1"/>
      <w:numFmt w:val="lowerLetter"/>
      <w:lvlText w:val="%5"/>
      <w:lvlJc w:val="left"/>
      <w:pPr>
        <w:ind w:left="33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BCA6ADE">
      <w:start w:val="1"/>
      <w:numFmt w:val="lowerRoman"/>
      <w:lvlText w:val="%6"/>
      <w:lvlJc w:val="left"/>
      <w:pPr>
        <w:ind w:left="40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36CEA06">
      <w:start w:val="1"/>
      <w:numFmt w:val="decimal"/>
      <w:lvlText w:val="%7"/>
      <w:lvlJc w:val="left"/>
      <w:pPr>
        <w:ind w:left="47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560C80">
      <w:start w:val="1"/>
      <w:numFmt w:val="lowerLetter"/>
      <w:lvlText w:val="%8"/>
      <w:lvlJc w:val="left"/>
      <w:pPr>
        <w:ind w:left="54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F52EF26">
      <w:start w:val="1"/>
      <w:numFmt w:val="lowerRoman"/>
      <w:lvlText w:val="%9"/>
      <w:lvlJc w:val="left"/>
      <w:pPr>
        <w:ind w:left="62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0" w15:restartNumberingAfterBreak="0">
    <w:nsid w:val="52C4653C"/>
    <w:multiLevelType w:val="hybridMultilevel"/>
    <w:tmpl w:val="97344CBA"/>
    <w:lvl w:ilvl="0" w:tplc="11DEC18E">
      <w:start w:val="7"/>
      <w:numFmt w:val="upperRoman"/>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12CE10">
      <w:start w:val="1"/>
      <w:numFmt w:val="lowerLetter"/>
      <w:lvlText w:val="%2"/>
      <w:lvlJc w:val="left"/>
      <w:pPr>
        <w:ind w:left="1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986E80">
      <w:start w:val="1"/>
      <w:numFmt w:val="lowerRoman"/>
      <w:lvlText w:val="%3"/>
      <w:lvlJc w:val="left"/>
      <w:pPr>
        <w:ind w:left="19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354291E">
      <w:start w:val="1"/>
      <w:numFmt w:val="decimal"/>
      <w:lvlText w:val="%4"/>
      <w:lvlJc w:val="left"/>
      <w:pPr>
        <w:ind w:left="26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E983DB8">
      <w:start w:val="1"/>
      <w:numFmt w:val="lowerLetter"/>
      <w:lvlText w:val="%5"/>
      <w:lvlJc w:val="left"/>
      <w:pPr>
        <w:ind w:left="3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72C4C56">
      <w:start w:val="1"/>
      <w:numFmt w:val="lowerRoman"/>
      <w:lvlText w:val="%6"/>
      <w:lvlJc w:val="left"/>
      <w:pPr>
        <w:ind w:left="4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E423C16">
      <w:start w:val="1"/>
      <w:numFmt w:val="decimal"/>
      <w:lvlText w:val="%7"/>
      <w:lvlJc w:val="left"/>
      <w:pPr>
        <w:ind w:left="4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76EFAC">
      <w:start w:val="1"/>
      <w:numFmt w:val="lowerLetter"/>
      <w:lvlText w:val="%8"/>
      <w:lvlJc w:val="left"/>
      <w:pPr>
        <w:ind w:left="5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38E5C2">
      <w:start w:val="1"/>
      <w:numFmt w:val="lowerRoman"/>
      <w:lvlText w:val="%9"/>
      <w:lvlJc w:val="left"/>
      <w:pPr>
        <w:ind w:left="6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1" w15:restartNumberingAfterBreak="0">
    <w:nsid w:val="5604103B"/>
    <w:multiLevelType w:val="hybridMultilevel"/>
    <w:tmpl w:val="A65A6D28"/>
    <w:lvl w:ilvl="0" w:tplc="F3C68EA8">
      <w:start w:val="3"/>
      <w:numFmt w:val="upperRoman"/>
      <w:lvlText w:val="%1."/>
      <w:lvlJc w:val="left"/>
      <w:pPr>
        <w:ind w:left="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A60756A">
      <w:start w:val="1"/>
      <w:numFmt w:val="lowerLetter"/>
      <w:lvlText w:val="%2"/>
      <w:lvlJc w:val="left"/>
      <w:pPr>
        <w:ind w:left="1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53CAD58">
      <w:start w:val="1"/>
      <w:numFmt w:val="lowerRoman"/>
      <w:lvlText w:val="%3"/>
      <w:lvlJc w:val="left"/>
      <w:pPr>
        <w:ind w:left="1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99C8E10">
      <w:start w:val="1"/>
      <w:numFmt w:val="decimal"/>
      <w:lvlText w:val="%4"/>
      <w:lvlJc w:val="left"/>
      <w:pPr>
        <w:ind w:left="2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8DEE682">
      <w:start w:val="1"/>
      <w:numFmt w:val="lowerLetter"/>
      <w:lvlText w:val="%5"/>
      <w:lvlJc w:val="left"/>
      <w:pPr>
        <w:ind w:left="3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4DE3508">
      <w:start w:val="1"/>
      <w:numFmt w:val="lowerRoman"/>
      <w:lvlText w:val="%6"/>
      <w:lvlJc w:val="left"/>
      <w:pPr>
        <w:ind w:left="3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C4A420C">
      <w:start w:val="1"/>
      <w:numFmt w:val="decimal"/>
      <w:lvlText w:val="%7"/>
      <w:lvlJc w:val="left"/>
      <w:pPr>
        <w:ind w:left="4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7E2DEE0">
      <w:start w:val="1"/>
      <w:numFmt w:val="lowerLetter"/>
      <w:lvlText w:val="%8"/>
      <w:lvlJc w:val="left"/>
      <w:pPr>
        <w:ind w:left="5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F5E6F38">
      <w:start w:val="1"/>
      <w:numFmt w:val="lowerRoman"/>
      <w:lvlText w:val="%9"/>
      <w:lvlJc w:val="left"/>
      <w:pPr>
        <w:ind w:left="61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2" w15:restartNumberingAfterBreak="0">
    <w:nsid w:val="560D0A7C"/>
    <w:multiLevelType w:val="hybridMultilevel"/>
    <w:tmpl w:val="E68AD17A"/>
    <w:lvl w:ilvl="0" w:tplc="C6F2B088">
      <w:start w:val="5"/>
      <w:numFmt w:val="upperRoman"/>
      <w:lvlText w:val="%1."/>
      <w:lvlJc w:val="left"/>
      <w:pPr>
        <w:ind w:left="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676BA20">
      <w:start w:val="1"/>
      <w:numFmt w:val="lowerLetter"/>
      <w:lvlText w:val="%2"/>
      <w:lvlJc w:val="left"/>
      <w:pPr>
        <w:ind w:left="11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E3A3E80">
      <w:start w:val="1"/>
      <w:numFmt w:val="lowerRoman"/>
      <w:lvlText w:val="%3"/>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3C6F25C">
      <w:start w:val="1"/>
      <w:numFmt w:val="decimal"/>
      <w:lvlText w:val="%4"/>
      <w:lvlJc w:val="left"/>
      <w:pPr>
        <w:ind w:left="25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7D29572">
      <w:start w:val="1"/>
      <w:numFmt w:val="lowerLetter"/>
      <w:lvlText w:val="%5"/>
      <w:lvlJc w:val="left"/>
      <w:pPr>
        <w:ind w:left="32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9EADF4A">
      <w:start w:val="1"/>
      <w:numFmt w:val="lowerRoman"/>
      <w:lvlText w:val="%6"/>
      <w:lvlJc w:val="left"/>
      <w:pPr>
        <w:ind w:left="40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23CEB10">
      <w:start w:val="1"/>
      <w:numFmt w:val="decimal"/>
      <w:lvlText w:val="%7"/>
      <w:lvlJc w:val="left"/>
      <w:pPr>
        <w:ind w:left="47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FA102C">
      <w:start w:val="1"/>
      <w:numFmt w:val="lowerLetter"/>
      <w:lvlText w:val="%8"/>
      <w:lvlJc w:val="left"/>
      <w:pPr>
        <w:ind w:left="54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18447E0">
      <w:start w:val="1"/>
      <w:numFmt w:val="lowerRoman"/>
      <w:lvlText w:val="%9"/>
      <w:lvlJc w:val="left"/>
      <w:pPr>
        <w:ind w:left="6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3" w15:restartNumberingAfterBreak="0">
    <w:nsid w:val="56733E5A"/>
    <w:multiLevelType w:val="hybridMultilevel"/>
    <w:tmpl w:val="877AE558"/>
    <w:lvl w:ilvl="0" w:tplc="F812867E">
      <w:start w:val="3"/>
      <w:numFmt w:val="upperRoman"/>
      <w:lvlText w:val="%1."/>
      <w:lvlJc w:val="left"/>
      <w:pPr>
        <w:ind w:left="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DA8F874">
      <w:start w:val="1"/>
      <w:numFmt w:val="lowerLetter"/>
      <w:lvlText w:val="%2"/>
      <w:lvlJc w:val="left"/>
      <w:pPr>
        <w:ind w:left="1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754043A">
      <w:start w:val="1"/>
      <w:numFmt w:val="lowerRoman"/>
      <w:lvlText w:val="%3"/>
      <w:lvlJc w:val="left"/>
      <w:pPr>
        <w:ind w:left="1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D085E6A">
      <w:start w:val="1"/>
      <w:numFmt w:val="decimal"/>
      <w:lvlText w:val="%4"/>
      <w:lvlJc w:val="left"/>
      <w:pPr>
        <w:ind w:left="25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11891FC">
      <w:start w:val="1"/>
      <w:numFmt w:val="lowerLetter"/>
      <w:lvlText w:val="%5"/>
      <w:lvlJc w:val="left"/>
      <w:pPr>
        <w:ind w:left="32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ABA7AD2">
      <w:start w:val="1"/>
      <w:numFmt w:val="lowerRoman"/>
      <w:lvlText w:val="%6"/>
      <w:lvlJc w:val="left"/>
      <w:pPr>
        <w:ind w:left="40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B4A457E">
      <w:start w:val="1"/>
      <w:numFmt w:val="decimal"/>
      <w:lvlText w:val="%7"/>
      <w:lvlJc w:val="left"/>
      <w:pPr>
        <w:ind w:left="4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1CA7F8E">
      <w:start w:val="1"/>
      <w:numFmt w:val="lowerLetter"/>
      <w:lvlText w:val="%8"/>
      <w:lvlJc w:val="left"/>
      <w:pPr>
        <w:ind w:left="5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81E7DC0">
      <w:start w:val="1"/>
      <w:numFmt w:val="lowerRoman"/>
      <w:lvlText w:val="%9"/>
      <w:lvlJc w:val="left"/>
      <w:pPr>
        <w:ind w:left="6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4" w15:restartNumberingAfterBreak="0">
    <w:nsid w:val="56E67740"/>
    <w:multiLevelType w:val="hybridMultilevel"/>
    <w:tmpl w:val="518030DA"/>
    <w:lvl w:ilvl="0" w:tplc="961411C6">
      <w:start w:val="3"/>
      <w:numFmt w:val="upperRoman"/>
      <w:lvlText w:val="%1."/>
      <w:lvlJc w:val="left"/>
      <w:pPr>
        <w:ind w:left="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FED8D0">
      <w:start w:val="1"/>
      <w:numFmt w:val="lowerLetter"/>
      <w:lvlText w:val="%2"/>
      <w:lvlJc w:val="left"/>
      <w:pPr>
        <w:ind w:left="11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F26F740">
      <w:start w:val="1"/>
      <w:numFmt w:val="lowerRoman"/>
      <w:lvlText w:val="%3"/>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02867E8">
      <w:start w:val="1"/>
      <w:numFmt w:val="decimal"/>
      <w:lvlText w:val="%4"/>
      <w:lvlJc w:val="left"/>
      <w:pPr>
        <w:ind w:left="25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7A8C52A">
      <w:start w:val="1"/>
      <w:numFmt w:val="lowerLetter"/>
      <w:lvlText w:val="%5"/>
      <w:lvlJc w:val="left"/>
      <w:pPr>
        <w:ind w:left="32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D22E740">
      <w:start w:val="1"/>
      <w:numFmt w:val="lowerRoman"/>
      <w:lvlText w:val="%6"/>
      <w:lvlJc w:val="left"/>
      <w:pPr>
        <w:ind w:left="40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3E479C8">
      <w:start w:val="1"/>
      <w:numFmt w:val="decimal"/>
      <w:lvlText w:val="%7"/>
      <w:lvlJc w:val="left"/>
      <w:pPr>
        <w:ind w:left="47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74A9658">
      <w:start w:val="1"/>
      <w:numFmt w:val="lowerLetter"/>
      <w:lvlText w:val="%8"/>
      <w:lvlJc w:val="left"/>
      <w:pPr>
        <w:ind w:left="54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38CAA20">
      <w:start w:val="1"/>
      <w:numFmt w:val="lowerRoman"/>
      <w:lvlText w:val="%9"/>
      <w:lvlJc w:val="left"/>
      <w:pPr>
        <w:ind w:left="61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5" w15:restartNumberingAfterBreak="0">
    <w:nsid w:val="571D4250"/>
    <w:multiLevelType w:val="hybridMultilevel"/>
    <w:tmpl w:val="6FF45340"/>
    <w:lvl w:ilvl="0" w:tplc="CC02FDC2">
      <w:start w:val="2"/>
      <w:numFmt w:val="upperRoman"/>
      <w:lvlText w:val="%1."/>
      <w:lvlJc w:val="left"/>
      <w:pPr>
        <w:ind w:left="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01C11D0">
      <w:start w:val="1"/>
      <w:numFmt w:val="lowerLetter"/>
      <w:lvlText w:val="%2"/>
      <w:lvlJc w:val="left"/>
      <w:pPr>
        <w:ind w:left="1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60643C8">
      <w:start w:val="1"/>
      <w:numFmt w:val="lowerRoman"/>
      <w:lvlText w:val="%3"/>
      <w:lvlJc w:val="left"/>
      <w:pPr>
        <w:ind w:left="18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5924720">
      <w:start w:val="1"/>
      <w:numFmt w:val="decimal"/>
      <w:lvlText w:val="%4"/>
      <w:lvlJc w:val="left"/>
      <w:pPr>
        <w:ind w:left="25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E863E06">
      <w:start w:val="1"/>
      <w:numFmt w:val="lowerLetter"/>
      <w:lvlText w:val="%5"/>
      <w:lvlJc w:val="left"/>
      <w:pPr>
        <w:ind w:left="33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0528358">
      <w:start w:val="1"/>
      <w:numFmt w:val="lowerRoman"/>
      <w:lvlText w:val="%6"/>
      <w:lvlJc w:val="left"/>
      <w:pPr>
        <w:ind w:left="40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E9236EC">
      <w:start w:val="1"/>
      <w:numFmt w:val="decimal"/>
      <w:lvlText w:val="%7"/>
      <w:lvlJc w:val="left"/>
      <w:pPr>
        <w:ind w:left="47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C2E9578">
      <w:start w:val="1"/>
      <w:numFmt w:val="lowerLetter"/>
      <w:lvlText w:val="%8"/>
      <w:lvlJc w:val="left"/>
      <w:pPr>
        <w:ind w:left="54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03A8C04">
      <w:start w:val="1"/>
      <w:numFmt w:val="lowerRoman"/>
      <w:lvlText w:val="%9"/>
      <w:lvlJc w:val="left"/>
      <w:pPr>
        <w:ind w:left="61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6" w15:restartNumberingAfterBreak="0">
    <w:nsid w:val="57BB654D"/>
    <w:multiLevelType w:val="hybridMultilevel"/>
    <w:tmpl w:val="30CA3322"/>
    <w:lvl w:ilvl="0" w:tplc="EF94AD8C">
      <w:start w:val="3"/>
      <w:numFmt w:val="upperRoman"/>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984F36">
      <w:start w:val="1"/>
      <w:numFmt w:val="lowerLetter"/>
      <w:lvlText w:val="%2"/>
      <w:lvlJc w:val="left"/>
      <w:pPr>
        <w:ind w:left="1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334D9C0">
      <w:start w:val="1"/>
      <w:numFmt w:val="lowerRoman"/>
      <w:lvlText w:val="%3"/>
      <w:lvlJc w:val="left"/>
      <w:pPr>
        <w:ind w:left="18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ECEC05A">
      <w:start w:val="1"/>
      <w:numFmt w:val="decimal"/>
      <w:lvlText w:val="%4"/>
      <w:lvlJc w:val="left"/>
      <w:pPr>
        <w:ind w:left="26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E7ADA2E">
      <w:start w:val="1"/>
      <w:numFmt w:val="lowerLetter"/>
      <w:lvlText w:val="%5"/>
      <w:lvlJc w:val="left"/>
      <w:pPr>
        <w:ind w:left="33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6DCCE36">
      <w:start w:val="1"/>
      <w:numFmt w:val="lowerRoman"/>
      <w:lvlText w:val="%6"/>
      <w:lvlJc w:val="left"/>
      <w:pPr>
        <w:ind w:left="4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264049C">
      <w:start w:val="1"/>
      <w:numFmt w:val="decimal"/>
      <w:lvlText w:val="%7"/>
      <w:lvlJc w:val="left"/>
      <w:pPr>
        <w:ind w:left="4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DD04D76">
      <w:start w:val="1"/>
      <w:numFmt w:val="lowerLetter"/>
      <w:lvlText w:val="%8"/>
      <w:lvlJc w:val="left"/>
      <w:pPr>
        <w:ind w:left="5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2E0D22">
      <w:start w:val="1"/>
      <w:numFmt w:val="lowerRoman"/>
      <w:lvlText w:val="%9"/>
      <w:lvlJc w:val="left"/>
      <w:pPr>
        <w:ind w:left="62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7" w15:restartNumberingAfterBreak="0">
    <w:nsid w:val="57F21BB2"/>
    <w:multiLevelType w:val="hybridMultilevel"/>
    <w:tmpl w:val="C772EADC"/>
    <w:lvl w:ilvl="0" w:tplc="971A35BA">
      <w:start w:val="11"/>
      <w:numFmt w:val="upperRoman"/>
      <w:lvlText w:val="%1."/>
      <w:lvlJc w:val="left"/>
      <w:pPr>
        <w:ind w:left="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CC95C8">
      <w:start w:val="1"/>
      <w:numFmt w:val="lowerLetter"/>
      <w:lvlText w:val="%2"/>
      <w:lvlJc w:val="left"/>
      <w:pPr>
        <w:ind w:left="11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79A868C">
      <w:start w:val="1"/>
      <w:numFmt w:val="lowerRoman"/>
      <w:lvlText w:val="%3"/>
      <w:lvlJc w:val="left"/>
      <w:pPr>
        <w:ind w:left="18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21AB244">
      <w:start w:val="1"/>
      <w:numFmt w:val="decimal"/>
      <w:lvlText w:val="%4"/>
      <w:lvlJc w:val="left"/>
      <w:pPr>
        <w:ind w:left="25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DBC1FFC">
      <w:start w:val="1"/>
      <w:numFmt w:val="lowerLetter"/>
      <w:lvlText w:val="%5"/>
      <w:lvlJc w:val="left"/>
      <w:pPr>
        <w:ind w:left="32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F26517E">
      <w:start w:val="1"/>
      <w:numFmt w:val="lowerRoman"/>
      <w:lvlText w:val="%6"/>
      <w:lvlJc w:val="left"/>
      <w:pPr>
        <w:ind w:left="40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FC05038">
      <w:start w:val="1"/>
      <w:numFmt w:val="decimal"/>
      <w:lvlText w:val="%7"/>
      <w:lvlJc w:val="left"/>
      <w:pPr>
        <w:ind w:left="47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12C37D2">
      <w:start w:val="1"/>
      <w:numFmt w:val="lowerLetter"/>
      <w:lvlText w:val="%8"/>
      <w:lvlJc w:val="left"/>
      <w:pPr>
        <w:ind w:left="54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9CA4B9E">
      <w:start w:val="1"/>
      <w:numFmt w:val="lowerRoman"/>
      <w:lvlText w:val="%9"/>
      <w:lvlJc w:val="left"/>
      <w:pPr>
        <w:ind w:left="6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8" w15:restartNumberingAfterBreak="0">
    <w:nsid w:val="58D23DCF"/>
    <w:multiLevelType w:val="hybridMultilevel"/>
    <w:tmpl w:val="0E4CCF2A"/>
    <w:lvl w:ilvl="0" w:tplc="FB2679BA">
      <w:start w:val="3"/>
      <w:numFmt w:val="upperRoman"/>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760566">
      <w:start w:val="1"/>
      <w:numFmt w:val="lowerLetter"/>
      <w:lvlText w:val="%2"/>
      <w:lvlJc w:val="left"/>
      <w:pPr>
        <w:ind w:left="1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420545C">
      <w:start w:val="1"/>
      <w:numFmt w:val="lowerRoman"/>
      <w:lvlText w:val="%3"/>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CCEF41C">
      <w:start w:val="1"/>
      <w:numFmt w:val="decimal"/>
      <w:lvlText w:val="%4"/>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6E4C72E">
      <w:start w:val="1"/>
      <w:numFmt w:val="lowerLetter"/>
      <w:lvlText w:val="%5"/>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3E49194">
      <w:start w:val="1"/>
      <w:numFmt w:val="lowerRoman"/>
      <w:lvlText w:val="%6"/>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D2057A0">
      <w:start w:val="1"/>
      <w:numFmt w:val="decimal"/>
      <w:lvlText w:val="%7"/>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EA86AE4">
      <w:start w:val="1"/>
      <w:numFmt w:val="lowerLetter"/>
      <w:lvlText w:val="%8"/>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BA204FE">
      <w:start w:val="1"/>
      <w:numFmt w:val="lowerRoman"/>
      <w:lvlText w:val="%9"/>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9" w15:restartNumberingAfterBreak="0">
    <w:nsid w:val="5A117E08"/>
    <w:multiLevelType w:val="hybridMultilevel"/>
    <w:tmpl w:val="A064AE78"/>
    <w:lvl w:ilvl="0" w:tplc="9ED82E14">
      <w:start w:val="3"/>
      <w:numFmt w:val="upperRoman"/>
      <w:lvlText w:val="%1."/>
      <w:lvlJc w:val="left"/>
      <w:pPr>
        <w:ind w:left="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E4585A">
      <w:start w:val="1"/>
      <w:numFmt w:val="lowerLetter"/>
      <w:lvlText w:val="%2"/>
      <w:lvlJc w:val="left"/>
      <w:pPr>
        <w:ind w:left="1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18A5D92">
      <w:start w:val="1"/>
      <w:numFmt w:val="lowerRoman"/>
      <w:lvlText w:val="%3"/>
      <w:lvlJc w:val="left"/>
      <w:pPr>
        <w:ind w:left="1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00AC6F6">
      <w:start w:val="1"/>
      <w:numFmt w:val="decimal"/>
      <w:lvlText w:val="%4"/>
      <w:lvlJc w:val="left"/>
      <w:pPr>
        <w:ind w:left="25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074AE3A">
      <w:start w:val="1"/>
      <w:numFmt w:val="lowerLetter"/>
      <w:lvlText w:val="%5"/>
      <w:lvlJc w:val="left"/>
      <w:pPr>
        <w:ind w:left="32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B2AA2E">
      <w:start w:val="1"/>
      <w:numFmt w:val="lowerRoman"/>
      <w:lvlText w:val="%6"/>
      <w:lvlJc w:val="left"/>
      <w:pPr>
        <w:ind w:left="40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D2993A">
      <w:start w:val="1"/>
      <w:numFmt w:val="decimal"/>
      <w:lvlText w:val="%7"/>
      <w:lvlJc w:val="left"/>
      <w:pPr>
        <w:ind w:left="4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024FD18">
      <w:start w:val="1"/>
      <w:numFmt w:val="lowerLetter"/>
      <w:lvlText w:val="%8"/>
      <w:lvlJc w:val="left"/>
      <w:pPr>
        <w:ind w:left="54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C7E0B6E">
      <w:start w:val="1"/>
      <w:numFmt w:val="lowerRoman"/>
      <w:lvlText w:val="%9"/>
      <w:lvlJc w:val="left"/>
      <w:pPr>
        <w:ind w:left="6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0" w15:restartNumberingAfterBreak="0">
    <w:nsid w:val="5E302D87"/>
    <w:multiLevelType w:val="hybridMultilevel"/>
    <w:tmpl w:val="7C00B18C"/>
    <w:lvl w:ilvl="0" w:tplc="CA6AB97E">
      <w:start w:val="9"/>
      <w:numFmt w:val="upperRoman"/>
      <w:lvlText w:val="%1."/>
      <w:lvlJc w:val="left"/>
      <w:pPr>
        <w:ind w:left="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FE939A">
      <w:start w:val="1"/>
      <w:numFmt w:val="lowerLetter"/>
      <w:lvlText w:val="%2"/>
      <w:lvlJc w:val="left"/>
      <w:pPr>
        <w:ind w:left="1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90D884">
      <w:start w:val="1"/>
      <w:numFmt w:val="lowerRoman"/>
      <w:lvlText w:val="%3"/>
      <w:lvlJc w:val="left"/>
      <w:pPr>
        <w:ind w:left="1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1C8DAE">
      <w:start w:val="1"/>
      <w:numFmt w:val="decimal"/>
      <w:lvlText w:val="%4"/>
      <w:lvlJc w:val="left"/>
      <w:pPr>
        <w:ind w:left="2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68A44C">
      <w:start w:val="1"/>
      <w:numFmt w:val="lowerLetter"/>
      <w:lvlText w:val="%5"/>
      <w:lvlJc w:val="left"/>
      <w:pPr>
        <w:ind w:left="3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7E73B6">
      <w:start w:val="1"/>
      <w:numFmt w:val="lowerRoman"/>
      <w:lvlText w:val="%6"/>
      <w:lvlJc w:val="left"/>
      <w:pPr>
        <w:ind w:left="4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EC46AA">
      <w:start w:val="1"/>
      <w:numFmt w:val="decimal"/>
      <w:lvlText w:val="%7"/>
      <w:lvlJc w:val="left"/>
      <w:pPr>
        <w:ind w:left="4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E27F38">
      <w:start w:val="1"/>
      <w:numFmt w:val="lowerLetter"/>
      <w:lvlText w:val="%8"/>
      <w:lvlJc w:val="left"/>
      <w:pPr>
        <w:ind w:left="5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CA983C">
      <w:start w:val="1"/>
      <w:numFmt w:val="lowerRoman"/>
      <w:lvlText w:val="%9"/>
      <w:lvlJc w:val="left"/>
      <w:pPr>
        <w:ind w:left="6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625522CC"/>
    <w:multiLevelType w:val="hybridMultilevel"/>
    <w:tmpl w:val="2A88F5A2"/>
    <w:lvl w:ilvl="0" w:tplc="D704560C">
      <w:start w:val="41"/>
      <w:numFmt w:val="upperRoman"/>
      <w:lvlText w:val="%1."/>
      <w:lvlJc w:val="left"/>
      <w:pPr>
        <w:ind w:left="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B30C67E">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7148CB8">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A23D1A">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698EE10">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882CD74">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0EA77E4">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002B6A2">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CFA4B9A">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2" w15:restartNumberingAfterBreak="0">
    <w:nsid w:val="63CD7A66"/>
    <w:multiLevelType w:val="hybridMultilevel"/>
    <w:tmpl w:val="C6808EAE"/>
    <w:lvl w:ilvl="0" w:tplc="0A34B5B4">
      <w:start w:val="1"/>
      <w:numFmt w:val="lowerLetter"/>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6EF7BC">
      <w:start w:val="1"/>
      <w:numFmt w:val="lowerLetter"/>
      <w:lvlText w:val="%2"/>
      <w:lvlJc w:val="left"/>
      <w:pPr>
        <w:ind w:left="1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5E9E26">
      <w:start w:val="1"/>
      <w:numFmt w:val="lowerRoman"/>
      <w:lvlText w:val="%3"/>
      <w:lvlJc w:val="left"/>
      <w:pPr>
        <w:ind w:left="1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96F95A">
      <w:start w:val="1"/>
      <w:numFmt w:val="decimal"/>
      <w:lvlText w:val="%4"/>
      <w:lvlJc w:val="left"/>
      <w:pPr>
        <w:ind w:left="2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1C5E2A">
      <w:start w:val="1"/>
      <w:numFmt w:val="lowerLetter"/>
      <w:lvlText w:val="%5"/>
      <w:lvlJc w:val="left"/>
      <w:pPr>
        <w:ind w:left="3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A68718">
      <w:start w:val="1"/>
      <w:numFmt w:val="lowerRoman"/>
      <w:lvlText w:val="%6"/>
      <w:lvlJc w:val="left"/>
      <w:pPr>
        <w:ind w:left="4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B0DE28">
      <w:start w:val="1"/>
      <w:numFmt w:val="decimal"/>
      <w:lvlText w:val="%7"/>
      <w:lvlJc w:val="left"/>
      <w:pPr>
        <w:ind w:left="4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A64044">
      <w:start w:val="1"/>
      <w:numFmt w:val="lowerLetter"/>
      <w:lvlText w:val="%8"/>
      <w:lvlJc w:val="left"/>
      <w:pPr>
        <w:ind w:left="5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AEE68A">
      <w:start w:val="1"/>
      <w:numFmt w:val="lowerRoman"/>
      <w:lvlText w:val="%9"/>
      <w:lvlJc w:val="left"/>
      <w:pPr>
        <w:ind w:left="6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4D62162"/>
    <w:multiLevelType w:val="hybridMultilevel"/>
    <w:tmpl w:val="D7C42EE0"/>
    <w:lvl w:ilvl="0" w:tplc="C2FCB2E8">
      <w:start w:val="3"/>
      <w:numFmt w:val="upperRoman"/>
      <w:lvlText w:val="%1."/>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2A1346">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A09536">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4705CF4">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900BE1C">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5B0605A">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F06ADAC">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EF21CFE">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0CEF0BA">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4" w15:restartNumberingAfterBreak="0">
    <w:nsid w:val="67365E78"/>
    <w:multiLevelType w:val="hybridMultilevel"/>
    <w:tmpl w:val="E82677EC"/>
    <w:lvl w:ilvl="0" w:tplc="1AEE8676">
      <w:start w:val="1"/>
      <w:numFmt w:val="lowerLetter"/>
      <w:lvlText w:val="%1)"/>
      <w:lvlJc w:val="left"/>
      <w:pPr>
        <w:ind w:left="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FE40A4">
      <w:start w:val="1"/>
      <w:numFmt w:val="lowerLetter"/>
      <w:lvlText w:val="%2"/>
      <w:lvlJc w:val="left"/>
      <w:pPr>
        <w:ind w:left="1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B9AA184">
      <w:start w:val="1"/>
      <w:numFmt w:val="lowerRoman"/>
      <w:lvlText w:val="%3"/>
      <w:lvlJc w:val="left"/>
      <w:pPr>
        <w:ind w:left="18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6EA88A6">
      <w:start w:val="1"/>
      <w:numFmt w:val="decimal"/>
      <w:lvlText w:val="%4"/>
      <w:lvlJc w:val="left"/>
      <w:pPr>
        <w:ind w:left="25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6D21C30">
      <w:start w:val="1"/>
      <w:numFmt w:val="lowerLetter"/>
      <w:lvlText w:val="%5"/>
      <w:lvlJc w:val="left"/>
      <w:pPr>
        <w:ind w:left="32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5B0809E">
      <w:start w:val="1"/>
      <w:numFmt w:val="lowerRoman"/>
      <w:lvlText w:val="%6"/>
      <w:lvlJc w:val="left"/>
      <w:pPr>
        <w:ind w:left="40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A4D8DE">
      <w:start w:val="1"/>
      <w:numFmt w:val="decimal"/>
      <w:lvlText w:val="%7"/>
      <w:lvlJc w:val="left"/>
      <w:pPr>
        <w:ind w:left="47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BCEA114">
      <w:start w:val="1"/>
      <w:numFmt w:val="lowerLetter"/>
      <w:lvlText w:val="%8"/>
      <w:lvlJc w:val="left"/>
      <w:pPr>
        <w:ind w:left="54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7293CA">
      <w:start w:val="1"/>
      <w:numFmt w:val="lowerRoman"/>
      <w:lvlText w:val="%9"/>
      <w:lvlJc w:val="left"/>
      <w:pPr>
        <w:ind w:left="61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5" w15:restartNumberingAfterBreak="0">
    <w:nsid w:val="68390EC7"/>
    <w:multiLevelType w:val="hybridMultilevel"/>
    <w:tmpl w:val="111CD2CE"/>
    <w:lvl w:ilvl="0" w:tplc="AEF812BC">
      <w:start w:val="1"/>
      <w:numFmt w:val="lowerLetter"/>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82364C">
      <w:start w:val="1"/>
      <w:numFmt w:val="lowerLetter"/>
      <w:lvlText w:val="%2"/>
      <w:lvlJc w:val="left"/>
      <w:pPr>
        <w:ind w:left="1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A1A6730">
      <w:start w:val="1"/>
      <w:numFmt w:val="lowerRoman"/>
      <w:lvlText w:val="%3"/>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566F508">
      <w:start w:val="1"/>
      <w:numFmt w:val="decimal"/>
      <w:lvlText w:val="%4"/>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A963DF0">
      <w:start w:val="1"/>
      <w:numFmt w:val="lowerLetter"/>
      <w:lvlText w:val="%5"/>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A04927E">
      <w:start w:val="1"/>
      <w:numFmt w:val="lowerRoman"/>
      <w:lvlText w:val="%6"/>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F920180">
      <w:start w:val="1"/>
      <w:numFmt w:val="decimal"/>
      <w:lvlText w:val="%7"/>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660D312">
      <w:start w:val="1"/>
      <w:numFmt w:val="lowerLetter"/>
      <w:lvlText w:val="%8"/>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B045760">
      <w:start w:val="1"/>
      <w:numFmt w:val="lowerRoman"/>
      <w:lvlText w:val="%9"/>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6" w15:restartNumberingAfterBreak="0">
    <w:nsid w:val="69B626B4"/>
    <w:multiLevelType w:val="hybridMultilevel"/>
    <w:tmpl w:val="1C229DC0"/>
    <w:lvl w:ilvl="0" w:tplc="36F4A32E">
      <w:start w:val="1"/>
      <w:numFmt w:val="lowerLetter"/>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E09476">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BC842E">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00A20">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F41AB4">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E259D2">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0EB636">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B8A990">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061DEC">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A5048CB"/>
    <w:multiLevelType w:val="hybridMultilevel"/>
    <w:tmpl w:val="86CA7D5C"/>
    <w:lvl w:ilvl="0" w:tplc="AC40B6F0">
      <w:start w:val="3"/>
      <w:numFmt w:val="upperRoman"/>
      <w:lvlText w:val="%1."/>
      <w:lvlJc w:val="left"/>
      <w:pPr>
        <w:ind w:left="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545ABA">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BB2C29A">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5E04D78">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5AA5B34">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70E942C">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FD2DDB8">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0A7F9A">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3E84358">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8" w15:restartNumberingAfterBreak="0">
    <w:nsid w:val="6AB0279E"/>
    <w:multiLevelType w:val="hybridMultilevel"/>
    <w:tmpl w:val="0F361120"/>
    <w:lvl w:ilvl="0" w:tplc="6E4AABA2">
      <w:start w:val="7"/>
      <w:numFmt w:val="upperRoman"/>
      <w:lvlText w:val="%1."/>
      <w:lvlJc w:val="left"/>
      <w:pPr>
        <w:ind w:left="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C4A7D6">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5F6ED4C">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E5E8014">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6FC04CC">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5E605B6">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E440B2">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5302406">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87C17EC">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9" w15:restartNumberingAfterBreak="0">
    <w:nsid w:val="6CA07FFC"/>
    <w:multiLevelType w:val="hybridMultilevel"/>
    <w:tmpl w:val="56D6B626"/>
    <w:lvl w:ilvl="0" w:tplc="5434AD12">
      <w:start w:val="3"/>
      <w:numFmt w:val="upperRoman"/>
      <w:lvlText w:val="%1."/>
      <w:lvlJc w:val="left"/>
      <w:pPr>
        <w:ind w:left="5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78AB6EA">
      <w:start w:val="1"/>
      <w:numFmt w:val="lowerLetter"/>
      <w:lvlText w:val="%2"/>
      <w:lvlJc w:val="left"/>
      <w:pPr>
        <w:ind w:left="1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0248716">
      <w:start w:val="1"/>
      <w:numFmt w:val="lowerRoman"/>
      <w:lvlText w:val="%3"/>
      <w:lvlJc w:val="left"/>
      <w:pPr>
        <w:ind w:left="1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C74CE8C">
      <w:start w:val="1"/>
      <w:numFmt w:val="decimal"/>
      <w:lvlText w:val="%4"/>
      <w:lvlJc w:val="left"/>
      <w:pPr>
        <w:ind w:left="25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FCAF76">
      <w:start w:val="1"/>
      <w:numFmt w:val="lowerLetter"/>
      <w:lvlText w:val="%5"/>
      <w:lvlJc w:val="left"/>
      <w:pPr>
        <w:ind w:left="3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2602DC4">
      <w:start w:val="1"/>
      <w:numFmt w:val="lowerRoman"/>
      <w:lvlText w:val="%6"/>
      <w:lvlJc w:val="left"/>
      <w:pPr>
        <w:ind w:left="3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812CD20">
      <w:start w:val="1"/>
      <w:numFmt w:val="decimal"/>
      <w:lvlText w:val="%7"/>
      <w:lvlJc w:val="left"/>
      <w:pPr>
        <w:ind w:left="4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2EC714A">
      <w:start w:val="1"/>
      <w:numFmt w:val="lowerLetter"/>
      <w:lvlText w:val="%8"/>
      <w:lvlJc w:val="left"/>
      <w:pPr>
        <w:ind w:left="5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E60894">
      <w:start w:val="1"/>
      <w:numFmt w:val="lowerRoman"/>
      <w:lvlText w:val="%9"/>
      <w:lvlJc w:val="left"/>
      <w:pPr>
        <w:ind w:left="6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0" w15:restartNumberingAfterBreak="0">
    <w:nsid w:val="6E2F509D"/>
    <w:multiLevelType w:val="hybridMultilevel"/>
    <w:tmpl w:val="BB5664A6"/>
    <w:lvl w:ilvl="0" w:tplc="AC1E9A7A">
      <w:start w:val="44"/>
      <w:numFmt w:val="upperRoman"/>
      <w:lvlText w:val="%1."/>
      <w:lvlJc w:val="left"/>
      <w:pPr>
        <w:ind w:left="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4F6C6BA">
      <w:start w:val="1"/>
      <w:numFmt w:val="lowerLetter"/>
      <w:lvlText w:val="%2"/>
      <w:lvlJc w:val="left"/>
      <w:pPr>
        <w:ind w:left="1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D40F9A">
      <w:start w:val="1"/>
      <w:numFmt w:val="lowerRoman"/>
      <w:lvlText w:val="%3"/>
      <w:lvlJc w:val="left"/>
      <w:pPr>
        <w:ind w:left="18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FE6587A">
      <w:start w:val="1"/>
      <w:numFmt w:val="decimal"/>
      <w:lvlText w:val="%4"/>
      <w:lvlJc w:val="left"/>
      <w:pPr>
        <w:ind w:left="25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442954">
      <w:start w:val="1"/>
      <w:numFmt w:val="lowerLetter"/>
      <w:lvlText w:val="%5"/>
      <w:lvlJc w:val="left"/>
      <w:pPr>
        <w:ind w:left="33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4DEAE14">
      <w:start w:val="1"/>
      <w:numFmt w:val="lowerRoman"/>
      <w:lvlText w:val="%6"/>
      <w:lvlJc w:val="left"/>
      <w:pPr>
        <w:ind w:left="40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00A62BC">
      <w:start w:val="1"/>
      <w:numFmt w:val="decimal"/>
      <w:lvlText w:val="%7"/>
      <w:lvlJc w:val="left"/>
      <w:pPr>
        <w:ind w:left="47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EE2B3BE">
      <w:start w:val="1"/>
      <w:numFmt w:val="lowerLetter"/>
      <w:lvlText w:val="%8"/>
      <w:lvlJc w:val="left"/>
      <w:pPr>
        <w:ind w:left="54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B40AA7C">
      <w:start w:val="1"/>
      <w:numFmt w:val="lowerRoman"/>
      <w:lvlText w:val="%9"/>
      <w:lvlJc w:val="left"/>
      <w:pPr>
        <w:ind w:left="61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1" w15:restartNumberingAfterBreak="0">
    <w:nsid w:val="6E44691C"/>
    <w:multiLevelType w:val="hybridMultilevel"/>
    <w:tmpl w:val="10DAF50E"/>
    <w:lvl w:ilvl="0" w:tplc="CCAC9F3A">
      <w:start w:val="3"/>
      <w:numFmt w:val="upperRoman"/>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AF7DA">
      <w:start w:val="1"/>
      <w:numFmt w:val="lowerLetter"/>
      <w:lvlText w:val="%2"/>
      <w:lvlJc w:val="left"/>
      <w:pPr>
        <w:ind w:left="1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4985C5E">
      <w:start w:val="1"/>
      <w:numFmt w:val="lowerRoman"/>
      <w:lvlText w:val="%3"/>
      <w:lvlJc w:val="left"/>
      <w:pPr>
        <w:ind w:left="1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4EAC32">
      <w:start w:val="1"/>
      <w:numFmt w:val="decimal"/>
      <w:lvlText w:val="%4"/>
      <w:lvlJc w:val="left"/>
      <w:pPr>
        <w:ind w:left="2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9648A88">
      <w:start w:val="1"/>
      <w:numFmt w:val="lowerLetter"/>
      <w:lvlText w:val="%5"/>
      <w:lvlJc w:val="left"/>
      <w:pPr>
        <w:ind w:left="3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EB455AC">
      <w:start w:val="1"/>
      <w:numFmt w:val="lowerRoman"/>
      <w:lvlText w:val="%6"/>
      <w:lvlJc w:val="left"/>
      <w:pPr>
        <w:ind w:left="4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56AAE0E">
      <w:start w:val="1"/>
      <w:numFmt w:val="decimal"/>
      <w:lvlText w:val="%7"/>
      <w:lvlJc w:val="left"/>
      <w:pPr>
        <w:ind w:left="4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CC9D38">
      <w:start w:val="1"/>
      <w:numFmt w:val="lowerLetter"/>
      <w:lvlText w:val="%8"/>
      <w:lvlJc w:val="left"/>
      <w:pPr>
        <w:ind w:left="5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9308C7A">
      <w:start w:val="1"/>
      <w:numFmt w:val="lowerRoman"/>
      <w:lvlText w:val="%9"/>
      <w:lvlJc w:val="left"/>
      <w:pPr>
        <w:ind w:left="6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2" w15:restartNumberingAfterBreak="0">
    <w:nsid w:val="6EF4657D"/>
    <w:multiLevelType w:val="hybridMultilevel"/>
    <w:tmpl w:val="10B693BE"/>
    <w:lvl w:ilvl="0" w:tplc="8578D8B0">
      <w:start w:val="3"/>
      <w:numFmt w:val="upperRoman"/>
      <w:lvlText w:val="%1."/>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3AEB34">
      <w:start w:val="1"/>
      <w:numFmt w:val="lowerLetter"/>
      <w:lvlText w:val="%2"/>
      <w:lvlJc w:val="left"/>
      <w:pPr>
        <w:ind w:left="1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448BB6">
      <w:start w:val="1"/>
      <w:numFmt w:val="lowerRoman"/>
      <w:lvlText w:val="%3"/>
      <w:lvlJc w:val="left"/>
      <w:pPr>
        <w:ind w:left="18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9A009EC">
      <w:start w:val="1"/>
      <w:numFmt w:val="decimal"/>
      <w:lvlText w:val="%4"/>
      <w:lvlJc w:val="left"/>
      <w:pPr>
        <w:ind w:left="25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51AA972">
      <w:start w:val="1"/>
      <w:numFmt w:val="lowerLetter"/>
      <w:lvlText w:val="%5"/>
      <w:lvlJc w:val="left"/>
      <w:pPr>
        <w:ind w:left="33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3A60B70">
      <w:start w:val="1"/>
      <w:numFmt w:val="lowerRoman"/>
      <w:lvlText w:val="%6"/>
      <w:lvlJc w:val="left"/>
      <w:pPr>
        <w:ind w:left="40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8BC5260">
      <w:start w:val="1"/>
      <w:numFmt w:val="decimal"/>
      <w:lvlText w:val="%7"/>
      <w:lvlJc w:val="left"/>
      <w:pPr>
        <w:ind w:left="47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498A72C">
      <w:start w:val="1"/>
      <w:numFmt w:val="lowerLetter"/>
      <w:lvlText w:val="%8"/>
      <w:lvlJc w:val="left"/>
      <w:pPr>
        <w:ind w:left="54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B0AFC86">
      <w:start w:val="1"/>
      <w:numFmt w:val="lowerRoman"/>
      <w:lvlText w:val="%9"/>
      <w:lvlJc w:val="left"/>
      <w:pPr>
        <w:ind w:left="61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3" w15:restartNumberingAfterBreak="0">
    <w:nsid w:val="7005513A"/>
    <w:multiLevelType w:val="hybridMultilevel"/>
    <w:tmpl w:val="88E09262"/>
    <w:lvl w:ilvl="0" w:tplc="525CE992">
      <w:start w:val="3"/>
      <w:numFmt w:val="upperRoman"/>
      <w:lvlText w:val="%1."/>
      <w:lvlJc w:val="left"/>
      <w:pPr>
        <w:ind w:left="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9AB524">
      <w:start w:val="1"/>
      <w:numFmt w:val="lowerLetter"/>
      <w:lvlText w:val="%2"/>
      <w:lvlJc w:val="left"/>
      <w:pPr>
        <w:ind w:left="1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0AAF77C">
      <w:start w:val="1"/>
      <w:numFmt w:val="lowerRoman"/>
      <w:lvlText w:val="%3"/>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ABC2A20">
      <w:start w:val="1"/>
      <w:numFmt w:val="decimal"/>
      <w:lvlText w:val="%4"/>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56E7920">
      <w:start w:val="1"/>
      <w:numFmt w:val="lowerLetter"/>
      <w:lvlText w:val="%5"/>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D60D9E6">
      <w:start w:val="1"/>
      <w:numFmt w:val="lowerRoman"/>
      <w:lvlText w:val="%6"/>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DD8D052">
      <w:start w:val="1"/>
      <w:numFmt w:val="decimal"/>
      <w:lvlText w:val="%7"/>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1A7F0C">
      <w:start w:val="1"/>
      <w:numFmt w:val="lowerLetter"/>
      <w:lvlText w:val="%8"/>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C229D78">
      <w:start w:val="1"/>
      <w:numFmt w:val="lowerRoman"/>
      <w:lvlText w:val="%9"/>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4" w15:restartNumberingAfterBreak="0">
    <w:nsid w:val="70582456"/>
    <w:multiLevelType w:val="hybridMultilevel"/>
    <w:tmpl w:val="374A6D2C"/>
    <w:lvl w:ilvl="0" w:tplc="9044F5FE">
      <w:start w:val="3"/>
      <w:numFmt w:val="upperRoman"/>
      <w:lvlText w:val="%1."/>
      <w:lvlJc w:val="left"/>
      <w:pPr>
        <w:ind w:left="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A8D496">
      <w:start w:val="1"/>
      <w:numFmt w:val="lowerLetter"/>
      <w:lvlText w:val="%2"/>
      <w:lvlJc w:val="left"/>
      <w:pPr>
        <w:ind w:left="1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E580B22">
      <w:start w:val="1"/>
      <w:numFmt w:val="lowerRoman"/>
      <w:lvlText w:val="%3"/>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D043A30">
      <w:start w:val="1"/>
      <w:numFmt w:val="decimal"/>
      <w:lvlText w:val="%4"/>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06E4CD4">
      <w:start w:val="1"/>
      <w:numFmt w:val="lowerLetter"/>
      <w:lvlText w:val="%5"/>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4F4E482">
      <w:start w:val="1"/>
      <w:numFmt w:val="lowerRoman"/>
      <w:lvlText w:val="%6"/>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42E6C66">
      <w:start w:val="1"/>
      <w:numFmt w:val="decimal"/>
      <w:lvlText w:val="%7"/>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694B158">
      <w:start w:val="1"/>
      <w:numFmt w:val="lowerLetter"/>
      <w:lvlText w:val="%8"/>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E36103A">
      <w:start w:val="1"/>
      <w:numFmt w:val="lowerRoman"/>
      <w:lvlText w:val="%9"/>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5" w15:restartNumberingAfterBreak="0">
    <w:nsid w:val="70B061DD"/>
    <w:multiLevelType w:val="hybridMultilevel"/>
    <w:tmpl w:val="5CC66F5C"/>
    <w:lvl w:ilvl="0" w:tplc="7D3277EE">
      <w:start w:val="14"/>
      <w:numFmt w:val="upperRoman"/>
      <w:lvlText w:val="%1."/>
      <w:lvlJc w:val="left"/>
      <w:pPr>
        <w:ind w:left="5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36E04C6">
      <w:start w:val="1"/>
      <w:numFmt w:val="lowerLetter"/>
      <w:lvlText w:val="%2"/>
      <w:lvlJc w:val="left"/>
      <w:pPr>
        <w:ind w:left="1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5801280">
      <w:start w:val="1"/>
      <w:numFmt w:val="lowerRoman"/>
      <w:lvlText w:val="%3"/>
      <w:lvlJc w:val="left"/>
      <w:pPr>
        <w:ind w:left="18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E96CB5E">
      <w:start w:val="1"/>
      <w:numFmt w:val="decimal"/>
      <w:lvlText w:val="%4"/>
      <w:lvlJc w:val="left"/>
      <w:pPr>
        <w:ind w:left="2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700FC16">
      <w:start w:val="1"/>
      <w:numFmt w:val="lowerLetter"/>
      <w:lvlText w:val="%5"/>
      <w:lvlJc w:val="left"/>
      <w:pPr>
        <w:ind w:left="33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5E6FF1A">
      <w:start w:val="1"/>
      <w:numFmt w:val="lowerRoman"/>
      <w:lvlText w:val="%6"/>
      <w:lvlJc w:val="left"/>
      <w:pPr>
        <w:ind w:left="40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ED02760">
      <w:start w:val="1"/>
      <w:numFmt w:val="decimal"/>
      <w:lvlText w:val="%7"/>
      <w:lvlJc w:val="left"/>
      <w:pPr>
        <w:ind w:left="47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3BE6BA8">
      <w:start w:val="1"/>
      <w:numFmt w:val="lowerLetter"/>
      <w:lvlText w:val="%8"/>
      <w:lvlJc w:val="left"/>
      <w:pPr>
        <w:ind w:left="54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412E07E">
      <w:start w:val="1"/>
      <w:numFmt w:val="lowerRoman"/>
      <w:lvlText w:val="%9"/>
      <w:lvlJc w:val="left"/>
      <w:pPr>
        <w:ind w:left="61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6" w15:restartNumberingAfterBreak="0">
    <w:nsid w:val="71870C7C"/>
    <w:multiLevelType w:val="hybridMultilevel"/>
    <w:tmpl w:val="583ED0F0"/>
    <w:lvl w:ilvl="0" w:tplc="29F629BA">
      <w:start w:val="3"/>
      <w:numFmt w:val="upperRoman"/>
      <w:lvlText w:val="%1."/>
      <w:lvlJc w:val="left"/>
      <w:pPr>
        <w:ind w:left="3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3A690B2">
      <w:start w:val="1"/>
      <w:numFmt w:val="lowerLetter"/>
      <w:lvlText w:val="%2"/>
      <w:lvlJc w:val="left"/>
      <w:pPr>
        <w:ind w:left="1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84F884">
      <w:start w:val="1"/>
      <w:numFmt w:val="lowerRoman"/>
      <w:lvlText w:val="%3"/>
      <w:lvlJc w:val="left"/>
      <w:pPr>
        <w:ind w:left="18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B0E2916">
      <w:start w:val="1"/>
      <w:numFmt w:val="decimal"/>
      <w:lvlText w:val="%4"/>
      <w:lvlJc w:val="left"/>
      <w:pPr>
        <w:ind w:left="25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23EBF4C">
      <w:start w:val="1"/>
      <w:numFmt w:val="lowerLetter"/>
      <w:lvlText w:val="%5"/>
      <w:lvlJc w:val="left"/>
      <w:pPr>
        <w:ind w:left="3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A2F02E">
      <w:start w:val="1"/>
      <w:numFmt w:val="lowerRoman"/>
      <w:lvlText w:val="%6"/>
      <w:lvlJc w:val="left"/>
      <w:pPr>
        <w:ind w:left="40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AA0068C">
      <w:start w:val="1"/>
      <w:numFmt w:val="decimal"/>
      <w:lvlText w:val="%7"/>
      <w:lvlJc w:val="left"/>
      <w:pPr>
        <w:ind w:left="47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F46B592">
      <w:start w:val="1"/>
      <w:numFmt w:val="lowerLetter"/>
      <w:lvlText w:val="%8"/>
      <w:lvlJc w:val="left"/>
      <w:pPr>
        <w:ind w:left="54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58ED66C">
      <w:start w:val="1"/>
      <w:numFmt w:val="lowerRoman"/>
      <w:lvlText w:val="%9"/>
      <w:lvlJc w:val="left"/>
      <w:pPr>
        <w:ind w:left="6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7" w15:restartNumberingAfterBreak="0">
    <w:nsid w:val="731F4502"/>
    <w:multiLevelType w:val="hybridMultilevel"/>
    <w:tmpl w:val="37623106"/>
    <w:lvl w:ilvl="0" w:tplc="04E4E11E">
      <w:start w:val="3"/>
      <w:numFmt w:val="upperRoman"/>
      <w:lvlText w:val="%1."/>
      <w:lvlJc w:val="left"/>
      <w:pPr>
        <w:ind w:left="4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AAEF12">
      <w:start w:val="1"/>
      <w:numFmt w:val="lowerLetter"/>
      <w:lvlText w:val="%2"/>
      <w:lvlJc w:val="left"/>
      <w:pPr>
        <w:ind w:left="1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224CBE0">
      <w:start w:val="1"/>
      <w:numFmt w:val="lowerRoman"/>
      <w:lvlText w:val="%3"/>
      <w:lvlJc w:val="left"/>
      <w:pPr>
        <w:ind w:left="1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B3CC618">
      <w:start w:val="1"/>
      <w:numFmt w:val="decimal"/>
      <w:lvlText w:val="%4"/>
      <w:lvlJc w:val="left"/>
      <w:pPr>
        <w:ind w:left="2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6F134">
      <w:start w:val="1"/>
      <w:numFmt w:val="lowerLetter"/>
      <w:lvlText w:val="%5"/>
      <w:lvlJc w:val="left"/>
      <w:pPr>
        <w:ind w:left="3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BCEDBD4">
      <w:start w:val="1"/>
      <w:numFmt w:val="lowerRoman"/>
      <w:lvlText w:val="%6"/>
      <w:lvlJc w:val="left"/>
      <w:pPr>
        <w:ind w:left="3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554C714">
      <w:start w:val="1"/>
      <w:numFmt w:val="decimal"/>
      <w:lvlText w:val="%7"/>
      <w:lvlJc w:val="left"/>
      <w:pPr>
        <w:ind w:left="4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B66980">
      <w:start w:val="1"/>
      <w:numFmt w:val="lowerLetter"/>
      <w:lvlText w:val="%8"/>
      <w:lvlJc w:val="left"/>
      <w:pPr>
        <w:ind w:left="5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B7020F2">
      <w:start w:val="1"/>
      <w:numFmt w:val="lowerRoman"/>
      <w:lvlText w:val="%9"/>
      <w:lvlJc w:val="left"/>
      <w:pPr>
        <w:ind w:left="6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8" w15:restartNumberingAfterBreak="0">
    <w:nsid w:val="73EF691B"/>
    <w:multiLevelType w:val="hybridMultilevel"/>
    <w:tmpl w:val="E604CF66"/>
    <w:lvl w:ilvl="0" w:tplc="2EF4B488">
      <w:start w:val="3"/>
      <w:numFmt w:val="upperRoman"/>
      <w:lvlText w:val="%1."/>
      <w:lvlJc w:val="left"/>
      <w:pPr>
        <w:ind w:left="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FE66248">
      <w:start w:val="1"/>
      <w:numFmt w:val="lowerLetter"/>
      <w:lvlText w:val="%2"/>
      <w:lvlJc w:val="left"/>
      <w:pPr>
        <w:ind w:left="1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6D27682">
      <w:start w:val="1"/>
      <w:numFmt w:val="lowerRoman"/>
      <w:lvlText w:val="%3"/>
      <w:lvlJc w:val="left"/>
      <w:pPr>
        <w:ind w:left="1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40D538">
      <w:start w:val="1"/>
      <w:numFmt w:val="decimal"/>
      <w:lvlText w:val="%4"/>
      <w:lvlJc w:val="left"/>
      <w:pPr>
        <w:ind w:left="2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A7C953A">
      <w:start w:val="1"/>
      <w:numFmt w:val="lowerLetter"/>
      <w:lvlText w:val="%5"/>
      <w:lvlJc w:val="left"/>
      <w:pPr>
        <w:ind w:left="3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EBE5ADA">
      <w:start w:val="1"/>
      <w:numFmt w:val="lowerRoman"/>
      <w:lvlText w:val="%6"/>
      <w:lvlJc w:val="left"/>
      <w:pPr>
        <w:ind w:left="3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17025EA">
      <w:start w:val="1"/>
      <w:numFmt w:val="decimal"/>
      <w:lvlText w:val="%7"/>
      <w:lvlJc w:val="left"/>
      <w:pPr>
        <w:ind w:left="4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708B5F4">
      <w:start w:val="1"/>
      <w:numFmt w:val="lowerLetter"/>
      <w:lvlText w:val="%8"/>
      <w:lvlJc w:val="left"/>
      <w:pPr>
        <w:ind w:left="5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75A67EE">
      <w:start w:val="1"/>
      <w:numFmt w:val="lowerRoman"/>
      <w:lvlText w:val="%9"/>
      <w:lvlJc w:val="left"/>
      <w:pPr>
        <w:ind w:left="6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9" w15:restartNumberingAfterBreak="0">
    <w:nsid w:val="74B33E6A"/>
    <w:multiLevelType w:val="hybridMultilevel"/>
    <w:tmpl w:val="3A3674E0"/>
    <w:lvl w:ilvl="0" w:tplc="11CE68B2">
      <w:start w:val="3"/>
      <w:numFmt w:val="upperRoman"/>
      <w:lvlText w:val="%1."/>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EA3F9E">
      <w:start w:val="1"/>
      <w:numFmt w:val="lowerLetter"/>
      <w:lvlText w:val="%2"/>
      <w:lvlJc w:val="left"/>
      <w:pPr>
        <w:ind w:left="1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848F12">
      <w:start w:val="1"/>
      <w:numFmt w:val="lowerRoman"/>
      <w:lvlText w:val="%3"/>
      <w:lvlJc w:val="left"/>
      <w:pPr>
        <w:ind w:left="1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CAE54A">
      <w:start w:val="1"/>
      <w:numFmt w:val="decimal"/>
      <w:lvlText w:val="%4"/>
      <w:lvlJc w:val="left"/>
      <w:pPr>
        <w:ind w:left="2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AE2AD8A">
      <w:start w:val="1"/>
      <w:numFmt w:val="lowerLetter"/>
      <w:lvlText w:val="%5"/>
      <w:lvlJc w:val="left"/>
      <w:pPr>
        <w:ind w:left="3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B74B43A">
      <w:start w:val="1"/>
      <w:numFmt w:val="lowerRoman"/>
      <w:lvlText w:val="%6"/>
      <w:lvlJc w:val="left"/>
      <w:pPr>
        <w:ind w:left="3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AA800A">
      <w:start w:val="1"/>
      <w:numFmt w:val="decimal"/>
      <w:lvlText w:val="%7"/>
      <w:lvlJc w:val="left"/>
      <w:pPr>
        <w:ind w:left="4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F14C3DE">
      <w:start w:val="1"/>
      <w:numFmt w:val="lowerLetter"/>
      <w:lvlText w:val="%8"/>
      <w:lvlJc w:val="left"/>
      <w:pPr>
        <w:ind w:left="5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598C53C">
      <w:start w:val="1"/>
      <w:numFmt w:val="lowerRoman"/>
      <w:lvlText w:val="%9"/>
      <w:lvlJc w:val="left"/>
      <w:pPr>
        <w:ind w:left="6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0" w15:restartNumberingAfterBreak="0">
    <w:nsid w:val="76F67C36"/>
    <w:multiLevelType w:val="hybridMultilevel"/>
    <w:tmpl w:val="CAB2B756"/>
    <w:lvl w:ilvl="0" w:tplc="CC5A4BF6">
      <w:start w:val="3"/>
      <w:numFmt w:val="upperRoman"/>
      <w:lvlText w:val="%1."/>
      <w:lvlJc w:val="left"/>
      <w:pPr>
        <w:ind w:left="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CE819AE">
      <w:start w:val="1"/>
      <w:numFmt w:val="lowerLetter"/>
      <w:lvlText w:val="%2"/>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D3ED568">
      <w:start w:val="1"/>
      <w:numFmt w:val="lowerRoman"/>
      <w:lvlText w:val="%3"/>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AAC71AE">
      <w:start w:val="1"/>
      <w:numFmt w:val="decimal"/>
      <w:lvlText w:val="%4"/>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676892A">
      <w:start w:val="1"/>
      <w:numFmt w:val="lowerLetter"/>
      <w:lvlText w:val="%5"/>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B126300">
      <w:start w:val="1"/>
      <w:numFmt w:val="lowerRoman"/>
      <w:lvlText w:val="%6"/>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8E7E76">
      <w:start w:val="1"/>
      <w:numFmt w:val="decimal"/>
      <w:lvlText w:val="%7"/>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0E0DE74">
      <w:start w:val="1"/>
      <w:numFmt w:val="lowerLetter"/>
      <w:lvlText w:val="%8"/>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4FC3A64">
      <w:start w:val="1"/>
      <w:numFmt w:val="lowerRoman"/>
      <w:lvlText w:val="%9"/>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1" w15:restartNumberingAfterBreak="0">
    <w:nsid w:val="77141611"/>
    <w:multiLevelType w:val="hybridMultilevel"/>
    <w:tmpl w:val="5DCA8424"/>
    <w:lvl w:ilvl="0" w:tplc="BCA0CD34">
      <w:start w:val="3"/>
      <w:numFmt w:val="upperRoman"/>
      <w:lvlText w:val="%1."/>
      <w:lvlJc w:val="left"/>
      <w:pPr>
        <w:ind w:left="3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A983AFC">
      <w:start w:val="1"/>
      <w:numFmt w:val="lowerLetter"/>
      <w:lvlText w:val="%2"/>
      <w:lvlJc w:val="left"/>
      <w:pPr>
        <w:ind w:left="11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51E4A52">
      <w:start w:val="1"/>
      <w:numFmt w:val="lowerRoman"/>
      <w:lvlText w:val="%3"/>
      <w:lvlJc w:val="left"/>
      <w:pPr>
        <w:ind w:left="18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C2A8E0A">
      <w:start w:val="1"/>
      <w:numFmt w:val="decimal"/>
      <w:lvlText w:val="%4"/>
      <w:lvlJc w:val="left"/>
      <w:pPr>
        <w:ind w:left="25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7ACE1AA">
      <w:start w:val="1"/>
      <w:numFmt w:val="lowerLetter"/>
      <w:lvlText w:val="%5"/>
      <w:lvlJc w:val="left"/>
      <w:pPr>
        <w:ind w:left="32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CB6767C">
      <w:start w:val="1"/>
      <w:numFmt w:val="lowerRoman"/>
      <w:lvlText w:val="%6"/>
      <w:lvlJc w:val="left"/>
      <w:pPr>
        <w:ind w:left="39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E6ADC4">
      <w:start w:val="1"/>
      <w:numFmt w:val="decimal"/>
      <w:lvlText w:val="%7"/>
      <w:lvlJc w:val="left"/>
      <w:pPr>
        <w:ind w:left="47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CEC695C">
      <w:start w:val="1"/>
      <w:numFmt w:val="lowerLetter"/>
      <w:lvlText w:val="%8"/>
      <w:lvlJc w:val="left"/>
      <w:pPr>
        <w:ind w:left="54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424FB12">
      <w:start w:val="1"/>
      <w:numFmt w:val="lowerRoman"/>
      <w:lvlText w:val="%9"/>
      <w:lvlJc w:val="left"/>
      <w:pPr>
        <w:ind w:left="6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2" w15:restartNumberingAfterBreak="0">
    <w:nsid w:val="77652B35"/>
    <w:multiLevelType w:val="hybridMultilevel"/>
    <w:tmpl w:val="D1A09C54"/>
    <w:lvl w:ilvl="0" w:tplc="C506EABE">
      <w:start w:val="3"/>
      <w:numFmt w:val="upperRoman"/>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66939E">
      <w:start w:val="1"/>
      <w:numFmt w:val="lowerLetter"/>
      <w:lvlText w:val="%2"/>
      <w:lvlJc w:val="left"/>
      <w:pPr>
        <w:ind w:left="1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F3A0094">
      <w:start w:val="1"/>
      <w:numFmt w:val="lowerRoman"/>
      <w:lvlText w:val="%3"/>
      <w:lvlJc w:val="left"/>
      <w:pPr>
        <w:ind w:left="1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D648334">
      <w:start w:val="1"/>
      <w:numFmt w:val="decimal"/>
      <w:lvlText w:val="%4"/>
      <w:lvlJc w:val="left"/>
      <w:pPr>
        <w:ind w:left="2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11E1824">
      <w:start w:val="1"/>
      <w:numFmt w:val="lowerLetter"/>
      <w:lvlText w:val="%5"/>
      <w:lvlJc w:val="left"/>
      <w:pPr>
        <w:ind w:left="32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7CE95F4">
      <w:start w:val="1"/>
      <w:numFmt w:val="lowerRoman"/>
      <w:lvlText w:val="%6"/>
      <w:lvlJc w:val="left"/>
      <w:pPr>
        <w:ind w:left="40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D24AE04">
      <w:start w:val="1"/>
      <w:numFmt w:val="decimal"/>
      <w:lvlText w:val="%7"/>
      <w:lvlJc w:val="left"/>
      <w:pPr>
        <w:ind w:left="4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5E0F908">
      <w:start w:val="1"/>
      <w:numFmt w:val="lowerLetter"/>
      <w:lvlText w:val="%8"/>
      <w:lvlJc w:val="left"/>
      <w:pPr>
        <w:ind w:left="54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B92DE12">
      <w:start w:val="1"/>
      <w:numFmt w:val="lowerRoman"/>
      <w:lvlText w:val="%9"/>
      <w:lvlJc w:val="left"/>
      <w:pPr>
        <w:ind w:left="6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3" w15:restartNumberingAfterBreak="0">
    <w:nsid w:val="7A585644"/>
    <w:multiLevelType w:val="hybridMultilevel"/>
    <w:tmpl w:val="7ADCD2A0"/>
    <w:lvl w:ilvl="0" w:tplc="DEEA7538">
      <w:start w:val="3"/>
      <w:numFmt w:val="upperRoman"/>
      <w:lvlText w:val="%1."/>
      <w:lvlJc w:val="left"/>
      <w:pPr>
        <w:ind w:left="4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8A2310A">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0B4A382">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F9A1602">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69AD7E2">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490BB44">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C021306">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1CA505C">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9221EF0">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4" w15:restartNumberingAfterBreak="0">
    <w:nsid w:val="7FC61F63"/>
    <w:multiLevelType w:val="hybridMultilevel"/>
    <w:tmpl w:val="D33C342A"/>
    <w:lvl w:ilvl="0" w:tplc="A2FACA5E">
      <w:start w:val="2"/>
      <w:numFmt w:val="upperRoman"/>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8C518C">
      <w:start w:val="1"/>
      <w:numFmt w:val="lowerLetter"/>
      <w:lvlText w:val="%2"/>
      <w:lvlJc w:val="left"/>
      <w:pPr>
        <w:ind w:left="7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D7408A4">
      <w:start w:val="1"/>
      <w:numFmt w:val="lowerRoman"/>
      <w:lvlText w:val="%3"/>
      <w:lvlJc w:val="left"/>
      <w:pPr>
        <w:ind w:left="1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64A09B6">
      <w:start w:val="1"/>
      <w:numFmt w:val="decimal"/>
      <w:lvlText w:val="%4"/>
      <w:lvlJc w:val="left"/>
      <w:pPr>
        <w:ind w:left="2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DE6F130">
      <w:start w:val="1"/>
      <w:numFmt w:val="lowerLetter"/>
      <w:lvlText w:val="%5"/>
      <w:lvlJc w:val="left"/>
      <w:pPr>
        <w:ind w:left="2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604442A">
      <w:start w:val="1"/>
      <w:numFmt w:val="lowerRoman"/>
      <w:lvlText w:val="%6"/>
      <w:lvlJc w:val="left"/>
      <w:pPr>
        <w:ind w:left="3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CE4AB20">
      <w:start w:val="1"/>
      <w:numFmt w:val="decimal"/>
      <w:lvlText w:val="%7"/>
      <w:lvlJc w:val="left"/>
      <w:pPr>
        <w:ind w:left="4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D5A4AFE">
      <w:start w:val="1"/>
      <w:numFmt w:val="lowerLetter"/>
      <w:lvlText w:val="%8"/>
      <w:lvlJc w:val="left"/>
      <w:pPr>
        <w:ind w:left="5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70EDEF6">
      <w:start w:val="1"/>
      <w:numFmt w:val="lowerRoman"/>
      <w:lvlText w:val="%9"/>
      <w:lvlJc w:val="left"/>
      <w:pPr>
        <w:ind w:left="5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39"/>
  </w:num>
  <w:num w:numId="2">
    <w:abstractNumId w:val="56"/>
  </w:num>
  <w:num w:numId="3">
    <w:abstractNumId w:val="60"/>
  </w:num>
  <w:num w:numId="4">
    <w:abstractNumId w:val="63"/>
  </w:num>
  <w:num w:numId="5">
    <w:abstractNumId w:val="72"/>
  </w:num>
  <w:num w:numId="6">
    <w:abstractNumId w:val="89"/>
  </w:num>
  <w:num w:numId="7">
    <w:abstractNumId w:val="40"/>
  </w:num>
  <w:num w:numId="8">
    <w:abstractNumId w:val="81"/>
  </w:num>
  <w:num w:numId="9">
    <w:abstractNumId w:val="90"/>
  </w:num>
  <w:num w:numId="10">
    <w:abstractNumId w:val="100"/>
  </w:num>
  <w:num w:numId="11">
    <w:abstractNumId w:val="51"/>
  </w:num>
  <w:num w:numId="12">
    <w:abstractNumId w:val="75"/>
  </w:num>
  <w:num w:numId="13">
    <w:abstractNumId w:val="97"/>
  </w:num>
  <w:num w:numId="14">
    <w:abstractNumId w:val="25"/>
  </w:num>
  <w:num w:numId="15">
    <w:abstractNumId w:val="74"/>
  </w:num>
  <w:num w:numId="16">
    <w:abstractNumId w:val="23"/>
  </w:num>
  <w:num w:numId="17">
    <w:abstractNumId w:val="45"/>
  </w:num>
  <w:num w:numId="18">
    <w:abstractNumId w:val="79"/>
  </w:num>
  <w:num w:numId="19">
    <w:abstractNumId w:val="94"/>
  </w:num>
  <w:num w:numId="20">
    <w:abstractNumId w:val="96"/>
  </w:num>
  <w:num w:numId="21">
    <w:abstractNumId w:val="61"/>
  </w:num>
  <w:num w:numId="22">
    <w:abstractNumId w:val="65"/>
  </w:num>
  <w:num w:numId="23">
    <w:abstractNumId w:val="1"/>
  </w:num>
  <w:num w:numId="24">
    <w:abstractNumId w:val="46"/>
  </w:num>
  <w:num w:numId="25">
    <w:abstractNumId w:val="73"/>
  </w:num>
  <w:num w:numId="26">
    <w:abstractNumId w:val="86"/>
  </w:num>
  <w:num w:numId="27">
    <w:abstractNumId w:val="30"/>
  </w:num>
  <w:num w:numId="28">
    <w:abstractNumId w:val="35"/>
  </w:num>
  <w:num w:numId="29">
    <w:abstractNumId w:val="28"/>
  </w:num>
  <w:num w:numId="30">
    <w:abstractNumId w:val="14"/>
  </w:num>
  <w:num w:numId="31">
    <w:abstractNumId w:val="12"/>
  </w:num>
  <w:num w:numId="32">
    <w:abstractNumId w:val="104"/>
  </w:num>
  <w:num w:numId="33">
    <w:abstractNumId w:val="32"/>
  </w:num>
  <w:num w:numId="34">
    <w:abstractNumId w:val="13"/>
  </w:num>
  <w:num w:numId="35">
    <w:abstractNumId w:val="102"/>
  </w:num>
  <w:num w:numId="36">
    <w:abstractNumId w:val="92"/>
  </w:num>
  <w:num w:numId="37">
    <w:abstractNumId w:val="17"/>
  </w:num>
  <w:num w:numId="38">
    <w:abstractNumId w:val="67"/>
  </w:num>
  <w:num w:numId="39">
    <w:abstractNumId w:val="57"/>
  </w:num>
  <w:num w:numId="40">
    <w:abstractNumId w:val="44"/>
  </w:num>
  <w:num w:numId="41">
    <w:abstractNumId w:val="50"/>
  </w:num>
  <w:num w:numId="42">
    <w:abstractNumId w:val="0"/>
  </w:num>
  <w:num w:numId="43">
    <w:abstractNumId w:val="95"/>
  </w:num>
  <w:num w:numId="44">
    <w:abstractNumId w:val="82"/>
  </w:num>
  <w:num w:numId="45">
    <w:abstractNumId w:val="85"/>
  </w:num>
  <w:num w:numId="46">
    <w:abstractNumId w:val="58"/>
  </w:num>
  <w:num w:numId="47">
    <w:abstractNumId w:val="47"/>
  </w:num>
  <w:num w:numId="48">
    <w:abstractNumId w:val="78"/>
  </w:num>
  <w:num w:numId="49">
    <w:abstractNumId w:val="4"/>
  </w:num>
  <w:num w:numId="50">
    <w:abstractNumId w:val="41"/>
  </w:num>
  <w:num w:numId="51">
    <w:abstractNumId w:val="83"/>
  </w:num>
  <w:num w:numId="52">
    <w:abstractNumId w:val="77"/>
  </w:num>
  <w:num w:numId="53">
    <w:abstractNumId w:val="52"/>
  </w:num>
  <w:num w:numId="54">
    <w:abstractNumId w:val="2"/>
  </w:num>
  <w:num w:numId="55">
    <w:abstractNumId w:val="49"/>
  </w:num>
  <w:num w:numId="56">
    <w:abstractNumId w:val="20"/>
  </w:num>
  <w:num w:numId="57">
    <w:abstractNumId w:val="21"/>
  </w:num>
  <w:num w:numId="58">
    <w:abstractNumId w:val="98"/>
  </w:num>
  <w:num w:numId="59">
    <w:abstractNumId w:val="71"/>
  </w:num>
  <w:num w:numId="60">
    <w:abstractNumId w:val="24"/>
  </w:num>
  <w:num w:numId="61">
    <w:abstractNumId w:val="84"/>
  </w:num>
  <w:num w:numId="62">
    <w:abstractNumId w:val="22"/>
  </w:num>
  <w:num w:numId="63">
    <w:abstractNumId w:val="9"/>
  </w:num>
  <w:num w:numId="64">
    <w:abstractNumId w:val="69"/>
  </w:num>
  <w:num w:numId="65">
    <w:abstractNumId w:val="10"/>
  </w:num>
  <w:num w:numId="66">
    <w:abstractNumId w:val="80"/>
  </w:num>
  <w:num w:numId="67">
    <w:abstractNumId w:val="91"/>
  </w:num>
  <w:num w:numId="68">
    <w:abstractNumId w:val="64"/>
  </w:num>
  <w:num w:numId="69">
    <w:abstractNumId w:val="103"/>
  </w:num>
  <w:num w:numId="70">
    <w:abstractNumId w:val="42"/>
  </w:num>
  <w:num w:numId="71">
    <w:abstractNumId w:val="38"/>
  </w:num>
  <w:num w:numId="72">
    <w:abstractNumId w:val="16"/>
  </w:num>
  <w:num w:numId="73">
    <w:abstractNumId w:val="31"/>
  </w:num>
  <w:num w:numId="74">
    <w:abstractNumId w:val="101"/>
  </w:num>
  <w:num w:numId="75">
    <w:abstractNumId w:val="76"/>
  </w:num>
  <w:num w:numId="76">
    <w:abstractNumId w:val="36"/>
  </w:num>
  <w:num w:numId="77">
    <w:abstractNumId w:val="15"/>
  </w:num>
  <w:num w:numId="78">
    <w:abstractNumId w:val="68"/>
  </w:num>
  <w:num w:numId="79">
    <w:abstractNumId w:val="34"/>
  </w:num>
  <w:num w:numId="80">
    <w:abstractNumId w:val="18"/>
  </w:num>
  <w:num w:numId="81">
    <w:abstractNumId w:val="93"/>
  </w:num>
  <w:num w:numId="82">
    <w:abstractNumId w:val="48"/>
  </w:num>
  <w:num w:numId="83">
    <w:abstractNumId w:val="62"/>
  </w:num>
  <w:num w:numId="84">
    <w:abstractNumId w:val="66"/>
  </w:num>
  <w:num w:numId="85">
    <w:abstractNumId w:val="3"/>
  </w:num>
  <w:num w:numId="86">
    <w:abstractNumId w:val="53"/>
  </w:num>
  <w:num w:numId="87">
    <w:abstractNumId w:val="7"/>
  </w:num>
  <w:num w:numId="88">
    <w:abstractNumId w:val="29"/>
  </w:num>
  <w:num w:numId="89">
    <w:abstractNumId w:val="27"/>
  </w:num>
  <w:num w:numId="90">
    <w:abstractNumId w:val="54"/>
  </w:num>
  <w:num w:numId="91">
    <w:abstractNumId w:val="33"/>
  </w:num>
  <w:num w:numId="92">
    <w:abstractNumId w:val="70"/>
  </w:num>
  <w:num w:numId="93">
    <w:abstractNumId w:val="99"/>
  </w:num>
  <w:num w:numId="94">
    <w:abstractNumId w:val="19"/>
  </w:num>
  <w:num w:numId="95">
    <w:abstractNumId w:val="59"/>
  </w:num>
  <w:num w:numId="96">
    <w:abstractNumId w:val="55"/>
  </w:num>
  <w:num w:numId="97">
    <w:abstractNumId w:val="37"/>
  </w:num>
  <w:num w:numId="98">
    <w:abstractNumId w:val="8"/>
  </w:num>
  <w:num w:numId="99">
    <w:abstractNumId w:val="43"/>
  </w:num>
  <w:num w:numId="100">
    <w:abstractNumId w:val="87"/>
  </w:num>
  <w:num w:numId="101">
    <w:abstractNumId w:val="6"/>
  </w:num>
  <w:num w:numId="102">
    <w:abstractNumId w:val="5"/>
  </w:num>
  <w:num w:numId="103">
    <w:abstractNumId w:val="88"/>
  </w:num>
  <w:num w:numId="104">
    <w:abstractNumId w:val="26"/>
  </w:num>
  <w:num w:numId="105">
    <w:abstractNumId w:val="11"/>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3312"/>
    <w:rsid w:val="00044201"/>
    <w:rsid w:val="00060F57"/>
    <w:rsid w:val="000700C7"/>
    <w:rsid w:val="00070CBE"/>
    <w:rsid w:val="00077307"/>
    <w:rsid w:val="0009470B"/>
    <w:rsid w:val="000A16A6"/>
    <w:rsid w:val="000D2AA0"/>
    <w:rsid w:val="000D5DE4"/>
    <w:rsid w:val="000D68C5"/>
    <w:rsid w:val="000E0101"/>
    <w:rsid w:val="000F6425"/>
    <w:rsid w:val="001001E1"/>
    <w:rsid w:val="00101A5E"/>
    <w:rsid w:val="001105DF"/>
    <w:rsid w:val="00113347"/>
    <w:rsid w:val="00113D7E"/>
    <w:rsid w:val="00123B94"/>
    <w:rsid w:val="00126280"/>
    <w:rsid w:val="0012659C"/>
    <w:rsid w:val="00153706"/>
    <w:rsid w:val="00155726"/>
    <w:rsid w:val="00175AA4"/>
    <w:rsid w:val="00183A68"/>
    <w:rsid w:val="00186B1F"/>
    <w:rsid w:val="001963BF"/>
    <w:rsid w:val="001A03EF"/>
    <w:rsid w:val="001A286C"/>
    <w:rsid w:val="001A76BF"/>
    <w:rsid w:val="001A7B95"/>
    <w:rsid w:val="001B1B22"/>
    <w:rsid w:val="001C35A1"/>
    <w:rsid w:val="001C68CE"/>
    <w:rsid w:val="001F4B0C"/>
    <w:rsid w:val="001F4FD4"/>
    <w:rsid w:val="00211B13"/>
    <w:rsid w:val="00213776"/>
    <w:rsid w:val="002209BF"/>
    <w:rsid w:val="00222838"/>
    <w:rsid w:val="00234C4C"/>
    <w:rsid w:val="00241053"/>
    <w:rsid w:val="00254B63"/>
    <w:rsid w:val="00260760"/>
    <w:rsid w:val="00275A9F"/>
    <w:rsid w:val="002816AD"/>
    <w:rsid w:val="00284461"/>
    <w:rsid w:val="00296118"/>
    <w:rsid w:val="002A7E76"/>
    <w:rsid w:val="002B6D52"/>
    <w:rsid w:val="002C0BFC"/>
    <w:rsid w:val="002D65E2"/>
    <w:rsid w:val="002E02B1"/>
    <w:rsid w:val="002E4AB5"/>
    <w:rsid w:val="002E6F6F"/>
    <w:rsid w:val="002F4ECC"/>
    <w:rsid w:val="002F684C"/>
    <w:rsid w:val="00303B31"/>
    <w:rsid w:val="003140CF"/>
    <w:rsid w:val="00315EBF"/>
    <w:rsid w:val="003165F0"/>
    <w:rsid w:val="003416E8"/>
    <w:rsid w:val="0035056B"/>
    <w:rsid w:val="00352327"/>
    <w:rsid w:val="00356E07"/>
    <w:rsid w:val="00360E86"/>
    <w:rsid w:val="00370DBE"/>
    <w:rsid w:val="00371F03"/>
    <w:rsid w:val="00381927"/>
    <w:rsid w:val="003826A0"/>
    <w:rsid w:val="00385AA8"/>
    <w:rsid w:val="00396427"/>
    <w:rsid w:val="00397E78"/>
    <w:rsid w:val="003A1001"/>
    <w:rsid w:val="003A10B1"/>
    <w:rsid w:val="003A5535"/>
    <w:rsid w:val="003B65B0"/>
    <w:rsid w:val="003B7170"/>
    <w:rsid w:val="003C0E36"/>
    <w:rsid w:val="003C1B65"/>
    <w:rsid w:val="003C7203"/>
    <w:rsid w:val="003D0B8D"/>
    <w:rsid w:val="003D0C34"/>
    <w:rsid w:val="003D12A6"/>
    <w:rsid w:val="003D1BE6"/>
    <w:rsid w:val="003D4A12"/>
    <w:rsid w:val="003D79D7"/>
    <w:rsid w:val="003E255F"/>
    <w:rsid w:val="003E2859"/>
    <w:rsid w:val="003F491B"/>
    <w:rsid w:val="003F7621"/>
    <w:rsid w:val="004045BA"/>
    <w:rsid w:val="00405798"/>
    <w:rsid w:val="004145F8"/>
    <w:rsid w:val="00416BC6"/>
    <w:rsid w:val="00437469"/>
    <w:rsid w:val="004479A8"/>
    <w:rsid w:val="004523C4"/>
    <w:rsid w:val="00460CA8"/>
    <w:rsid w:val="004757FA"/>
    <w:rsid w:val="004858E5"/>
    <w:rsid w:val="00490573"/>
    <w:rsid w:val="00493FCE"/>
    <w:rsid w:val="004945A5"/>
    <w:rsid w:val="0049506B"/>
    <w:rsid w:val="0049603C"/>
    <w:rsid w:val="004B19CC"/>
    <w:rsid w:val="004D73A2"/>
    <w:rsid w:val="004E3C9D"/>
    <w:rsid w:val="004E4B01"/>
    <w:rsid w:val="0050709F"/>
    <w:rsid w:val="00507F46"/>
    <w:rsid w:val="0052310F"/>
    <w:rsid w:val="00526E28"/>
    <w:rsid w:val="00551BD2"/>
    <w:rsid w:val="00553D83"/>
    <w:rsid w:val="00555D1D"/>
    <w:rsid w:val="00556F50"/>
    <w:rsid w:val="00565C35"/>
    <w:rsid w:val="00570CD8"/>
    <w:rsid w:val="0057156E"/>
    <w:rsid w:val="0057194A"/>
    <w:rsid w:val="00576D2F"/>
    <w:rsid w:val="005914AC"/>
    <w:rsid w:val="0059206F"/>
    <w:rsid w:val="005976D0"/>
    <w:rsid w:val="005A07CA"/>
    <w:rsid w:val="005A5326"/>
    <w:rsid w:val="005B24C8"/>
    <w:rsid w:val="005D0F82"/>
    <w:rsid w:val="005D7FEC"/>
    <w:rsid w:val="005E0BFF"/>
    <w:rsid w:val="005E294B"/>
    <w:rsid w:val="005E4E3C"/>
    <w:rsid w:val="005F04F9"/>
    <w:rsid w:val="005F1437"/>
    <w:rsid w:val="005F3A12"/>
    <w:rsid w:val="00605C13"/>
    <w:rsid w:val="0061156E"/>
    <w:rsid w:val="00623972"/>
    <w:rsid w:val="0064446E"/>
    <w:rsid w:val="006451F8"/>
    <w:rsid w:val="006541F6"/>
    <w:rsid w:val="00657C31"/>
    <w:rsid w:val="00662863"/>
    <w:rsid w:val="00666B4C"/>
    <w:rsid w:val="00690F35"/>
    <w:rsid w:val="00691E40"/>
    <w:rsid w:val="00692CE8"/>
    <w:rsid w:val="00693783"/>
    <w:rsid w:val="00696F6F"/>
    <w:rsid w:val="006A00D2"/>
    <w:rsid w:val="006A65D2"/>
    <w:rsid w:val="006C3B1D"/>
    <w:rsid w:val="006C5DF3"/>
    <w:rsid w:val="006C7208"/>
    <w:rsid w:val="00701050"/>
    <w:rsid w:val="00710BB3"/>
    <w:rsid w:val="00710D40"/>
    <w:rsid w:val="007415C0"/>
    <w:rsid w:val="00757B81"/>
    <w:rsid w:val="0077484B"/>
    <w:rsid w:val="00785944"/>
    <w:rsid w:val="00786503"/>
    <w:rsid w:val="00790624"/>
    <w:rsid w:val="0079082E"/>
    <w:rsid w:val="007915A9"/>
    <w:rsid w:val="007974C2"/>
    <w:rsid w:val="007A0303"/>
    <w:rsid w:val="007A52F4"/>
    <w:rsid w:val="007B3B41"/>
    <w:rsid w:val="007D49A6"/>
    <w:rsid w:val="007E5192"/>
    <w:rsid w:val="00804173"/>
    <w:rsid w:val="00811204"/>
    <w:rsid w:val="00817AD2"/>
    <w:rsid w:val="00820633"/>
    <w:rsid w:val="00826045"/>
    <w:rsid w:val="008272EB"/>
    <w:rsid w:val="00841A89"/>
    <w:rsid w:val="00842DF7"/>
    <w:rsid w:val="00845EDA"/>
    <w:rsid w:val="00860134"/>
    <w:rsid w:val="00862BED"/>
    <w:rsid w:val="0086465C"/>
    <w:rsid w:val="0087029D"/>
    <w:rsid w:val="00890EE8"/>
    <w:rsid w:val="008A3F0B"/>
    <w:rsid w:val="008B25B4"/>
    <w:rsid w:val="008C3DA8"/>
    <w:rsid w:val="008D3DBA"/>
    <w:rsid w:val="008E6A14"/>
    <w:rsid w:val="00924DEF"/>
    <w:rsid w:val="009256A0"/>
    <w:rsid w:val="009320DD"/>
    <w:rsid w:val="009439ED"/>
    <w:rsid w:val="009542A2"/>
    <w:rsid w:val="009601F3"/>
    <w:rsid w:val="00963916"/>
    <w:rsid w:val="00984280"/>
    <w:rsid w:val="009A3687"/>
    <w:rsid w:val="009A4555"/>
    <w:rsid w:val="009C0245"/>
    <w:rsid w:val="009C22D2"/>
    <w:rsid w:val="009D1201"/>
    <w:rsid w:val="009E6527"/>
    <w:rsid w:val="009E724F"/>
    <w:rsid w:val="00A12F60"/>
    <w:rsid w:val="00A15895"/>
    <w:rsid w:val="00A17E10"/>
    <w:rsid w:val="00A22084"/>
    <w:rsid w:val="00A23678"/>
    <w:rsid w:val="00A24D84"/>
    <w:rsid w:val="00A55229"/>
    <w:rsid w:val="00A73BA4"/>
    <w:rsid w:val="00A761FB"/>
    <w:rsid w:val="00A81E78"/>
    <w:rsid w:val="00A902DA"/>
    <w:rsid w:val="00A9153C"/>
    <w:rsid w:val="00A92945"/>
    <w:rsid w:val="00A9437A"/>
    <w:rsid w:val="00A95B66"/>
    <w:rsid w:val="00A96473"/>
    <w:rsid w:val="00AA5D78"/>
    <w:rsid w:val="00AB0DA4"/>
    <w:rsid w:val="00AB4F0C"/>
    <w:rsid w:val="00AC734C"/>
    <w:rsid w:val="00AE0CAB"/>
    <w:rsid w:val="00AE6F64"/>
    <w:rsid w:val="00B06082"/>
    <w:rsid w:val="00B07296"/>
    <w:rsid w:val="00B14712"/>
    <w:rsid w:val="00B21E47"/>
    <w:rsid w:val="00B259B4"/>
    <w:rsid w:val="00B2729A"/>
    <w:rsid w:val="00B3258C"/>
    <w:rsid w:val="00B3503B"/>
    <w:rsid w:val="00B3625E"/>
    <w:rsid w:val="00B36B56"/>
    <w:rsid w:val="00B41CD5"/>
    <w:rsid w:val="00B563DE"/>
    <w:rsid w:val="00B8270B"/>
    <w:rsid w:val="00B84242"/>
    <w:rsid w:val="00B84465"/>
    <w:rsid w:val="00B8778F"/>
    <w:rsid w:val="00BA0A19"/>
    <w:rsid w:val="00BA7B76"/>
    <w:rsid w:val="00BC644A"/>
    <w:rsid w:val="00BE60F9"/>
    <w:rsid w:val="00BF6B8B"/>
    <w:rsid w:val="00C0003A"/>
    <w:rsid w:val="00C14619"/>
    <w:rsid w:val="00C15966"/>
    <w:rsid w:val="00C178A4"/>
    <w:rsid w:val="00C308BA"/>
    <w:rsid w:val="00C4180F"/>
    <w:rsid w:val="00C46EFE"/>
    <w:rsid w:val="00C50C82"/>
    <w:rsid w:val="00C56AFE"/>
    <w:rsid w:val="00C77F72"/>
    <w:rsid w:val="00C86069"/>
    <w:rsid w:val="00C95B23"/>
    <w:rsid w:val="00CA1111"/>
    <w:rsid w:val="00CA6C44"/>
    <w:rsid w:val="00CC3145"/>
    <w:rsid w:val="00CD4903"/>
    <w:rsid w:val="00CE2F2B"/>
    <w:rsid w:val="00CE459C"/>
    <w:rsid w:val="00CF7508"/>
    <w:rsid w:val="00D01C1F"/>
    <w:rsid w:val="00D0347E"/>
    <w:rsid w:val="00D15B8F"/>
    <w:rsid w:val="00D23484"/>
    <w:rsid w:val="00D25EC2"/>
    <w:rsid w:val="00D37639"/>
    <w:rsid w:val="00D53F9C"/>
    <w:rsid w:val="00D55CE1"/>
    <w:rsid w:val="00D67921"/>
    <w:rsid w:val="00D71801"/>
    <w:rsid w:val="00D741D4"/>
    <w:rsid w:val="00D7593B"/>
    <w:rsid w:val="00D8376B"/>
    <w:rsid w:val="00D83A8D"/>
    <w:rsid w:val="00D94D7E"/>
    <w:rsid w:val="00D95CBC"/>
    <w:rsid w:val="00DA2E72"/>
    <w:rsid w:val="00DA3C52"/>
    <w:rsid w:val="00DA63D9"/>
    <w:rsid w:val="00DA7B2F"/>
    <w:rsid w:val="00DC01A0"/>
    <w:rsid w:val="00DF39D5"/>
    <w:rsid w:val="00DF63F2"/>
    <w:rsid w:val="00E01E93"/>
    <w:rsid w:val="00E04E7C"/>
    <w:rsid w:val="00E04EDF"/>
    <w:rsid w:val="00E05EBE"/>
    <w:rsid w:val="00E17D5A"/>
    <w:rsid w:val="00E25500"/>
    <w:rsid w:val="00E25B03"/>
    <w:rsid w:val="00E31B66"/>
    <w:rsid w:val="00E32884"/>
    <w:rsid w:val="00E46430"/>
    <w:rsid w:val="00E50803"/>
    <w:rsid w:val="00E6255B"/>
    <w:rsid w:val="00E657FB"/>
    <w:rsid w:val="00E71240"/>
    <w:rsid w:val="00E776A8"/>
    <w:rsid w:val="00E81823"/>
    <w:rsid w:val="00E84797"/>
    <w:rsid w:val="00EA4D65"/>
    <w:rsid w:val="00EA71C6"/>
    <w:rsid w:val="00EB1314"/>
    <w:rsid w:val="00EB467E"/>
    <w:rsid w:val="00EB4921"/>
    <w:rsid w:val="00EC40A6"/>
    <w:rsid w:val="00EC47F1"/>
    <w:rsid w:val="00EC6976"/>
    <w:rsid w:val="00EC6E55"/>
    <w:rsid w:val="00ED664B"/>
    <w:rsid w:val="00EE0C04"/>
    <w:rsid w:val="00EE53FF"/>
    <w:rsid w:val="00EE690E"/>
    <w:rsid w:val="00EF4DB5"/>
    <w:rsid w:val="00F00AD8"/>
    <w:rsid w:val="00F01C34"/>
    <w:rsid w:val="00F10947"/>
    <w:rsid w:val="00F11B35"/>
    <w:rsid w:val="00F242FC"/>
    <w:rsid w:val="00F25A4F"/>
    <w:rsid w:val="00F40588"/>
    <w:rsid w:val="00F51D6E"/>
    <w:rsid w:val="00F56146"/>
    <w:rsid w:val="00F57D45"/>
    <w:rsid w:val="00F7209C"/>
    <w:rsid w:val="00F723D1"/>
    <w:rsid w:val="00F74388"/>
    <w:rsid w:val="00FA3E95"/>
    <w:rsid w:val="00FA62ED"/>
    <w:rsid w:val="00FA7CE1"/>
    <w:rsid w:val="00FC1F92"/>
    <w:rsid w:val="00FD1F63"/>
    <w:rsid w:val="00FD2EDF"/>
    <w:rsid w:val="00FD414F"/>
    <w:rsid w:val="00FD71D6"/>
    <w:rsid w:val="00FE1399"/>
    <w:rsid w:val="00FF4E0D"/>
    <w:rsid w:val="00FF58C0"/>
    <w:rsid w:val="00FF69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CA4B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A964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unhideWhenUsed/>
    <w:qFormat/>
    <w:rsid w:val="00F51D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9082E"/>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79082E"/>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79082E"/>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79082E"/>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79082E"/>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79082E"/>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79082E"/>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0700C7"/>
    <w:pPr>
      <w:spacing w:after="0" w:line="240" w:lineRule="auto"/>
    </w:pPr>
  </w:style>
  <w:style w:type="character" w:styleId="nfasis">
    <w:name w:val="Emphasis"/>
    <w:basedOn w:val="Fuentedeprrafopredeter"/>
    <w:uiPriority w:val="20"/>
    <w:qFormat/>
    <w:rsid w:val="009E6527"/>
    <w:rPr>
      <w:i/>
      <w:iCs/>
    </w:rPr>
  </w:style>
  <w:style w:type="character" w:customStyle="1" w:styleId="SinespaciadoCar">
    <w:name w:val="Sin espaciado Car"/>
    <w:aliases w:val="MAPAS Car,Evidencias Car,notaria 30 Car,Bullets Car,Francesa Car,Título3 Car,Titulos Car"/>
    <w:link w:val="Sinespaciado"/>
    <w:uiPriority w:val="1"/>
    <w:locked/>
    <w:rsid w:val="00B2729A"/>
  </w:style>
  <w:style w:type="table" w:styleId="Tablaconcuadrcula">
    <w:name w:val="Table Grid"/>
    <w:basedOn w:val="Tablanormal"/>
    <w:uiPriority w:val="39"/>
    <w:rsid w:val="00F56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96473"/>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F51D6E"/>
    <w:rPr>
      <w:rFonts w:asciiTheme="majorHAnsi" w:eastAsiaTheme="majorEastAsia" w:hAnsiTheme="majorHAnsi" w:cstheme="majorBidi"/>
      <w:color w:val="2F5496" w:themeColor="accent1" w:themeShade="BF"/>
      <w:sz w:val="26"/>
      <w:szCs w:val="26"/>
    </w:rPr>
  </w:style>
  <w:style w:type="paragraph" w:styleId="Textoindependiente">
    <w:name w:val="Body Text"/>
    <w:basedOn w:val="Normal"/>
    <w:link w:val="TextoindependienteCar"/>
    <w:uiPriority w:val="1"/>
    <w:qFormat/>
    <w:rsid w:val="008C3DA8"/>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8C3DA8"/>
    <w:rPr>
      <w:rFonts w:ascii="Arial MT" w:eastAsia="Arial MT" w:hAnsi="Arial MT" w:cs="Arial MT"/>
      <w:lang w:val="es-ES"/>
    </w:rPr>
  </w:style>
  <w:style w:type="paragraph" w:customStyle="1" w:styleId="Ttulo31">
    <w:name w:val="Título 31"/>
    <w:basedOn w:val="Normal"/>
    <w:next w:val="Normal"/>
    <w:uiPriority w:val="9"/>
    <w:semiHidden/>
    <w:unhideWhenUsed/>
    <w:qFormat/>
    <w:rsid w:val="0079082E"/>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79082E"/>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79082E"/>
    <w:pPr>
      <w:tabs>
        <w:tab w:val="num" w:pos="3600"/>
      </w:tabs>
      <w:spacing w:before="240" w:after="60" w:line="240" w:lineRule="auto"/>
      <w:ind w:left="3600" w:hanging="720"/>
      <w:outlineLvl w:val="4"/>
    </w:pPr>
    <w:rPr>
      <w:rFonts w:eastAsia="Times New Roman"/>
      <w:b/>
      <w:bCs/>
      <w:i/>
      <w:iCs/>
      <w:sz w:val="26"/>
      <w:szCs w:val="26"/>
      <w:lang w:val="en-US"/>
    </w:rPr>
  </w:style>
  <w:style w:type="character" w:customStyle="1" w:styleId="Ttulo6Car">
    <w:name w:val="Título 6 Car"/>
    <w:basedOn w:val="Fuentedeprrafopredeter"/>
    <w:link w:val="Ttulo6"/>
    <w:rsid w:val="0079082E"/>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79082E"/>
    <w:pPr>
      <w:tabs>
        <w:tab w:val="num" w:pos="5040"/>
      </w:tabs>
      <w:spacing w:before="240" w:after="60" w:line="240" w:lineRule="auto"/>
      <w:ind w:left="5040" w:hanging="72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79082E"/>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79082E"/>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79082E"/>
  </w:style>
  <w:style w:type="character" w:customStyle="1" w:styleId="Ttulo3Car">
    <w:name w:val="Título 3 Car"/>
    <w:basedOn w:val="Fuentedeprrafopredeter"/>
    <w:link w:val="Ttulo3"/>
    <w:uiPriority w:val="9"/>
    <w:rsid w:val="0079082E"/>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79082E"/>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79082E"/>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79082E"/>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79082E"/>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79082E"/>
    <w:rPr>
      <w:rFonts w:ascii="Cambria" w:eastAsia="Times New Roman" w:hAnsi="Cambria" w:cs="Times New Roman"/>
      <w:sz w:val="22"/>
      <w:szCs w:val="22"/>
    </w:rPr>
  </w:style>
  <w:style w:type="character" w:customStyle="1" w:styleId="Ttulo3Car1">
    <w:name w:val="Título 3 Car1"/>
    <w:basedOn w:val="Fuentedeprrafopredeter"/>
    <w:rsid w:val="0079082E"/>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79082E"/>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79082E"/>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79082E"/>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79082E"/>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79082E"/>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A761FB"/>
  </w:style>
  <w:style w:type="paragraph" w:styleId="Prrafodelista">
    <w:name w:val="List Paragraph"/>
    <w:basedOn w:val="Normal"/>
    <w:uiPriority w:val="34"/>
    <w:qFormat/>
    <w:rsid w:val="00A761FB"/>
    <w:pPr>
      <w:spacing w:after="0" w:line="240" w:lineRule="auto"/>
      <w:ind w:left="720"/>
      <w:contextualSpacing/>
    </w:pPr>
    <w:rPr>
      <w:rFonts w:ascii="Times New Roman" w:eastAsia="Times New Roman" w:hAnsi="Times New Roman" w:cs="Times New Roman"/>
      <w:sz w:val="20"/>
      <w:szCs w:val="20"/>
      <w:lang w:val="en-US"/>
    </w:rPr>
  </w:style>
  <w:style w:type="table" w:customStyle="1" w:styleId="Tablaconcuadrcula1">
    <w:name w:val="Tabla con cuadrícula1"/>
    <w:basedOn w:val="Tablanormal"/>
    <w:next w:val="Tablaconcuadrcula"/>
    <w:uiPriority w:val="59"/>
    <w:unhideWhenUsed/>
    <w:rsid w:val="005D7FE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unhideWhenUsed/>
    <w:rsid w:val="003F76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unhideWhenUsed/>
    <w:rsid w:val="007974C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5F04F9"/>
  </w:style>
  <w:style w:type="character" w:customStyle="1" w:styleId="Ttulo1Car1">
    <w:name w:val="Título 1 Car1"/>
    <w:rsid w:val="005F04F9"/>
    <w:rPr>
      <w:rFonts w:ascii="Times New Roman" w:eastAsia="Times New Roman" w:hAnsi="Times New Roman" w:cs="Times New Roman"/>
      <w:color w:val="000000"/>
      <w:sz w:val="18"/>
    </w:rPr>
  </w:style>
  <w:style w:type="character" w:customStyle="1" w:styleId="Ttulo2Car1">
    <w:name w:val="Título 2 Car1"/>
    <w:rsid w:val="005F04F9"/>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27077">
      <w:bodyDiv w:val="1"/>
      <w:marLeft w:val="0"/>
      <w:marRight w:val="0"/>
      <w:marTop w:val="0"/>
      <w:marBottom w:val="0"/>
      <w:divBdr>
        <w:top w:val="none" w:sz="0" w:space="0" w:color="auto"/>
        <w:left w:val="none" w:sz="0" w:space="0" w:color="auto"/>
        <w:bottom w:val="none" w:sz="0" w:space="0" w:color="auto"/>
        <w:right w:val="none" w:sz="0" w:space="0" w:color="auto"/>
      </w:divBdr>
    </w:div>
    <w:div w:id="70929147">
      <w:bodyDiv w:val="1"/>
      <w:marLeft w:val="0"/>
      <w:marRight w:val="0"/>
      <w:marTop w:val="0"/>
      <w:marBottom w:val="0"/>
      <w:divBdr>
        <w:top w:val="none" w:sz="0" w:space="0" w:color="auto"/>
        <w:left w:val="none" w:sz="0" w:space="0" w:color="auto"/>
        <w:bottom w:val="none" w:sz="0" w:space="0" w:color="auto"/>
        <w:right w:val="none" w:sz="0" w:space="0" w:color="auto"/>
      </w:divBdr>
    </w:div>
    <w:div w:id="73623634">
      <w:bodyDiv w:val="1"/>
      <w:marLeft w:val="0"/>
      <w:marRight w:val="0"/>
      <w:marTop w:val="0"/>
      <w:marBottom w:val="0"/>
      <w:divBdr>
        <w:top w:val="none" w:sz="0" w:space="0" w:color="auto"/>
        <w:left w:val="none" w:sz="0" w:space="0" w:color="auto"/>
        <w:bottom w:val="none" w:sz="0" w:space="0" w:color="auto"/>
        <w:right w:val="none" w:sz="0" w:space="0" w:color="auto"/>
      </w:divBdr>
    </w:div>
    <w:div w:id="119496234">
      <w:bodyDiv w:val="1"/>
      <w:marLeft w:val="0"/>
      <w:marRight w:val="0"/>
      <w:marTop w:val="0"/>
      <w:marBottom w:val="0"/>
      <w:divBdr>
        <w:top w:val="none" w:sz="0" w:space="0" w:color="auto"/>
        <w:left w:val="none" w:sz="0" w:space="0" w:color="auto"/>
        <w:bottom w:val="none" w:sz="0" w:space="0" w:color="auto"/>
        <w:right w:val="none" w:sz="0" w:space="0" w:color="auto"/>
      </w:divBdr>
    </w:div>
    <w:div w:id="151869958">
      <w:bodyDiv w:val="1"/>
      <w:marLeft w:val="0"/>
      <w:marRight w:val="0"/>
      <w:marTop w:val="0"/>
      <w:marBottom w:val="0"/>
      <w:divBdr>
        <w:top w:val="none" w:sz="0" w:space="0" w:color="auto"/>
        <w:left w:val="none" w:sz="0" w:space="0" w:color="auto"/>
        <w:bottom w:val="none" w:sz="0" w:space="0" w:color="auto"/>
        <w:right w:val="none" w:sz="0" w:space="0" w:color="auto"/>
      </w:divBdr>
    </w:div>
    <w:div w:id="161631684">
      <w:bodyDiv w:val="1"/>
      <w:marLeft w:val="0"/>
      <w:marRight w:val="0"/>
      <w:marTop w:val="0"/>
      <w:marBottom w:val="0"/>
      <w:divBdr>
        <w:top w:val="none" w:sz="0" w:space="0" w:color="auto"/>
        <w:left w:val="none" w:sz="0" w:space="0" w:color="auto"/>
        <w:bottom w:val="none" w:sz="0" w:space="0" w:color="auto"/>
        <w:right w:val="none" w:sz="0" w:space="0" w:color="auto"/>
      </w:divBdr>
    </w:div>
    <w:div w:id="20914781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41932735">
      <w:bodyDiv w:val="1"/>
      <w:marLeft w:val="0"/>
      <w:marRight w:val="0"/>
      <w:marTop w:val="0"/>
      <w:marBottom w:val="0"/>
      <w:divBdr>
        <w:top w:val="none" w:sz="0" w:space="0" w:color="auto"/>
        <w:left w:val="none" w:sz="0" w:space="0" w:color="auto"/>
        <w:bottom w:val="none" w:sz="0" w:space="0" w:color="auto"/>
        <w:right w:val="none" w:sz="0" w:space="0" w:color="auto"/>
      </w:divBdr>
    </w:div>
    <w:div w:id="421727897">
      <w:bodyDiv w:val="1"/>
      <w:marLeft w:val="0"/>
      <w:marRight w:val="0"/>
      <w:marTop w:val="0"/>
      <w:marBottom w:val="0"/>
      <w:divBdr>
        <w:top w:val="none" w:sz="0" w:space="0" w:color="auto"/>
        <w:left w:val="none" w:sz="0" w:space="0" w:color="auto"/>
        <w:bottom w:val="none" w:sz="0" w:space="0" w:color="auto"/>
        <w:right w:val="none" w:sz="0" w:space="0" w:color="auto"/>
      </w:divBdr>
    </w:div>
    <w:div w:id="432943684">
      <w:bodyDiv w:val="1"/>
      <w:marLeft w:val="0"/>
      <w:marRight w:val="0"/>
      <w:marTop w:val="0"/>
      <w:marBottom w:val="0"/>
      <w:divBdr>
        <w:top w:val="none" w:sz="0" w:space="0" w:color="auto"/>
        <w:left w:val="none" w:sz="0" w:space="0" w:color="auto"/>
        <w:bottom w:val="none" w:sz="0" w:space="0" w:color="auto"/>
        <w:right w:val="none" w:sz="0" w:space="0" w:color="auto"/>
      </w:divBdr>
    </w:div>
    <w:div w:id="477770263">
      <w:bodyDiv w:val="1"/>
      <w:marLeft w:val="0"/>
      <w:marRight w:val="0"/>
      <w:marTop w:val="0"/>
      <w:marBottom w:val="0"/>
      <w:divBdr>
        <w:top w:val="none" w:sz="0" w:space="0" w:color="auto"/>
        <w:left w:val="none" w:sz="0" w:space="0" w:color="auto"/>
        <w:bottom w:val="none" w:sz="0" w:space="0" w:color="auto"/>
        <w:right w:val="none" w:sz="0" w:space="0" w:color="auto"/>
      </w:divBdr>
    </w:div>
    <w:div w:id="483087880">
      <w:bodyDiv w:val="1"/>
      <w:marLeft w:val="0"/>
      <w:marRight w:val="0"/>
      <w:marTop w:val="0"/>
      <w:marBottom w:val="0"/>
      <w:divBdr>
        <w:top w:val="none" w:sz="0" w:space="0" w:color="auto"/>
        <w:left w:val="none" w:sz="0" w:space="0" w:color="auto"/>
        <w:bottom w:val="none" w:sz="0" w:space="0" w:color="auto"/>
        <w:right w:val="none" w:sz="0" w:space="0" w:color="auto"/>
      </w:divBdr>
    </w:div>
    <w:div w:id="502210358">
      <w:bodyDiv w:val="1"/>
      <w:marLeft w:val="0"/>
      <w:marRight w:val="0"/>
      <w:marTop w:val="0"/>
      <w:marBottom w:val="0"/>
      <w:divBdr>
        <w:top w:val="none" w:sz="0" w:space="0" w:color="auto"/>
        <w:left w:val="none" w:sz="0" w:space="0" w:color="auto"/>
        <w:bottom w:val="none" w:sz="0" w:space="0" w:color="auto"/>
        <w:right w:val="none" w:sz="0" w:space="0" w:color="auto"/>
      </w:divBdr>
    </w:div>
    <w:div w:id="634067392">
      <w:bodyDiv w:val="1"/>
      <w:marLeft w:val="0"/>
      <w:marRight w:val="0"/>
      <w:marTop w:val="0"/>
      <w:marBottom w:val="0"/>
      <w:divBdr>
        <w:top w:val="none" w:sz="0" w:space="0" w:color="auto"/>
        <w:left w:val="none" w:sz="0" w:space="0" w:color="auto"/>
        <w:bottom w:val="none" w:sz="0" w:space="0" w:color="auto"/>
        <w:right w:val="none" w:sz="0" w:space="0" w:color="auto"/>
      </w:divBdr>
    </w:div>
    <w:div w:id="664238254">
      <w:bodyDiv w:val="1"/>
      <w:marLeft w:val="0"/>
      <w:marRight w:val="0"/>
      <w:marTop w:val="0"/>
      <w:marBottom w:val="0"/>
      <w:divBdr>
        <w:top w:val="none" w:sz="0" w:space="0" w:color="auto"/>
        <w:left w:val="none" w:sz="0" w:space="0" w:color="auto"/>
        <w:bottom w:val="none" w:sz="0" w:space="0" w:color="auto"/>
        <w:right w:val="none" w:sz="0" w:space="0" w:color="auto"/>
      </w:divBdr>
    </w:div>
    <w:div w:id="781799858">
      <w:bodyDiv w:val="1"/>
      <w:marLeft w:val="0"/>
      <w:marRight w:val="0"/>
      <w:marTop w:val="0"/>
      <w:marBottom w:val="0"/>
      <w:divBdr>
        <w:top w:val="none" w:sz="0" w:space="0" w:color="auto"/>
        <w:left w:val="none" w:sz="0" w:space="0" w:color="auto"/>
        <w:bottom w:val="none" w:sz="0" w:space="0" w:color="auto"/>
        <w:right w:val="none" w:sz="0" w:space="0" w:color="auto"/>
      </w:divBdr>
    </w:div>
    <w:div w:id="804275955">
      <w:bodyDiv w:val="1"/>
      <w:marLeft w:val="0"/>
      <w:marRight w:val="0"/>
      <w:marTop w:val="0"/>
      <w:marBottom w:val="0"/>
      <w:divBdr>
        <w:top w:val="none" w:sz="0" w:space="0" w:color="auto"/>
        <w:left w:val="none" w:sz="0" w:space="0" w:color="auto"/>
        <w:bottom w:val="none" w:sz="0" w:space="0" w:color="auto"/>
        <w:right w:val="none" w:sz="0" w:space="0" w:color="auto"/>
      </w:divBdr>
    </w:div>
    <w:div w:id="877624530">
      <w:bodyDiv w:val="1"/>
      <w:marLeft w:val="0"/>
      <w:marRight w:val="0"/>
      <w:marTop w:val="0"/>
      <w:marBottom w:val="0"/>
      <w:divBdr>
        <w:top w:val="none" w:sz="0" w:space="0" w:color="auto"/>
        <w:left w:val="none" w:sz="0" w:space="0" w:color="auto"/>
        <w:bottom w:val="none" w:sz="0" w:space="0" w:color="auto"/>
        <w:right w:val="none" w:sz="0" w:space="0" w:color="auto"/>
      </w:divBdr>
    </w:div>
    <w:div w:id="919601568">
      <w:bodyDiv w:val="1"/>
      <w:marLeft w:val="0"/>
      <w:marRight w:val="0"/>
      <w:marTop w:val="0"/>
      <w:marBottom w:val="0"/>
      <w:divBdr>
        <w:top w:val="none" w:sz="0" w:space="0" w:color="auto"/>
        <w:left w:val="none" w:sz="0" w:space="0" w:color="auto"/>
        <w:bottom w:val="none" w:sz="0" w:space="0" w:color="auto"/>
        <w:right w:val="none" w:sz="0" w:space="0" w:color="auto"/>
      </w:divBdr>
    </w:div>
    <w:div w:id="924261704">
      <w:bodyDiv w:val="1"/>
      <w:marLeft w:val="0"/>
      <w:marRight w:val="0"/>
      <w:marTop w:val="0"/>
      <w:marBottom w:val="0"/>
      <w:divBdr>
        <w:top w:val="none" w:sz="0" w:space="0" w:color="auto"/>
        <w:left w:val="none" w:sz="0" w:space="0" w:color="auto"/>
        <w:bottom w:val="none" w:sz="0" w:space="0" w:color="auto"/>
        <w:right w:val="none" w:sz="0" w:space="0" w:color="auto"/>
      </w:divBdr>
    </w:div>
    <w:div w:id="1067916634">
      <w:bodyDiv w:val="1"/>
      <w:marLeft w:val="0"/>
      <w:marRight w:val="0"/>
      <w:marTop w:val="0"/>
      <w:marBottom w:val="0"/>
      <w:divBdr>
        <w:top w:val="none" w:sz="0" w:space="0" w:color="auto"/>
        <w:left w:val="none" w:sz="0" w:space="0" w:color="auto"/>
        <w:bottom w:val="none" w:sz="0" w:space="0" w:color="auto"/>
        <w:right w:val="none" w:sz="0" w:space="0" w:color="auto"/>
      </w:divBdr>
    </w:div>
    <w:div w:id="1091584268">
      <w:bodyDiv w:val="1"/>
      <w:marLeft w:val="0"/>
      <w:marRight w:val="0"/>
      <w:marTop w:val="0"/>
      <w:marBottom w:val="0"/>
      <w:divBdr>
        <w:top w:val="none" w:sz="0" w:space="0" w:color="auto"/>
        <w:left w:val="none" w:sz="0" w:space="0" w:color="auto"/>
        <w:bottom w:val="none" w:sz="0" w:space="0" w:color="auto"/>
        <w:right w:val="none" w:sz="0" w:space="0" w:color="auto"/>
      </w:divBdr>
    </w:div>
    <w:div w:id="1235048428">
      <w:bodyDiv w:val="1"/>
      <w:marLeft w:val="0"/>
      <w:marRight w:val="0"/>
      <w:marTop w:val="0"/>
      <w:marBottom w:val="0"/>
      <w:divBdr>
        <w:top w:val="none" w:sz="0" w:space="0" w:color="auto"/>
        <w:left w:val="none" w:sz="0" w:space="0" w:color="auto"/>
        <w:bottom w:val="none" w:sz="0" w:space="0" w:color="auto"/>
        <w:right w:val="none" w:sz="0" w:space="0" w:color="auto"/>
      </w:divBdr>
    </w:div>
    <w:div w:id="1257709020">
      <w:bodyDiv w:val="1"/>
      <w:marLeft w:val="0"/>
      <w:marRight w:val="0"/>
      <w:marTop w:val="0"/>
      <w:marBottom w:val="0"/>
      <w:divBdr>
        <w:top w:val="none" w:sz="0" w:space="0" w:color="auto"/>
        <w:left w:val="none" w:sz="0" w:space="0" w:color="auto"/>
        <w:bottom w:val="none" w:sz="0" w:space="0" w:color="auto"/>
        <w:right w:val="none" w:sz="0" w:space="0" w:color="auto"/>
      </w:divBdr>
    </w:div>
    <w:div w:id="1263147626">
      <w:bodyDiv w:val="1"/>
      <w:marLeft w:val="0"/>
      <w:marRight w:val="0"/>
      <w:marTop w:val="0"/>
      <w:marBottom w:val="0"/>
      <w:divBdr>
        <w:top w:val="none" w:sz="0" w:space="0" w:color="auto"/>
        <w:left w:val="none" w:sz="0" w:space="0" w:color="auto"/>
        <w:bottom w:val="none" w:sz="0" w:space="0" w:color="auto"/>
        <w:right w:val="none" w:sz="0" w:space="0" w:color="auto"/>
      </w:divBdr>
    </w:div>
    <w:div w:id="1278026531">
      <w:bodyDiv w:val="1"/>
      <w:marLeft w:val="0"/>
      <w:marRight w:val="0"/>
      <w:marTop w:val="0"/>
      <w:marBottom w:val="0"/>
      <w:divBdr>
        <w:top w:val="none" w:sz="0" w:space="0" w:color="auto"/>
        <w:left w:val="none" w:sz="0" w:space="0" w:color="auto"/>
        <w:bottom w:val="none" w:sz="0" w:space="0" w:color="auto"/>
        <w:right w:val="none" w:sz="0" w:space="0" w:color="auto"/>
      </w:divBdr>
    </w:div>
    <w:div w:id="1317152596">
      <w:bodyDiv w:val="1"/>
      <w:marLeft w:val="0"/>
      <w:marRight w:val="0"/>
      <w:marTop w:val="0"/>
      <w:marBottom w:val="0"/>
      <w:divBdr>
        <w:top w:val="none" w:sz="0" w:space="0" w:color="auto"/>
        <w:left w:val="none" w:sz="0" w:space="0" w:color="auto"/>
        <w:bottom w:val="none" w:sz="0" w:space="0" w:color="auto"/>
        <w:right w:val="none" w:sz="0" w:space="0" w:color="auto"/>
      </w:divBdr>
    </w:div>
    <w:div w:id="1445030503">
      <w:bodyDiv w:val="1"/>
      <w:marLeft w:val="0"/>
      <w:marRight w:val="0"/>
      <w:marTop w:val="0"/>
      <w:marBottom w:val="0"/>
      <w:divBdr>
        <w:top w:val="none" w:sz="0" w:space="0" w:color="auto"/>
        <w:left w:val="none" w:sz="0" w:space="0" w:color="auto"/>
        <w:bottom w:val="none" w:sz="0" w:space="0" w:color="auto"/>
        <w:right w:val="none" w:sz="0" w:space="0" w:color="auto"/>
      </w:divBdr>
    </w:div>
    <w:div w:id="1454134568">
      <w:bodyDiv w:val="1"/>
      <w:marLeft w:val="0"/>
      <w:marRight w:val="0"/>
      <w:marTop w:val="0"/>
      <w:marBottom w:val="0"/>
      <w:divBdr>
        <w:top w:val="none" w:sz="0" w:space="0" w:color="auto"/>
        <w:left w:val="none" w:sz="0" w:space="0" w:color="auto"/>
        <w:bottom w:val="none" w:sz="0" w:space="0" w:color="auto"/>
        <w:right w:val="none" w:sz="0" w:space="0" w:color="auto"/>
      </w:divBdr>
    </w:div>
    <w:div w:id="1516070102">
      <w:bodyDiv w:val="1"/>
      <w:marLeft w:val="0"/>
      <w:marRight w:val="0"/>
      <w:marTop w:val="0"/>
      <w:marBottom w:val="0"/>
      <w:divBdr>
        <w:top w:val="none" w:sz="0" w:space="0" w:color="auto"/>
        <w:left w:val="none" w:sz="0" w:space="0" w:color="auto"/>
        <w:bottom w:val="none" w:sz="0" w:space="0" w:color="auto"/>
        <w:right w:val="none" w:sz="0" w:space="0" w:color="auto"/>
      </w:divBdr>
    </w:div>
    <w:div w:id="1615332158">
      <w:bodyDiv w:val="1"/>
      <w:marLeft w:val="0"/>
      <w:marRight w:val="0"/>
      <w:marTop w:val="0"/>
      <w:marBottom w:val="0"/>
      <w:divBdr>
        <w:top w:val="none" w:sz="0" w:space="0" w:color="auto"/>
        <w:left w:val="none" w:sz="0" w:space="0" w:color="auto"/>
        <w:bottom w:val="none" w:sz="0" w:space="0" w:color="auto"/>
        <w:right w:val="none" w:sz="0" w:space="0" w:color="auto"/>
      </w:divBdr>
    </w:div>
    <w:div w:id="1619145501">
      <w:bodyDiv w:val="1"/>
      <w:marLeft w:val="0"/>
      <w:marRight w:val="0"/>
      <w:marTop w:val="0"/>
      <w:marBottom w:val="0"/>
      <w:divBdr>
        <w:top w:val="none" w:sz="0" w:space="0" w:color="auto"/>
        <w:left w:val="none" w:sz="0" w:space="0" w:color="auto"/>
        <w:bottom w:val="none" w:sz="0" w:space="0" w:color="auto"/>
        <w:right w:val="none" w:sz="0" w:space="0" w:color="auto"/>
      </w:divBdr>
    </w:div>
    <w:div w:id="1624338567">
      <w:bodyDiv w:val="1"/>
      <w:marLeft w:val="0"/>
      <w:marRight w:val="0"/>
      <w:marTop w:val="0"/>
      <w:marBottom w:val="0"/>
      <w:divBdr>
        <w:top w:val="none" w:sz="0" w:space="0" w:color="auto"/>
        <w:left w:val="none" w:sz="0" w:space="0" w:color="auto"/>
        <w:bottom w:val="none" w:sz="0" w:space="0" w:color="auto"/>
        <w:right w:val="none" w:sz="0" w:space="0" w:color="auto"/>
      </w:divBdr>
    </w:div>
    <w:div w:id="1673530336">
      <w:bodyDiv w:val="1"/>
      <w:marLeft w:val="0"/>
      <w:marRight w:val="0"/>
      <w:marTop w:val="0"/>
      <w:marBottom w:val="0"/>
      <w:divBdr>
        <w:top w:val="none" w:sz="0" w:space="0" w:color="auto"/>
        <w:left w:val="none" w:sz="0" w:space="0" w:color="auto"/>
        <w:bottom w:val="none" w:sz="0" w:space="0" w:color="auto"/>
        <w:right w:val="none" w:sz="0" w:space="0" w:color="auto"/>
      </w:divBdr>
    </w:div>
    <w:div w:id="1799690133">
      <w:bodyDiv w:val="1"/>
      <w:marLeft w:val="0"/>
      <w:marRight w:val="0"/>
      <w:marTop w:val="0"/>
      <w:marBottom w:val="0"/>
      <w:divBdr>
        <w:top w:val="none" w:sz="0" w:space="0" w:color="auto"/>
        <w:left w:val="none" w:sz="0" w:space="0" w:color="auto"/>
        <w:bottom w:val="none" w:sz="0" w:space="0" w:color="auto"/>
        <w:right w:val="none" w:sz="0" w:space="0" w:color="auto"/>
      </w:divBdr>
    </w:div>
    <w:div w:id="1852837492">
      <w:bodyDiv w:val="1"/>
      <w:marLeft w:val="0"/>
      <w:marRight w:val="0"/>
      <w:marTop w:val="0"/>
      <w:marBottom w:val="0"/>
      <w:divBdr>
        <w:top w:val="none" w:sz="0" w:space="0" w:color="auto"/>
        <w:left w:val="none" w:sz="0" w:space="0" w:color="auto"/>
        <w:bottom w:val="none" w:sz="0" w:space="0" w:color="auto"/>
        <w:right w:val="none" w:sz="0" w:space="0" w:color="auto"/>
      </w:divBdr>
    </w:div>
    <w:div w:id="1859080215">
      <w:bodyDiv w:val="1"/>
      <w:marLeft w:val="0"/>
      <w:marRight w:val="0"/>
      <w:marTop w:val="0"/>
      <w:marBottom w:val="0"/>
      <w:divBdr>
        <w:top w:val="none" w:sz="0" w:space="0" w:color="auto"/>
        <w:left w:val="none" w:sz="0" w:space="0" w:color="auto"/>
        <w:bottom w:val="none" w:sz="0" w:space="0" w:color="auto"/>
        <w:right w:val="none" w:sz="0" w:space="0" w:color="auto"/>
      </w:divBdr>
    </w:div>
    <w:div w:id="193392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itios.scjn.gob.mx/cec/sites/default/files/publication/documents/2023-01/CUADERNO%20NUM%2016%20DH_LIBRE%20DESARROLLO_FINAL%20DIGITAL.pdf" TargetMode="External"/><Relationship Id="rId21" Type="http://schemas.openxmlformats.org/officeDocument/2006/relationships/image" Target="media/image14.jpg"/><Relationship Id="rId42" Type="http://schemas.openxmlformats.org/officeDocument/2006/relationships/image" Target="media/image35.jpg"/><Relationship Id="rId63" Type="http://schemas.openxmlformats.org/officeDocument/2006/relationships/image" Target="media/image56.jpg"/><Relationship Id="rId84" Type="http://schemas.openxmlformats.org/officeDocument/2006/relationships/image" Target="media/image77.jpg"/><Relationship Id="rId16" Type="http://schemas.openxmlformats.org/officeDocument/2006/relationships/image" Target="media/image9.jpg"/><Relationship Id="rId107" Type="http://schemas.openxmlformats.org/officeDocument/2006/relationships/hyperlink" Target="http://www.condusef.gob.mx/" TargetMode="External"/><Relationship Id="rId11" Type="http://schemas.openxmlformats.org/officeDocument/2006/relationships/image" Target="media/image4.jpg"/><Relationship Id="rId32" Type="http://schemas.openxmlformats.org/officeDocument/2006/relationships/image" Target="media/image25.jpg"/><Relationship Id="rId37" Type="http://schemas.openxmlformats.org/officeDocument/2006/relationships/image" Target="media/image30.jpg"/><Relationship Id="rId53" Type="http://schemas.openxmlformats.org/officeDocument/2006/relationships/image" Target="media/image46.jpg"/><Relationship Id="rId58" Type="http://schemas.openxmlformats.org/officeDocument/2006/relationships/image" Target="media/image51.jpg"/><Relationship Id="rId74" Type="http://schemas.openxmlformats.org/officeDocument/2006/relationships/image" Target="media/image67.jpg"/><Relationship Id="rId79" Type="http://schemas.openxmlformats.org/officeDocument/2006/relationships/image" Target="media/image72.jpg"/><Relationship Id="rId102" Type="http://schemas.openxmlformats.org/officeDocument/2006/relationships/hyperlink" Target="http://www.gob.mx/agricultura%7Cdgsiap/articulos/durante-mas-de-" TargetMode="External"/><Relationship Id="rId123" Type="http://schemas.openxmlformats.org/officeDocument/2006/relationships/hyperlink" Target="https://yogyakartaprinciples.org/wp-content/uploads/2016/08/principles_sp.pdf" TargetMode="External"/><Relationship Id="rId128" Type="http://schemas.openxmlformats.org/officeDocument/2006/relationships/hyperlink" Target="https://www.nmas.com.mx/estados/nina-discriminada-en-oaxaca-por-usar-pantalon-no-volvera-a-la-escuela/" TargetMode="External"/><Relationship Id="rId5" Type="http://schemas.openxmlformats.org/officeDocument/2006/relationships/webSettings" Target="webSettings.xml"/><Relationship Id="rId90" Type="http://schemas.openxmlformats.org/officeDocument/2006/relationships/image" Target="media/image83.jpg"/><Relationship Id="rId95" Type="http://schemas.openxmlformats.org/officeDocument/2006/relationships/hyperlink" Target="https://www.gob.mx/conavim/articulos/brecha-salarial-una-de-las-grandes-barreras-para-la-igualdad-de-genero?idiom=es" TargetMode="External"/><Relationship Id="rId22" Type="http://schemas.openxmlformats.org/officeDocument/2006/relationships/image" Target="media/image15.jpg"/><Relationship Id="rId27" Type="http://schemas.openxmlformats.org/officeDocument/2006/relationships/image" Target="media/image20.jpg"/><Relationship Id="rId43" Type="http://schemas.openxmlformats.org/officeDocument/2006/relationships/image" Target="media/image36.jpg"/><Relationship Id="rId48" Type="http://schemas.openxmlformats.org/officeDocument/2006/relationships/image" Target="media/image41.jpg"/><Relationship Id="rId64" Type="http://schemas.openxmlformats.org/officeDocument/2006/relationships/image" Target="media/image57.jpg"/><Relationship Id="rId69" Type="http://schemas.openxmlformats.org/officeDocument/2006/relationships/image" Target="media/image62.jpg"/><Relationship Id="rId113" Type="http://schemas.openxmlformats.org/officeDocument/2006/relationships/hyperlink" Target="https://www.inegi.org.mx/app/tabulados/interactivos/?pxq=Salud_Mental_06_0ce246dc-784f-4198-807b-4375a1612693" TargetMode="External"/><Relationship Id="rId118" Type="http://schemas.openxmlformats.org/officeDocument/2006/relationships/hyperlink" Target="%20https://www.un.org/es/about-" TargetMode="External"/><Relationship Id="rId134" Type="http://schemas.openxmlformats.org/officeDocument/2006/relationships/theme" Target="theme/theme1.xml"/><Relationship Id="rId80" Type="http://schemas.openxmlformats.org/officeDocument/2006/relationships/image" Target="media/image73.jpg"/><Relationship Id="rId85" Type="http://schemas.openxmlformats.org/officeDocument/2006/relationships/image" Target="media/image78.jpg"/><Relationship Id="rId12" Type="http://schemas.openxmlformats.org/officeDocument/2006/relationships/image" Target="media/image5.jpg"/><Relationship Id="rId17" Type="http://schemas.openxmlformats.org/officeDocument/2006/relationships/image" Target="media/image10.jpg"/><Relationship Id="rId33" Type="http://schemas.openxmlformats.org/officeDocument/2006/relationships/image" Target="media/image26.jpg"/><Relationship Id="rId38" Type="http://schemas.openxmlformats.org/officeDocument/2006/relationships/image" Target="media/image31.jpg"/><Relationship Id="rId59" Type="http://schemas.openxmlformats.org/officeDocument/2006/relationships/image" Target="media/image52.jpg"/><Relationship Id="rId103" Type="http://schemas.openxmlformats.org/officeDocument/2006/relationships/hyperlink" Target="http://www.capitaledomex.com.mx/local/temascaltepec-y-amatepec-los-municipios-que-ponen-al-edomex-en-el-mapa-mundial-del-" TargetMode="External"/><Relationship Id="rId108" Type="http://schemas.openxmlformats.org/officeDocument/2006/relationships/hyperlink" Target="http://www.condusefgob.mx/" TargetMode="External"/><Relationship Id="rId124" Type="http://schemas.openxmlformats.org/officeDocument/2006/relationships/hyperlink" Target="%20https://www.inegi.org.mx/programas/endiseg/2021/%20" TargetMode="External"/><Relationship Id="rId129" Type="http://schemas.openxmlformats.org/officeDocument/2006/relationships/hyperlink" Target="%20https://jefaturadegobierno.cdmx.gob.mx/comunicacion/nota/anuncian-autoridades-locales-y-%20" TargetMode="External"/><Relationship Id="rId54" Type="http://schemas.openxmlformats.org/officeDocument/2006/relationships/image" Target="media/image47.jpg"/><Relationship Id="rId70" Type="http://schemas.openxmlformats.org/officeDocument/2006/relationships/image" Target="media/image63.jpg"/><Relationship Id="rId75" Type="http://schemas.openxmlformats.org/officeDocument/2006/relationships/image" Target="media/image68.jpg"/><Relationship Id="rId91" Type="http://schemas.openxmlformats.org/officeDocument/2006/relationships/image" Target="media/image84.jpg"/><Relationship Id="rId96" Type="http://schemas.openxmlformats.org/officeDocument/2006/relationships/hyperlink" Target="https://www.gob.mx/conavim/articulos/brecha-salarial-una-de-las-grandes-barreras-para-la-igualdad-de-genero?idiom=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g"/><Relationship Id="rId28" Type="http://schemas.openxmlformats.org/officeDocument/2006/relationships/image" Target="media/image21.jpg"/><Relationship Id="rId49" Type="http://schemas.openxmlformats.org/officeDocument/2006/relationships/image" Target="media/image42.jpg"/><Relationship Id="rId114" Type="http://schemas.openxmlformats.org/officeDocument/2006/relationships/hyperlink" Target="https://www.inegi.org.mx/app/tabulados/interactivos/?pxq=Salud_Mental_06_0ce246dc-784f-4198-807b-4375a1612693" TargetMode="External"/><Relationship Id="rId119" Type="http://schemas.openxmlformats.org/officeDocument/2006/relationships/hyperlink" Target="https://www.un.org/es/about-us/universal-declaration-of-human-rights" TargetMode="External"/><Relationship Id="rId44" Type="http://schemas.openxmlformats.org/officeDocument/2006/relationships/image" Target="media/image37.jpg"/><Relationship Id="rId60" Type="http://schemas.openxmlformats.org/officeDocument/2006/relationships/image" Target="media/image53.jpg"/><Relationship Id="rId65" Type="http://schemas.openxmlformats.org/officeDocument/2006/relationships/image" Target="media/image58.jpg"/><Relationship Id="rId81" Type="http://schemas.openxmlformats.org/officeDocument/2006/relationships/image" Target="media/image74.jpg"/><Relationship Id="rId86" Type="http://schemas.openxmlformats.org/officeDocument/2006/relationships/image" Target="media/image79.jpg"/><Relationship Id="rId130" Type="http://schemas.openxmlformats.org/officeDocument/2006/relationships/hyperlink" Target="https://jefaturadegobierno.cdmx.gob.mx/comunicacion/nota/anuncian-autoridades-locales-y-federales-el-uniforme-neutro-en-las-escuelas-de-nivel-basico-en-la-ciudad-de-mexico" TargetMode="External"/><Relationship Id="rId13" Type="http://schemas.openxmlformats.org/officeDocument/2006/relationships/image" Target="media/image6.jpg"/><Relationship Id="rId18" Type="http://schemas.openxmlformats.org/officeDocument/2006/relationships/image" Target="media/image11.jpg"/><Relationship Id="rId39" Type="http://schemas.openxmlformats.org/officeDocument/2006/relationships/image" Target="media/image32.jpg"/><Relationship Id="rId109" Type="http://schemas.openxmlformats.org/officeDocument/2006/relationships/hyperlink" Target="http://www.oecd.org/daf/fin/financial-education/OECD" TargetMode="External"/><Relationship Id="rId34" Type="http://schemas.openxmlformats.org/officeDocument/2006/relationships/image" Target="media/image27.jpg"/><Relationship Id="rId50" Type="http://schemas.openxmlformats.org/officeDocument/2006/relationships/image" Target="media/image43.jpg"/><Relationship Id="rId55" Type="http://schemas.openxmlformats.org/officeDocument/2006/relationships/image" Target="media/image48.jpg"/><Relationship Id="rId76" Type="http://schemas.openxmlformats.org/officeDocument/2006/relationships/image" Target="media/image69.jpg"/><Relationship Id="rId97" Type="http://schemas.openxmlformats.org/officeDocument/2006/relationships/hyperlink" Target="https://www.inegi.org.mx/contenidos/programas/enigh/nc/2024/doc/enigh2024_ns_presentacion_resultados.pdf" TargetMode="External"/><Relationship Id="rId104" Type="http://schemas.openxmlformats.org/officeDocument/2006/relationships/hyperlink" Target="http://www.inegi.org.mx/programas/ccpv/2020/" TargetMode="External"/><Relationship Id="rId120" Type="http://schemas.openxmlformats.org/officeDocument/2006/relationships/hyperlink" Target="%20https://www.ohchr.org/es/women/gender-" TargetMode="External"/><Relationship Id="rId125" Type="http://schemas.openxmlformats.org/officeDocument/2006/relationships/hyperlink" Target="https://www.inegi.org.mx/programas/enadis/2022/%20" TargetMode="External"/><Relationship Id="rId7" Type="http://schemas.openxmlformats.org/officeDocument/2006/relationships/endnotes" Target="endnotes.xml"/><Relationship Id="rId71" Type="http://schemas.openxmlformats.org/officeDocument/2006/relationships/image" Target="media/image64.jpg"/><Relationship Id="rId92" Type="http://schemas.openxmlformats.org/officeDocument/2006/relationships/image" Target="media/image85.jpg"/><Relationship Id="rId2" Type="http://schemas.openxmlformats.org/officeDocument/2006/relationships/numbering" Target="numbering.xml"/><Relationship Id="rId29" Type="http://schemas.openxmlformats.org/officeDocument/2006/relationships/image" Target="media/image22.jpg"/><Relationship Id="rId24" Type="http://schemas.openxmlformats.org/officeDocument/2006/relationships/image" Target="media/image17.jpg"/><Relationship Id="rId40" Type="http://schemas.openxmlformats.org/officeDocument/2006/relationships/image" Target="media/image33.jpg"/><Relationship Id="rId45" Type="http://schemas.openxmlformats.org/officeDocument/2006/relationships/image" Target="media/image38.jpg"/><Relationship Id="rId66" Type="http://schemas.openxmlformats.org/officeDocument/2006/relationships/image" Target="media/image59.jpg"/><Relationship Id="rId87" Type="http://schemas.openxmlformats.org/officeDocument/2006/relationships/image" Target="media/image80.jpg"/><Relationship Id="rId110" Type="http://schemas.openxmlformats.org/officeDocument/2006/relationships/hyperlink" Target="https://www.who.int/es/news-room/fact-sheets/detail/depression" TargetMode="External"/><Relationship Id="rId115" Type="http://schemas.openxmlformats.org/officeDocument/2006/relationships/hyperlink" Target="https://ciencia.unam.mx/leer/1412/como-afecta-la-salud-mental-en-el-rendimiento-escolar" TargetMode="External"/><Relationship Id="rId131" Type="http://schemas.openxmlformats.org/officeDocument/2006/relationships/hyperlink" Target="https://jefaturadegobierno.cdmx.gob.mx/comunicacion/nota/anuncian-autoridades-locales-y-federales-el-uniforme-neutro-en-las-escuelas-de-nivel-basico-en-la-ciudad-de-mexico" TargetMode="External"/><Relationship Id="rId61" Type="http://schemas.openxmlformats.org/officeDocument/2006/relationships/image" Target="media/image54.jpg"/><Relationship Id="rId82" Type="http://schemas.openxmlformats.org/officeDocument/2006/relationships/image" Target="media/image75.jpg"/><Relationship Id="rId19" Type="http://schemas.openxmlformats.org/officeDocument/2006/relationships/image" Target="media/image12.jpg"/><Relationship Id="rId14" Type="http://schemas.openxmlformats.org/officeDocument/2006/relationships/image" Target="media/image7.jpg"/><Relationship Id="rId30" Type="http://schemas.openxmlformats.org/officeDocument/2006/relationships/image" Target="media/image23.jpg"/><Relationship Id="rId35" Type="http://schemas.openxmlformats.org/officeDocument/2006/relationships/image" Target="media/image28.jpg"/><Relationship Id="rId56" Type="http://schemas.openxmlformats.org/officeDocument/2006/relationships/image" Target="media/image49.jpg"/><Relationship Id="rId77" Type="http://schemas.openxmlformats.org/officeDocument/2006/relationships/image" Target="media/image70.jpg"/><Relationship Id="rId100" Type="http://schemas.openxmlformats.org/officeDocument/2006/relationships/hyperlink" Target="https://coespo.edomex.gob.mx/sites/coespo.edomex.gob.mx/files/files/PDF/Encuesta%20Nacional%20para%20el%20Sistema%20de%20Cuidados%20(ENASIC)%202022digital.pdf" TargetMode="External"/><Relationship Id="rId105" Type="http://schemas.openxmlformats.org/officeDocument/2006/relationships/hyperlink" Target="http://www.gob.mx/conapo" TargetMode="External"/><Relationship Id="rId126" Type="http://schemas.openxmlformats.org/officeDocument/2006/relationships/hyperlink" Target="%20https://www.nmas.com.mx/estados/nina-" TargetMode="External"/><Relationship Id="rId8" Type="http://schemas.openxmlformats.org/officeDocument/2006/relationships/image" Target="media/image1.jpg"/><Relationship Id="rId51" Type="http://schemas.openxmlformats.org/officeDocument/2006/relationships/image" Target="media/image44.jpg"/><Relationship Id="rId72" Type="http://schemas.openxmlformats.org/officeDocument/2006/relationships/image" Target="media/image65.jpg"/><Relationship Id="rId93" Type="http://schemas.openxmlformats.org/officeDocument/2006/relationships/hyperlink" Target="https://trabajo.cdmx.gob.mx/storage/app//media/Brecha_Salarial_noviembre_2025.pdf" TargetMode="External"/><Relationship Id="rId98" Type="http://schemas.openxmlformats.org/officeDocument/2006/relationships/hyperlink" Target="https://www.gob.mx/cms/uploads/attachment/file/356552/C100_Convenio_sobre_Igualdad_de_Remunieracin.pdf" TargetMode="External"/><Relationship Id="rId121" Type="http://schemas.openxmlformats.org/officeDocument/2006/relationships/hyperlink" Target="https://www.ohchr.org/es/women/gender-stereotyping" TargetMode="External"/><Relationship Id="rId3" Type="http://schemas.openxmlformats.org/officeDocument/2006/relationships/styles" Target="styles.xml"/><Relationship Id="rId25" Type="http://schemas.openxmlformats.org/officeDocument/2006/relationships/image" Target="media/image18.jpg"/><Relationship Id="rId46" Type="http://schemas.openxmlformats.org/officeDocument/2006/relationships/image" Target="media/image39.jpg"/><Relationship Id="rId67" Type="http://schemas.openxmlformats.org/officeDocument/2006/relationships/image" Target="media/image60.jpg"/><Relationship Id="rId116" Type="http://schemas.openxmlformats.org/officeDocument/2006/relationships/hyperlink" Target="https://www.sitios.scjn.gob.mx/cec/sites/default/files/publication/documents/2023-01/CUADERNO%20NUM%2016%20DH_LIBRE%20DESARROLLO_FINAL%20DIGITAL.pdf" TargetMode="External"/><Relationship Id="rId20" Type="http://schemas.openxmlformats.org/officeDocument/2006/relationships/image" Target="media/image13.jpg"/><Relationship Id="rId41" Type="http://schemas.openxmlformats.org/officeDocument/2006/relationships/image" Target="media/image34.jpg"/><Relationship Id="rId62" Type="http://schemas.openxmlformats.org/officeDocument/2006/relationships/image" Target="media/image55.jpg"/><Relationship Id="rId83" Type="http://schemas.openxmlformats.org/officeDocument/2006/relationships/image" Target="media/image76.jpg"/><Relationship Id="rId88" Type="http://schemas.openxmlformats.org/officeDocument/2006/relationships/image" Target="media/image81.jpg"/><Relationship Id="rId111" Type="http://schemas.openxmlformats.org/officeDocument/2006/relationships/hyperlink" Target="https://docs.un.org/es/A/RES/45/112" TargetMode="External"/><Relationship Id="rId132" Type="http://schemas.openxmlformats.org/officeDocument/2006/relationships/footer" Target="footer1.xml"/><Relationship Id="rId15" Type="http://schemas.openxmlformats.org/officeDocument/2006/relationships/image" Target="media/image8.jpg"/><Relationship Id="rId36" Type="http://schemas.openxmlformats.org/officeDocument/2006/relationships/image" Target="media/image29.jpg"/><Relationship Id="rId57" Type="http://schemas.openxmlformats.org/officeDocument/2006/relationships/image" Target="media/image50.jpg"/><Relationship Id="rId106" Type="http://schemas.openxmlformats.org/officeDocument/2006/relationships/hyperlink" Target="http://www.coneval.org.mx" TargetMode="External"/><Relationship Id="rId127" Type="http://schemas.openxmlformats.org/officeDocument/2006/relationships/hyperlink" Target="https://www.nmas.com.mx/estados/nina-discriminada-en-oaxaca-por-usar-pantalon-no-volvera-a-la-escuela/" TargetMode="External"/><Relationship Id="rId10" Type="http://schemas.openxmlformats.org/officeDocument/2006/relationships/image" Target="media/image3.jpg"/><Relationship Id="rId31" Type="http://schemas.openxmlformats.org/officeDocument/2006/relationships/image" Target="media/image24.jpg"/><Relationship Id="rId52" Type="http://schemas.openxmlformats.org/officeDocument/2006/relationships/image" Target="media/image45.jpg"/><Relationship Id="rId73" Type="http://schemas.openxmlformats.org/officeDocument/2006/relationships/image" Target="media/image66.jpg"/><Relationship Id="rId78" Type="http://schemas.openxmlformats.org/officeDocument/2006/relationships/image" Target="media/image71.jpg"/><Relationship Id="rId94" Type="http://schemas.openxmlformats.org/officeDocument/2006/relationships/hyperlink" Target="https://www.cndh.org.mx/sites/default/files/documentos/2024-09/FRI_SEP_18-1.pdf" TargetMode="External"/><Relationship Id="rId99" Type="http://schemas.openxmlformats.org/officeDocument/2006/relationships/hyperlink" Target="https://www.diputados.gob.mx/LeyesBiblio/ref/lft/LFT_ref47_16dic24.pdf" TargetMode="External"/><Relationship Id="rId101" Type="http://schemas.openxmlformats.org/officeDocument/2006/relationships/hyperlink" Target="http://www.gob.mx/agricultura%7Cedomex/articulos/procafe-para-incrementar-la-productividad-del-aromatico-en-el-estado-de-" TargetMode="External"/><Relationship Id="rId122" Type="http://schemas.openxmlformats.org/officeDocument/2006/relationships/hyperlink" Target="%20https://yogyakartaprinciples.org/wp-" TargetMode="External"/><Relationship Id="rId4" Type="http://schemas.openxmlformats.org/officeDocument/2006/relationships/settings" Target="settings.xml"/><Relationship Id="rId9" Type="http://schemas.openxmlformats.org/officeDocument/2006/relationships/image" Target="media/image2.jpg"/><Relationship Id="rId26" Type="http://schemas.openxmlformats.org/officeDocument/2006/relationships/image" Target="media/image19.jpg"/><Relationship Id="rId47" Type="http://schemas.openxmlformats.org/officeDocument/2006/relationships/image" Target="media/image40.jpg"/><Relationship Id="rId68" Type="http://schemas.openxmlformats.org/officeDocument/2006/relationships/image" Target="media/image61.jpg"/><Relationship Id="rId89" Type="http://schemas.openxmlformats.org/officeDocument/2006/relationships/image" Target="media/image82.jpg"/><Relationship Id="rId112" Type="http://schemas.openxmlformats.org/officeDocument/2006/relationships/hyperlink" Target="https://imsama.edomex.gob.mx/demanda-tratamiento-cecosama-edomex" TargetMode="External"/><Relationship Id="rId13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E8AC2-F68A-4495-82AA-AD6BC3DF9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218</Pages>
  <Words>92823</Words>
  <Characters>510527</Characters>
  <Application>Microsoft Office Word</Application>
  <DocSecurity>0</DocSecurity>
  <Lines>4254</Lines>
  <Paragraphs>1204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91</cp:revision>
  <dcterms:created xsi:type="dcterms:W3CDTF">2026-02-19T15:25:00Z</dcterms:created>
  <dcterms:modified xsi:type="dcterms:W3CDTF">2026-02-25T23:05:00Z</dcterms:modified>
</cp:coreProperties>
</file>